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rPr>
          <w:rFonts w:hint="eastAsia"/>
          <w:color w:val="auto"/>
          <w:highlight w:val="none"/>
          <w:lang w:eastAsia="zh-CN"/>
        </w:rPr>
      </w:pPr>
    </w:p>
    <w:p>
      <w:pPr>
        <w:pStyle w:val="11"/>
        <w:jc w:val="center"/>
        <w:rPr>
          <w:rFonts w:hint="eastAsia" w:ascii="楷体" w:hAnsi="楷体" w:eastAsia="楷体" w:cs="楷体"/>
          <w:b/>
          <w:bCs/>
          <w:color w:val="auto"/>
          <w:sz w:val="96"/>
          <w:szCs w:val="96"/>
          <w:highlight w:val="none"/>
        </w:rPr>
      </w:pPr>
      <w:r>
        <w:rPr>
          <w:rFonts w:hint="eastAsia" w:ascii="楷体" w:hAnsi="楷体" w:eastAsia="楷体" w:cs="楷体"/>
          <w:b/>
          <w:bCs/>
          <w:color w:val="auto"/>
          <w:sz w:val="56"/>
          <w:szCs w:val="56"/>
          <w:highlight w:val="none"/>
          <w:lang w:val="en-US" w:eastAsia="zh-CN"/>
        </w:rPr>
        <w:t xml:space="preserve">广西高质建设管理咨询有限公司 </w:t>
      </w:r>
    </w:p>
    <w:p>
      <w:pPr>
        <w:pStyle w:val="11"/>
        <w:jc w:val="center"/>
        <w:rPr>
          <w:rFonts w:hint="eastAsia" w:ascii="楷体" w:hAnsi="楷体" w:eastAsia="楷体" w:cs="楷体"/>
          <w:color w:val="auto"/>
          <w:highlight w:val="none"/>
        </w:rPr>
      </w:pPr>
    </w:p>
    <w:p>
      <w:pPr>
        <w:spacing w:line="1400" w:lineRule="exact"/>
        <w:jc w:val="center"/>
        <w:rPr>
          <w:rFonts w:hint="eastAsia" w:ascii="楷体" w:hAnsi="楷体" w:eastAsia="楷体" w:cs="楷体"/>
          <w:b/>
          <w:color w:val="auto"/>
          <w:spacing w:val="60"/>
          <w:sz w:val="84"/>
          <w:szCs w:val="84"/>
          <w:highlight w:val="none"/>
        </w:rPr>
      </w:pPr>
    </w:p>
    <w:p>
      <w:pPr>
        <w:spacing w:line="1400" w:lineRule="exact"/>
        <w:jc w:val="center"/>
        <w:rPr>
          <w:rFonts w:hint="eastAsia" w:ascii="楷体" w:hAnsi="楷体" w:eastAsia="楷体" w:cs="楷体"/>
          <w:b/>
          <w:color w:val="auto"/>
          <w:spacing w:val="60"/>
          <w:sz w:val="84"/>
          <w:szCs w:val="84"/>
          <w:highlight w:val="none"/>
        </w:rPr>
      </w:pPr>
      <w:r>
        <w:rPr>
          <w:rFonts w:hint="eastAsia" w:ascii="楷体" w:hAnsi="楷体" w:eastAsia="楷体" w:cs="楷体"/>
          <w:b/>
          <w:color w:val="auto"/>
          <w:spacing w:val="60"/>
          <w:sz w:val="84"/>
          <w:szCs w:val="84"/>
          <w:highlight w:val="none"/>
        </w:rPr>
        <w:t>竞争性磋商文件</w:t>
      </w:r>
    </w:p>
    <w:p>
      <w:pPr>
        <w:pStyle w:val="11"/>
        <w:rPr>
          <w:rFonts w:hint="eastAsia" w:ascii="宋体" w:hAnsi="宋体" w:eastAsia="宋体" w:cs="宋体"/>
          <w:color w:val="auto"/>
          <w:highlight w:val="none"/>
        </w:rPr>
      </w:pPr>
    </w:p>
    <w:p>
      <w:pPr>
        <w:pStyle w:val="11"/>
        <w:ind w:firstLine="3885" w:firstLineChars="1850"/>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highlight w:val="none"/>
        </w:rPr>
      </w:pPr>
    </w:p>
    <w:p>
      <w:pPr>
        <w:pStyle w:val="11"/>
        <w:rPr>
          <w:rFonts w:hint="eastAsia" w:ascii="宋体" w:hAnsi="宋体" w:eastAsia="宋体" w:cs="宋体"/>
          <w:color w:val="auto"/>
          <w:sz w:val="30"/>
          <w:szCs w:val="30"/>
          <w:highlight w:val="none"/>
        </w:rPr>
      </w:pPr>
    </w:p>
    <w:p>
      <w:pPr>
        <w:keepNext w:val="0"/>
        <w:keepLines w:val="0"/>
        <w:pageBreakBefore w:val="0"/>
        <w:widowControl w:val="0"/>
        <w:tabs>
          <w:tab w:val="left" w:pos="8400"/>
          <w:tab w:val="left" w:pos="9240"/>
        </w:tabs>
        <w:kinsoku/>
        <w:wordWrap/>
        <w:overflowPunct/>
        <w:topLinePunct w:val="0"/>
        <w:autoSpaceDE/>
        <w:autoSpaceDN/>
        <w:bidi w:val="0"/>
        <w:adjustRightInd/>
        <w:snapToGrid/>
        <w:ind w:right="0" w:rightChars="0" w:firstLine="1525" w:firstLineChars="400"/>
        <w:jc w:val="left"/>
        <w:textAlignment w:val="auto"/>
        <w:rPr>
          <w:rFonts w:hint="eastAsia" w:ascii="宋体" w:hAnsi="宋体" w:eastAsia="宋体" w:cs="宋体"/>
          <w:b/>
          <w:bCs/>
          <w:color w:val="auto"/>
          <w:spacing w:val="40"/>
          <w:sz w:val="30"/>
          <w:szCs w:val="30"/>
          <w:highlight w:val="none"/>
        </w:rPr>
      </w:pPr>
      <w:bookmarkStart w:id="2018" w:name="_GoBack"/>
      <w:bookmarkEnd w:id="2018"/>
    </w:p>
    <w:p>
      <w:pPr>
        <w:keepNext w:val="0"/>
        <w:keepLines w:val="0"/>
        <w:pageBreakBefore w:val="0"/>
        <w:widowControl w:val="0"/>
        <w:numPr>
          <w:ilvl w:val="0"/>
          <w:numId w:val="0"/>
        </w:numPr>
        <w:tabs>
          <w:tab w:val="left" w:pos="8400"/>
          <w:tab w:val="left" w:pos="9240"/>
        </w:tabs>
        <w:kinsoku/>
        <w:wordWrap/>
        <w:overflowPunct/>
        <w:topLinePunct w:val="0"/>
        <w:autoSpaceDE/>
        <w:autoSpaceDN/>
        <w:bidi w:val="0"/>
        <w:adjustRightInd/>
        <w:snapToGrid/>
        <w:ind w:leftChars="0" w:right="0" w:rightChars="0"/>
        <w:jc w:val="center"/>
        <w:textAlignment w:val="auto"/>
        <w:rPr>
          <w:rFonts w:hint="default" w:ascii="宋体" w:hAnsi="宋体" w:eastAsia="宋体" w:cs="宋体"/>
          <w:b/>
          <w:bCs/>
          <w:color w:val="auto"/>
          <w:spacing w:val="-36"/>
          <w:sz w:val="30"/>
          <w:szCs w:val="30"/>
          <w:highlight w:val="none"/>
          <w:lang w:val="en-US" w:eastAsia="zh-CN"/>
        </w:rPr>
      </w:pPr>
      <w:r>
        <w:rPr>
          <w:rFonts w:hint="eastAsia" w:ascii="宋体" w:hAnsi="宋体" w:eastAsia="宋体" w:cs="宋体"/>
          <w:b/>
          <w:bCs/>
          <w:color w:val="auto"/>
          <w:spacing w:val="40"/>
          <w:sz w:val="30"/>
          <w:szCs w:val="30"/>
          <w:highlight w:val="none"/>
        </w:rPr>
        <w:t>项目名称：兴安县溶江镇永安村农贸市场扩建项目</w:t>
      </w:r>
    </w:p>
    <w:p>
      <w:pPr>
        <w:ind w:firstLine="762" w:firstLineChars="200"/>
        <w:jc w:val="left"/>
        <w:rPr>
          <w:rFonts w:hint="eastAsia" w:ascii="宋体" w:hAnsi="宋体" w:eastAsia="宋体" w:cs="宋体"/>
          <w:color w:val="auto"/>
          <w:highlight w:val="none"/>
        </w:rPr>
      </w:pPr>
      <w:r>
        <w:rPr>
          <w:rFonts w:hint="eastAsia" w:ascii="宋体" w:hAnsi="宋体" w:cs="宋体"/>
          <w:b/>
          <w:bCs/>
          <w:color w:val="auto"/>
          <w:spacing w:val="40"/>
          <w:sz w:val="30"/>
          <w:szCs w:val="30"/>
          <w:highlight w:val="none"/>
          <w:lang w:val="en-US" w:eastAsia="zh-CN"/>
        </w:rPr>
        <w:t>项目编号：</w:t>
      </w:r>
      <w:r>
        <w:rPr>
          <w:rFonts w:hint="eastAsia" w:ascii="宋体" w:hAnsi="宋体" w:cs="宋体"/>
          <w:b/>
          <w:bCs/>
          <w:color w:val="auto"/>
          <w:spacing w:val="40"/>
          <w:sz w:val="30"/>
          <w:szCs w:val="30"/>
          <w:highlight w:val="none"/>
          <w:lang w:val="en-US" w:eastAsia="zh-CN"/>
        </w:rPr>
        <w:t xml:space="preserve"> </w:t>
      </w:r>
      <w:r>
        <w:rPr>
          <w:rFonts w:hint="eastAsia" w:ascii="宋体" w:hAnsi="宋体" w:cs="宋体"/>
          <w:b/>
          <w:bCs/>
          <w:color w:val="auto"/>
          <w:spacing w:val="40"/>
          <w:sz w:val="30"/>
          <w:szCs w:val="30"/>
          <w:highlight w:val="none"/>
          <w:lang w:val="en-US" w:eastAsia="zh-CN"/>
        </w:rPr>
        <w:fldChar w:fldCharType="begin"/>
      </w:r>
      <w:r>
        <w:rPr>
          <w:rFonts w:hint="eastAsia" w:ascii="宋体" w:hAnsi="宋体" w:cs="宋体"/>
          <w:b/>
          <w:bCs/>
          <w:color w:val="auto"/>
          <w:spacing w:val="40"/>
          <w:sz w:val="30"/>
          <w:szCs w:val="30"/>
          <w:highlight w:val="none"/>
          <w:lang w:val="en-US" w:eastAsia="zh-CN"/>
        </w:rPr>
        <w:instrText xml:space="preserve"> HYPERLINK "https://www.gcy.zfcg.gxzf.gov.cn/project-center/_procurement_/project-result-detail/7177490878926684246" \t "https://www.gcy.zfcg.gxzf.gov.cn/project-center/_procurement_/self-project/_blank" </w:instrText>
      </w:r>
      <w:r>
        <w:rPr>
          <w:rFonts w:hint="eastAsia" w:ascii="宋体" w:hAnsi="宋体" w:cs="宋体"/>
          <w:b/>
          <w:bCs/>
          <w:color w:val="auto"/>
          <w:spacing w:val="40"/>
          <w:sz w:val="30"/>
          <w:szCs w:val="30"/>
          <w:highlight w:val="none"/>
          <w:lang w:val="en-US" w:eastAsia="zh-CN"/>
        </w:rPr>
        <w:fldChar w:fldCharType="separate"/>
      </w:r>
      <w:r>
        <w:rPr>
          <w:rFonts w:hint="eastAsia" w:ascii="宋体" w:hAnsi="宋体" w:cs="宋体"/>
          <w:b/>
          <w:bCs/>
          <w:color w:val="auto"/>
          <w:spacing w:val="40"/>
          <w:sz w:val="30"/>
          <w:szCs w:val="30"/>
          <w:highlight w:val="none"/>
          <w:lang w:val="en-US" w:eastAsia="zh-CN"/>
        </w:rPr>
        <w:t>GLZC2024-C2-250191-GXGZ</w:t>
      </w:r>
      <w:r>
        <w:rPr>
          <w:rFonts w:hint="eastAsia" w:ascii="宋体" w:hAnsi="宋体" w:cs="宋体"/>
          <w:b/>
          <w:bCs/>
          <w:color w:val="auto"/>
          <w:spacing w:val="40"/>
          <w:sz w:val="30"/>
          <w:szCs w:val="30"/>
          <w:highlight w:val="none"/>
          <w:lang w:val="en-US" w:eastAsia="zh-CN"/>
        </w:rPr>
        <w:fldChar w:fldCharType="end"/>
      </w:r>
      <w:r>
        <w:rPr>
          <w:rFonts w:hint="eastAsia" w:ascii="宋体" w:hAnsi="宋体" w:cs="宋体"/>
          <w:b/>
          <w:bCs/>
          <w:color w:val="auto"/>
          <w:spacing w:val="40"/>
          <w:sz w:val="30"/>
          <w:szCs w:val="30"/>
          <w:highlight w:val="none"/>
          <w:lang w:val="en-US" w:eastAsia="zh-CN"/>
        </w:rPr>
        <w:t xml:space="preserve">  </w:t>
      </w:r>
      <w:r>
        <w:rPr>
          <w:rFonts w:hint="eastAsia" w:ascii="宋体" w:hAnsi="宋体" w:eastAsia="宋体" w:cs="宋体"/>
          <w:b/>
          <w:bCs/>
          <w:color w:val="auto"/>
          <w:sz w:val="36"/>
          <w:highlight w:val="none"/>
        </w:rPr>
        <w:t xml:space="preserve">     </w:t>
      </w:r>
      <w:r>
        <w:rPr>
          <w:rFonts w:hint="eastAsia" w:ascii="宋体" w:hAnsi="宋体" w:eastAsia="宋体" w:cs="宋体"/>
          <w:color w:val="auto"/>
          <w:highlight w:val="none"/>
        </w:rPr>
        <w:cr/>
      </w:r>
    </w:p>
    <w:p>
      <w:pPr>
        <w:ind w:left="-2" w:leftChars="-1" w:firstLine="840" w:firstLineChars="400"/>
        <w:rPr>
          <w:rFonts w:hint="eastAsia" w:ascii="宋体" w:hAnsi="宋体" w:eastAsia="宋体" w:cs="宋体"/>
          <w:color w:val="auto"/>
          <w:highlight w:val="none"/>
        </w:rPr>
      </w:pPr>
    </w:p>
    <w:p>
      <w:pPr>
        <w:ind w:left="-2" w:leftChars="-1" w:firstLine="630" w:firstLineChars="300"/>
        <w:rPr>
          <w:rFonts w:hint="eastAsia" w:ascii="宋体" w:hAnsi="宋体" w:eastAsia="宋体" w:cs="宋体"/>
          <w:color w:val="auto"/>
          <w:highlight w:val="none"/>
        </w:rPr>
      </w:pPr>
      <w:r>
        <w:rPr>
          <w:rFonts w:hint="eastAsia" w:ascii="宋体" w:hAnsi="宋体" w:eastAsia="宋体" w:cs="宋体"/>
          <w:color w:val="auto"/>
          <w:highlight w:val="none"/>
        </w:rPr>
        <w:t>　</w:t>
      </w:r>
      <w:r>
        <w:rPr>
          <w:rFonts w:hint="eastAsia" w:ascii="宋体" w:hAnsi="宋体" w:eastAsia="宋体" w:cs="宋体"/>
          <w:color w:val="auto"/>
          <w:highlight w:val="none"/>
        </w:rPr>
        <w:tab/>
      </w:r>
    </w:p>
    <w:p>
      <w:pPr>
        <w:ind w:left="-2" w:leftChars="-1" w:firstLine="630" w:firstLineChars="300"/>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jc w:val="center"/>
        <w:rPr>
          <w:rFonts w:hint="eastAsia" w:ascii="宋体" w:hAnsi="宋体" w:eastAsia="宋体" w:cs="宋体"/>
          <w:b/>
          <w:bCs/>
          <w:color w:val="auto"/>
          <w:spacing w:val="80"/>
          <w:sz w:val="30"/>
          <w:szCs w:val="30"/>
          <w:highlight w:val="none"/>
          <w:lang w:val="en-US" w:eastAsia="zh-CN"/>
        </w:rPr>
      </w:pPr>
      <w:r>
        <w:rPr>
          <w:rFonts w:hint="eastAsia" w:ascii="宋体" w:hAnsi="宋体" w:eastAsia="宋体" w:cs="宋体"/>
          <w:b/>
          <w:bCs/>
          <w:color w:val="auto"/>
          <w:spacing w:val="80"/>
          <w:sz w:val="30"/>
          <w:szCs w:val="30"/>
          <w:highlight w:val="none"/>
          <w:lang w:eastAsia="zh-CN"/>
        </w:rPr>
        <w:t>采购人： 兴安县溶江镇人民政府</w:t>
      </w:r>
    </w:p>
    <w:p>
      <w:pPr>
        <w:jc w:val="center"/>
        <w:rPr>
          <w:rFonts w:hint="eastAsia" w:ascii="宋体" w:hAnsi="宋体" w:cs="宋体"/>
          <w:b/>
          <w:bCs/>
          <w:color w:val="auto"/>
          <w:kern w:val="0"/>
          <w:sz w:val="44"/>
          <w:szCs w:val="44"/>
          <w:highlight w:val="none"/>
          <w:lang w:val="zh-CN" w:bidi="zh-CN"/>
        </w:rPr>
        <w:sectPr>
          <w:headerReference r:id="rId3" w:type="default"/>
          <w:footerReference r:id="rId4" w:type="even"/>
          <w:pgSz w:w="11906" w:h="16838"/>
          <w:pgMar w:top="850" w:right="972" w:bottom="850" w:left="854" w:header="851" w:footer="992" w:gutter="0"/>
          <w:cols w:space="720" w:num="1"/>
          <w:titlePg/>
          <w:docGrid w:type="lines" w:linePitch="388" w:charSpace="0"/>
        </w:sectPr>
      </w:pPr>
      <w:r>
        <w:rPr>
          <w:rFonts w:hint="eastAsia" w:ascii="宋体" w:hAnsi="宋体" w:eastAsia="宋体" w:cs="宋体"/>
          <w:b/>
          <w:bCs/>
          <w:color w:val="auto"/>
          <w:spacing w:val="80"/>
          <w:sz w:val="30"/>
          <w:szCs w:val="30"/>
          <w:highlight w:val="none"/>
          <w:lang w:eastAsia="zh-CN"/>
        </w:rPr>
        <w:t>采购代理机构：</w:t>
      </w:r>
      <w:r>
        <w:rPr>
          <w:rFonts w:hint="eastAsia" w:ascii="宋体" w:hAnsi="宋体" w:eastAsia="宋体" w:cs="宋体"/>
          <w:b/>
          <w:bCs/>
          <w:color w:val="auto"/>
          <w:spacing w:val="80"/>
          <w:sz w:val="30"/>
          <w:szCs w:val="30"/>
          <w:highlight w:val="none"/>
          <w:lang w:val="en-US" w:eastAsia="zh-CN"/>
        </w:rPr>
        <w:t xml:space="preserve"> 广西高质建设管理咨询有限公司</w:t>
      </w:r>
      <w:r>
        <w:rPr>
          <w:rFonts w:hint="eastAsia" w:ascii="宋体" w:hAnsi="宋体" w:eastAsia="宋体" w:cs="宋体"/>
          <w:b/>
          <w:bCs/>
          <w:color w:val="auto"/>
          <w:spacing w:val="-8"/>
          <w:sz w:val="30"/>
          <w:szCs w:val="30"/>
          <w:highlight w:val="none"/>
        </w:rPr>
        <w:t xml:space="preserve"> </w:t>
      </w:r>
      <w:r>
        <w:rPr>
          <w:rFonts w:hint="eastAsia" w:ascii="宋体" w:hAnsi="宋体" w:eastAsia="宋体" w:cs="宋体"/>
          <w:b/>
          <w:bCs/>
          <w:color w:val="auto"/>
          <w:sz w:val="30"/>
          <w:szCs w:val="30"/>
          <w:highlight w:val="none"/>
        </w:rPr>
        <w:t>20</w:t>
      </w:r>
      <w:r>
        <w:rPr>
          <w:rFonts w:hint="eastAsia" w:ascii="宋体" w:hAnsi="宋体" w:eastAsia="宋体" w:cs="宋体"/>
          <w:b/>
          <w:bCs/>
          <w:color w:val="auto"/>
          <w:sz w:val="30"/>
          <w:szCs w:val="30"/>
          <w:highlight w:val="none"/>
          <w:lang w:val="en-US" w:eastAsia="zh-CN"/>
        </w:rPr>
        <w:t>24</w:t>
      </w:r>
      <w:r>
        <w:rPr>
          <w:rFonts w:hint="eastAsia" w:ascii="宋体" w:hAnsi="宋体" w:eastAsia="宋体" w:cs="宋体"/>
          <w:b/>
          <w:bCs/>
          <w:color w:val="auto"/>
          <w:sz w:val="30"/>
          <w:szCs w:val="30"/>
          <w:highlight w:val="none"/>
        </w:rPr>
        <w:t>年</w:t>
      </w:r>
      <w:r>
        <w:rPr>
          <w:rFonts w:hint="eastAsia" w:ascii="宋体" w:hAnsi="宋体" w:cs="宋体"/>
          <w:b/>
          <w:bCs/>
          <w:color w:val="auto"/>
          <w:sz w:val="30"/>
          <w:szCs w:val="30"/>
          <w:highlight w:val="none"/>
          <w:lang w:val="en-US" w:eastAsia="zh-CN"/>
        </w:rPr>
        <w:t>4</w:t>
      </w:r>
      <w:r>
        <w:rPr>
          <w:rFonts w:hint="eastAsia" w:ascii="宋体" w:hAnsi="宋体" w:eastAsia="宋体" w:cs="宋体"/>
          <w:b/>
          <w:bCs/>
          <w:color w:val="auto"/>
          <w:sz w:val="30"/>
          <w:szCs w:val="30"/>
          <w:highlight w:val="none"/>
        </w:rPr>
        <w:t>月</w:t>
      </w:r>
      <w:r>
        <w:rPr>
          <w:rFonts w:hint="eastAsia" w:ascii="宋体" w:hAnsi="宋体" w:cs="宋体"/>
          <w:b/>
          <w:bCs/>
          <w:color w:val="auto"/>
          <w:sz w:val="30"/>
          <w:szCs w:val="30"/>
          <w:highlight w:val="none"/>
          <w:lang w:val="en-US" w:eastAsia="zh-CN"/>
        </w:rPr>
        <w:t>30</w:t>
      </w:r>
      <w:r>
        <w:rPr>
          <w:rFonts w:hint="eastAsia" w:ascii="宋体" w:hAnsi="宋体" w:eastAsia="宋体" w:cs="宋体"/>
          <w:b/>
          <w:bCs/>
          <w:color w:val="auto"/>
          <w:sz w:val="30"/>
          <w:szCs w:val="30"/>
          <w:highlight w:val="none"/>
          <w:lang w:val="en-US" w:eastAsia="zh-CN"/>
        </w:rPr>
        <w:t>日</w:t>
      </w:r>
    </w:p>
    <w:p>
      <w:pPr>
        <w:pStyle w:val="14"/>
        <w:keepNext w:val="0"/>
        <w:keepLines w:val="0"/>
        <w:pageBreakBefore w:val="0"/>
        <w:widowControl w:val="0"/>
        <w:tabs>
          <w:tab w:val="right" w:leader="dot" w:pos="9660"/>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color w:val="auto"/>
          <w:spacing w:val="-6"/>
          <w:kern w:val="0"/>
          <w:sz w:val="36"/>
          <w:szCs w:val="36"/>
          <w:highlight w:val="none"/>
          <w:lang w:eastAsia="zh-CN"/>
        </w:rPr>
      </w:pPr>
      <w:r>
        <w:rPr>
          <w:rFonts w:hint="eastAsia" w:ascii="宋体" w:hAnsi="宋体" w:eastAsia="宋体" w:cs="宋体"/>
          <w:b/>
          <w:color w:val="auto"/>
          <w:spacing w:val="-6"/>
          <w:kern w:val="0"/>
          <w:sz w:val="36"/>
          <w:szCs w:val="36"/>
          <w:highlight w:val="none"/>
          <w:lang w:eastAsia="zh-CN"/>
        </w:rPr>
        <w:t>目</w:t>
      </w:r>
      <w:r>
        <w:rPr>
          <w:rFonts w:hint="eastAsia" w:ascii="宋体" w:hAnsi="宋体" w:eastAsia="宋体" w:cs="宋体"/>
          <w:b/>
          <w:color w:val="auto"/>
          <w:spacing w:val="-6"/>
          <w:kern w:val="0"/>
          <w:sz w:val="36"/>
          <w:szCs w:val="36"/>
          <w:highlight w:val="none"/>
          <w:lang w:val="en-US" w:eastAsia="zh-CN"/>
        </w:rPr>
        <w:t xml:space="preserve">  </w:t>
      </w:r>
      <w:r>
        <w:rPr>
          <w:rFonts w:hint="eastAsia" w:ascii="宋体" w:hAnsi="宋体" w:eastAsia="宋体" w:cs="宋体"/>
          <w:b/>
          <w:color w:val="auto"/>
          <w:spacing w:val="-6"/>
          <w:kern w:val="0"/>
          <w:sz w:val="36"/>
          <w:szCs w:val="36"/>
          <w:highlight w:val="none"/>
          <w:lang w:eastAsia="zh-CN"/>
        </w:rPr>
        <w:t>录</w:t>
      </w:r>
    </w:p>
    <w:p>
      <w:pPr>
        <w:rPr>
          <w:rFonts w:hint="eastAsia" w:ascii="宋体" w:hAnsi="宋体" w:eastAsia="宋体" w:cs="宋体"/>
          <w:color w:val="auto"/>
          <w:sz w:val="24"/>
          <w:szCs w:val="24"/>
          <w:highlight w:val="none"/>
          <w:lang w:eastAsia="zh-CN"/>
        </w:rPr>
      </w:pP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b/>
          <w:color w:val="auto"/>
          <w:spacing w:val="-6"/>
          <w:kern w:val="0"/>
          <w:sz w:val="24"/>
          <w:szCs w:val="24"/>
          <w:highlight w:val="none"/>
        </w:rPr>
        <w:fldChar w:fldCharType="begin"/>
      </w:r>
      <w:r>
        <w:rPr>
          <w:rFonts w:hint="eastAsia" w:ascii="宋体" w:hAnsi="宋体" w:eastAsia="宋体" w:cs="宋体"/>
          <w:b/>
          <w:color w:val="auto"/>
          <w:spacing w:val="-6"/>
          <w:kern w:val="0"/>
          <w:sz w:val="24"/>
          <w:szCs w:val="24"/>
          <w:highlight w:val="none"/>
        </w:rPr>
        <w:instrText xml:space="preserve">TOC \o "1-2" \h \u </w:instrText>
      </w:r>
      <w:r>
        <w:rPr>
          <w:rFonts w:hint="eastAsia" w:ascii="宋体" w:hAnsi="宋体" w:eastAsia="宋体" w:cs="宋体"/>
          <w:b/>
          <w:color w:val="auto"/>
          <w:spacing w:val="-6"/>
          <w:kern w:val="0"/>
          <w:sz w:val="24"/>
          <w:szCs w:val="24"/>
          <w:highlight w:val="none"/>
        </w:rPr>
        <w:fldChar w:fldCharType="separate"/>
      </w: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_Toc15867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第一章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竞争性磋商公告</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_Toc15867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_Toc16146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第二章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供应商须知</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_Toc16146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_Toc19520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一、总则</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_Toc19520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9</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_Toc5168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二、磋商文件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_Toc5168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_Toc26857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三、竞争性磋商响应文件的编制</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_Toc26857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11</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_Toc2647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四、竞争性磋商（简称磋商）与评审</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_Toc2647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15</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_Toc6064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五、签订合同</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_Toc6064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_Toc26986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val="0"/>
          <w:color w:val="auto"/>
          <w:sz w:val="24"/>
          <w:szCs w:val="24"/>
          <w:highlight w:val="none"/>
        </w:rPr>
        <w:t>六、其他事项</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_Toc26986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_Toc23263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 xml:space="preserve">第三章 </w:t>
      </w:r>
      <w:r>
        <w:rPr>
          <w:rFonts w:hint="eastAsia" w:ascii="宋体" w:hAnsi="宋体" w:eastAsia="宋体" w:cs="宋体"/>
          <w:color w:val="auto"/>
          <w:sz w:val="24"/>
          <w:szCs w:val="24"/>
          <w:highlight w:val="none"/>
          <w:lang w:eastAsia="zh-CN"/>
        </w:rPr>
        <w:t>工程量清单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_Toc23263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_Toc5828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第四章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评审办法</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_Toc5828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28</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_Toc5821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lang w:eastAsia="zh-CN"/>
        </w:rPr>
        <w:t>第五章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采购合同（合同主要条款及格式）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_Toc5821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32</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5"/>
        <w:tabs>
          <w:tab w:val="right" w:leader="dot" w:pos="9660"/>
        </w:tabs>
        <w:spacing w:line="360" w:lineRule="auto"/>
        <w:ind w:left="0" w:leftChars="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_Toc6509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bCs/>
          <w:color w:val="auto"/>
          <w:kern w:val="44"/>
          <w:sz w:val="24"/>
          <w:szCs w:val="24"/>
          <w:highlight w:val="none"/>
        </w:rPr>
        <w:t xml:space="preserve">第六章 </w:t>
      </w:r>
      <w:r>
        <w:rPr>
          <w:rFonts w:hint="eastAsia" w:ascii="宋体" w:hAnsi="宋体" w:eastAsia="宋体" w:cs="宋体"/>
          <w:bCs/>
          <w:color w:val="auto"/>
          <w:sz w:val="24"/>
          <w:szCs w:val="24"/>
          <w:highlight w:val="none"/>
        </w:rPr>
        <w:t>响应文件（格式）</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_Toc6509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77</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pStyle w:val="14"/>
        <w:tabs>
          <w:tab w:val="right" w:leader="dot" w:pos="9660"/>
        </w:tabs>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pacing w:val="-6"/>
          <w:kern w:val="0"/>
          <w:sz w:val="24"/>
          <w:szCs w:val="24"/>
          <w:highlight w:val="none"/>
        </w:rPr>
        <w:fldChar w:fldCharType="begin"/>
      </w:r>
      <w:r>
        <w:rPr>
          <w:rFonts w:hint="eastAsia" w:ascii="宋体" w:hAnsi="宋体" w:eastAsia="宋体" w:cs="宋体"/>
          <w:color w:val="auto"/>
          <w:spacing w:val="-6"/>
          <w:kern w:val="0"/>
          <w:sz w:val="24"/>
          <w:szCs w:val="24"/>
          <w:highlight w:val="none"/>
        </w:rPr>
        <w:instrText xml:space="preserve"> HYPERLINK \l _Toc15967 </w:instrText>
      </w:r>
      <w:r>
        <w:rPr>
          <w:rFonts w:hint="eastAsia" w:ascii="宋体" w:hAnsi="宋体" w:eastAsia="宋体" w:cs="宋体"/>
          <w:color w:val="auto"/>
          <w:spacing w:val="-6"/>
          <w:kern w:val="0"/>
          <w:sz w:val="24"/>
          <w:szCs w:val="24"/>
          <w:highlight w:val="none"/>
        </w:rPr>
        <w:fldChar w:fldCharType="separate"/>
      </w:r>
      <w:r>
        <w:rPr>
          <w:rFonts w:hint="eastAsia" w:ascii="宋体" w:hAnsi="宋体" w:eastAsia="宋体" w:cs="宋体"/>
          <w:color w:val="auto"/>
          <w:sz w:val="24"/>
          <w:szCs w:val="24"/>
          <w:highlight w:val="none"/>
        </w:rPr>
        <w:t>第七章</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图纸</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PAGEREF _Toc15967 \h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100</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6"/>
          <w:kern w:val="0"/>
          <w:sz w:val="24"/>
          <w:szCs w:val="24"/>
          <w:highlight w:val="none"/>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宋体" w:hAnsi="宋体" w:eastAsia="宋体" w:cs="宋体"/>
          <w:color w:val="auto"/>
          <w:spacing w:val="-6"/>
          <w:kern w:val="0"/>
          <w:sz w:val="21"/>
          <w:szCs w:val="21"/>
          <w:highlight w:val="none"/>
        </w:rPr>
      </w:pPr>
      <w:r>
        <w:rPr>
          <w:rFonts w:hint="eastAsia" w:ascii="宋体" w:hAnsi="宋体" w:eastAsia="宋体" w:cs="宋体"/>
          <w:color w:val="auto"/>
          <w:spacing w:val="-6"/>
          <w:kern w:val="0"/>
          <w:sz w:val="24"/>
          <w:szCs w:val="24"/>
          <w:highlight w:val="none"/>
        </w:rPr>
        <w:fldChar w:fldCharType="end"/>
      </w:r>
    </w:p>
    <w:p>
      <w:pPr>
        <w:pStyle w:val="2"/>
        <w:rPr>
          <w:rFonts w:hint="eastAsia" w:ascii="宋体" w:hAnsi="宋体" w:eastAsia="宋体" w:cs="宋体"/>
          <w:color w:val="auto"/>
          <w:spacing w:val="-6"/>
          <w:kern w:val="0"/>
          <w:sz w:val="21"/>
          <w:szCs w:val="21"/>
          <w:highlight w:val="none"/>
        </w:rPr>
      </w:pPr>
    </w:p>
    <w:p>
      <w:pPr>
        <w:rPr>
          <w:rFonts w:hint="eastAsia" w:ascii="宋体" w:hAnsi="宋体" w:eastAsia="宋体" w:cs="宋体"/>
          <w:color w:val="auto"/>
          <w:spacing w:val="-6"/>
          <w:kern w:val="0"/>
          <w:sz w:val="21"/>
          <w:szCs w:val="21"/>
          <w:highlight w:val="none"/>
        </w:rPr>
      </w:pPr>
    </w:p>
    <w:p>
      <w:pPr>
        <w:rPr>
          <w:rFonts w:hint="eastAsia" w:ascii="宋体" w:hAnsi="宋体" w:eastAsia="宋体" w:cs="宋体"/>
          <w:color w:val="auto"/>
          <w:spacing w:val="-6"/>
          <w:kern w:val="0"/>
          <w:sz w:val="21"/>
          <w:szCs w:val="21"/>
          <w:highlight w:val="none"/>
        </w:rPr>
      </w:pPr>
    </w:p>
    <w:p>
      <w:pPr>
        <w:rPr>
          <w:rFonts w:hint="eastAsia" w:ascii="宋体" w:hAnsi="宋体" w:eastAsia="宋体" w:cs="宋体"/>
          <w:color w:val="auto"/>
          <w:sz w:val="21"/>
          <w:szCs w:val="21"/>
          <w:highlight w:val="none"/>
        </w:rPr>
      </w:pPr>
    </w:p>
    <w:p>
      <w:pPr>
        <w:pStyle w:val="3"/>
        <w:numPr>
          <w:ilvl w:val="0"/>
          <w:numId w:val="1"/>
        </w:numPr>
        <w:tabs>
          <w:tab w:val="left" w:pos="0"/>
        </w:tabs>
        <w:autoSpaceDE w:val="0"/>
        <w:autoSpaceDN w:val="0"/>
        <w:adjustRightInd w:val="0"/>
        <w:spacing w:before="0" w:after="0" w:line="360" w:lineRule="auto"/>
        <w:ind w:firstLine="425"/>
        <w:jc w:val="center"/>
        <w:rPr>
          <w:rFonts w:hint="eastAsia" w:ascii="宋体" w:hAnsi="宋体" w:eastAsia="宋体" w:cs="宋体"/>
          <w:color w:val="auto"/>
          <w:sz w:val="21"/>
          <w:szCs w:val="21"/>
          <w:highlight w:val="none"/>
        </w:rPr>
        <w:sectPr>
          <w:footerReference r:id="rId6" w:type="first"/>
          <w:footerReference r:id="rId5" w:type="default"/>
          <w:pgSz w:w="11906" w:h="16838"/>
          <w:pgMar w:top="1418" w:right="1115" w:bottom="1418" w:left="1131" w:header="851" w:footer="992" w:gutter="0"/>
          <w:pgNumType w:fmt="decimal" w:start="1"/>
          <w:cols w:space="720" w:num="1"/>
          <w:titlePg/>
          <w:docGrid w:type="lines" w:linePitch="312" w:charSpace="0"/>
        </w:sectPr>
      </w:pPr>
      <w:bookmarkStart w:id="0" w:name="_Toc28359011"/>
      <w:bookmarkStart w:id="1" w:name="_Toc26809"/>
      <w:bookmarkStart w:id="2" w:name="_Toc21930"/>
      <w:bookmarkStart w:id="3" w:name="_Toc35393797"/>
      <w:bookmarkStart w:id="4" w:name="_Toc30170"/>
    </w:p>
    <w:p>
      <w:pPr>
        <w:pStyle w:val="3"/>
        <w:numPr>
          <w:ilvl w:val="0"/>
          <w:numId w:val="0"/>
        </w:numPr>
        <w:tabs>
          <w:tab w:val="left" w:pos="0"/>
        </w:tabs>
        <w:autoSpaceDE w:val="0"/>
        <w:autoSpaceDN w:val="0"/>
        <w:adjustRightInd w:val="0"/>
        <w:spacing w:before="0" w:after="0" w:line="360" w:lineRule="auto"/>
        <w:ind w:left="425" w:leftChars="0"/>
        <w:jc w:val="center"/>
        <w:rPr>
          <w:rFonts w:hint="eastAsia" w:ascii="宋体" w:hAnsi="宋体" w:eastAsia="宋体" w:cs="宋体"/>
          <w:color w:val="auto"/>
          <w:sz w:val="32"/>
          <w:szCs w:val="32"/>
          <w:highlight w:val="none"/>
        </w:rPr>
      </w:pPr>
      <w:bookmarkStart w:id="5" w:name="_Toc15867"/>
      <w:r>
        <w:rPr>
          <w:rFonts w:hint="eastAsia" w:ascii="宋体" w:hAnsi="宋体" w:eastAsia="宋体" w:cs="宋体"/>
          <w:color w:val="auto"/>
          <w:sz w:val="32"/>
          <w:szCs w:val="32"/>
          <w:highlight w:val="none"/>
          <w:lang w:eastAsia="zh-CN"/>
        </w:rPr>
        <w:t>第一章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竞争性磋商公告</w:t>
      </w:r>
      <w:bookmarkEnd w:id="0"/>
      <w:bookmarkEnd w:id="1"/>
      <w:bookmarkEnd w:id="2"/>
      <w:bookmarkEnd w:id="3"/>
      <w:bookmarkEnd w:id="4"/>
      <w:bookmarkEnd w:id="5"/>
    </w:p>
    <w:tbl>
      <w:tblPr>
        <w:tblStyle w:val="20"/>
        <w:tblpPr w:leftFromText="180" w:rightFromText="180" w:vertAnchor="text" w:tblpX="38" w:tblpY="134"/>
        <w:tblOverlap w:val="never"/>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9320" w:type="dxa"/>
            <w:vAlign w:val="top"/>
          </w:tcPr>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u w:val="single"/>
                <w:lang w:eastAsia="zh-CN"/>
              </w:rPr>
              <w:t>兴安县溶江镇永安村农贸市场扩建项目</w:t>
            </w:r>
            <w:r>
              <w:rPr>
                <w:rFonts w:hint="eastAsia" w:ascii="宋体" w:hAnsi="宋体" w:eastAsia="宋体" w:cs="宋体"/>
                <w:b w:val="0"/>
                <w:bCs w:val="0"/>
                <w:color w:val="auto"/>
                <w:kern w:val="2"/>
                <w:sz w:val="21"/>
                <w:szCs w:val="21"/>
                <w:highlight w:val="none"/>
                <w:lang w:val="en-US" w:eastAsia="zh-CN" w:bidi="ar-SA"/>
              </w:rPr>
              <w:t>的潜在供应商应在</w:t>
            </w:r>
            <w:r>
              <w:rPr>
                <w:rFonts w:hint="eastAsia" w:ascii="宋体" w:hAnsi="宋体" w:eastAsia="宋体" w:cs="宋体"/>
                <w:b w:val="0"/>
                <w:bCs w:val="0"/>
                <w:color w:val="auto"/>
                <w:kern w:val="2"/>
                <w:sz w:val="21"/>
                <w:szCs w:val="21"/>
                <w:highlight w:val="none"/>
                <w:u w:val="single"/>
                <w:lang w:val="en-US" w:eastAsia="zh-CN" w:bidi="ar-SA"/>
              </w:rPr>
              <w:t xml:space="preserve">广西政府采购云平台（ </w:t>
            </w:r>
            <w:r>
              <w:rPr>
                <w:rFonts w:hint="eastAsia" w:ascii="宋体" w:hAnsi="宋体" w:eastAsia="宋体" w:cs="宋体"/>
                <w:b w:val="0"/>
                <w:bCs w:val="0"/>
                <w:color w:val="auto"/>
                <w:kern w:val="2"/>
                <w:sz w:val="21"/>
                <w:szCs w:val="21"/>
                <w:highlight w:val="none"/>
                <w:u w:val="single"/>
                <w:lang w:val="en-US" w:eastAsia="zh-CN" w:bidi="ar-SA"/>
              </w:rPr>
              <w:fldChar w:fldCharType="begin"/>
            </w:r>
            <w:r>
              <w:rPr>
                <w:rFonts w:hint="eastAsia" w:ascii="宋体" w:hAnsi="宋体" w:eastAsia="宋体" w:cs="宋体"/>
                <w:b w:val="0"/>
                <w:bCs w:val="0"/>
                <w:color w:val="auto"/>
                <w:kern w:val="2"/>
                <w:sz w:val="21"/>
                <w:szCs w:val="21"/>
                <w:highlight w:val="none"/>
                <w:u w:val="single"/>
                <w:lang w:val="en-US" w:eastAsia="zh-CN" w:bidi="ar-SA"/>
              </w:rPr>
              <w:instrText xml:space="preserve"> HYPERLINK "https://www.gcy.zfcg.gxzf.gov.cn/）获取采购文件，并于2024年5月" </w:instrText>
            </w:r>
            <w:r>
              <w:rPr>
                <w:rFonts w:hint="eastAsia" w:ascii="宋体" w:hAnsi="宋体" w:eastAsia="宋体" w:cs="宋体"/>
                <w:b w:val="0"/>
                <w:bCs w:val="0"/>
                <w:color w:val="auto"/>
                <w:kern w:val="2"/>
                <w:sz w:val="21"/>
                <w:szCs w:val="21"/>
                <w:highlight w:val="none"/>
                <w:u w:val="single"/>
                <w:lang w:val="en-US" w:eastAsia="zh-CN" w:bidi="ar-SA"/>
              </w:rPr>
              <w:fldChar w:fldCharType="separate"/>
            </w:r>
            <w:r>
              <w:rPr>
                <w:rStyle w:val="23"/>
                <w:rFonts w:hint="eastAsia" w:ascii="宋体" w:hAnsi="宋体" w:eastAsia="宋体" w:cs="宋体"/>
                <w:b w:val="0"/>
                <w:bCs w:val="0"/>
                <w:color w:val="auto"/>
                <w:kern w:val="2"/>
                <w:sz w:val="21"/>
                <w:szCs w:val="21"/>
                <w:highlight w:val="none"/>
                <w:lang w:val="en-US" w:eastAsia="zh-CN" w:bidi="ar-SA"/>
              </w:rPr>
              <w:t>https://www.gcy.zfcg.gxzf.gov.cn/）获取采购文件，</w:t>
            </w:r>
            <w:r>
              <w:rPr>
                <w:rStyle w:val="23"/>
                <w:rFonts w:hint="eastAsia" w:ascii="宋体" w:hAnsi="宋体" w:eastAsia="宋体" w:cs="宋体"/>
                <w:b w:val="0"/>
                <w:bCs w:val="0"/>
                <w:color w:val="auto"/>
                <w:kern w:val="2"/>
                <w:sz w:val="21"/>
                <w:szCs w:val="21"/>
                <w:highlight w:val="none"/>
                <w:lang w:val="en-US" w:eastAsia="zh-CN" w:bidi="ar-SA"/>
              </w:rPr>
              <w:t>并于2024年</w:t>
            </w:r>
            <w:r>
              <w:rPr>
                <w:rStyle w:val="23"/>
                <w:rFonts w:hint="eastAsia" w:ascii="宋体" w:hAnsi="宋体" w:cs="宋体"/>
                <w:b w:val="0"/>
                <w:bCs w:val="0"/>
                <w:color w:val="auto"/>
                <w:kern w:val="2"/>
                <w:sz w:val="21"/>
                <w:szCs w:val="21"/>
                <w:highlight w:val="none"/>
                <w:lang w:val="en-US" w:eastAsia="zh-CN" w:bidi="ar-SA"/>
              </w:rPr>
              <w:t>5</w:t>
            </w:r>
            <w:r>
              <w:rPr>
                <w:rStyle w:val="23"/>
                <w:rFonts w:hint="eastAsia" w:ascii="宋体" w:hAnsi="宋体" w:eastAsia="宋体" w:cs="宋体"/>
                <w:b w:val="0"/>
                <w:bCs w:val="0"/>
                <w:color w:val="auto"/>
                <w:kern w:val="2"/>
                <w:sz w:val="21"/>
                <w:szCs w:val="21"/>
                <w:highlight w:val="none"/>
                <w:lang w:val="en-US" w:eastAsia="zh-CN" w:bidi="ar-SA"/>
              </w:rPr>
              <w:t>月</w:t>
            </w:r>
            <w:r>
              <w:rPr>
                <w:rFonts w:hint="eastAsia" w:ascii="宋体" w:hAnsi="宋体" w:eastAsia="宋体" w:cs="宋体"/>
                <w:b w:val="0"/>
                <w:bCs w:val="0"/>
                <w:color w:val="auto"/>
                <w:kern w:val="2"/>
                <w:sz w:val="21"/>
                <w:szCs w:val="21"/>
                <w:highlight w:val="none"/>
                <w:u w:val="single"/>
                <w:lang w:val="en-US" w:eastAsia="zh-CN" w:bidi="ar-SA"/>
              </w:rPr>
              <w:fldChar w:fldCharType="end"/>
            </w:r>
            <w:r>
              <w:rPr>
                <w:rFonts w:hint="eastAsia" w:ascii="宋体" w:hAnsi="宋体" w:cs="宋体"/>
                <w:b w:val="0"/>
                <w:bCs w:val="0"/>
                <w:color w:val="auto"/>
                <w:kern w:val="2"/>
                <w:sz w:val="21"/>
                <w:szCs w:val="21"/>
                <w:highlight w:val="none"/>
                <w:u w:val="single"/>
                <w:lang w:val="en-US" w:eastAsia="zh-CN" w:bidi="ar-SA"/>
              </w:rPr>
              <w:t>1</w:t>
            </w:r>
            <w:r>
              <w:rPr>
                <w:rStyle w:val="23"/>
                <w:rFonts w:hint="eastAsia" w:ascii="宋体" w:hAnsi="宋体" w:eastAsia="宋体" w:cs="宋体"/>
                <w:b w:val="0"/>
                <w:bCs w:val="0"/>
                <w:color w:val="auto"/>
                <w:kern w:val="2"/>
                <w:sz w:val="21"/>
                <w:szCs w:val="21"/>
                <w:highlight w:val="none"/>
                <w:lang w:val="en-US" w:eastAsia="zh-CN" w:bidi="ar-SA"/>
              </w:rPr>
              <w:t>1日9：3</w:t>
            </w:r>
            <w:r>
              <w:rPr>
                <w:rFonts w:hint="eastAsia" w:ascii="宋体" w:hAnsi="宋体" w:eastAsia="宋体" w:cs="宋体"/>
                <w:b w:val="0"/>
                <w:bCs w:val="0"/>
                <w:color w:val="auto"/>
                <w:kern w:val="2"/>
                <w:sz w:val="21"/>
                <w:szCs w:val="21"/>
                <w:highlight w:val="none"/>
                <w:u w:val="single"/>
                <w:lang w:val="en-US" w:eastAsia="zh-CN" w:bidi="ar-SA"/>
              </w:rPr>
              <w:t>0</w:t>
            </w:r>
            <w:r>
              <w:rPr>
                <w:rFonts w:hint="eastAsia" w:ascii="宋体" w:hAnsi="宋体" w:eastAsia="宋体" w:cs="宋体"/>
                <w:b w:val="0"/>
                <w:bCs w:val="0"/>
                <w:color w:val="auto"/>
                <w:kern w:val="2"/>
                <w:sz w:val="21"/>
                <w:szCs w:val="21"/>
                <w:highlight w:val="none"/>
                <w:u w:val="single"/>
                <w:lang w:val="en-US" w:eastAsia="zh-CN" w:bidi="ar-SA"/>
              </w:rPr>
              <w:t>（北京时间）</w:t>
            </w:r>
            <w:r>
              <w:rPr>
                <w:rFonts w:hint="eastAsia" w:ascii="宋体" w:hAnsi="宋体" w:eastAsia="宋体" w:cs="宋体"/>
                <w:b w:val="0"/>
                <w:bCs w:val="0"/>
                <w:color w:val="auto"/>
                <w:kern w:val="2"/>
                <w:sz w:val="21"/>
                <w:szCs w:val="21"/>
                <w:highlight w:val="none"/>
                <w:lang w:val="en-US" w:eastAsia="zh-CN" w:bidi="ar-SA"/>
              </w:rPr>
              <w:t>前提交响应文件。</w:t>
            </w:r>
          </w:p>
        </w:tc>
      </w:tr>
    </w:tbl>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highlight w:val="none"/>
        </w:rPr>
      </w:pPr>
      <w:bookmarkStart w:id="6" w:name="_Toc35393798"/>
      <w:bookmarkStart w:id="7" w:name="_Toc35393629"/>
      <w:bookmarkStart w:id="8" w:name="_Toc28359089"/>
      <w:bookmarkStart w:id="9" w:name="_Toc28359012"/>
      <w:r>
        <w:rPr>
          <w:rFonts w:hint="eastAsia" w:ascii="宋体" w:hAnsi="宋体" w:eastAsia="宋体" w:cs="宋体"/>
          <w:b/>
          <w:bCs/>
          <w:color w:val="auto"/>
          <w:sz w:val="21"/>
          <w:szCs w:val="21"/>
          <w:highlight w:val="none"/>
        </w:rPr>
        <w:t>一、项目基本情况</w:t>
      </w:r>
      <w:bookmarkEnd w:id="6"/>
      <w:bookmarkEnd w:id="7"/>
      <w:bookmarkEnd w:id="8"/>
      <w:bookmarkEnd w:id="9"/>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"https://www.gcy.zfcg.gxzf.gov.cn/project-center/_procurement_/project-result-detail/7177490878926684246" \t "https://www.gcy.zfcg.gxzf.gov.cn/project-center/_procurement_/self-project/_blank"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GLZC2024-C2-250191-GXGZ</w:t>
      </w:r>
      <w:r>
        <w:rPr>
          <w:rFonts w:hint="eastAsia" w:ascii="宋体" w:hAnsi="宋体" w:eastAsia="宋体" w:cs="宋体"/>
          <w:color w:val="auto"/>
          <w:sz w:val="21"/>
          <w:szCs w:val="21"/>
          <w:highlight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兴安县溶江镇永安村农贸市场扩建项目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采购方式：竞争性磋商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预算金额（元）：</w:t>
      </w:r>
      <w:r>
        <w:rPr>
          <w:rFonts w:hint="eastAsia" w:ascii="宋体" w:hAnsi="宋体" w:cs="宋体"/>
          <w:b w:val="0"/>
          <w:bCs w:val="0"/>
          <w:color w:val="auto"/>
          <w:kern w:val="2"/>
          <w:sz w:val="21"/>
          <w:szCs w:val="21"/>
          <w:highlight w:val="none"/>
          <w:lang w:val="en-US" w:eastAsia="zh-CN" w:bidi="ar-SA"/>
        </w:rPr>
        <w:t>635858.42元。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b w:val="0"/>
          <w:bCs w:val="0"/>
          <w:color w:val="auto"/>
          <w:sz w:val="21"/>
          <w:szCs w:val="21"/>
          <w:highlight w:val="none"/>
          <w:lang w:val="en-US" w:eastAsia="zh-CN"/>
        </w:rPr>
        <w:t>标项名称：</w:t>
      </w:r>
      <w:r>
        <w:rPr>
          <w:rFonts w:hint="eastAsia" w:ascii="宋体" w:hAnsi="宋体" w:eastAsia="宋体" w:cs="宋体"/>
          <w:color w:val="auto"/>
          <w:sz w:val="21"/>
          <w:szCs w:val="21"/>
          <w:highlight w:val="none"/>
          <w:lang w:eastAsia="zh-CN"/>
        </w:rPr>
        <w:t>兴安县溶江镇永安村农贸市场扩建项目</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数量：1</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简要规格描述或项目基本概况介绍、用途：</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本项目属于扩建工程，建设地点为兴安县溶江镇永安村，</w:t>
      </w:r>
      <w:r>
        <w:rPr>
          <w:rFonts w:hint="eastAsia" w:ascii="宋体" w:hAnsi="宋体" w:cs="宋体"/>
          <w:b w:val="0"/>
          <w:bCs w:val="0"/>
          <w:color w:val="auto"/>
          <w:sz w:val="21"/>
          <w:szCs w:val="21"/>
          <w:highlight w:val="none"/>
          <w:lang w:val="en-US" w:eastAsia="zh-CN"/>
        </w:rPr>
        <w:t>建设规模及</w:t>
      </w:r>
      <w:r>
        <w:rPr>
          <w:rFonts w:hint="eastAsia" w:ascii="宋体" w:hAnsi="宋体" w:eastAsia="宋体" w:cs="宋体"/>
          <w:b w:val="0"/>
          <w:bCs w:val="0"/>
          <w:color w:val="auto"/>
          <w:sz w:val="21"/>
          <w:szCs w:val="21"/>
          <w:highlight w:val="none"/>
          <w:lang w:val="en-US" w:eastAsia="zh-CN"/>
        </w:rPr>
        <w:t>内容为搭建烤房钢结构建筑面积约651平方米，</w:t>
      </w:r>
      <w:r>
        <w:rPr>
          <w:rFonts w:hint="eastAsia" w:ascii="宋体" w:hAnsi="宋体" w:cs="宋体"/>
          <w:color w:val="auto"/>
          <w:sz w:val="21"/>
          <w:szCs w:val="21"/>
          <w:highlight w:val="none"/>
          <w:lang w:eastAsia="zh-CN"/>
        </w:rPr>
        <w:t>内装</w:t>
      </w:r>
      <w:r>
        <w:rPr>
          <w:rFonts w:hint="eastAsia" w:ascii="宋体" w:hAnsi="宋体" w:eastAsia="宋体" w:cs="宋体"/>
          <w:color w:val="auto"/>
          <w:sz w:val="21"/>
          <w:szCs w:val="21"/>
          <w:highlight w:val="none"/>
          <w:lang w:eastAsia="zh-CN"/>
        </w:rPr>
        <w:t>烤箱</w:t>
      </w:r>
      <w:r>
        <w:rPr>
          <w:rFonts w:hint="eastAsia" w:ascii="宋体" w:hAnsi="宋体" w:cs="宋体"/>
          <w:color w:val="auto"/>
          <w:sz w:val="21"/>
          <w:szCs w:val="21"/>
          <w:highlight w:val="none"/>
          <w:lang w:eastAsia="zh-CN"/>
        </w:rPr>
        <w:t>一个</w:t>
      </w:r>
      <w:r>
        <w:rPr>
          <w:rFonts w:hint="eastAsia" w:ascii="宋体" w:hAnsi="宋体" w:cs="宋体"/>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烤房及蓝球场地面约1622平方米、混凝土挡土墙68米等。具体详见施工图纸及财评后工程量清单</w:t>
      </w:r>
      <w:r>
        <w:rPr>
          <w:rFonts w:hint="eastAsia" w:ascii="宋体" w:hAnsi="宋体" w:cs="宋体"/>
          <w:b w:val="0"/>
          <w:bCs w:val="0"/>
          <w:color w:val="auto"/>
          <w:sz w:val="21"/>
          <w:szCs w:val="21"/>
          <w:highlight w:val="none"/>
          <w:lang w:val="en-US" w:eastAsia="zh-CN"/>
        </w:rPr>
        <w:t>。</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（2）要求工期：</w:t>
      </w:r>
      <w:r>
        <w:rPr>
          <w:rFonts w:hint="eastAsia" w:ascii="宋体" w:hAnsi="宋体" w:cs="宋体"/>
          <w:b w:val="0"/>
          <w:bCs w:val="0"/>
          <w:color w:val="auto"/>
          <w:kern w:val="2"/>
          <w:sz w:val="21"/>
          <w:szCs w:val="21"/>
          <w:highlight w:val="none"/>
          <w:lang w:val="en-US" w:eastAsia="zh-CN" w:bidi="ar-SA"/>
        </w:rPr>
        <w:t>90</w:t>
      </w:r>
      <w:r>
        <w:rPr>
          <w:rFonts w:hint="eastAsia" w:ascii="宋体" w:hAnsi="宋体" w:eastAsia="宋体" w:cs="宋体"/>
          <w:b w:val="0"/>
          <w:bCs w:val="0"/>
          <w:color w:val="auto"/>
          <w:kern w:val="2"/>
          <w:sz w:val="21"/>
          <w:szCs w:val="21"/>
          <w:highlight w:val="none"/>
          <w:lang w:val="en-US" w:eastAsia="zh-CN" w:bidi="ar-SA"/>
        </w:rPr>
        <w:t>日历天；</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（3）质量要求：达到国家施工验收规范合格标准。</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最高限价（如有） ：635858.42元</w:t>
      </w:r>
    </w:p>
    <w:p>
      <w:pPr>
        <w:pStyle w:val="8"/>
        <w:keepNext w:val="0"/>
        <w:keepLines w:val="0"/>
        <w:pageBreakBefore w:val="0"/>
        <w:widowControl/>
        <w:numPr>
          <w:ilvl w:val="0"/>
          <w:numId w:val="0"/>
        </w:numPr>
        <w:tabs>
          <w:tab w:val="left" w:pos="6534"/>
        </w:tabs>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合同履约期限：自合同签订之日起</w:t>
      </w:r>
      <w:r>
        <w:rPr>
          <w:rFonts w:hint="eastAsia" w:ascii="宋体" w:hAnsi="宋体" w:cs="宋体"/>
          <w:b w:val="0"/>
          <w:bCs w:val="0"/>
          <w:color w:val="auto"/>
          <w:kern w:val="2"/>
          <w:sz w:val="21"/>
          <w:szCs w:val="21"/>
          <w:highlight w:val="none"/>
          <w:lang w:val="en-US" w:eastAsia="zh-CN" w:bidi="ar-SA"/>
        </w:rPr>
        <w:t>90</w:t>
      </w:r>
      <w:r>
        <w:rPr>
          <w:rFonts w:hint="eastAsia" w:ascii="宋体" w:hAnsi="宋体" w:eastAsia="宋体" w:cs="宋体"/>
          <w:b w:val="0"/>
          <w:bCs w:val="0"/>
          <w:color w:val="auto"/>
          <w:kern w:val="2"/>
          <w:sz w:val="21"/>
          <w:szCs w:val="21"/>
          <w:highlight w:val="none"/>
          <w:lang w:val="en-US" w:eastAsia="zh-CN" w:bidi="ar-SA"/>
        </w:rPr>
        <w:t>个日历天内完工。</w:t>
      </w:r>
      <w:r>
        <w:rPr>
          <w:rFonts w:hint="eastAsia" w:ascii="宋体" w:hAnsi="宋体" w:cs="宋体"/>
          <w:b w:val="0"/>
          <w:bCs w:val="0"/>
          <w:color w:val="auto"/>
          <w:kern w:val="2"/>
          <w:sz w:val="21"/>
          <w:szCs w:val="21"/>
          <w:highlight w:val="none"/>
          <w:lang w:val="en-US" w:eastAsia="zh-CN" w:bidi="ar-SA"/>
        </w:rPr>
        <w:tab/>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本标项（否）接受联合体投标</w:t>
      </w:r>
    </w:p>
    <w:p>
      <w:pPr>
        <w:pStyle w:val="8"/>
        <w:keepNext w:val="0"/>
        <w:keepLines w:val="0"/>
        <w:pageBreakBefore w:val="0"/>
        <w:widowControl/>
        <w:numPr>
          <w:ilvl w:val="0"/>
          <w:numId w:val="0"/>
        </w:numPr>
        <w:kinsoku w:val="0"/>
        <w:wordWrap/>
        <w:overflowPunct/>
        <w:topLinePunct w:val="0"/>
        <w:autoSpaceDE w:val="0"/>
        <w:autoSpaceDN w:val="0"/>
        <w:bidi w:val="0"/>
        <w:adjustRightInd w:val="0"/>
        <w:snapToGrid w:val="0"/>
        <w:spacing w:after="0" w:line="400" w:lineRule="exact"/>
        <w:ind w:right="0" w:rightChars="0" w:firstLine="420" w:firstLineChars="200"/>
        <w:textAlignment w:val="baseline"/>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备注：本项目为线上电子标项目，有意向参与本项目的供应商应当做好参与全流程电子标交易的充分准备。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bookmarkStart w:id="10" w:name="_Toc35393630"/>
      <w:bookmarkStart w:id="11" w:name="_Toc28359090"/>
      <w:bookmarkStart w:id="12" w:name="_Toc35393799"/>
      <w:bookmarkStart w:id="13" w:name="_Toc28359013"/>
      <w:r>
        <w:rPr>
          <w:rFonts w:hint="eastAsia" w:ascii="宋体" w:hAnsi="宋体" w:eastAsia="宋体" w:cs="宋体"/>
          <w:b/>
          <w:bCs/>
          <w:color w:val="auto"/>
          <w:sz w:val="21"/>
          <w:szCs w:val="21"/>
          <w:highlight w:val="none"/>
        </w:rPr>
        <w:t>二、申请人的资格要求：</w:t>
      </w:r>
      <w:bookmarkEnd w:id="10"/>
      <w:bookmarkEnd w:id="11"/>
      <w:bookmarkEnd w:id="12"/>
      <w:bookmarkEnd w:id="1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lang w:eastAsia="zh-CN"/>
        </w:rPr>
      </w:pPr>
      <w:bookmarkStart w:id="14" w:name="_Toc28359091"/>
      <w:bookmarkStart w:id="15" w:name="_Toc28359014"/>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bCs/>
          <w:color w:val="auto"/>
          <w:sz w:val="21"/>
          <w:szCs w:val="21"/>
          <w:highlight w:val="none"/>
        </w:rPr>
        <w:t>本项目的特定资格要求：</w:t>
      </w:r>
      <w:bookmarkStart w:id="16" w:name="_Toc35393631"/>
      <w:bookmarkStart w:id="17" w:name="_Toc35393800"/>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建筑工程施工总承包</w:t>
      </w:r>
      <w:r>
        <w:rPr>
          <w:rFonts w:hint="eastAsia" w:ascii="宋体" w:hAnsi="宋体" w:eastAsia="宋体" w:cs="宋体"/>
          <w:color w:val="auto"/>
          <w:sz w:val="21"/>
          <w:szCs w:val="21"/>
          <w:highlight w:val="none"/>
          <w:lang w:val="en-US" w:eastAsia="zh-CN"/>
        </w:rPr>
        <w:t>三级及以上资质，并在人员、设备、资金等方面具备相应的施工能力。供应商拟派项目经理须具有</w:t>
      </w:r>
      <w:r>
        <w:rPr>
          <w:rFonts w:hint="eastAsia" w:ascii="宋体" w:hAnsi="宋体" w:cs="宋体"/>
          <w:color w:val="auto"/>
          <w:sz w:val="21"/>
          <w:szCs w:val="21"/>
          <w:highlight w:val="none"/>
          <w:lang w:val="en-US" w:eastAsia="zh-CN"/>
        </w:rPr>
        <w:t>建筑工程</w:t>
      </w:r>
      <w:r>
        <w:rPr>
          <w:rFonts w:hint="eastAsia" w:ascii="宋体" w:hAnsi="宋体" w:eastAsia="宋体" w:cs="宋体"/>
          <w:color w:val="auto"/>
          <w:sz w:val="21"/>
          <w:szCs w:val="21"/>
          <w:highlight w:val="none"/>
          <w:lang w:val="en-US" w:eastAsia="zh-CN"/>
        </w:rPr>
        <w:t>专业二级及以上注册建造师和有</w:t>
      </w:r>
      <w:r>
        <w:rPr>
          <w:rFonts w:hint="eastAsia" w:ascii="宋体" w:hAnsi="宋体" w:eastAsia="宋体" w:cs="宋体"/>
          <w:color w:val="auto"/>
          <w:kern w:val="0"/>
          <w:sz w:val="21"/>
          <w:szCs w:val="21"/>
          <w:highlight w:val="none"/>
        </w:rPr>
        <w:t>效的安全生产考核合格证书（B类）</w:t>
      </w:r>
      <w:r>
        <w:rPr>
          <w:rFonts w:hint="eastAsia" w:ascii="宋体" w:hAnsi="宋体" w:cs="宋体"/>
          <w:color w:val="auto"/>
          <w:kern w:val="0"/>
          <w:sz w:val="21"/>
          <w:szCs w:val="21"/>
          <w:highlight w:val="none"/>
          <w:lang w:val="en-US" w:eastAsia="zh-CN"/>
        </w:rPr>
        <w:t>。</w:t>
      </w:r>
    </w:p>
    <w:bookmarkEnd w:id="14"/>
    <w:bookmarkEnd w:id="15"/>
    <w:bookmarkEnd w:id="16"/>
    <w:bookmarkEnd w:id="17"/>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lang w:eastAsia="zh-CN"/>
        </w:rPr>
      </w:pPr>
      <w:bookmarkStart w:id="18" w:name="_Toc35393792"/>
      <w:bookmarkStart w:id="19" w:name="_Toc35393623"/>
      <w:bookmarkStart w:id="20" w:name="_Toc28359018"/>
      <w:bookmarkStart w:id="21" w:name="_Toc28359095"/>
      <w:bookmarkStart w:id="22" w:name="_Toc35393636"/>
      <w:bookmarkStart w:id="23" w:name="_Toc35393805"/>
      <w:r>
        <w:rPr>
          <w:rFonts w:hint="eastAsia" w:ascii="宋体" w:hAnsi="宋体" w:eastAsia="宋体" w:cs="宋体"/>
          <w:b/>
          <w:bCs/>
          <w:color w:val="auto"/>
          <w:sz w:val="21"/>
          <w:szCs w:val="21"/>
          <w:highlight w:val="none"/>
        </w:rPr>
        <w:t>三、获取</w:t>
      </w:r>
      <w:r>
        <w:rPr>
          <w:rFonts w:hint="eastAsia" w:ascii="宋体" w:hAnsi="宋体" w:eastAsia="宋体" w:cs="宋体"/>
          <w:b/>
          <w:bCs/>
          <w:color w:val="auto"/>
          <w:sz w:val="21"/>
          <w:szCs w:val="21"/>
          <w:highlight w:val="none"/>
          <w:lang w:eastAsia="zh-CN"/>
        </w:rPr>
        <w:t>采购</w:t>
      </w:r>
      <w:r>
        <w:rPr>
          <w:rFonts w:hint="eastAsia" w:ascii="宋体" w:hAnsi="宋体" w:eastAsia="宋体" w:cs="宋体"/>
          <w:b/>
          <w:bCs/>
          <w:color w:val="auto"/>
          <w:sz w:val="21"/>
          <w:szCs w:val="21"/>
          <w:highlight w:val="none"/>
        </w:rPr>
        <w:t>文件</w:t>
      </w:r>
      <w:bookmarkEnd w:id="18"/>
      <w:bookmarkEnd w:id="19"/>
      <w:r>
        <w:rPr>
          <w:rFonts w:hint="eastAsia" w:ascii="宋体" w:hAnsi="宋体" w:eastAsia="宋体" w:cs="宋体"/>
          <w:b/>
          <w:bCs/>
          <w:color w:val="auto"/>
          <w:sz w:val="21"/>
          <w:szCs w:val="21"/>
          <w:highlight w:val="none"/>
          <w:lang w:eastAsia="zh-CN"/>
        </w:rPr>
        <w:t>：</w:t>
      </w:r>
    </w:p>
    <w:p>
      <w:pPr>
        <w:pStyle w:val="16"/>
        <w:keepNext w:val="0"/>
        <w:keepLines w:val="0"/>
        <w:pageBreakBefore w:val="0"/>
        <w:widowControl/>
        <w:wordWrap/>
        <w:overflowPunct/>
        <w:topLinePunct w:val="0"/>
        <w:bidi w:val="0"/>
        <w:spacing w:before="0" w:beforeAutospacing="0" w:after="0" w:afterAutospacing="0" w:line="400" w:lineRule="exact"/>
        <w:ind w:firstLine="420" w:firstLineChars="200"/>
        <w:rPr>
          <w:rFonts w:hint="eastAsia" w:ascii="宋体" w:hAnsi="宋体" w:eastAsia="宋体" w:cs="宋体"/>
          <w:color w:val="auto"/>
          <w:kern w:val="2"/>
          <w:sz w:val="21"/>
          <w:szCs w:val="21"/>
          <w:highlight w:val="none"/>
          <w:lang w:val="en-US" w:eastAsia="zh-CN" w:bidi="ar-SA"/>
        </w:rPr>
      </w:pPr>
      <w:bookmarkStart w:id="24" w:name="_Toc35393793"/>
      <w:bookmarkStart w:id="25" w:name="_Toc28359082"/>
      <w:bookmarkStart w:id="26" w:name="_Toc28359005"/>
      <w:bookmarkStart w:id="27" w:name="_Toc35393624"/>
      <w:r>
        <w:rPr>
          <w:rFonts w:hint="eastAsia" w:ascii="宋体" w:hAnsi="宋体" w:eastAsia="宋体" w:cs="宋体"/>
          <w:color w:val="auto"/>
          <w:kern w:val="2"/>
          <w:sz w:val="21"/>
          <w:szCs w:val="21"/>
          <w:highlight w:val="none"/>
          <w:lang w:val="en-US" w:eastAsia="zh-CN" w:bidi="ar-SA"/>
        </w:rPr>
        <w:t>时间：</w:t>
      </w:r>
      <w:r>
        <w:rPr>
          <w:rFonts w:hint="eastAsia" w:ascii="宋体" w:hAnsi="宋体" w:eastAsia="宋体" w:cs="宋体"/>
          <w:color w:val="auto"/>
          <w:kern w:val="2"/>
          <w:sz w:val="21"/>
          <w:szCs w:val="21"/>
          <w:highlight w:val="none"/>
          <w:lang w:val="en-US" w:eastAsia="zh-CN" w:bidi="ar-SA"/>
        </w:rPr>
        <w:t>2024年</w:t>
      </w:r>
      <w:r>
        <w:rPr>
          <w:rFonts w:hint="eastAsia"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30</w:t>
      </w:r>
      <w:r>
        <w:rPr>
          <w:rFonts w:hint="eastAsia" w:ascii="宋体" w:hAnsi="宋体" w:eastAsia="宋体" w:cs="宋体"/>
          <w:color w:val="auto"/>
          <w:kern w:val="2"/>
          <w:sz w:val="21"/>
          <w:szCs w:val="21"/>
          <w:highlight w:val="none"/>
          <w:lang w:val="en-US" w:eastAsia="zh-CN" w:bidi="ar-SA"/>
        </w:rPr>
        <w:t>日至2024年</w:t>
      </w:r>
      <w:r>
        <w:rPr>
          <w:rFonts w:hint="eastAsia"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en-US" w:eastAsia="zh-CN" w:bidi="ar-SA"/>
        </w:rPr>
        <w:t>月</w:t>
      </w:r>
      <w:r>
        <w:rPr>
          <w:rFonts w:hint="eastAsia" w:cs="宋体"/>
          <w:color w:val="auto"/>
          <w:kern w:val="2"/>
          <w:sz w:val="21"/>
          <w:szCs w:val="21"/>
          <w:highlight w:val="none"/>
          <w:lang w:val="en-US" w:eastAsia="zh-CN" w:bidi="ar-SA"/>
        </w:rPr>
        <w:t>11</w:t>
      </w:r>
      <w:r>
        <w:rPr>
          <w:rFonts w:hint="eastAsia" w:ascii="宋体" w:hAnsi="宋体" w:eastAsia="宋体" w:cs="宋体"/>
          <w:color w:val="auto"/>
          <w:kern w:val="2"/>
          <w:sz w:val="21"/>
          <w:szCs w:val="21"/>
          <w:highlight w:val="none"/>
          <w:lang w:val="en-US" w:eastAsia="zh-CN" w:bidi="ar-SA"/>
        </w:rPr>
        <w:t>日，</w:t>
      </w:r>
      <w:r>
        <w:rPr>
          <w:rFonts w:hint="eastAsia" w:ascii="宋体" w:hAnsi="宋体" w:eastAsia="宋体" w:cs="宋体"/>
          <w:color w:val="auto"/>
          <w:kern w:val="2"/>
          <w:sz w:val="21"/>
          <w:szCs w:val="21"/>
          <w:highlight w:val="none"/>
          <w:lang w:val="en-US" w:eastAsia="zh-CN" w:bidi="ar-SA"/>
        </w:rPr>
        <w:t>每天上午00:00至12:00，下午12:00至23:59（北京时间，法定节假日除外）。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地点（网址）：广西政府采购云平台（ https://www.gcy.zfcg.gxzf.gov.cn/）。</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方式：供应商登录广西政府采购云平台（ https://www.gcy.zfcg.gxzf.gov.cn/）在线申请获取采购文件（进入“项目采购”应用，在获取采购文件菜单中选择项目，申请获取采购文件）。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售价（元）：0 </w:t>
      </w:r>
    </w:p>
    <w:p>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bookmarkEnd w:id="24"/>
      <w:bookmarkEnd w:id="25"/>
      <w:bookmarkEnd w:id="26"/>
      <w:bookmarkEnd w:id="27"/>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w:t>
      </w:r>
      <w:r>
        <w:rPr>
          <w:rFonts w:hint="eastAsia" w:ascii="宋体" w:hAnsi="宋体" w:eastAsia="宋体" w:cs="宋体"/>
          <w:b/>
          <w:bCs/>
          <w:color w:val="auto"/>
          <w:sz w:val="21"/>
          <w:szCs w:val="21"/>
          <w:highlight w:val="none"/>
          <w:lang w:eastAsia="zh-CN"/>
        </w:rPr>
        <w:t>提交</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截止</w:t>
      </w:r>
      <w:r>
        <w:rPr>
          <w:rFonts w:hint="eastAsia" w:ascii="宋体" w:hAnsi="宋体" w:eastAsia="宋体" w:cs="宋体"/>
          <w:bCs/>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bCs/>
          <w:color w:val="auto"/>
          <w:sz w:val="21"/>
          <w:szCs w:val="21"/>
          <w:highlight w:val="none"/>
        </w:rPr>
        <w:t>（北京时间）</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点：通过广西政府采购云平台实行在线投标。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w:t>
      </w:r>
      <w:r>
        <w:rPr>
          <w:rFonts w:hint="eastAsia" w:ascii="宋体" w:hAnsi="宋体" w:eastAsia="宋体" w:cs="宋体"/>
          <w:b/>
          <w:bCs/>
          <w:color w:val="auto"/>
          <w:sz w:val="21"/>
          <w:szCs w:val="21"/>
          <w:highlight w:val="none"/>
          <w:lang w:eastAsia="zh-CN"/>
        </w:rPr>
        <w:t>响应</w:t>
      </w:r>
      <w:r>
        <w:rPr>
          <w:rFonts w:hint="eastAsia" w:ascii="宋体" w:hAnsi="宋体" w:eastAsia="宋体" w:cs="宋体"/>
          <w:b/>
          <w:bCs/>
          <w:color w:val="auto"/>
          <w:sz w:val="21"/>
          <w:szCs w:val="21"/>
          <w:highlight w:val="none"/>
        </w:rPr>
        <w:t>文件开启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lang w:eastAsia="zh-CN"/>
        </w:rPr>
        <w:t>年</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月</w:t>
      </w:r>
      <w:r>
        <w:rPr>
          <w:rFonts w:hint="eastAsia" w:ascii="宋体" w:hAnsi="宋体" w:cs="宋体"/>
          <w:color w:val="auto"/>
          <w:sz w:val="21"/>
          <w:szCs w:val="21"/>
          <w:highlight w:val="none"/>
          <w:lang w:val="en-US" w:eastAsia="zh-CN"/>
        </w:rPr>
        <w:t>11</w:t>
      </w:r>
      <w:r>
        <w:rPr>
          <w:rFonts w:hint="eastAsia" w:ascii="宋体" w:hAnsi="宋体" w:eastAsia="宋体" w:cs="宋体"/>
          <w:color w:val="auto"/>
          <w:sz w:val="21"/>
          <w:szCs w:val="21"/>
          <w:highlight w:val="none"/>
          <w:lang w:eastAsia="zh-CN"/>
        </w:rPr>
        <w:t>日</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时30分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rPr>
        <w:t>北京时间）截标。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bookmarkStart w:id="28" w:name="_Toc28359084"/>
      <w:bookmarkStart w:id="29" w:name="_Toc35393625"/>
      <w:bookmarkStart w:id="30" w:name="_Toc28359007"/>
      <w:bookmarkStart w:id="31" w:name="_Toc35393794"/>
      <w:r>
        <w:rPr>
          <w:rFonts w:hint="eastAsia" w:ascii="宋体" w:hAnsi="宋体" w:eastAsia="宋体" w:cs="宋体"/>
          <w:color w:val="auto"/>
          <w:sz w:val="21"/>
          <w:szCs w:val="21"/>
          <w:highlight w:val="none"/>
        </w:rPr>
        <w:t>地点：桂林市公共资源交易中心</w:t>
      </w:r>
      <w:r>
        <w:rPr>
          <w:rFonts w:hint="eastAsia" w:ascii="宋体" w:hAnsi="宋体" w:cs="宋体"/>
          <w:color w:val="auto"/>
          <w:sz w:val="21"/>
          <w:szCs w:val="21"/>
          <w:highlight w:val="none"/>
          <w:u w:val="single"/>
          <w:lang w:val="en-US" w:eastAsia="zh-CN"/>
        </w:rPr>
        <w:t>2</w:t>
      </w:r>
      <w:r>
        <w:rPr>
          <w:rFonts w:hint="eastAsia" w:ascii="宋体" w:hAnsi="宋体" w:eastAsia="宋体" w:cs="宋体"/>
          <w:color w:val="auto"/>
          <w:sz w:val="21"/>
          <w:szCs w:val="21"/>
          <w:highlight w:val="none"/>
        </w:rPr>
        <w:t>号</w:t>
      </w:r>
      <w:r>
        <w:rPr>
          <w:rFonts w:hint="eastAsia" w:ascii="宋体" w:hAnsi="宋体" w:eastAsia="宋体" w:cs="宋体"/>
          <w:color w:val="auto"/>
          <w:sz w:val="21"/>
          <w:szCs w:val="21"/>
          <w:highlight w:val="none"/>
        </w:rPr>
        <w:t>开标室（广西桂林市临桂区西城中路69号创业大厦西辅楼4楼北区）通过广西政府采购云平台实行在线解密开启。</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六</w:t>
      </w:r>
      <w:r>
        <w:rPr>
          <w:rFonts w:hint="eastAsia" w:ascii="宋体" w:hAnsi="宋体" w:eastAsia="宋体" w:cs="宋体"/>
          <w:b/>
          <w:bCs/>
          <w:color w:val="auto"/>
          <w:sz w:val="21"/>
          <w:szCs w:val="21"/>
          <w:highlight w:val="none"/>
        </w:rPr>
        <w:t>、公告期限</w:t>
      </w:r>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自本公告发布之日起</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个工作日。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 w:val="21"/>
          <w:szCs w:val="21"/>
          <w:highlight w:val="none"/>
        </w:rPr>
      </w:pPr>
      <w:bookmarkStart w:id="32" w:name="_Toc35393795"/>
      <w:bookmarkStart w:id="33" w:name="_Toc35393626"/>
      <w:r>
        <w:rPr>
          <w:rFonts w:hint="eastAsia" w:ascii="宋体" w:hAnsi="宋体" w:eastAsia="宋体" w:cs="宋体"/>
          <w:b/>
          <w:bCs/>
          <w:color w:val="auto"/>
          <w:sz w:val="21"/>
          <w:szCs w:val="21"/>
          <w:highlight w:val="none"/>
          <w:lang w:eastAsia="zh-CN"/>
        </w:rPr>
        <w:t>七</w:t>
      </w:r>
      <w:r>
        <w:rPr>
          <w:rFonts w:hint="eastAsia" w:ascii="宋体" w:hAnsi="宋体" w:eastAsia="宋体" w:cs="宋体"/>
          <w:b/>
          <w:bCs/>
          <w:color w:val="auto"/>
          <w:sz w:val="21"/>
          <w:szCs w:val="21"/>
          <w:highlight w:val="none"/>
        </w:rPr>
        <w:t>、其他补充事宜</w:t>
      </w:r>
      <w:bookmarkEnd w:id="32"/>
      <w:bookmarkEnd w:id="33"/>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本项目无需缴纳</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保证金。</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2、本项目所属行业：建筑业。</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keepNext w:val="0"/>
        <w:keepLines w:val="0"/>
        <w:pageBreakBefore w:val="0"/>
        <w:widowControl w:val="0"/>
        <w:numPr>
          <w:ilvl w:val="0"/>
          <w:numId w:val="0"/>
        </w:numPr>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本项目信息发布媒体：http://www.ccgp.gov.cn（中国政府采购网）、http://zfcg.gxzf.gov.cn（广西壮族自治区政府采购网）、http://zfcg.czj.guilin.gov.cn（桂林市政府采购网）</w:t>
      </w:r>
      <w:r>
        <w:rPr>
          <w:rFonts w:hint="eastAsia" w:ascii="宋体" w:hAnsi="宋体" w:eastAsia="宋体" w:cs="宋体"/>
          <w:color w:val="auto"/>
          <w:sz w:val="21"/>
          <w:szCs w:val="21"/>
          <w:highlight w:val="none"/>
          <w:lang w:eastAsia="zh-CN"/>
        </w:rPr>
        <w:t>。</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响应文件解密时间：截标时</w:t>
      </w:r>
      <w:r>
        <w:rPr>
          <w:rFonts w:hint="eastAsia" w:ascii="宋体" w:hAnsi="宋体" w:eastAsia="宋体" w:cs="宋体"/>
          <w:color w:val="auto"/>
          <w:sz w:val="21"/>
          <w:szCs w:val="21"/>
          <w:highlight w:val="none"/>
          <w:u w:val="none"/>
        </w:rPr>
        <w:t>间后30分钟内</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供应商可以登录广西政府采购云平台，用“项目采购-开标评标”功能进行解密</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供应商在规定时间内无法解密或解密失败，可以以电子备份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响应文件作为依据</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在接到无法解密或解密失败的通知后，供应商可根据自身实际情况按通知时要求的时间到</w:t>
      </w:r>
      <w:r>
        <w:rPr>
          <w:rFonts w:hint="eastAsia" w:ascii="宋体" w:hAnsi="宋体" w:eastAsia="宋体" w:cs="宋体"/>
          <w:b/>
          <w:bCs/>
          <w:color w:val="auto"/>
          <w:sz w:val="21"/>
          <w:szCs w:val="21"/>
          <w:highlight w:val="none"/>
          <w:u w:val="none"/>
          <w:lang w:val="en-US" w:eastAsia="zh-CN"/>
        </w:rPr>
        <w:t>桂林市公共资源交易中</w:t>
      </w:r>
      <w:r>
        <w:rPr>
          <w:rFonts w:hint="eastAsia" w:ascii="宋体" w:hAnsi="宋体" w:eastAsia="宋体" w:cs="宋体"/>
          <w:b/>
          <w:bCs/>
          <w:color w:val="auto"/>
          <w:sz w:val="21"/>
          <w:szCs w:val="21"/>
          <w:highlight w:val="none"/>
          <w:u w:val="none"/>
          <w:lang w:val="en-US" w:eastAsia="zh-CN"/>
        </w:rPr>
        <w:t>心</w:t>
      </w:r>
      <w:r>
        <w:rPr>
          <w:rFonts w:hint="eastAsia" w:ascii="宋体" w:hAnsi="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u w:val="none"/>
          <w:lang w:val="en-US" w:eastAsia="zh-CN"/>
        </w:rPr>
        <w:t>号</w:t>
      </w:r>
      <w:r>
        <w:rPr>
          <w:rFonts w:hint="eastAsia" w:ascii="宋体" w:hAnsi="宋体" w:eastAsia="宋体" w:cs="宋体"/>
          <w:b/>
          <w:bCs/>
          <w:color w:val="auto"/>
          <w:sz w:val="21"/>
          <w:szCs w:val="21"/>
          <w:highlight w:val="none"/>
          <w:u w:val="none"/>
          <w:lang w:val="en-US" w:eastAsia="zh-CN"/>
        </w:rPr>
        <w:t>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供应商在规定时间内无法解密或解密失败且未提供电子备份</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r>
        <w:rPr>
          <w:rFonts w:hint="eastAsia" w:ascii="宋体" w:hAnsi="宋体" w:eastAsia="宋体" w:cs="宋体"/>
          <w:color w:val="auto"/>
          <w:sz w:val="21"/>
          <w:szCs w:val="21"/>
          <w:highlight w:val="none"/>
          <w:lang w:val="en-US" w:eastAsia="zh-CN"/>
        </w:rPr>
        <w:t>(包含提供的电子备份文件无效或无法解密的情况)</w:t>
      </w:r>
      <w:r>
        <w:rPr>
          <w:rFonts w:hint="eastAsia" w:ascii="宋体" w:hAnsi="宋体" w:eastAsia="宋体" w:cs="宋体"/>
          <w:color w:val="auto"/>
          <w:sz w:val="21"/>
          <w:szCs w:val="21"/>
          <w:highlight w:val="none"/>
        </w:rPr>
        <w:t>，视为</w:t>
      </w:r>
      <w:r>
        <w:rPr>
          <w:rFonts w:hint="eastAsia" w:ascii="宋体" w:hAnsi="宋体" w:eastAsia="宋体" w:cs="宋体"/>
          <w:color w:val="auto"/>
          <w:sz w:val="21"/>
          <w:szCs w:val="21"/>
          <w:highlight w:val="none"/>
          <w:lang w:val="en-US" w:eastAsia="zh-CN"/>
        </w:rPr>
        <w:t>无效</w:t>
      </w:r>
      <w:r>
        <w:rPr>
          <w:rFonts w:hint="eastAsia" w:ascii="宋体" w:hAnsi="宋体" w:eastAsia="宋体" w:cs="宋体"/>
          <w:color w:val="auto"/>
          <w:sz w:val="21"/>
          <w:szCs w:val="21"/>
          <w:highlight w:val="none"/>
        </w:rPr>
        <w:t>响应</w:t>
      </w:r>
      <w:r>
        <w:rPr>
          <w:rFonts w:hint="eastAsia" w:ascii="宋体" w:hAnsi="宋体" w:eastAsia="宋体" w:cs="宋体"/>
          <w:color w:val="auto"/>
          <w:sz w:val="21"/>
          <w:szCs w:val="21"/>
          <w:highlight w:val="none"/>
          <w:lang w:val="en-US" w:eastAsia="zh-CN"/>
        </w:rPr>
        <w:t>。</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6、本项目需要落实的政府采购政策：</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（1）政府采购促进中小企业发展。</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（2）政府采购促进残疾人就业政策。</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（3）政府采购支持监狱企业发展。</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 广西政府采购云平台在线响应（电子响应）相关事宜说明：</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7.1本项目实行全流程电子化采购，供应商通过广西政府采购云平台参与在线响应（电子响应），并应做好以下相关准备工作：①在广西政府采购云平台注册成为正式供应商【操作方法详见广西政府采购网（访问地址http://zfcg.gxzf.gov.cn/）—办事服务—办事指南】；②完成CA证书申领和绑定（费用由供应商自行承担，办理流程详见广西壮族自治区政府采购网—办事服务—下载专区，完成CA证书办理预计一周左右，建议供应商尽快办理）；③下载“广西政府采购云平台新版客户端”（操作方法详见广西壮族自治区政府采购网—办事服务—下载专区）并安装成功，供应商应当在提交响应文件截止时间前在广西政府采购云平台完成的身份认证，确保能够对相关数据电文进行加密和使用电子签章；④自备计算机和网络设备并确保能接入互联网（费用由供应商自行承担，设备确保可进行视频通话和读取政采云CA证书）。因供应商未做好相关准备工作等自身原因导致无法参加本项目在线响应（电子响应）或响应失败的，造成的一切后果，由供应商自行承担。</w:t>
      </w:r>
    </w:p>
    <w:p>
      <w:pPr>
        <w:pStyle w:val="26"/>
        <w:keepNext w:val="0"/>
        <w:keepLines w:val="0"/>
        <w:pageBreakBefore w:val="0"/>
        <w:widowControl w:val="0"/>
        <w:kinsoku/>
        <w:wordWrap/>
        <w:overflowPunct/>
        <w:topLinePunct w:val="0"/>
        <w:bidi w:val="0"/>
        <w:snapToGrid/>
        <w:spacing w:line="400" w:lineRule="exact"/>
        <w:ind w:firstLine="420" w:firstLineChars="200"/>
        <w:textAlignment w:val="auto"/>
        <w:rPr>
          <w:rFonts w:hint="eastAsia" w:ascii="宋体" w:hAnsi="宋体" w:eastAsia="宋体" w:cs="宋体"/>
          <w:b w:val="0"/>
          <w:bCs w:val="0"/>
          <w:color w:val="auto"/>
          <w:sz w:val="21"/>
          <w:szCs w:val="21"/>
          <w:highlight w:val="none"/>
          <w:u w:val="none"/>
          <w:lang w:val="en-US" w:eastAsia="zh-CN"/>
        </w:rPr>
      </w:pPr>
      <w:r>
        <w:rPr>
          <w:rFonts w:hint="eastAsia" w:ascii="宋体" w:hAnsi="宋体" w:eastAsia="宋体" w:cs="宋体"/>
          <w:b w:val="0"/>
          <w:bCs w:val="0"/>
          <w:color w:val="auto"/>
          <w:sz w:val="21"/>
          <w:szCs w:val="21"/>
          <w:highlight w:val="none"/>
          <w:u w:val="none"/>
          <w:lang w:val="en-US" w:eastAsia="zh-CN"/>
        </w:rPr>
        <w:t>7.2在线响应（电子响应）具体操作流程参考《政府采购项目电子交易管理操作指南-供应商》【详见广西政府采购网（访问地址http://zfcg.gxzf.gov.cn/）—办事服务—下载专区-广西壮族自治区全流程电子招投标项目管理系统--供应商客户端】；如遇平台技术问题详询95763。</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凡对本次采购提出询问，请按以下方式联系。</w:t>
      </w:r>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r>
        <w:rPr>
          <w:rFonts w:hint="eastAsia" w:ascii="宋体" w:hAnsi="宋体" w:eastAsia="宋体" w:cs="宋体"/>
          <w:color w:val="auto"/>
          <w:sz w:val="21"/>
          <w:szCs w:val="21"/>
          <w:highlight w:val="none"/>
          <w:lang w:eastAsia="zh-CN"/>
        </w:rPr>
        <w:t>兴安县</w:t>
      </w:r>
      <w:r>
        <w:rPr>
          <w:rFonts w:hint="eastAsia" w:ascii="宋体" w:hAnsi="宋体" w:cs="宋体"/>
          <w:color w:val="auto"/>
          <w:sz w:val="21"/>
          <w:szCs w:val="21"/>
          <w:highlight w:val="none"/>
          <w:lang w:val="en-US" w:eastAsia="zh-CN"/>
        </w:rPr>
        <w:t>溶江镇人民政府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地址：</w:t>
      </w:r>
      <w:r>
        <w:rPr>
          <w:rFonts w:hint="eastAsia" w:ascii="宋体" w:hAnsi="宋体" w:cs="宋体"/>
          <w:color w:val="auto"/>
          <w:sz w:val="21"/>
          <w:szCs w:val="21"/>
          <w:highlight w:val="none"/>
          <w:lang w:val="en-US" w:eastAsia="zh-CN"/>
        </w:rPr>
        <w:t>兴安县溶江镇革命街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cs="宋体"/>
          <w:color w:val="auto"/>
          <w:sz w:val="21"/>
          <w:szCs w:val="21"/>
          <w:highlight w:val="none"/>
          <w:lang w:val="en-US" w:eastAsia="zh-CN"/>
        </w:rPr>
        <w:t>彭主任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cs="宋体"/>
          <w:color w:val="auto"/>
          <w:sz w:val="21"/>
          <w:szCs w:val="21"/>
          <w:highlight w:val="none"/>
          <w:lang w:val="en-US" w:eastAsia="zh-CN"/>
        </w:rPr>
        <w:t>0773-</w:t>
      </w:r>
      <w:r>
        <w:rPr>
          <w:rFonts w:hint="eastAsia" w:ascii="宋体" w:hAnsi="宋体" w:eastAsia="宋体" w:cs="宋体"/>
          <w:color w:val="auto"/>
          <w:sz w:val="21"/>
          <w:szCs w:val="21"/>
          <w:highlight w:val="none"/>
          <w:lang w:val="en-US" w:eastAsia="zh-CN"/>
        </w:rPr>
        <w:t>6052117</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ab/>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采购代理机构信息</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cs="宋体"/>
          <w:color w:val="auto"/>
          <w:highlight w:val="none"/>
          <w:u w:val="single"/>
          <w:lang w:val="en-US" w:eastAsia="zh-CN"/>
        </w:rPr>
      </w:pPr>
      <w:r>
        <w:rPr>
          <w:rFonts w:hint="eastAsia" w:ascii="宋体" w:hAnsi="宋体" w:eastAsia="宋体" w:cs="宋体"/>
          <w:color w:val="auto"/>
          <w:sz w:val="21"/>
          <w:szCs w:val="21"/>
          <w:highlight w:val="none"/>
        </w:rPr>
        <w:t>名称：</w:t>
      </w:r>
      <w:r>
        <w:rPr>
          <w:rFonts w:hint="eastAsia" w:ascii="宋体" w:hAnsi="宋体" w:cs="宋体"/>
          <w:color w:val="auto"/>
          <w:highlight w:val="none"/>
          <w:u w:val="none"/>
          <w:lang w:val="en-US" w:eastAsia="zh-CN"/>
        </w:rPr>
        <w:t>广西高质建设管理咨询有限公司</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val="en-US" w:eastAsia="zh-CN"/>
        </w:rPr>
        <w:t>桂林市七星区朝阳路高新区信息产业园</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项目联系人：</w:t>
      </w:r>
      <w:r>
        <w:rPr>
          <w:rFonts w:hint="eastAsia" w:ascii="宋体" w:hAnsi="宋体" w:cs="宋体"/>
          <w:color w:val="auto"/>
          <w:sz w:val="21"/>
          <w:szCs w:val="21"/>
          <w:highlight w:val="none"/>
          <w:lang w:val="en-US" w:eastAsia="zh-CN"/>
        </w:rPr>
        <w:t>韦靖</w:t>
      </w:r>
      <w:r>
        <w:rPr>
          <w:rFonts w:hint="eastAsia" w:ascii="宋体" w:hAnsi="宋体" w:eastAsia="宋体" w:cs="宋体"/>
          <w:color w:val="auto"/>
          <w:sz w:val="21"/>
          <w:szCs w:val="21"/>
          <w:highlight w:val="none"/>
        </w:rPr>
        <w:t xml:space="preserve">    联系电话</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zh-CN" w:eastAsia="zh-CN"/>
        </w:rPr>
        <w:t>0773-5872088</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30</w:t>
      </w:r>
      <w:r>
        <w:rPr>
          <w:rFonts w:hint="eastAsia" w:ascii="宋体" w:hAnsi="宋体" w:eastAsia="宋体" w:cs="宋体"/>
          <w:color w:val="auto"/>
          <w:sz w:val="21"/>
          <w:szCs w:val="21"/>
          <w:highlight w:val="none"/>
        </w:rPr>
        <w:t>日</w:t>
      </w:r>
      <w:bookmarkStart w:id="34" w:name="_Toc26924"/>
    </w:p>
    <w:p>
      <w:pPr>
        <w:pStyle w:val="5"/>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5"/>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3"/>
        <w:keepNext/>
        <w:keepLines/>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color w:val="auto"/>
          <w:highlight w:val="none"/>
          <w:lang w:eastAsia="zh-CN"/>
        </w:rPr>
      </w:pP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21"/>
          <w:szCs w:val="21"/>
          <w:highlight w:val="none"/>
          <w:lang w:eastAsia="zh-CN"/>
        </w:rPr>
      </w:pPr>
      <w:bookmarkStart w:id="35" w:name="_Toc16146"/>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br w:type="page"/>
      </w:r>
    </w:p>
    <w:p>
      <w:pPr>
        <w:pStyle w:val="3"/>
        <w:keepNext/>
        <w:keepLines/>
        <w:pageBreakBefore w:val="0"/>
        <w:widowControl w:val="0"/>
        <w:numPr>
          <w:ilvl w:val="0"/>
          <w:numId w:val="0"/>
        </w:numPr>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eastAsia="zh-CN"/>
        </w:rPr>
        <w:t>第二章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供应商须知</w:t>
      </w:r>
      <w:bookmarkEnd w:id="35"/>
    </w:p>
    <w:p>
      <w:pPr>
        <w:pStyle w:val="2"/>
        <w:keepNext/>
        <w:keepLines/>
        <w:pageBreakBefore w:val="0"/>
        <w:widowControl w:val="0"/>
        <w:tabs>
          <w:tab w:val="left" w:pos="567"/>
        </w:tabs>
        <w:kinsoku/>
        <w:wordWrap/>
        <w:overflowPunct/>
        <w:topLinePunct w:val="0"/>
        <w:autoSpaceDE/>
        <w:autoSpaceDN/>
        <w:bidi w:val="0"/>
        <w:adjustRightInd/>
        <w:snapToGrid/>
        <w:spacing w:before="0" w:after="0" w:line="400" w:lineRule="exact"/>
        <w:jc w:val="center"/>
        <w:textAlignment w:val="auto"/>
        <w:rPr>
          <w:rFonts w:hint="eastAsia" w:ascii="宋体" w:hAnsi="宋体" w:eastAsia="宋体" w:cs="宋体"/>
          <w:color w:val="auto"/>
          <w:sz w:val="21"/>
          <w:szCs w:val="21"/>
          <w:highlight w:val="none"/>
          <w:lang w:eastAsia="zh-CN"/>
        </w:rPr>
      </w:pPr>
      <w:bookmarkStart w:id="36" w:name="_Toc1585"/>
      <w:bookmarkStart w:id="37" w:name="_Toc13547"/>
      <w:bookmarkStart w:id="38" w:name="_Toc23030"/>
      <w:bookmarkStart w:id="39" w:name="_Toc25063"/>
      <w:bookmarkStart w:id="40" w:name="_Toc9508"/>
      <w:r>
        <w:rPr>
          <w:rFonts w:hint="eastAsia" w:ascii="宋体" w:hAnsi="宋体" w:eastAsia="宋体" w:cs="宋体"/>
          <w:b/>
          <w:bCs w:val="0"/>
          <w:color w:val="auto"/>
          <w:sz w:val="21"/>
          <w:szCs w:val="21"/>
          <w:highlight w:val="none"/>
        </w:rPr>
        <w:t>供 应 商 须 知 前 附 表</w:t>
      </w:r>
      <w:bookmarkEnd w:id="36"/>
      <w:bookmarkEnd w:id="37"/>
      <w:bookmarkEnd w:id="38"/>
      <w:bookmarkEnd w:id="39"/>
      <w:bookmarkEnd w:id="40"/>
    </w:p>
    <w:bookmarkEnd w:id="34"/>
    <w:tbl>
      <w:tblPr>
        <w:tblStyle w:val="19"/>
        <w:tblW w:w="10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942"/>
        <w:gridCol w:w="1775"/>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条款名称</w:t>
            </w:r>
          </w:p>
        </w:tc>
        <w:tc>
          <w:tcPr>
            <w:tcW w:w="691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项目名称及项目编号</w:t>
            </w:r>
          </w:p>
        </w:tc>
        <w:tc>
          <w:tcPr>
            <w:tcW w:w="6912" w:type="dxa"/>
            <w:vAlign w:val="center"/>
          </w:tcPr>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项目名称：兴安县溶江镇永安村农贸市场扩建项目</w:t>
            </w:r>
            <w:r>
              <w:rPr>
                <w:rFonts w:hint="eastAsia" w:ascii="宋体" w:hAnsi="宋体" w:eastAsia="宋体" w:cs="宋体"/>
                <w:color w:val="auto"/>
                <w:sz w:val="21"/>
                <w:szCs w:val="21"/>
                <w:highlight w:val="none"/>
                <w:u w:val="none"/>
              </w:rPr>
              <w:t xml:space="preserve"> </w:t>
            </w:r>
          </w:p>
          <w:p>
            <w:pPr>
              <w:pageBreakBefore w:val="0"/>
              <w:widowControl w:val="0"/>
              <w:kinsoku/>
              <w:wordWrap/>
              <w:overflowPunct/>
              <w:topLinePunct w:val="0"/>
              <w:autoSpaceDE/>
              <w:autoSpaceDN/>
              <w:bidi w:val="0"/>
              <w:adjustRightInd/>
              <w:spacing w:line="380" w:lineRule="exact"/>
              <w:ind w:left="0"/>
              <w:jc w:val="both"/>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项目编号：</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"https://www.gcy.zfcg.gxzf.gov.cn/project-center/_procurement_/project-result-detail/7177490878926684246" \t "https://www.gcy.zfcg.gxzf.gov.cn/project-center/_procurement_/self-project/_blank"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GLZC2024-C2-250191-GXGZ</w:t>
            </w:r>
            <w:r>
              <w:rPr>
                <w:rFonts w:hint="eastAsia" w:ascii="宋体" w:hAnsi="宋体" w:eastAsia="宋体" w:cs="宋体"/>
                <w:color w:val="auto"/>
                <w:sz w:val="21"/>
                <w:szCs w:val="21"/>
                <w:highlight w:val="none"/>
                <w:lang w:val="en-US" w:eastAsia="zh-CN"/>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5"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供应商资格</w:t>
            </w:r>
          </w:p>
        </w:tc>
        <w:tc>
          <w:tcPr>
            <w:tcW w:w="6912" w:type="dxa"/>
            <w:vAlign w:val="center"/>
          </w:tcPr>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3.2、落实政府采购政策需满足的资格要求：本项目为专门面向中小微企业采购的项目（供应商应为中小微企业、监狱企业、残疾人福利性单位)；</w:t>
            </w:r>
          </w:p>
          <w:p>
            <w:pPr>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lang w:val="en-US" w:eastAsia="zh-CN"/>
              </w:rPr>
              <w:t>本项目的特定资格要求：具备</w:t>
            </w:r>
            <w:r>
              <w:rPr>
                <w:rFonts w:hint="eastAsia" w:ascii="宋体" w:hAnsi="宋体" w:cs="宋体"/>
                <w:color w:val="auto"/>
                <w:sz w:val="21"/>
                <w:szCs w:val="21"/>
                <w:highlight w:val="none"/>
                <w:lang w:val="en-US" w:eastAsia="zh-CN"/>
              </w:rPr>
              <w:t>建筑工程施工总</w:t>
            </w:r>
            <w:r>
              <w:rPr>
                <w:rFonts w:hint="eastAsia" w:ascii="宋体" w:hAnsi="宋体" w:eastAsia="宋体" w:cs="宋体"/>
                <w:color w:val="auto"/>
                <w:sz w:val="21"/>
                <w:szCs w:val="21"/>
                <w:highlight w:val="none"/>
                <w:lang w:val="en-US" w:eastAsia="zh-CN"/>
              </w:rPr>
              <w:t>承包三级及以上资质，并在人员、设备、资金等方面具备相应的施工能力。供应商拟派项目经理须具有</w:t>
            </w:r>
            <w:r>
              <w:rPr>
                <w:rFonts w:hint="eastAsia" w:ascii="宋体" w:hAnsi="宋体" w:cs="宋体"/>
                <w:color w:val="auto"/>
                <w:sz w:val="21"/>
                <w:szCs w:val="21"/>
                <w:highlight w:val="none"/>
                <w:lang w:val="en-US" w:eastAsia="zh-CN"/>
              </w:rPr>
              <w:t>建筑工程</w:t>
            </w:r>
            <w:r>
              <w:rPr>
                <w:rFonts w:hint="eastAsia" w:ascii="宋体" w:hAnsi="宋体" w:eastAsia="宋体" w:cs="宋体"/>
                <w:color w:val="auto"/>
                <w:sz w:val="21"/>
                <w:szCs w:val="21"/>
                <w:highlight w:val="none"/>
                <w:lang w:val="en-US" w:eastAsia="zh-CN"/>
              </w:rPr>
              <w:t>专业二级及以上注册建造师和有</w:t>
            </w:r>
            <w:r>
              <w:rPr>
                <w:rFonts w:hint="eastAsia" w:ascii="宋体" w:hAnsi="宋体" w:eastAsia="宋体" w:cs="宋体"/>
                <w:color w:val="auto"/>
                <w:kern w:val="0"/>
                <w:sz w:val="21"/>
                <w:szCs w:val="21"/>
                <w:highlight w:val="none"/>
              </w:rPr>
              <w:t>效的安全生产考核合格证书（B类）</w:t>
            </w:r>
            <w:r>
              <w:rPr>
                <w:rFonts w:hint="eastAsia" w:ascii="宋体" w:hAnsi="宋体" w:eastAsia="宋体" w:cs="宋体"/>
                <w:color w:val="auto"/>
                <w:kern w:val="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磋商费用</w:t>
            </w:r>
          </w:p>
        </w:tc>
        <w:tc>
          <w:tcPr>
            <w:tcW w:w="69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不论磋商结果如何，供应商均应自行承担所有与磋商有关的全部费用。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13</w:t>
            </w:r>
          </w:p>
        </w:tc>
        <w:tc>
          <w:tcPr>
            <w:tcW w:w="1775" w:type="dxa"/>
            <w:vAlign w:val="center"/>
          </w:tcPr>
          <w:p>
            <w:pPr>
              <w:keepNext w:val="0"/>
              <w:keepLines w:val="0"/>
              <w:pageBreakBefore w:val="0"/>
              <w:kinsoku/>
              <w:wordWrap/>
              <w:overflowPunct/>
              <w:topLinePunct w:val="0"/>
              <w:autoSpaceDE/>
              <w:autoSpaceDN/>
              <w:bidi w:val="0"/>
              <w:adjustRightInd/>
              <w:spacing w:line="380" w:lineRule="exact"/>
              <w:ind w:left="0" w:leftChars="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rPr>
              <w:t>磋商报价及</w:t>
            </w:r>
            <w:r>
              <w:rPr>
                <w:rFonts w:hint="eastAsia" w:ascii="宋体" w:hAnsi="宋体" w:eastAsia="宋体" w:cs="宋体"/>
                <w:color w:val="auto"/>
                <w:sz w:val="21"/>
                <w:szCs w:val="21"/>
                <w:highlight w:val="none"/>
                <w:lang w:val="en-US" w:eastAsia="zh-CN"/>
              </w:rPr>
              <w:t>预算</w:t>
            </w:r>
            <w:r>
              <w:rPr>
                <w:rFonts w:hint="eastAsia" w:ascii="宋体" w:hAnsi="宋体" w:eastAsia="宋体" w:cs="宋体"/>
                <w:color w:val="auto"/>
                <w:sz w:val="21"/>
                <w:szCs w:val="21"/>
                <w:highlight w:val="none"/>
              </w:rPr>
              <w:t>控制价</w:t>
            </w:r>
          </w:p>
        </w:tc>
        <w:tc>
          <w:tcPr>
            <w:tcW w:w="6912" w:type="dxa"/>
            <w:vAlign w:val="center"/>
          </w:tcPr>
          <w:p>
            <w:pPr>
              <w:pageBreakBefore w:val="0"/>
              <w:kinsoku/>
              <w:wordWrap/>
              <w:overflowPunct/>
              <w:topLinePunct w:val="0"/>
              <w:autoSpaceDE/>
              <w:autoSpaceDN/>
              <w:bidi w:val="0"/>
              <w:adjustRightInd/>
              <w:spacing w:line="380" w:lineRule="exact"/>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本工程</w:t>
            </w:r>
            <w:r>
              <w:rPr>
                <w:rFonts w:hint="eastAsia" w:ascii="宋体" w:hAnsi="宋体" w:eastAsia="宋体" w:cs="宋体"/>
                <w:b/>
                <w:bCs/>
                <w:color w:val="auto"/>
                <w:sz w:val="21"/>
                <w:szCs w:val="21"/>
                <w:highlight w:val="none"/>
                <w:lang w:eastAsia="zh-CN"/>
              </w:rPr>
              <w:t>财评后的</w:t>
            </w:r>
            <w:r>
              <w:rPr>
                <w:rFonts w:hint="eastAsia" w:ascii="宋体" w:hAnsi="宋体" w:eastAsia="宋体" w:cs="宋体"/>
                <w:b/>
                <w:color w:val="auto"/>
                <w:kern w:val="0"/>
                <w:sz w:val="21"/>
                <w:szCs w:val="21"/>
                <w:highlight w:val="none"/>
                <w:lang w:val="en-US" w:eastAsia="zh-CN"/>
              </w:rPr>
              <w:t>预算控制价为</w:t>
            </w:r>
            <w:r>
              <w:rPr>
                <w:rFonts w:hint="eastAsia" w:ascii="宋体" w:hAnsi="宋体" w:eastAsia="宋体" w:cs="宋体"/>
                <w:b/>
                <w:color w:val="auto"/>
                <w:kern w:val="0"/>
                <w:sz w:val="21"/>
                <w:szCs w:val="21"/>
                <w:highlight w:val="none"/>
              </w:rPr>
              <w:t>人民币</w:t>
            </w:r>
            <w:r>
              <w:rPr>
                <w:rFonts w:hint="eastAsia" w:ascii="宋体" w:hAnsi="宋体" w:cs="宋体"/>
                <w:b/>
                <w:color w:val="auto"/>
                <w:kern w:val="0"/>
                <w:sz w:val="21"/>
                <w:szCs w:val="21"/>
                <w:highlight w:val="none"/>
                <w:u w:val="single"/>
                <w:lang w:val="en-US" w:eastAsia="zh-CN"/>
              </w:rPr>
              <w:t>635858.42</w:t>
            </w:r>
            <w:r>
              <w:rPr>
                <w:rFonts w:hint="eastAsia" w:ascii="宋体" w:hAnsi="宋体" w:eastAsia="宋体" w:cs="宋体"/>
                <w:b/>
                <w:color w:val="auto"/>
                <w:kern w:val="0"/>
                <w:sz w:val="21"/>
                <w:szCs w:val="21"/>
                <w:highlight w:val="none"/>
              </w:rPr>
              <w:t>元</w:t>
            </w:r>
            <w:r>
              <w:rPr>
                <w:rFonts w:hint="eastAsia" w:ascii="宋体" w:hAnsi="宋体" w:eastAsia="宋体" w:cs="宋体"/>
                <w:b/>
                <w:color w:val="auto"/>
                <w:kern w:val="0"/>
                <w:sz w:val="21"/>
                <w:szCs w:val="21"/>
                <w:highlight w:val="none"/>
                <w:lang w:eastAsia="zh-CN"/>
              </w:rPr>
              <w:t>。</w:t>
            </w:r>
          </w:p>
          <w:p>
            <w:pPr>
              <w:pageBreakBefore w:val="0"/>
              <w:kinsoku/>
              <w:wordWrap/>
              <w:overflowPunct/>
              <w:topLinePunct w:val="0"/>
              <w:autoSpaceDE/>
              <w:autoSpaceDN/>
              <w:bidi w:val="0"/>
              <w:adjustRightInd/>
              <w:spacing w:line="380" w:lineRule="exact"/>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lang w:eastAsia="zh-CN"/>
              </w:rPr>
              <w:t>经采购人同意，</w:t>
            </w:r>
            <w:r>
              <w:rPr>
                <w:rFonts w:hint="eastAsia" w:ascii="宋体" w:hAnsi="宋体" w:eastAsia="宋体" w:cs="宋体"/>
                <w:b/>
                <w:bCs/>
                <w:color w:val="auto"/>
                <w:sz w:val="21"/>
                <w:szCs w:val="21"/>
                <w:highlight w:val="none"/>
              </w:rPr>
              <w:t>本工程最高磋商限价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w:t>
            </w:r>
            <w:r>
              <w:rPr>
                <w:rFonts w:hint="eastAsia" w:ascii="宋体" w:hAnsi="宋体" w:cs="宋体"/>
                <w:b/>
                <w:color w:val="auto"/>
                <w:kern w:val="0"/>
                <w:sz w:val="21"/>
                <w:szCs w:val="21"/>
                <w:highlight w:val="none"/>
                <w:u w:val="single"/>
                <w:lang w:val="en-US" w:eastAsia="zh-CN"/>
              </w:rPr>
              <w:t>635858.42</w:t>
            </w:r>
            <w:r>
              <w:rPr>
                <w:rFonts w:hint="eastAsia" w:ascii="宋体" w:hAnsi="宋体" w:eastAsia="宋体" w:cs="宋体"/>
                <w:b/>
                <w:bCs/>
                <w:color w:val="auto"/>
                <w:kern w:val="0"/>
                <w:sz w:val="21"/>
                <w:szCs w:val="21"/>
                <w:highlight w:val="none"/>
                <w:u w:val="single"/>
              </w:rPr>
              <w:t>元</w:t>
            </w:r>
            <w:r>
              <w:rPr>
                <w:rFonts w:hint="eastAsia" w:ascii="宋体" w:hAnsi="宋体" w:eastAsia="宋体" w:cs="宋体"/>
                <w:b/>
                <w:bCs/>
                <w:color w:val="auto"/>
                <w:sz w:val="21"/>
                <w:szCs w:val="21"/>
                <w:highlight w:val="none"/>
                <w:lang w:eastAsia="zh-CN"/>
              </w:rPr>
              <w:t>。</w:t>
            </w:r>
          </w:p>
          <w:p>
            <w:pPr>
              <w:keepNext w:val="0"/>
              <w:keepLines w:val="0"/>
              <w:pageBreakBefore w:val="0"/>
              <w:widowControl/>
              <w:kinsoku/>
              <w:wordWrap/>
              <w:overflowPunct/>
              <w:topLinePunct w:val="0"/>
              <w:autoSpaceDE/>
              <w:autoSpaceDN/>
              <w:bidi w:val="0"/>
              <w:adjustRightInd/>
              <w:snapToGrid w:val="0"/>
              <w:spacing w:line="380" w:lineRule="exact"/>
              <w:ind w:left="0" w:leftChars="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sz w:val="21"/>
                <w:szCs w:val="21"/>
                <w:highlight w:val="none"/>
              </w:rPr>
              <w:t>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14.1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响应文件有效期</w:t>
            </w:r>
          </w:p>
        </w:tc>
        <w:tc>
          <w:tcPr>
            <w:tcW w:w="69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响应文件递交截止时间之日起90天，有效期不足的响应文件将被拒绝。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15</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保证金</w:t>
            </w:r>
          </w:p>
        </w:tc>
        <w:tc>
          <w:tcPr>
            <w:tcW w:w="6912" w:type="dxa"/>
            <w:vAlign w:val="top"/>
          </w:tcPr>
          <w:p>
            <w:pPr>
              <w:pageBreakBefore w:val="0"/>
              <w:widowControl w:val="0"/>
              <w:tabs>
                <w:tab w:val="left" w:pos="1305"/>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本项目无需缴纳磋商保证金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1775" w:type="dxa"/>
            <w:vAlign w:val="center"/>
          </w:tcPr>
          <w:p>
            <w:pPr>
              <w:pStyle w:val="4"/>
              <w:pageBreakBefore w:val="0"/>
              <w:widowControl w:val="0"/>
              <w:kinsoku/>
              <w:wordWrap/>
              <w:overflowPunct/>
              <w:topLinePunct w:val="0"/>
              <w:autoSpaceDE/>
              <w:autoSpaceDN/>
              <w:bidi w:val="0"/>
              <w:adjustRightInd/>
              <w:spacing w:before="0" w:after="0" w:line="380" w:lineRule="exact"/>
              <w:ind w:left="0"/>
              <w:jc w:val="center"/>
              <w:textAlignment w:val="auto"/>
              <w:rPr>
                <w:rFonts w:hint="eastAsia" w:ascii="宋体" w:hAnsi="宋体" w:eastAsia="宋体" w:cs="宋体"/>
                <w:b w:val="0"/>
                <w:bCs/>
                <w:color w:val="auto"/>
                <w:sz w:val="21"/>
                <w:szCs w:val="21"/>
                <w:highlight w:val="none"/>
                <w:lang w:eastAsia="zh-CN"/>
              </w:rPr>
            </w:pPr>
            <w:bookmarkStart w:id="41" w:name="_Toc19954"/>
            <w:bookmarkStart w:id="42" w:name="_Toc19911"/>
            <w:bookmarkStart w:id="43" w:name="_Toc27452"/>
            <w:r>
              <w:rPr>
                <w:rFonts w:hint="eastAsia" w:ascii="宋体" w:hAnsi="宋体" w:eastAsia="宋体" w:cs="宋体"/>
                <w:b w:val="0"/>
                <w:bCs/>
                <w:color w:val="auto"/>
                <w:sz w:val="21"/>
                <w:szCs w:val="21"/>
                <w:highlight w:val="none"/>
              </w:rPr>
              <w:t>竞争性</w:t>
            </w:r>
            <w:r>
              <w:rPr>
                <w:rFonts w:hint="eastAsia" w:ascii="宋体" w:hAnsi="宋体" w:eastAsia="宋体" w:cs="宋体"/>
                <w:b w:val="0"/>
                <w:bCs/>
                <w:color w:val="auto"/>
                <w:sz w:val="21"/>
                <w:szCs w:val="21"/>
                <w:highlight w:val="none"/>
                <w:lang w:eastAsia="zh-CN"/>
              </w:rPr>
              <w:t>磋商</w:t>
            </w:r>
            <w:r>
              <w:rPr>
                <w:rFonts w:hint="eastAsia" w:ascii="宋体" w:hAnsi="宋体" w:eastAsia="宋体" w:cs="宋体"/>
                <w:b w:val="0"/>
                <w:bCs/>
                <w:color w:val="auto"/>
                <w:sz w:val="21"/>
                <w:szCs w:val="21"/>
                <w:highlight w:val="none"/>
              </w:rPr>
              <w:t>响应文件的</w:t>
            </w:r>
            <w:r>
              <w:rPr>
                <w:rFonts w:hint="eastAsia" w:ascii="宋体" w:hAnsi="宋体" w:eastAsia="宋体" w:cs="宋体"/>
                <w:b w:val="0"/>
                <w:bCs/>
                <w:color w:val="auto"/>
                <w:sz w:val="21"/>
                <w:szCs w:val="21"/>
                <w:highlight w:val="none"/>
                <w:lang w:eastAsia="zh-CN"/>
              </w:rPr>
              <w:t>制作</w:t>
            </w:r>
            <w:bookmarkEnd w:id="41"/>
            <w:bookmarkEnd w:id="42"/>
            <w:bookmarkEnd w:id="43"/>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p>
        </w:tc>
        <w:tc>
          <w:tcPr>
            <w:tcW w:w="69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16.6磋商前准备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16.6.1本项目实行在线磋商，采用电子磋商响应文件。若供应商参与磋商，自行承担磋商一切费用。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16.6.2各供应商应在截标前应确保成为广西政府采购云平台正式注册入库供应商，并完成CA数字证书申领和绑定。因未注册入库、未办理CA数字证书等原因造成无法磋商或磋商失败等后果由供应商自行承担。 </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16.6.3供应商将广西政府采购云平台新版客户端下载、安装完成后，可通过账号密码或CA登录客户端进行响应文件制作。客户端请至网站下载专区查看，如有问题可拨打广西政府采购云平台客户服务热线95763进行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响应文件递交截止时间</w:t>
            </w:r>
          </w:p>
        </w:tc>
        <w:tc>
          <w:tcPr>
            <w:tcW w:w="69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lang w:eastAsia="zh-CN"/>
              </w:rPr>
              <w:t>于</w:t>
            </w:r>
            <w:r>
              <w:rPr>
                <w:rFonts w:hint="eastAsia" w:ascii="宋体" w:hAnsi="宋体" w:eastAsia="宋体" w:cs="宋体"/>
                <w:color w:val="auto"/>
                <w:sz w:val="21"/>
                <w:szCs w:val="21"/>
                <w:highlight w:val="none"/>
                <w:u w:val="single"/>
                <w:lang w:eastAsia="zh-CN"/>
              </w:rPr>
              <w:t>202</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lang w:val="en-US" w:eastAsia="zh-CN"/>
              </w:rPr>
              <w:t>时30分</w:t>
            </w:r>
            <w:r>
              <w:rPr>
                <w:rFonts w:hint="eastAsia" w:ascii="宋体" w:hAnsi="宋体" w:eastAsia="宋体" w:cs="宋体"/>
                <w:color w:val="auto"/>
                <w:sz w:val="21"/>
                <w:szCs w:val="21"/>
                <w:highlight w:val="none"/>
                <w:u w:val="none"/>
                <w:lang w:val="en-US" w:eastAsia="zh-CN"/>
              </w:rPr>
              <w:t>之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r>
              <w:rPr>
                <w:rFonts w:hint="eastAsia" w:ascii="宋体" w:hAnsi="宋体" w:eastAsia="宋体" w:cs="宋体"/>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lang w:eastAsia="zh-CN"/>
              </w:rPr>
            </w:pPr>
            <w:r>
              <w:rPr>
                <w:rFonts w:hint="eastAsia" w:ascii="宋体" w:hAnsi="宋体" w:eastAsia="宋体" w:cs="宋体"/>
                <w:color w:val="auto"/>
                <w:position w:val="-2"/>
                <w:sz w:val="21"/>
                <w:szCs w:val="21"/>
                <w:highlight w:val="none"/>
                <w:lang w:val="en-US" w:eastAsia="zh-CN"/>
              </w:rPr>
              <w:t>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18.2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sz w:val="21"/>
                <w:szCs w:val="21"/>
                <w:highlight w:val="none"/>
                <w:lang w:eastAsia="zh-CN"/>
              </w:rPr>
              <w:t>磋商响应文件解密时间</w:t>
            </w:r>
          </w:p>
        </w:tc>
        <w:tc>
          <w:tcPr>
            <w:tcW w:w="6912" w:type="dxa"/>
            <w:vAlign w:val="center"/>
          </w:tcPr>
          <w:p>
            <w:pPr>
              <w:pStyle w:val="7"/>
              <w:keepNext w:val="0"/>
              <w:keepLines w:val="0"/>
              <w:pageBreakBefore w:val="0"/>
              <w:widowControl w:val="0"/>
              <w:kinsoku/>
              <w:wordWrap/>
              <w:overflowPunct/>
              <w:topLinePunct w:val="0"/>
              <w:autoSpaceDE/>
              <w:autoSpaceDN/>
              <w:bidi w:val="0"/>
              <w:adjustRightInd/>
              <w:snapToGri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磋商响应文件解密时间</w:t>
            </w:r>
            <w:r>
              <w:rPr>
                <w:rFonts w:hint="eastAsia" w:ascii="宋体" w:hAnsi="宋体" w:eastAsia="宋体" w:cs="宋体"/>
                <w:b w:val="0"/>
                <w:bCs w:val="0"/>
                <w:color w:val="auto"/>
                <w:kern w:val="2"/>
                <w:sz w:val="21"/>
                <w:szCs w:val="21"/>
                <w:highlight w:val="none"/>
                <w:lang w:eastAsia="zh-CN"/>
              </w:rPr>
              <w:t>：截标时间后</w:t>
            </w:r>
            <w:r>
              <w:rPr>
                <w:rFonts w:hint="eastAsia" w:ascii="宋体" w:hAnsi="宋体" w:eastAsia="宋体" w:cs="宋体"/>
                <w:b w:val="0"/>
                <w:bCs w:val="0"/>
                <w:color w:val="auto"/>
                <w:kern w:val="2"/>
                <w:sz w:val="21"/>
                <w:szCs w:val="21"/>
                <w:highlight w:val="none"/>
                <w:u w:val="none"/>
                <w:lang w:eastAsia="zh-CN"/>
              </w:rPr>
              <w:t>30</w:t>
            </w:r>
            <w:r>
              <w:rPr>
                <w:rFonts w:hint="eastAsia" w:ascii="宋体" w:hAnsi="宋体" w:eastAsia="宋体" w:cs="宋体"/>
                <w:b w:val="0"/>
                <w:bCs w:val="0"/>
                <w:color w:val="auto"/>
                <w:kern w:val="2"/>
                <w:sz w:val="21"/>
                <w:szCs w:val="21"/>
                <w:highlight w:val="none"/>
                <w:lang w:eastAsia="zh-CN"/>
              </w:rPr>
              <w:t>分钟内磋商供应商可以登录广西政府采购云平台，用“项目采购-开标评标”功能进行解密磋商响应文件。若磋商供应商在规定时间内无法解密或解密失败，可以以电子备份磋商响应文件作为依据</w:t>
            </w:r>
            <w:r>
              <w:rPr>
                <w:rFonts w:hint="eastAsia" w:ascii="宋体" w:hAnsi="宋体" w:eastAsia="宋体" w:cs="宋体"/>
                <w:b/>
                <w:bCs/>
                <w:color w:val="auto"/>
                <w:kern w:val="2"/>
                <w:sz w:val="21"/>
                <w:szCs w:val="21"/>
                <w:highlight w:val="none"/>
                <w:lang w:eastAsia="zh-CN"/>
              </w:rPr>
              <w:t>【在接到无法解密或解密失败的通知后，磋商供应商可根据自身实际情况按通知时要求的时间到桂林市公共资源交易中心</w:t>
            </w:r>
            <w:r>
              <w:rPr>
                <w:rFonts w:hint="eastAsia" w:ascii="宋体" w:hAnsi="宋体" w:eastAsia="宋体" w:cs="宋体"/>
                <w:b/>
                <w:bCs/>
                <w:color w:val="auto"/>
                <w:kern w:val="2"/>
                <w:sz w:val="21"/>
                <w:szCs w:val="21"/>
                <w:highlight w:val="none"/>
                <w:u w:val="single"/>
                <w:lang w:val="en-US" w:eastAsia="zh-CN"/>
              </w:rPr>
              <w:t xml:space="preserve"> </w:t>
            </w:r>
            <w:r>
              <w:rPr>
                <w:rFonts w:hint="eastAsia" w:ascii="宋体" w:hAnsi="宋体" w:cs="宋体"/>
                <w:b/>
                <w:bCs/>
                <w:color w:val="auto"/>
                <w:kern w:val="2"/>
                <w:sz w:val="21"/>
                <w:szCs w:val="21"/>
                <w:highlight w:val="none"/>
                <w:u w:val="single"/>
                <w:lang w:val="en-US" w:eastAsia="zh-CN"/>
              </w:rPr>
              <w:t xml:space="preserve">2 </w:t>
            </w:r>
            <w:r>
              <w:rPr>
                <w:rFonts w:hint="eastAsia" w:ascii="宋体" w:hAnsi="宋体" w:eastAsia="宋体" w:cs="宋体"/>
                <w:b/>
                <w:bCs/>
                <w:color w:val="auto"/>
                <w:kern w:val="2"/>
                <w:sz w:val="21"/>
                <w:szCs w:val="21"/>
                <w:highlight w:val="none"/>
                <w:lang w:eastAsia="zh-CN"/>
              </w:rPr>
              <w:t>号开标室现场提交或以电子邮件的形式（以通知时所告知的电子邮箱地址为准）提交电子备份磋商响应文件】</w:t>
            </w:r>
            <w:r>
              <w:rPr>
                <w:rFonts w:hint="eastAsia" w:ascii="宋体" w:hAnsi="宋体" w:eastAsia="宋体" w:cs="宋体"/>
                <w:b w:val="0"/>
                <w:bCs w:val="0"/>
                <w:color w:val="auto"/>
                <w:kern w:val="2"/>
                <w:sz w:val="21"/>
                <w:szCs w:val="21"/>
                <w:highlight w:val="none"/>
                <w:lang w:eastAsia="zh-CN"/>
              </w:rPr>
              <w:t>，若磋商供应商在规定时间内无法解密或解密失败且未提供电子备份磋商响应文件的(包含提供的电子备份文件无效或无法解密的情况)，视为无效响应。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942" w:type="dxa"/>
            <w:vAlign w:val="center"/>
          </w:tcPr>
          <w:p>
            <w:pPr>
              <w:pageBreakBefore w:val="0"/>
              <w:widowControl w:val="0"/>
              <w:kinsoku/>
              <w:wordWrap/>
              <w:overflowPunct/>
              <w:topLinePunct w:val="0"/>
              <w:autoSpaceDE/>
              <w:autoSpaceDN/>
              <w:bidi w:val="0"/>
              <w:adjustRightInd/>
              <w:spacing w:line="380" w:lineRule="exact"/>
              <w:ind w:left="0" w:firstLine="105" w:firstLineChars="50"/>
              <w:jc w:val="center"/>
              <w:textAlignment w:val="auto"/>
              <w:rPr>
                <w:rFonts w:hint="eastAsia" w:ascii="宋体" w:hAnsi="宋体" w:eastAsia="宋体" w:cs="宋体"/>
                <w:color w:val="auto"/>
                <w:position w:val="-2"/>
                <w:sz w:val="21"/>
                <w:szCs w:val="21"/>
                <w:highlight w:val="none"/>
              </w:rPr>
            </w:pPr>
            <w:r>
              <w:rPr>
                <w:rFonts w:hint="eastAsia" w:ascii="宋体" w:hAnsi="宋体" w:eastAsia="宋体" w:cs="宋体"/>
                <w:color w:val="auto"/>
                <w:position w:val="-2"/>
                <w:sz w:val="21"/>
                <w:szCs w:val="21"/>
                <w:highlight w:val="none"/>
              </w:rPr>
              <w:t>19.1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磋商小组组成</w:t>
            </w:r>
          </w:p>
        </w:tc>
        <w:tc>
          <w:tcPr>
            <w:tcW w:w="69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11</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磋商时间、地点、人员</w:t>
            </w:r>
          </w:p>
        </w:tc>
        <w:tc>
          <w:tcPr>
            <w:tcW w:w="6912" w:type="dxa"/>
            <w:vAlign w:val="top"/>
          </w:tcPr>
          <w:p>
            <w:pPr>
              <w:pageBreakBefore w:val="0"/>
              <w:widowControl w:val="0"/>
              <w:kinsoku/>
              <w:wordWrap/>
              <w:overflowPunct/>
              <w:topLinePunct w:val="0"/>
              <w:autoSpaceDE/>
              <w:autoSpaceDN/>
              <w:bidi w:val="0"/>
              <w:adjustRightInd/>
              <w:spacing w:line="380" w:lineRule="exact"/>
              <w:ind w:left="0" w:hanging="315" w:hangingChars="15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19.2.1磋商时间：响应文件递交截止时间后。</w:t>
            </w:r>
          </w:p>
          <w:p>
            <w:pPr>
              <w:pageBreakBefore w:val="0"/>
              <w:widowControl w:val="0"/>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19.2.2磋商地点：</w:t>
            </w:r>
            <w:r>
              <w:rPr>
                <w:rFonts w:hint="eastAsia" w:ascii="宋体" w:hAnsi="宋体" w:eastAsia="宋体" w:cs="宋体"/>
                <w:b/>
                <w:bCs/>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autoSpaceDE/>
              <w:autoSpaceDN/>
              <w:bidi w:val="0"/>
              <w:adjustRightInd/>
              <w:spacing w:line="380" w:lineRule="exact"/>
              <w:ind w:left="0" w:hanging="14" w:hangingChars="7"/>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19.2.3磋商参加人员：</w:t>
            </w:r>
            <w:r>
              <w:rPr>
                <w:rFonts w:hint="eastAsia" w:ascii="宋体" w:hAnsi="宋体" w:eastAsia="宋体" w:cs="宋体"/>
                <w:b w:val="0"/>
                <w:bCs w:val="0"/>
                <w:color w:val="auto"/>
                <w:sz w:val="21"/>
                <w:szCs w:val="21"/>
                <w:highlight w:val="none"/>
              </w:rPr>
              <w:t>供应商法定代表人、负责人、自然人或相应的委托代理人持有效身份证原件和供应商广西政府采购云平台CA数字证书参加磋商。请供应商实时登陆“广西政府采购云平台”等候在线磋商</w:t>
            </w:r>
            <w:r>
              <w:rPr>
                <w:rFonts w:hint="eastAsia" w:ascii="宋体" w:hAnsi="宋体" w:eastAsia="宋体" w:cs="宋体"/>
                <w:color w:val="auto"/>
                <w:sz w:val="21"/>
                <w:szCs w:val="21"/>
                <w:highlight w:val="none"/>
              </w:rPr>
              <w:t>。</w:t>
            </w:r>
          </w:p>
          <w:p>
            <w:pPr>
              <w:pageBreakBefore w:val="0"/>
              <w:widowControl w:val="0"/>
              <w:tabs>
                <w:tab w:val="left" w:pos="1140"/>
              </w:tabs>
              <w:kinsoku/>
              <w:wordWrap/>
              <w:overflowPunct/>
              <w:topLinePunct w:val="0"/>
              <w:autoSpaceDE/>
              <w:autoSpaceDN/>
              <w:bidi w:val="0"/>
              <w:adjustRightInd/>
              <w:spacing w:line="38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19.2.4响应文件递交截止时间后，由磋商小组在评标室内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开启响应文件。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val="en-US" w:eastAsia="zh-CN"/>
              </w:rPr>
              <w:t>12</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p>
        </w:tc>
        <w:tc>
          <w:tcPr>
            <w:tcW w:w="1775" w:type="dxa"/>
            <w:vAlign w:val="center"/>
          </w:tcPr>
          <w:p>
            <w:pPr>
              <w:pStyle w:val="11"/>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评审办法</w:t>
            </w:r>
          </w:p>
        </w:tc>
        <w:tc>
          <w:tcPr>
            <w:tcW w:w="6912" w:type="dxa"/>
            <w:vAlign w:val="center"/>
          </w:tcPr>
          <w:p>
            <w:pPr>
              <w:pageBreakBefore w:val="0"/>
              <w:widowControl w:val="0"/>
              <w:tabs>
                <w:tab w:val="left" w:pos="1140"/>
              </w:tabs>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具体详见第四章评审办法。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13</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信用查询</w:t>
            </w:r>
          </w:p>
        </w:tc>
        <w:tc>
          <w:tcPr>
            <w:tcW w:w="6912" w:type="dxa"/>
            <w:vAlign w:val="center"/>
          </w:tcPr>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根据《关于做好政府采购有关信用主体标识码登记及在政府采购活动中查询使用信用记录有关问题的通知》（桂财采〔2016〕37），由采购代理机构对第一成交候选人进行信用查询：</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⑴查询渠道：“信用中国”网站(www.creditchina.gov.cn)、中国政府采购网(www.ccgp.gov.cn)等；</w:t>
            </w:r>
          </w:p>
          <w:p>
            <w:pPr>
              <w:pageBreakBefore w:val="0"/>
              <w:widowControl w:val="0"/>
              <w:kinsoku/>
              <w:wordWrap/>
              <w:overflowPunct/>
              <w:topLinePunct w:val="0"/>
              <w:autoSpaceDE/>
              <w:autoSpaceDN/>
              <w:bidi w:val="0"/>
              <w:adjustRightInd/>
              <w:spacing w:line="380" w:lineRule="exact"/>
              <w:ind w:left="0" w:hanging="315" w:hangingChars="15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⑵查询时间：成交通知书发出前；</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⑶信用信息查询记录和证据留存方式：在查询网站中直接打印查询记录，打印材料作为采购活动资料保存；</w:t>
            </w:r>
          </w:p>
          <w:p>
            <w:pPr>
              <w:pageBreakBefore w:val="0"/>
              <w:widowControl w:val="0"/>
              <w:kinsoku/>
              <w:wordWrap/>
              <w:overflowPunct/>
              <w:topLinePunct w:val="0"/>
              <w:autoSpaceDE/>
              <w:autoSpaceDN/>
              <w:bidi w:val="0"/>
              <w:adjustRightInd/>
              <w:spacing w:line="380" w:lineRule="exact"/>
              <w:ind w:left="0" w:hanging="14" w:hangingChars="7"/>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⑷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取消其成交候选人资格。采购人依法按照评审报告中磋商小组推荐成交候选人排序表确定排名第二的成交候选人为成交供应商或者重新组织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成交结果公告</w:t>
            </w:r>
          </w:p>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及成交通知书</w:t>
            </w:r>
          </w:p>
        </w:tc>
        <w:tc>
          <w:tcPr>
            <w:tcW w:w="69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27.2在发布成交公告的同时，采购代理机构向成交供应商发出成交通知书。成交供应商自接到通知之日起七个工作日内，办理成交通知书领取手续。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履约保证金</w:t>
            </w:r>
          </w:p>
        </w:tc>
        <w:tc>
          <w:tcPr>
            <w:tcW w:w="69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本项目不收取履约保证金。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签订合同时间</w:t>
            </w:r>
          </w:p>
        </w:tc>
        <w:tc>
          <w:tcPr>
            <w:tcW w:w="69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bCs/>
                <w:color w:val="auto"/>
                <w:kern w:val="0"/>
                <w:sz w:val="21"/>
                <w:szCs w:val="21"/>
                <w:highlight w:val="none"/>
                <w:lang w:eastAsia="zh-CN"/>
              </w:rPr>
              <w:t>成交通知书</w:t>
            </w:r>
            <w:r>
              <w:rPr>
                <w:rFonts w:hint="eastAsia" w:ascii="宋体" w:hAnsi="宋体" w:eastAsia="宋体" w:cs="宋体"/>
                <w:bCs/>
                <w:color w:val="auto"/>
                <w:kern w:val="0"/>
                <w:sz w:val="21"/>
                <w:szCs w:val="21"/>
                <w:highlight w:val="none"/>
              </w:rPr>
              <w:t>发出之日起</w:t>
            </w:r>
            <w:r>
              <w:rPr>
                <w:rFonts w:hint="eastAsia" w:ascii="宋体" w:hAnsi="宋体" w:eastAsia="宋体" w:cs="宋体"/>
                <w:bCs/>
                <w:color w:val="auto"/>
                <w:kern w:val="0"/>
                <w:sz w:val="21"/>
                <w:szCs w:val="21"/>
                <w:highlight w:val="none"/>
                <w:lang w:val="en-US" w:eastAsia="zh-CN"/>
              </w:rPr>
              <w:t>8个工作日</w:t>
            </w:r>
            <w:r>
              <w:rPr>
                <w:rFonts w:hint="eastAsia" w:ascii="宋体" w:hAnsi="宋体" w:eastAsia="宋体" w:cs="宋体"/>
                <w:bCs/>
                <w:color w:val="auto"/>
                <w:kern w:val="0"/>
                <w:sz w:val="21"/>
                <w:szCs w:val="21"/>
                <w:highlight w:val="none"/>
              </w:rPr>
              <w:t>内签订合同</w:t>
            </w:r>
            <w:r>
              <w:rPr>
                <w:rFonts w:hint="eastAsia" w:ascii="宋体" w:hAnsi="宋体" w:eastAsia="宋体" w:cs="宋体"/>
                <w:color w:val="auto"/>
                <w:sz w:val="21"/>
                <w:szCs w:val="21"/>
                <w:highlight w:val="none"/>
              </w:rPr>
              <w:t>。成交供应商领取成交通知书后，应按规定与采购人签订合同。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合同备案存档</w:t>
            </w:r>
          </w:p>
        </w:tc>
        <w:tc>
          <w:tcPr>
            <w:tcW w:w="6912" w:type="dxa"/>
            <w:vAlign w:val="center"/>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政府采购合同双方自签订之日起一个工作日内将合同原件</w:t>
            </w:r>
            <w:r>
              <w:rPr>
                <w:rFonts w:hint="eastAsia" w:ascii="宋体" w:hAnsi="宋体" w:cs="宋体"/>
                <w:color w:val="auto"/>
                <w:sz w:val="21"/>
                <w:szCs w:val="21"/>
                <w:highlight w:val="none"/>
                <w:lang w:eastAsia="zh-CN"/>
              </w:rPr>
              <w:t>两</w:t>
            </w:r>
            <w:r>
              <w:rPr>
                <w:rFonts w:hint="eastAsia" w:ascii="宋体" w:hAnsi="宋体" w:eastAsia="宋体" w:cs="宋体"/>
                <w:color w:val="auto"/>
                <w:sz w:val="21"/>
                <w:szCs w:val="21"/>
                <w:highlight w:val="none"/>
              </w:rPr>
              <w:t>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val="en-US" w:eastAsia="zh-CN"/>
              </w:rPr>
              <w:t>广西高质建设管理咨询有限公司</w:t>
            </w:r>
            <w:r>
              <w:rPr>
                <w:rFonts w:hint="eastAsia" w:ascii="宋体" w:hAnsi="宋体" w:eastAsia="宋体" w:cs="宋体"/>
                <w:color w:val="auto"/>
                <w:sz w:val="21"/>
                <w:szCs w:val="21"/>
                <w:highlight w:val="none"/>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采购代理服务费</w:t>
            </w:r>
          </w:p>
        </w:tc>
        <w:tc>
          <w:tcPr>
            <w:tcW w:w="69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人领取</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通知书前，向</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代理机构一次性付清</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代理服务费，本项目</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代理服务收费标准参照计价格[2002]1980号《招标代理服务收费管理暂行办法》</w:t>
            </w:r>
            <w:r>
              <w:rPr>
                <w:rFonts w:hint="eastAsia" w:ascii="宋体" w:hAnsi="宋体" w:eastAsia="宋体" w:cs="宋体"/>
                <w:color w:val="auto"/>
                <w:sz w:val="21"/>
                <w:szCs w:val="21"/>
                <w:highlight w:val="none"/>
                <w:lang w:eastAsia="zh-CN"/>
              </w:rPr>
              <w:t>工程类</w:t>
            </w:r>
            <w:r>
              <w:rPr>
                <w:rFonts w:hint="eastAsia" w:ascii="宋体" w:hAnsi="宋体" w:eastAsia="宋体" w:cs="宋体"/>
                <w:color w:val="auto"/>
                <w:sz w:val="21"/>
                <w:szCs w:val="21"/>
                <w:highlight w:val="none"/>
              </w:rPr>
              <w:t>收费标准向</w:t>
            </w:r>
            <w:r>
              <w:rPr>
                <w:rFonts w:hint="eastAsia" w:ascii="宋体" w:hAnsi="宋体" w:eastAsia="宋体" w:cs="宋体"/>
                <w:color w:val="auto"/>
                <w:sz w:val="21"/>
                <w:szCs w:val="21"/>
                <w:highlight w:val="none"/>
                <w:lang w:eastAsia="zh-CN"/>
              </w:rPr>
              <w:t>成交</w:t>
            </w:r>
            <w:r>
              <w:rPr>
                <w:rFonts w:hint="eastAsia" w:ascii="宋体" w:hAnsi="宋体" w:eastAsia="宋体" w:cs="宋体"/>
                <w:color w:val="auto"/>
                <w:sz w:val="21"/>
                <w:szCs w:val="21"/>
                <w:highlight w:val="none"/>
              </w:rPr>
              <w:t>人收取（不足人民币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19</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912" w:type="dxa"/>
            <w:vAlign w:val="top"/>
          </w:tcPr>
          <w:p>
            <w:pPr>
              <w:pageBreakBefore w:val="0"/>
              <w:widowControl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66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20</w:t>
            </w:r>
          </w:p>
        </w:tc>
        <w:tc>
          <w:tcPr>
            <w:tcW w:w="942"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w:t>
            </w:r>
          </w:p>
        </w:tc>
        <w:tc>
          <w:tcPr>
            <w:tcW w:w="1775" w:type="dxa"/>
            <w:vAlign w:val="center"/>
          </w:tcPr>
          <w:p>
            <w:pPr>
              <w:pageBreakBefore w:val="0"/>
              <w:widowControl w:val="0"/>
              <w:kinsoku/>
              <w:wordWrap/>
              <w:overflowPunct/>
              <w:topLinePunct w:val="0"/>
              <w:autoSpaceDE/>
              <w:autoSpaceDN/>
              <w:bidi w:val="0"/>
              <w:adjustRightInd/>
              <w:spacing w:line="380" w:lineRule="exact"/>
              <w:ind w:left="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监督管理机构</w:t>
            </w:r>
          </w:p>
        </w:tc>
        <w:tc>
          <w:tcPr>
            <w:tcW w:w="6912" w:type="dxa"/>
            <w:vAlign w:val="center"/>
          </w:tcPr>
          <w:p>
            <w:pPr>
              <w:pageBreakBefore w:val="0"/>
              <w:kinsoku/>
              <w:wordWrap/>
              <w:overflowPunct/>
              <w:topLinePunct w:val="0"/>
              <w:autoSpaceDE/>
              <w:autoSpaceDN/>
              <w:bidi w:val="0"/>
              <w:adjustRightInd/>
              <w:spacing w:line="380" w:lineRule="exact"/>
              <w:ind w:left="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兴安县政府采购管理办公室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0773-6220651</w:t>
            </w:r>
          </w:p>
        </w:tc>
      </w:tr>
    </w:tbl>
    <w:p>
      <w:pPr>
        <w:pStyle w:val="18"/>
        <w:ind w:left="0" w:leftChars="0" w:firstLine="0" w:firstLineChars="0"/>
        <w:rPr>
          <w:rFonts w:hint="eastAsia" w:ascii="宋体" w:hAnsi="宋体" w:eastAsia="宋体" w:cs="宋体"/>
          <w:b/>
          <w:color w:val="auto"/>
          <w:sz w:val="21"/>
          <w:szCs w:val="21"/>
          <w:highlight w:val="none"/>
        </w:rPr>
      </w:pPr>
    </w:p>
    <w:p>
      <w:pPr>
        <w:pStyle w:val="2"/>
        <w:pageBreakBefore w:val="0"/>
        <w:widowControl w:val="0"/>
        <w:tabs>
          <w:tab w:val="left" w:pos="567"/>
        </w:tabs>
        <w:kinsoku/>
        <w:wordWrap/>
        <w:overflowPunct/>
        <w:topLinePunct w:val="0"/>
        <w:bidi w:val="0"/>
        <w:spacing w:line="440" w:lineRule="exact"/>
        <w:jc w:val="both"/>
        <w:textAlignment w:val="auto"/>
        <w:rPr>
          <w:rFonts w:hint="eastAsia" w:ascii="宋体" w:hAnsi="宋体" w:eastAsia="宋体" w:cs="宋体"/>
          <w:b/>
          <w:bCs w:val="0"/>
          <w:color w:val="auto"/>
          <w:sz w:val="21"/>
          <w:szCs w:val="21"/>
          <w:highlight w:val="none"/>
        </w:rPr>
        <w:sectPr>
          <w:footerReference r:id="rId8" w:type="first"/>
          <w:footerReference r:id="rId7" w:type="default"/>
          <w:pgSz w:w="11906" w:h="16838"/>
          <w:pgMar w:top="1077" w:right="1115" w:bottom="1191" w:left="1131" w:header="851" w:footer="992" w:gutter="0"/>
          <w:pgNumType w:fmt="decimal"/>
          <w:cols w:space="720" w:num="1"/>
          <w:titlePg/>
          <w:docGrid w:type="lines" w:linePitch="312" w:charSpace="0"/>
        </w:sectPr>
      </w:pPr>
      <w:bookmarkStart w:id="44" w:name="_Toc27120"/>
      <w:bookmarkStart w:id="45" w:name="_Toc22792"/>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46" w:name="_Toc19520"/>
      <w:r>
        <w:rPr>
          <w:rFonts w:hint="eastAsia" w:ascii="宋体" w:hAnsi="宋体" w:eastAsia="宋体" w:cs="宋体"/>
          <w:b/>
          <w:bCs w:val="0"/>
          <w:color w:val="auto"/>
          <w:sz w:val="21"/>
          <w:szCs w:val="21"/>
          <w:highlight w:val="none"/>
        </w:rPr>
        <w:t>一、总则</w:t>
      </w:r>
      <w:bookmarkEnd w:id="44"/>
      <w:bookmarkEnd w:id="45"/>
      <w:bookmarkEnd w:id="46"/>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47" w:name="_Toc6626"/>
      <w:bookmarkStart w:id="48" w:name="_Toc3367"/>
      <w:r>
        <w:rPr>
          <w:rFonts w:hint="eastAsia" w:ascii="宋体" w:hAnsi="宋体" w:eastAsia="宋体" w:cs="宋体"/>
          <w:color w:val="auto"/>
          <w:sz w:val="21"/>
          <w:szCs w:val="21"/>
          <w:highlight w:val="none"/>
        </w:rPr>
        <w:t>1. 适应范围</w:t>
      </w:r>
      <w:bookmarkEnd w:id="47"/>
      <w:bookmarkEnd w:id="48"/>
    </w:p>
    <w:p>
      <w:pPr>
        <w:pageBreakBefore w:val="0"/>
        <w:widowControl w:val="0"/>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  项目名称及项目编号</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项目名称：兴安县溶江镇永安村农贸市场扩建项目</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HYPERLINK "https://www.gcy.zfcg.gxzf.gov.cn/project-center/_procurement_/project-result-detail/7177490878926684246" \t "https://www.gcy.zfcg.gxzf.gov.cn/project-center/_procurement_/self-project/_blank"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eastAsia="zh-CN"/>
        </w:rPr>
        <w:t>GLZC2024-C2-250191-GXGZ</w:t>
      </w:r>
      <w:r>
        <w:rPr>
          <w:rFonts w:hint="eastAsia" w:ascii="宋体" w:hAnsi="宋体" w:eastAsia="宋体" w:cs="宋体"/>
          <w:color w:val="auto"/>
          <w:sz w:val="21"/>
          <w:szCs w:val="21"/>
          <w:highlight w:val="none"/>
          <w:lang w:val="en-US" w:eastAsia="zh-CN"/>
        </w:rPr>
        <w:fldChar w:fldCharType="end"/>
      </w:r>
    </w:p>
    <w:p>
      <w:pPr>
        <w:pageBreakBefore w:val="0"/>
        <w:widowControl w:val="0"/>
        <w:kinsoku/>
        <w:wordWrap/>
        <w:overflowPunct/>
        <w:topLinePunct w:val="0"/>
        <w:bidi w:val="0"/>
        <w:snapToGrid/>
        <w:spacing w:line="380" w:lineRule="exact"/>
        <w:ind w:left="0" w:leftChars="0" w:firstLine="411" w:firstLineChars="196"/>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1.2本竞争性磋商文件（以下简称磋商文件）适用于本磋商项目的磋商、评审、合同履约、验收、付款等行为（法律、法规另有规定的，从其规定）。</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49" w:name="_Toc28336"/>
      <w:bookmarkStart w:id="50" w:name="_Toc2845"/>
      <w:r>
        <w:rPr>
          <w:rFonts w:hint="eastAsia" w:ascii="宋体" w:hAnsi="宋体" w:eastAsia="宋体" w:cs="宋体"/>
          <w:color w:val="auto"/>
          <w:sz w:val="21"/>
          <w:szCs w:val="21"/>
          <w:highlight w:val="none"/>
        </w:rPr>
        <w:t>2. 定义</w:t>
      </w:r>
      <w:bookmarkEnd w:id="49"/>
      <w:bookmarkEnd w:id="50"/>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2.1“供应商”是指符合本次采购项目的供应商资格并提交响应文件、参加磋商的供应商。如果该供应商在本次磋商中成交，即成为“成交供应商”。</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2.2“货物”系指按磋商文件规定，供应商须向采购人提供的一切设备、保险、税金、备品备件、工具、手册及其它有关技术资料和材料。</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2.3“服务”系指按磋商文件规定，供应商须承担的安装、调试、技术协助、校准、培训、技术指导以及其他类似的义务。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2.4“项目”系指供应商按磋商文件规定向采购人提供的货物和服务。</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2.5“书面形式”包括信函、传真、电报等。</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51" w:name="_Toc25441"/>
      <w:bookmarkStart w:id="52" w:name="_Toc13017"/>
      <w:r>
        <w:rPr>
          <w:rFonts w:hint="eastAsia" w:ascii="宋体" w:hAnsi="宋体" w:eastAsia="宋体" w:cs="宋体"/>
          <w:color w:val="auto"/>
          <w:sz w:val="21"/>
          <w:szCs w:val="21"/>
          <w:highlight w:val="none"/>
        </w:rPr>
        <w:t>3. 供应商资格</w:t>
      </w:r>
      <w:bookmarkEnd w:id="51"/>
      <w:bookmarkEnd w:id="52"/>
    </w:p>
    <w:p>
      <w:pPr>
        <w:pageBreakBefore w:val="0"/>
        <w:widowControl w:val="0"/>
        <w:kinsoku/>
        <w:wordWrap/>
        <w:overflowPunct/>
        <w:topLinePunct w:val="0"/>
        <w:bidi w:val="0"/>
        <w:snapToGrid/>
        <w:spacing w:line="380" w:lineRule="exact"/>
        <w:ind w:left="0" w:leftChars="0" w:firstLine="435"/>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3.1</w:t>
      </w:r>
      <w:r>
        <w:rPr>
          <w:rFonts w:hint="eastAsia" w:ascii="宋体" w:hAnsi="宋体" w:eastAsia="宋体" w:cs="宋体"/>
          <w:color w:val="auto"/>
          <w:sz w:val="21"/>
          <w:szCs w:val="21"/>
          <w:highlight w:val="none"/>
        </w:rPr>
        <w:t>满足《中华人民共和国政府采购法》第二十二条规定</w:t>
      </w:r>
      <w:r>
        <w:rPr>
          <w:rFonts w:hint="eastAsia" w:ascii="宋体" w:hAnsi="宋体" w:eastAsia="宋体" w:cs="宋体"/>
          <w:bCs/>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color w:val="auto"/>
          <w:sz w:val="21"/>
          <w:szCs w:val="21"/>
          <w:highlight w:val="none"/>
          <w:lang w:val="en-US" w:eastAsia="zh-CN"/>
        </w:rPr>
      </w:pPr>
      <w:bookmarkStart w:id="53" w:name="_Toc16496"/>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落实政府采购政策需满足的资格要求：</w:t>
      </w:r>
      <w:r>
        <w:rPr>
          <w:rFonts w:hint="eastAsia" w:ascii="宋体" w:hAnsi="宋体" w:eastAsia="宋体" w:cs="宋体"/>
          <w:color w:val="auto"/>
          <w:sz w:val="21"/>
          <w:szCs w:val="21"/>
          <w:highlight w:val="none"/>
          <w:lang w:eastAsia="zh-CN"/>
        </w:rPr>
        <w:t>本项目为</w:t>
      </w:r>
      <w:r>
        <w:rPr>
          <w:rFonts w:hint="eastAsia" w:ascii="宋体" w:hAnsi="宋体" w:eastAsia="宋体" w:cs="宋体"/>
          <w:color w:val="auto"/>
          <w:sz w:val="21"/>
          <w:szCs w:val="21"/>
          <w:highlight w:val="none"/>
        </w:rPr>
        <w:t>专门面向中小</w:t>
      </w:r>
      <w:r>
        <w:rPr>
          <w:rFonts w:hint="eastAsia" w:ascii="宋体" w:hAnsi="宋体" w:eastAsia="宋体" w:cs="宋体"/>
          <w:color w:val="auto"/>
          <w:sz w:val="21"/>
          <w:szCs w:val="21"/>
          <w:highlight w:val="none"/>
          <w:lang w:eastAsia="zh-CN"/>
        </w:rPr>
        <w:t>微</w:t>
      </w:r>
      <w:r>
        <w:rPr>
          <w:rFonts w:hint="eastAsia" w:ascii="宋体" w:hAnsi="宋体" w:eastAsia="宋体" w:cs="宋体"/>
          <w:color w:val="auto"/>
          <w:sz w:val="21"/>
          <w:szCs w:val="21"/>
          <w:highlight w:val="none"/>
        </w:rPr>
        <w:t>企业采购的项目（供应商应为中小微企业、监狱企业、残疾人福利性单位)</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bookmarkStart w:id="54" w:name="_Toc5736"/>
      <w:bookmarkStart w:id="55" w:name="_Toc3452"/>
      <w:bookmarkStart w:id="56" w:name="_Toc4527"/>
      <w:r>
        <w:rPr>
          <w:rFonts w:hint="eastAsia" w:ascii="宋体" w:hAnsi="宋体" w:eastAsia="宋体" w:cs="宋体"/>
          <w:b w:val="0"/>
          <w:bCs w:val="0"/>
          <w:color w:val="auto"/>
          <w:sz w:val="21"/>
          <w:szCs w:val="21"/>
          <w:highlight w:val="none"/>
          <w:lang w:val="en-US" w:eastAsia="zh-CN"/>
        </w:rPr>
        <w:t>3.3</w:t>
      </w:r>
      <w:r>
        <w:rPr>
          <w:rFonts w:hint="eastAsia" w:ascii="宋体" w:hAnsi="宋体" w:eastAsia="宋体" w:cs="宋体"/>
          <w:b w:val="0"/>
          <w:bCs w:val="0"/>
          <w:color w:val="auto"/>
          <w:sz w:val="21"/>
          <w:szCs w:val="21"/>
          <w:highlight w:val="none"/>
        </w:rPr>
        <w:t>本项目的特定资格要求：</w:t>
      </w:r>
      <w:bookmarkEnd w:id="54"/>
      <w:bookmarkEnd w:id="55"/>
      <w:bookmarkEnd w:id="56"/>
      <w:bookmarkStart w:id="57" w:name="_Toc9216"/>
      <w:r>
        <w:rPr>
          <w:rFonts w:hint="eastAsia" w:ascii="宋体" w:hAnsi="宋体" w:eastAsia="宋体" w:cs="宋体"/>
          <w:color w:val="auto"/>
          <w:sz w:val="21"/>
          <w:szCs w:val="21"/>
          <w:highlight w:val="none"/>
          <w:lang w:val="en-US" w:eastAsia="zh-CN"/>
        </w:rPr>
        <w:t>具备</w:t>
      </w:r>
      <w:r>
        <w:rPr>
          <w:rFonts w:hint="eastAsia" w:ascii="宋体" w:hAnsi="宋体" w:cs="宋体"/>
          <w:color w:val="auto"/>
          <w:sz w:val="21"/>
          <w:szCs w:val="21"/>
          <w:highlight w:val="none"/>
          <w:lang w:val="en-US" w:eastAsia="zh-CN"/>
        </w:rPr>
        <w:t>建筑工程施工总</w:t>
      </w:r>
      <w:r>
        <w:rPr>
          <w:rFonts w:hint="eastAsia" w:ascii="宋体" w:hAnsi="宋体" w:eastAsia="宋体" w:cs="宋体"/>
          <w:color w:val="auto"/>
          <w:sz w:val="21"/>
          <w:szCs w:val="21"/>
          <w:highlight w:val="none"/>
          <w:lang w:val="en-US" w:eastAsia="zh-CN"/>
        </w:rPr>
        <w:t>承包三级</w:t>
      </w:r>
      <w:r>
        <w:rPr>
          <w:rFonts w:hint="eastAsia" w:ascii="宋体" w:hAnsi="宋体" w:eastAsia="宋体" w:cs="宋体"/>
          <w:color w:val="auto"/>
          <w:sz w:val="21"/>
          <w:szCs w:val="21"/>
          <w:highlight w:val="none"/>
          <w:lang w:val="en-US" w:eastAsia="zh-CN"/>
        </w:rPr>
        <w:t>及以上资质，并在人员、设备、资金等方面具备相应的施工能力。供应商拟派项目经理须具有</w:t>
      </w:r>
      <w:r>
        <w:rPr>
          <w:rFonts w:hint="eastAsia" w:ascii="宋体" w:hAnsi="宋体" w:cs="宋体"/>
          <w:color w:val="auto"/>
          <w:sz w:val="21"/>
          <w:szCs w:val="21"/>
          <w:highlight w:val="none"/>
          <w:lang w:val="en-US" w:eastAsia="zh-CN"/>
        </w:rPr>
        <w:t>建筑工程</w:t>
      </w:r>
      <w:r>
        <w:rPr>
          <w:rFonts w:hint="eastAsia" w:ascii="宋体" w:hAnsi="宋体" w:eastAsia="宋体" w:cs="宋体"/>
          <w:color w:val="auto"/>
          <w:sz w:val="21"/>
          <w:szCs w:val="21"/>
          <w:highlight w:val="none"/>
          <w:lang w:val="en-US" w:eastAsia="zh-CN"/>
        </w:rPr>
        <w:t>专业二级及以上</w:t>
      </w:r>
      <w:r>
        <w:rPr>
          <w:rFonts w:hint="eastAsia" w:ascii="宋体" w:hAnsi="宋体" w:eastAsia="宋体" w:cs="宋体"/>
          <w:color w:val="auto"/>
          <w:sz w:val="21"/>
          <w:szCs w:val="21"/>
          <w:highlight w:val="none"/>
          <w:lang w:val="en-US" w:eastAsia="zh-CN"/>
        </w:rPr>
        <w:t>注册建造师和有</w:t>
      </w:r>
      <w:r>
        <w:rPr>
          <w:rFonts w:hint="eastAsia" w:ascii="宋体" w:hAnsi="宋体" w:eastAsia="宋体" w:cs="宋体"/>
          <w:color w:val="auto"/>
          <w:kern w:val="0"/>
          <w:sz w:val="21"/>
          <w:szCs w:val="21"/>
          <w:highlight w:val="none"/>
        </w:rPr>
        <w:t>效的安全生产考核合格证书（B类）</w:t>
      </w:r>
      <w:r>
        <w:rPr>
          <w:rFonts w:hint="eastAsia" w:ascii="宋体" w:hAnsi="宋体" w:eastAsia="宋体" w:cs="宋体"/>
          <w:color w:val="auto"/>
          <w:kern w:val="0"/>
          <w:sz w:val="21"/>
          <w:szCs w:val="21"/>
          <w:highlight w:val="none"/>
          <w:lang w:eastAsia="zh-CN"/>
        </w:rPr>
        <w:t>。</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磋商费用</w:t>
      </w:r>
      <w:bookmarkEnd w:id="53"/>
      <w:bookmarkEnd w:id="57"/>
    </w:p>
    <w:p>
      <w:pPr>
        <w:pageBreakBefore w:val="0"/>
        <w:widowControl w:val="0"/>
        <w:tabs>
          <w:tab w:val="left" w:pos="1635"/>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不论磋商结果如何，供应商均应自行承担所有与磋商有关的全部费用。</w:t>
      </w:r>
    </w:p>
    <w:p>
      <w:pPr>
        <w:pStyle w:val="4"/>
        <w:pageBreakBefore w:val="0"/>
        <w:widowControl w:val="0"/>
        <w:numPr>
          <w:ilvl w:val="0"/>
          <w:numId w:val="3"/>
        </w:numPr>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58" w:name="_Toc22877"/>
      <w:bookmarkStart w:id="59" w:name="_Toc31376"/>
      <w:r>
        <w:rPr>
          <w:rFonts w:hint="eastAsia" w:ascii="宋体" w:hAnsi="宋体" w:eastAsia="宋体" w:cs="宋体"/>
          <w:color w:val="auto"/>
          <w:sz w:val="21"/>
          <w:szCs w:val="21"/>
          <w:highlight w:val="none"/>
        </w:rPr>
        <w:t>联合体要求</w:t>
      </w:r>
      <w:bookmarkEnd w:id="58"/>
      <w:bookmarkEnd w:id="59"/>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本项目不接受联合体参与磋商</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60" w:name="_Toc18940"/>
      <w:bookmarkStart w:id="61" w:name="_Toc4152"/>
      <w:r>
        <w:rPr>
          <w:rFonts w:hint="eastAsia" w:ascii="宋体" w:hAnsi="宋体" w:eastAsia="宋体" w:cs="宋体"/>
          <w:color w:val="auto"/>
          <w:sz w:val="21"/>
          <w:szCs w:val="21"/>
          <w:highlight w:val="none"/>
        </w:rPr>
        <w:t>6. 质疑和投诉</w:t>
      </w:r>
      <w:bookmarkEnd w:id="60"/>
      <w:bookmarkEnd w:id="61"/>
      <w:r>
        <w:rPr>
          <w:rFonts w:hint="eastAsia" w:ascii="宋体" w:hAnsi="宋体" w:eastAsia="宋体" w:cs="宋体"/>
          <w:color w:val="auto"/>
          <w:sz w:val="21"/>
          <w:szCs w:val="21"/>
          <w:highlight w:val="none"/>
        </w:rPr>
        <w:tab/>
      </w:r>
    </w:p>
    <w:p>
      <w:pPr>
        <w:pageBreakBefore w:val="0"/>
        <w:widowControl w:val="0"/>
        <w:tabs>
          <w:tab w:val="left" w:pos="2190"/>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u w:val="none"/>
        </w:rPr>
      </w:pPr>
      <w:bookmarkStart w:id="62" w:name="_Toc26087"/>
      <w:bookmarkStart w:id="63" w:name="_Toc8195"/>
      <w:r>
        <w:rPr>
          <w:rFonts w:hint="eastAsia" w:ascii="宋体" w:hAnsi="宋体" w:eastAsia="宋体" w:cs="宋体"/>
          <w:color w:val="auto"/>
          <w:sz w:val="21"/>
          <w:szCs w:val="21"/>
          <w:highlight w:val="none"/>
          <w:u w:val="none"/>
        </w:rPr>
        <w:t>6.1供应对政府采购活动事项有疑问的，可以向采购人提出询问。</w:t>
      </w:r>
    </w:p>
    <w:p>
      <w:pPr>
        <w:pageBreakBefore w:val="0"/>
        <w:widowControl w:val="0"/>
        <w:tabs>
          <w:tab w:val="left" w:pos="2190"/>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6.2供应商认为磋商文件使自己的合法权益受到损害的，应当在竞争性磋商公告期限届满之日起七个工作日内，以书面形式向</w:t>
      </w:r>
      <w:r>
        <w:rPr>
          <w:rFonts w:hint="eastAsia" w:ascii="宋体" w:hAnsi="宋体" w:eastAsia="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采购代理机构提出质疑。供应商认为采购过程或成交结果使自己的合法权益受到损害的，应当在各采购程序环节结束之日起七个工作日内，以书面形式向</w:t>
      </w:r>
      <w:r>
        <w:rPr>
          <w:rFonts w:hint="eastAsia" w:ascii="宋体" w:hAnsi="宋体" w:eastAsia="宋体" w:cs="宋体"/>
          <w:color w:val="auto"/>
          <w:sz w:val="21"/>
          <w:szCs w:val="21"/>
          <w:highlight w:val="none"/>
          <w:u w:val="none"/>
          <w:lang w:eastAsia="zh-CN"/>
        </w:rPr>
        <w:t>本工程</w:t>
      </w:r>
      <w:r>
        <w:rPr>
          <w:rFonts w:hint="eastAsia" w:ascii="宋体" w:hAnsi="宋体" w:eastAsia="宋体" w:cs="宋体"/>
          <w:color w:val="auto"/>
          <w:sz w:val="21"/>
          <w:szCs w:val="21"/>
          <w:highlight w:val="none"/>
          <w:u w:val="none"/>
        </w:rPr>
        <w:t>采购代理机构提出质疑。采购代理机构应认真做好质疑处理工作。</w:t>
      </w:r>
    </w:p>
    <w:p>
      <w:pPr>
        <w:pageBreakBefore w:val="0"/>
        <w:widowControl w:val="0"/>
        <w:tabs>
          <w:tab w:val="left" w:pos="2190"/>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6.3供应商对采购代理机构的质疑答复不满意或者采购代理机构未在规定的时间内作出答复的，可以在答复期满后十五个工作日内向本级财政部门投诉。</w:t>
      </w:r>
    </w:p>
    <w:p>
      <w:pPr>
        <w:pageBreakBefore w:val="0"/>
        <w:widowControl w:val="0"/>
        <w:tabs>
          <w:tab w:val="left" w:pos="2190"/>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6.4质疑、投诉应当采用书面形式，质疑书、投诉书实行实名制，均应明确阐述磋商文件、采购过程或成交结果中使自己合法权益受到损害的实质性内容，提供相关事实、明确的请求，并提供必要的证明材料。质疑函格式详见附件。</w:t>
      </w:r>
    </w:p>
    <w:p>
      <w:pPr>
        <w:pageBreakBefore w:val="0"/>
        <w:widowControl w:val="0"/>
        <w:tabs>
          <w:tab w:val="left" w:pos="2190"/>
        </w:tabs>
        <w:kinsoku/>
        <w:wordWrap/>
        <w:overflowPunct/>
        <w:topLinePunct w:val="0"/>
        <w:bidi w:val="0"/>
        <w:snapToGrid/>
        <w:spacing w:line="380" w:lineRule="exact"/>
        <w:ind w:left="0" w:leftChars="0" w:firstLine="435"/>
        <w:textAlignment w:val="auto"/>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6.5质疑联系</w:t>
      </w:r>
      <w:bookmarkEnd w:id="62"/>
      <w:bookmarkEnd w:id="63"/>
      <w:r>
        <w:rPr>
          <w:rFonts w:hint="eastAsia" w:ascii="宋体" w:hAnsi="宋体" w:eastAsia="宋体" w:cs="宋体"/>
          <w:color w:val="auto"/>
          <w:sz w:val="21"/>
          <w:szCs w:val="21"/>
          <w:highlight w:val="none"/>
          <w:u w:val="none"/>
          <w:lang w:eastAsia="zh-CN"/>
        </w:rPr>
        <w:t>方式，详见磋商公告。</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64" w:name="_Toc5032"/>
      <w:bookmarkStart w:id="65" w:name="_Toc6998"/>
      <w:r>
        <w:rPr>
          <w:rFonts w:hint="eastAsia" w:ascii="宋体" w:hAnsi="宋体" w:eastAsia="宋体" w:cs="宋体"/>
          <w:color w:val="auto"/>
          <w:sz w:val="21"/>
          <w:szCs w:val="21"/>
          <w:highlight w:val="none"/>
        </w:rPr>
        <w:t>7. 转包与分包</w:t>
      </w:r>
      <w:bookmarkEnd w:id="64"/>
      <w:bookmarkEnd w:id="65"/>
    </w:p>
    <w:p>
      <w:pPr>
        <w:pageBreakBefore w:val="0"/>
        <w:widowControl w:val="0"/>
        <w:tabs>
          <w:tab w:val="left" w:pos="2190"/>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sz w:val="21"/>
          <w:szCs w:val="21"/>
          <w:highlight w:val="none"/>
        </w:rPr>
        <w:t>7</w:t>
      </w:r>
      <w:r>
        <w:rPr>
          <w:rFonts w:hint="eastAsia" w:ascii="宋体" w:hAnsi="宋体" w:eastAsia="宋体" w:cs="宋体"/>
          <w:color w:val="auto"/>
          <w:kern w:val="0"/>
          <w:sz w:val="21"/>
          <w:szCs w:val="21"/>
          <w:highlight w:val="none"/>
          <w:shd w:val="clear" w:color="auto" w:fill="FFFFFF"/>
        </w:rPr>
        <w:t>.1本项目不允许转包。</w:t>
      </w:r>
    </w:p>
    <w:p>
      <w:pPr>
        <w:pageBreakBefore w:val="0"/>
        <w:widowControl w:val="0"/>
        <w:tabs>
          <w:tab w:val="left" w:pos="2190"/>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rPr>
      </w:pPr>
      <w:r>
        <w:rPr>
          <w:rFonts w:hint="eastAsia" w:ascii="宋体" w:hAnsi="宋体" w:eastAsia="宋体" w:cs="宋体"/>
          <w:color w:val="auto"/>
          <w:kern w:val="0"/>
          <w:sz w:val="21"/>
          <w:szCs w:val="21"/>
          <w:highlight w:val="none"/>
          <w:shd w:val="clear" w:color="auto" w:fill="FFFFFF"/>
        </w:rPr>
        <w:t>7.2本项目不可以分包。</w:t>
      </w:r>
    </w:p>
    <w:p>
      <w:pPr>
        <w:pageBreakBefore w:val="0"/>
        <w:widowControl w:val="0"/>
        <w:tabs>
          <w:tab w:val="left" w:pos="2190"/>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7.3本项目不允许挂靠。</w:t>
      </w:r>
    </w:p>
    <w:p>
      <w:pPr>
        <w:pageBreakBefore w:val="0"/>
        <w:widowControl w:val="0"/>
        <w:tabs>
          <w:tab w:val="left" w:pos="2190"/>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kern w:val="0"/>
          <w:sz w:val="21"/>
          <w:szCs w:val="21"/>
          <w:highlight w:val="none"/>
          <w:shd w:val="clear" w:color="auto" w:fill="FFFFFF"/>
          <w:lang w:val="en-US" w:eastAsia="zh-CN"/>
        </w:rPr>
      </w:pPr>
      <w:r>
        <w:rPr>
          <w:rFonts w:hint="eastAsia" w:ascii="宋体" w:hAnsi="宋体" w:eastAsia="宋体" w:cs="宋体"/>
          <w:color w:val="auto"/>
          <w:kern w:val="0"/>
          <w:sz w:val="21"/>
          <w:szCs w:val="21"/>
          <w:highlight w:val="none"/>
          <w:shd w:val="clear" w:color="auto" w:fill="FFFFFF"/>
          <w:lang w:val="en-US" w:eastAsia="zh-CN"/>
        </w:rPr>
        <w:t>7.4如发现有以上行为，采购人有权终止合同，所有损失由成交供应商承担。</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66" w:name="_Toc3368"/>
      <w:bookmarkStart w:id="67" w:name="_Toc15097"/>
      <w:r>
        <w:rPr>
          <w:rFonts w:hint="eastAsia" w:ascii="宋体" w:hAnsi="宋体" w:eastAsia="宋体" w:cs="宋体"/>
          <w:color w:val="auto"/>
          <w:sz w:val="21"/>
          <w:szCs w:val="21"/>
          <w:highlight w:val="none"/>
        </w:rPr>
        <w:t>8. 特别说明</w:t>
      </w:r>
      <w:bookmarkEnd w:id="66"/>
      <w:bookmarkEnd w:id="67"/>
    </w:p>
    <w:p>
      <w:pPr>
        <w:pageBreakBefore w:val="0"/>
        <w:widowControl w:val="0"/>
        <w:tabs>
          <w:tab w:val="left" w:pos="1635"/>
        </w:tabs>
        <w:kinsoku/>
        <w:wordWrap/>
        <w:overflowPunct/>
        <w:topLinePunct w:val="0"/>
        <w:bidi w:val="0"/>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8.1关联供应商不得参加同一合同项下政府采购活动，否则响应文件将被视为无效：</w:t>
      </w:r>
    </w:p>
    <w:p>
      <w:pPr>
        <w:pageBreakBefore w:val="0"/>
        <w:widowControl w:val="0"/>
        <w:tabs>
          <w:tab w:val="left" w:pos="1635"/>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（1）单位负责人为同一人或者存在直接控股、管理关系的，不得参加同一合同项下的政府采购活动。</w:t>
      </w:r>
    </w:p>
    <w:p>
      <w:pPr>
        <w:pageBreakBefore w:val="0"/>
        <w:widowControl w:val="0"/>
        <w:tabs>
          <w:tab w:val="left" w:pos="1635"/>
        </w:tabs>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）为本采购项目提供整体设计、规范编制或者项目管理、监理、检测等服务的供应商，不得再参加本次采购活动。</w:t>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68" w:name="_Toc5168"/>
      <w:bookmarkStart w:id="69" w:name="_Toc29496"/>
      <w:bookmarkStart w:id="70" w:name="_Toc22498"/>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二、磋商文件</w:t>
      </w:r>
      <w:bookmarkEnd w:id="68"/>
      <w:bookmarkEnd w:id="69"/>
      <w:bookmarkEnd w:id="70"/>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lang w:val="pt-BR"/>
        </w:rPr>
      </w:pPr>
      <w:bookmarkStart w:id="71" w:name="_Toc18964"/>
      <w:bookmarkStart w:id="72" w:name="_Toc20057"/>
      <w:r>
        <w:rPr>
          <w:rFonts w:hint="eastAsia" w:ascii="宋体" w:hAnsi="宋体" w:eastAsia="宋体" w:cs="宋体"/>
          <w:color w:val="auto"/>
          <w:sz w:val="21"/>
          <w:szCs w:val="21"/>
          <w:highlight w:val="none"/>
          <w:lang w:val="pt-BR"/>
        </w:rPr>
        <w:t xml:space="preserve">9. </w:t>
      </w:r>
      <w:r>
        <w:rPr>
          <w:rFonts w:hint="eastAsia" w:ascii="宋体" w:hAnsi="宋体" w:eastAsia="宋体" w:cs="宋体"/>
          <w:color w:val="auto"/>
          <w:sz w:val="21"/>
          <w:szCs w:val="21"/>
          <w:highlight w:val="none"/>
        </w:rPr>
        <w:t>磋商文件的构成</w:t>
      </w:r>
      <w:bookmarkEnd w:id="71"/>
      <w:bookmarkEnd w:id="72"/>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（1）竞争性磋商公告；</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（2）供应商须知；</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（3）工程量清单</w:t>
      </w:r>
      <w:r>
        <w:rPr>
          <w:rFonts w:hint="eastAsia" w:ascii="宋体" w:hAnsi="宋体" w:eastAsia="宋体" w:cs="宋体"/>
          <w:bCs/>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（4）评审办法；</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（5）采购合同（合同主要条款及格式）；</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（6）响应文件（格式）</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bookmarkStart w:id="73" w:name="_Toc9103"/>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图纸。</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74" w:name="_Toc17932"/>
      <w:r>
        <w:rPr>
          <w:rFonts w:hint="eastAsia" w:ascii="宋体" w:hAnsi="宋体" w:eastAsia="宋体" w:cs="宋体"/>
          <w:color w:val="auto"/>
          <w:sz w:val="21"/>
          <w:szCs w:val="21"/>
          <w:highlight w:val="none"/>
        </w:rPr>
        <w:t>10. 磋商文件的澄清与修改</w:t>
      </w:r>
      <w:bookmarkEnd w:id="73"/>
      <w:bookmarkEnd w:id="74"/>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 提交首次响应文件截止之日前，采购代理机构可以对已发出的磋商文件进行必要澄清、答复、修改或补充，澄清或者修改的内容可能影响响应文件编制的，澄清或者修改的内容作为磋商文件的组成部分。采购代理机构应当在提交首次响应文件递交截止时间</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前在本项目竞争性磋商公告发布的同一媒体上发布更正公告，不足</w:t>
      </w:r>
      <w:r>
        <w:rPr>
          <w:rFonts w:hint="eastAsia" w:ascii="宋体" w:hAnsi="宋体" w:eastAsia="宋体" w:cs="宋体"/>
          <w:b/>
          <w:bCs/>
          <w:color w:val="auto"/>
          <w:sz w:val="21"/>
          <w:szCs w:val="21"/>
          <w:highlight w:val="none"/>
        </w:rPr>
        <w:t>五日</w:t>
      </w:r>
      <w:r>
        <w:rPr>
          <w:rFonts w:hint="eastAsia" w:ascii="宋体" w:hAnsi="宋体" w:eastAsia="宋体" w:cs="宋体"/>
          <w:color w:val="auto"/>
          <w:sz w:val="21"/>
          <w:szCs w:val="21"/>
          <w:highlight w:val="none"/>
        </w:rPr>
        <w:t>的，应当顺延首次响应文件递交截止时间。</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10.2</w:t>
      </w:r>
      <w:r>
        <w:rPr>
          <w:rFonts w:hint="eastAsia" w:ascii="宋体" w:hAnsi="宋体" w:eastAsia="宋体" w:cs="宋体"/>
          <w:b/>
          <w:bCs/>
          <w:color w:val="auto"/>
          <w:sz w:val="21"/>
          <w:szCs w:val="21"/>
          <w:highlight w:val="none"/>
        </w:rPr>
        <w:t>供应商应实时关注本项目信息公告发布媒体相关网站了解澄清、修改等与项目有关的内容，如因供应商未及时登录相关网站了解澄清、修改等与项目有关的内容，从而导致响应文件无效的，由供应商自行承担责任。</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10.3澄清或者修改的内容为磋商文件的组成部分。当澄清或者修改通知就同一内容的表述不一致时，以最后发出的文件为准。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 磋商文件的澄清或者修改都应该通过本项目采购代理机构以法定形式发布，采购人非通过本机构，不得擅自澄清或者修改磋商文件。</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10.5采购单位可以视采购具体情况，延长响应文件截止时间和磋商时间，在本项目竞争性磋商公告发布的同一媒体上发布变更公告。</w:t>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75" w:name="_Toc26857"/>
      <w:bookmarkStart w:id="76" w:name="_Toc17820"/>
      <w:bookmarkStart w:id="77" w:name="_Toc20830"/>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三、竞争性磋商响应文件的编制</w:t>
      </w:r>
      <w:bookmarkEnd w:id="75"/>
      <w:bookmarkEnd w:id="76"/>
      <w:bookmarkEnd w:id="77"/>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b/>
          <w:color w:val="auto"/>
          <w:sz w:val="21"/>
          <w:szCs w:val="21"/>
          <w:highlight w:val="none"/>
          <w:lang w:val="en-US" w:eastAsia="zh-CN"/>
        </w:rPr>
      </w:pPr>
      <w:bookmarkStart w:id="78" w:name="_Toc19747"/>
      <w:r>
        <w:rPr>
          <w:rFonts w:hint="eastAsia" w:ascii="宋体" w:hAnsi="宋体" w:eastAsia="宋体" w:cs="宋体"/>
          <w:b/>
          <w:color w:val="auto"/>
          <w:sz w:val="21"/>
          <w:szCs w:val="21"/>
          <w:highlight w:val="none"/>
          <w:lang w:val="en-US" w:eastAsia="zh-CN"/>
        </w:rPr>
        <w:t>11.竞争性磋商响应文件编制基本要求</w:t>
      </w:r>
      <w:bookmarkEnd w:id="78"/>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11.1 本项目实行电子响应，供应商应准备电子磋商响应文件：</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 xml:space="preserve">11.1.1  电子响应文件按广西政府采购云平台要求及本磋商文件要求制作、加密并递交。具体操作流程可参考《政府采购项目电子交易管理操作指南-供应商》，指南可在广西政府采购网（访问地址http://zfcg.gxzf.gov.cn/）—办事服务—下载专区下载。  </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竞争性磋商响应文件（以下简称响应文件）的组成及要求</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2.1</w:t>
      </w:r>
      <w:r>
        <w:rPr>
          <w:rFonts w:hint="eastAsia" w:ascii="宋体" w:hAnsi="宋体" w:eastAsia="宋体" w:cs="宋体"/>
          <w:b/>
          <w:bCs/>
          <w:color w:val="auto"/>
          <w:sz w:val="21"/>
          <w:szCs w:val="21"/>
          <w:highlight w:val="none"/>
        </w:rPr>
        <w:t>响应文件组成【格式见第六章“响应文件（格式）”】</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1.1</w:t>
      </w:r>
      <w:r>
        <w:rPr>
          <w:rFonts w:hint="eastAsia" w:ascii="宋体" w:hAnsi="宋体" w:eastAsia="宋体" w:cs="宋体"/>
          <w:b/>
          <w:bCs/>
          <w:color w:val="auto"/>
          <w:sz w:val="21"/>
          <w:szCs w:val="21"/>
          <w:highlight w:val="none"/>
        </w:rPr>
        <w:t>资格性响应证明材料：</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的授权委托书原件、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b/>
          <w:bCs/>
          <w:color w:val="auto"/>
          <w:sz w:val="21"/>
          <w:szCs w:val="21"/>
          <w:highlight w:val="none"/>
          <w:lang w:eastAsia="zh-CN"/>
        </w:rPr>
        <w:t>。</w:t>
      </w:r>
      <w:r>
        <w:rPr>
          <w:rFonts w:hint="eastAsia" w:ascii="宋体" w:hAnsi="宋体" w:eastAsia="宋体" w:cs="宋体"/>
          <w:color w:val="auto"/>
          <w:sz w:val="21"/>
          <w:szCs w:val="21"/>
          <w:highlight w:val="none"/>
        </w:rPr>
        <w:t>除供应商为以下三种情形的：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①如供应商为截标时间前60日以内成立的公司，可以提供供应商与委托代理人签订的劳动合同复印件代替社保证明复印件；</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②如供应商为事业单位，可以提供事业单位机构编制管理证复印件或事业单位机构为其发放工资的工资条复印件代替社保证明复印件；</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③如委托代理人为免缴纳社保人员，提供免缴纳社保的证明材料复印件及供应商与委托代理人签订的劳动合同复印件代替社保证明复印件。</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【属自然人的应提供由县级以上（含县级）社会养老保险经办机构出具的自然人本人及委托代理人所交纳的响应文件递交截止时间前半年内任意连续三个月社保证明复印件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sz w:val="21"/>
          <w:szCs w:val="21"/>
          <w:highlight w:val="none"/>
        </w:rPr>
        <w:t>供应商的法人或者其他组织营业执照等证明文件复印件</w:t>
      </w:r>
      <w:r>
        <w:rPr>
          <w:rFonts w:hint="eastAsia" w:ascii="宋体" w:hAnsi="宋体" w:eastAsia="宋体" w:cs="宋体"/>
          <w:b/>
          <w:bCs/>
          <w:color w:val="auto"/>
          <w:sz w:val="21"/>
          <w:szCs w:val="21"/>
          <w:highlight w:val="none"/>
        </w:rPr>
        <w:t>（必须提供，自然人除外）；</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供应商为事业单位，应提供有效的“事业单位法人证书”；供应商为非企业专业服务机构的，应提供执业许可证等证明文件；供应商为个体工商户，应提供有效的“个体工商户营业执照”。</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（5）</w:t>
      </w:r>
      <w:r>
        <w:rPr>
          <w:rFonts w:hint="eastAsia" w:ascii="宋体" w:hAnsi="宋体" w:eastAsia="宋体" w:cs="宋体"/>
          <w:bCs/>
          <w:color w:val="auto"/>
          <w:kern w:val="0"/>
          <w:sz w:val="21"/>
          <w:szCs w:val="21"/>
          <w:highlight w:val="none"/>
          <w:lang w:val="en-US" w:eastAsia="zh-CN"/>
        </w:rPr>
        <w:t>供应商有效的资质证书复印件（必须提供）；</w:t>
      </w:r>
    </w:p>
    <w:p>
      <w:pPr>
        <w:pageBreakBefore w:val="0"/>
        <w:widowControl w:val="0"/>
        <w:numPr>
          <w:ilvl w:val="0"/>
          <w:numId w:val="0"/>
        </w:numPr>
        <w:kinsoku/>
        <w:wordWrap/>
        <w:overflowPunct/>
        <w:topLinePunct w:val="0"/>
        <w:bidi w:val="0"/>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（6）</w:t>
      </w:r>
      <w:r>
        <w:rPr>
          <w:rFonts w:hint="eastAsia" w:ascii="宋体" w:hAnsi="宋体" w:eastAsia="宋体" w:cs="宋体"/>
          <w:bCs/>
          <w:color w:val="auto"/>
          <w:kern w:val="0"/>
          <w:sz w:val="21"/>
          <w:szCs w:val="21"/>
          <w:highlight w:val="none"/>
          <w:lang w:val="en-US" w:eastAsia="zh-CN" w:bidi="ar-SA"/>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bidi="ar-SA"/>
        </w:rPr>
        <w:t>（必须提供其中一项）</w:t>
      </w:r>
      <w:r>
        <w:rPr>
          <w:rFonts w:hint="eastAsia" w:ascii="宋体" w:hAnsi="宋体" w:eastAsia="宋体" w:cs="宋体"/>
          <w:b/>
          <w:bCs w:val="0"/>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bidi="ar-SA"/>
        </w:rPr>
        <w:t>（7）</w:t>
      </w:r>
      <w:r>
        <w:rPr>
          <w:rFonts w:hint="eastAsia" w:ascii="宋体" w:hAnsi="宋体" w:eastAsia="宋体" w:cs="宋体"/>
          <w:bCs/>
          <w:color w:val="auto"/>
          <w:kern w:val="0"/>
          <w:sz w:val="21"/>
          <w:szCs w:val="21"/>
          <w:highlight w:val="none"/>
          <w:lang w:val="en-US" w:eastAsia="zh-CN"/>
        </w:rPr>
        <w:t>供应商有效的安全生产许可证书复印件</w:t>
      </w:r>
      <w:r>
        <w:rPr>
          <w:rFonts w:hint="eastAsia" w:ascii="宋体" w:hAnsi="宋体" w:eastAsia="宋体" w:cs="宋体"/>
          <w:b/>
          <w:bCs w:val="0"/>
          <w:color w:val="auto"/>
          <w:kern w:val="0"/>
          <w:sz w:val="21"/>
          <w:szCs w:val="21"/>
          <w:highlight w:val="none"/>
          <w:lang w:val="en-US" w:eastAsia="zh-CN"/>
        </w:rPr>
        <w:t>（必须提供）；</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sz w:val="21"/>
          <w:szCs w:val="21"/>
          <w:highlight w:val="none"/>
          <w:lang w:val="en-US" w:eastAsia="zh-CN"/>
        </w:rPr>
        <w:t>供应商2022年度财务状况报告复印件</w:t>
      </w:r>
      <w:r>
        <w:rPr>
          <w:rFonts w:hint="eastAsia" w:ascii="宋体" w:hAnsi="宋体" w:eastAsia="宋体" w:cs="宋体"/>
          <w:b/>
          <w:bCs/>
          <w:color w:val="auto"/>
          <w:sz w:val="21"/>
          <w:szCs w:val="21"/>
          <w:highlight w:val="none"/>
          <w:lang w:val="en-US" w:eastAsia="zh-CN"/>
        </w:rPr>
        <w:t>（必须提供，可以是磋商供应商自行编制也可是通过第三方审计公司编制，如为自行编制至少须提供现金流量表、负债表及利润表；对于从取得营业执照时间起到投标截止时间为止不足要求年数的企业，只需提交企业取得营业执照年份至所要求最近年份经审计的财务报表，若是投标当年成立的企业，其财务报表不要求经审计）</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（9）</w:t>
      </w:r>
      <w:r>
        <w:rPr>
          <w:rFonts w:hint="eastAsia" w:ascii="宋体" w:hAnsi="宋体" w:eastAsia="宋体" w:cs="宋体"/>
          <w:color w:val="auto"/>
          <w:sz w:val="21"/>
          <w:szCs w:val="21"/>
          <w:highlight w:val="none"/>
        </w:rPr>
        <w:t>供应商近半年内任意一个月或任一季度依法缴纳税收的证明材料</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增值税</w:t>
      </w:r>
      <w:r>
        <w:rPr>
          <w:rFonts w:hint="eastAsia" w:ascii="宋体" w:hAnsi="宋体" w:eastAsia="宋体" w:cs="宋体"/>
          <w:color w:val="auto"/>
          <w:sz w:val="21"/>
          <w:szCs w:val="21"/>
          <w:highlight w:val="none"/>
          <w:lang w:eastAsia="zh-CN"/>
        </w:rPr>
        <w:t>缴纳</w:t>
      </w:r>
      <w:r>
        <w:rPr>
          <w:rFonts w:hint="eastAsia" w:ascii="宋体" w:hAnsi="宋体" w:eastAsia="宋体" w:cs="宋体"/>
          <w:color w:val="auto"/>
          <w:sz w:val="21"/>
          <w:szCs w:val="21"/>
          <w:highlight w:val="none"/>
        </w:rPr>
        <w:t>发票(税收完税证明)或企业所得税完税证明或税务部门出具的免税证明</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复印件</w:t>
      </w:r>
      <w:r>
        <w:rPr>
          <w:rFonts w:hint="eastAsia" w:ascii="宋体" w:hAnsi="宋体" w:eastAsia="宋体" w:cs="宋体"/>
          <w:b/>
          <w:bCs/>
          <w:color w:val="auto"/>
          <w:sz w:val="21"/>
          <w:szCs w:val="21"/>
          <w:highlight w:val="none"/>
        </w:rPr>
        <w:t>（必须提供）。</w:t>
      </w:r>
    </w:p>
    <w:p>
      <w:pPr>
        <w:pStyle w:val="18"/>
        <w:keepNext w:val="0"/>
        <w:keepLines w:val="0"/>
        <w:pageBreakBefore w:val="0"/>
        <w:widowControl w:val="0"/>
        <w:kinsoku/>
        <w:wordWrap/>
        <w:overflowPunct/>
        <w:topLinePunct w:val="0"/>
        <w:autoSpaceDE/>
        <w:autoSpaceDN/>
        <w:bidi w:val="0"/>
        <w:adjustRightInd/>
        <w:snapToGrid/>
        <w:spacing w:after="0" w:line="380" w:lineRule="exact"/>
        <w:ind w:left="0" w:leftChars="0" w:firstLine="42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1.2</w:t>
      </w:r>
      <w:r>
        <w:rPr>
          <w:rFonts w:hint="eastAsia" w:ascii="宋体" w:hAnsi="宋体" w:eastAsia="宋体" w:cs="宋体"/>
          <w:b/>
          <w:bCs/>
          <w:color w:val="auto"/>
          <w:sz w:val="21"/>
          <w:szCs w:val="21"/>
          <w:highlight w:val="none"/>
        </w:rPr>
        <w:t>符合性响应证明材料：</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bookmarkStart w:id="79" w:name="_Toc16312"/>
      <w:bookmarkStart w:id="80" w:name="_Toc28932"/>
      <w:bookmarkStart w:id="81" w:name="_Toc2809"/>
      <w:r>
        <w:rPr>
          <w:rFonts w:hint="eastAsia" w:ascii="宋体" w:hAnsi="宋体" w:eastAsia="宋体" w:cs="宋体"/>
          <w:color w:val="auto"/>
          <w:sz w:val="21"/>
          <w:szCs w:val="21"/>
          <w:highlight w:val="none"/>
          <w:lang w:val="en-US"/>
        </w:rPr>
        <w:t>（1）响应函（格式见附件）</w:t>
      </w:r>
      <w:r>
        <w:rPr>
          <w:rFonts w:hint="eastAsia" w:ascii="宋体" w:hAnsi="宋体" w:eastAsia="宋体" w:cs="宋体"/>
          <w:b/>
          <w:bCs/>
          <w:color w:val="auto"/>
          <w:sz w:val="21"/>
          <w:szCs w:val="21"/>
          <w:highlight w:val="none"/>
          <w:lang w:val="en-US"/>
        </w:rPr>
        <w:t>（必须提供）</w:t>
      </w:r>
      <w:bookmarkEnd w:id="79"/>
      <w:r>
        <w:rPr>
          <w:rFonts w:hint="eastAsia" w:ascii="宋体" w:hAnsi="宋体" w:eastAsia="宋体" w:cs="宋体"/>
          <w:color w:val="auto"/>
          <w:sz w:val="21"/>
          <w:szCs w:val="21"/>
          <w:highlight w:val="none"/>
          <w:lang w:val="en-US" w:eastAsia="zh-CN"/>
        </w:rPr>
        <w:t>；</w:t>
      </w:r>
      <w:bookmarkEnd w:id="80"/>
      <w:bookmarkEnd w:id="81"/>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工程报价汇总表</w:t>
      </w:r>
      <w:r>
        <w:rPr>
          <w:rFonts w:hint="eastAsia" w:ascii="宋体" w:hAnsi="宋体" w:eastAsia="宋体" w:cs="宋体"/>
          <w:color w:val="auto"/>
          <w:sz w:val="21"/>
          <w:szCs w:val="21"/>
          <w:highlight w:val="none"/>
        </w:rPr>
        <w:t>（格式见附件）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lang w:val="en-US" w:eastAsia="zh-CN"/>
        </w:rPr>
        <w:t>3</w:t>
      </w:r>
      <w:r>
        <w:rPr>
          <w:rFonts w:hint="eastAsia" w:ascii="宋体" w:hAnsi="宋体" w:eastAsia="宋体" w:cs="宋体"/>
          <w:bCs/>
          <w:color w:val="auto"/>
          <w:kern w:val="0"/>
          <w:sz w:val="21"/>
          <w:szCs w:val="21"/>
          <w:highlight w:val="none"/>
          <w:lang w:eastAsia="zh-CN"/>
        </w:rPr>
        <w:t>）</w:t>
      </w:r>
      <w:r>
        <w:rPr>
          <w:rFonts w:hint="eastAsia" w:ascii="宋体" w:hAnsi="宋体" w:eastAsia="宋体" w:cs="宋体"/>
          <w:bCs/>
          <w:color w:val="auto"/>
          <w:kern w:val="0"/>
          <w:sz w:val="21"/>
          <w:szCs w:val="21"/>
          <w:highlight w:val="none"/>
        </w:rPr>
        <w:t>已标价工程量清单</w:t>
      </w:r>
      <w:r>
        <w:rPr>
          <w:rFonts w:hint="eastAsia" w:ascii="宋体" w:hAnsi="宋体" w:eastAsia="宋体" w:cs="宋体"/>
          <w:b/>
          <w:bCs w:val="0"/>
          <w:color w:val="auto"/>
          <w:kern w:val="0"/>
          <w:sz w:val="21"/>
          <w:szCs w:val="21"/>
          <w:highlight w:val="none"/>
        </w:rPr>
        <w:t>（必须提供）</w:t>
      </w:r>
      <w:r>
        <w:rPr>
          <w:rFonts w:hint="eastAsia" w:ascii="宋体" w:hAnsi="宋体" w:eastAsia="宋体" w:cs="宋体"/>
          <w:b w:val="0"/>
          <w:bCs/>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）拟投入本工程主要施工管理人员表</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cs="宋体"/>
          <w:b/>
          <w:bCs/>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担任本工程的项目经理简历表（应附相关证书、身份证复印件）</w:t>
      </w:r>
      <w:r>
        <w:rPr>
          <w:rFonts w:hint="eastAsia" w:ascii="宋体" w:hAnsi="宋体" w:eastAsia="宋体" w:cs="宋体"/>
          <w:b/>
          <w:bCs/>
          <w:color w:val="auto"/>
          <w:sz w:val="21"/>
          <w:szCs w:val="21"/>
          <w:highlight w:val="none"/>
        </w:rPr>
        <w:t>（必须提供）</w:t>
      </w:r>
      <w:r>
        <w:rPr>
          <w:rFonts w:hint="eastAsia" w:ascii="宋体" w:hAnsi="宋体" w:eastAsia="宋体" w:cs="宋体"/>
          <w:b w:val="0"/>
          <w:bCs w:val="0"/>
          <w:color w:val="auto"/>
          <w:sz w:val="21"/>
          <w:szCs w:val="21"/>
          <w:highlight w:val="none"/>
        </w:rPr>
        <w:t>；</w:t>
      </w:r>
    </w:p>
    <w:p>
      <w:pPr>
        <w:pageBreakBefore w:val="0"/>
        <w:widowControl w:val="0"/>
        <w:numPr>
          <w:ilvl w:val="0"/>
          <w:numId w:val="0"/>
        </w:numPr>
        <w:kinsoku/>
        <w:wordWrap/>
        <w:overflowPunct/>
        <w:topLinePunct w:val="0"/>
        <w:bidi w:val="0"/>
        <w:snapToGrid/>
        <w:spacing w:line="380" w:lineRule="exact"/>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施工组织设计方案</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 w:val="0"/>
          <w:bCs w:val="0"/>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lang w:val="en-US" w:eastAsia="zh-CN"/>
        </w:rPr>
        <w:t>工</w:t>
      </w:r>
      <w:r>
        <w:rPr>
          <w:rFonts w:hint="eastAsia" w:ascii="宋体" w:hAnsi="宋体" w:eastAsia="宋体" w:cs="宋体"/>
          <w:bCs/>
          <w:color w:val="auto"/>
          <w:kern w:val="0"/>
          <w:sz w:val="21"/>
          <w:szCs w:val="21"/>
          <w:highlight w:val="none"/>
        </w:rPr>
        <w:t>程完工服务承诺书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ascii="宋体" w:hAnsi="宋体" w:eastAsia="宋体" w:cs="宋体"/>
          <w:bCs/>
          <w:color w:val="auto"/>
          <w:kern w:val="0"/>
          <w:sz w:val="21"/>
          <w:szCs w:val="21"/>
          <w:highlight w:val="none"/>
        </w:rPr>
        <w:t>农民工工资保障金交纳与使用承诺书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w:t>
      </w:r>
      <w:r>
        <w:rPr>
          <w:rFonts w:hint="eastAsia" w:ascii="宋体" w:hAnsi="宋体" w:eastAsia="宋体" w:cs="宋体"/>
          <w:bCs/>
          <w:color w:val="auto"/>
          <w:kern w:val="0"/>
          <w:sz w:val="21"/>
          <w:szCs w:val="21"/>
          <w:highlight w:val="none"/>
          <w:lang w:val="en-US" w:eastAsia="zh-CN"/>
        </w:rPr>
        <w:t>9</w:t>
      </w:r>
      <w:r>
        <w:rPr>
          <w:rFonts w:hint="eastAsia" w:ascii="宋体" w:hAnsi="宋体" w:eastAsia="宋体" w:cs="宋体"/>
          <w:bCs/>
          <w:color w:val="auto"/>
          <w:kern w:val="0"/>
          <w:sz w:val="21"/>
          <w:szCs w:val="21"/>
          <w:highlight w:val="none"/>
        </w:rPr>
        <w:t>）城乡清洁工程渣土清运承诺书</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b/>
          <w:bCs/>
          <w:color w:val="auto"/>
          <w:sz w:val="21"/>
          <w:szCs w:val="21"/>
          <w:highlight w:val="none"/>
        </w:rPr>
        <w:t>）</w:t>
      </w:r>
      <w:r>
        <w:rPr>
          <w:rFonts w:hint="eastAsia" w:ascii="宋体" w:hAnsi="宋体" w:eastAsia="宋体" w:cs="宋体"/>
          <w:bCs/>
          <w:color w:val="auto"/>
          <w:kern w:val="0"/>
          <w:sz w:val="21"/>
          <w:szCs w:val="21"/>
          <w:highlight w:val="none"/>
          <w:lang w:eastAsia="zh-CN"/>
        </w:rPr>
        <w:t>。</w:t>
      </w:r>
    </w:p>
    <w:p>
      <w:pPr>
        <w:pStyle w:val="18"/>
        <w:pageBreakBefore w:val="0"/>
        <w:widowControl w:val="0"/>
        <w:kinsoku/>
        <w:wordWrap/>
        <w:overflowPunct/>
        <w:topLinePunct w:val="0"/>
        <w:bidi w:val="0"/>
        <w:snapToGrid/>
        <w:spacing w:line="380" w:lineRule="exact"/>
        <w:ind w:left="0" w:leftChars="0" w:firstLine="422"/>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11.</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1.3</w:t>
      </w:r>
      <w:r>
        <w:rPr>
          <w:rFonts w:hint="eastAsia" w:ascii="宋体" w:hAnsi="宋体" w:eastAsia="宋体" w:cs="宋体"/>
          <w:b/>
          <w:bCs/>
          <w:color w:val="auto"/>
          <w:sz w:val="21"/>
          <w:szCs w:val="21"/>
          <w:highlight w:val="none"/>
        </w:rPr>
        <w:t>其他有效证明材料</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年1月1日</w:t>
      </w:r>
      <w:r>
        <w:rPr>
          <w:rFonts w:hint="eastAsia" w:ascii="宋体" w:hAnsi="宋体" w:eastAsia="宋体" w:cs="宋体"/>
          <w:color w:val="auto"/>
          <w:sz w:val="21"/>
          <w:szCs w:val="21"/>
          <w:highlight w:val="none"/>
          <w:lang w:eastAsia="zh-CN"/>
        </w:rPr>
        <w:t>以来具有与本工程同类项目</w:t>
      </w:r>
      <w:r>
        <w:rPr>
          <w:rFonts w:hint="eastAsia" w:ascii="宋体" w:hAnsi="宋体" w:eastAsia="宋体" w:cs="宋体"/>
          <w:color w:val="auto"/>
          <w:sz w:val="21"/>
          <w:szCs w:val="21"/>
          <w:highlight w:val="none"/>
        </w:rPr>
        <w:t>业绩相关证明材料（无不良记录，以中标、成交通知书或签订的合同</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rPr>
        <w:t>）供应商可结合本项目的评审办法视自身情况自行提交其它相关证明材料。</w:t>
      </w:r>
    </w:p>
    <w:p>
      <w:pPr>
        <w:pageBreakBefore w:val="0"/>
        <w:widowControl w:val="0"/>
        <w:kinsoku/>
        <w:wordWrap/>
        <w:overflowPunct/>
        <w:topLinePunct w:val="0"/>
        <w:bidi w:val="0"/>
        <w:snapToGrid/>
        <w:spacing w:line="380" w:lineRule="exact"/>
        <w:ind w:left="0" w:leftChars="0" w:firstLine="42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供应商提供的以上相关证明材料属于“必须提供”的文件应加盖</w:t>
      </w:r>
      <w:r>
        <w:rPr>
          <w:rFonts w:hint="eastAsia" w:ascii="宋体" w:hAnsi="宋体" w:eastAsia="宋体" w:cs="宋体"/>
          <w:b/>
          <w:bCs/>
          <w:color w:val="auto"/>
          <w:sz w:val="21"/>
          <w:szCs w:val="21"/>
          <w:highlight w:val="none"/>
          <w:lang w:eastAsia="zh-CN"/>
        </w:rPr>
        <w:t>磋商供应商</w:t>
      </w:r>
      <w:r>
        <w:rPr>
          <w:rFonts w:hint="eastAsia" w:ascii="宋体" w:hAnsi="宋体" w:eastAsia="宋体" w:cs="宋体"/>
          <w:b/>
          <w:bCs/>
          <w:color w:val="auto"/>
          <w:sz w:val="21"/>
          <w:szCs w:val="21"/>
          <w:highlight w:val="none"/>
        </w:rPr>
        <w:t>CA签章，否则</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val="en-US" w:eastAsia="zh-CN"/>
        </w:rPr>
        <w:t xml:space="preserve">3 </w:t>
      </w:r>
      <w:r>
        <w:rPr>
          <w:rFonts w:hint="eastAsia" w:ascii="宋体" w:hAnsi="宋体" w:eastAsia="宋体" w:cs="宋体"/>
          <w:color w:val="auto"/>
          <w:sz w:val="21"/>
          <w:szCs w:val="21"/>
          <w:highlight w:val="none"/>
        </w:rPr>
        <w:t>供应商应按竞争性磋商文件第六章“响应文件（格式）”编制响应文件。</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特别说明：</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（1）响</w:t>
      </w:r>
      <w:r>
        <w:rPr>
          <w:rFonts w:hint="eastAsia" w:ascii="宋体" w:hAnsi="宋体" w:eastAsia="宋体" w:cs="宋体"/>
          <w:b/>
          <w:color w:val="auto"/>
          <w:sz w:val="21"/>
          <w:szCs w:val="21"/>
          <w:highlight w:val="none"/>
        </w:rPr>
        <w:t>应文件（电子响应文件），其中电子响应文件中所须加盖公章部分均采用CA签章。若磋商文件中有专门标注的某关联点，并要求供应商在电子</w:t>
      </w:r>
      <w:r>
        <w:rPr>
          <w:rFonts w:hint="eastAsia" w:ascii="宋体" w:hAnsi="宋体" w:eastAsia="宋体" w:cs="宋体"/>
          <w:b/>
          <w:color w:val="auto"/>
          <w:sz w:val="21"/>
          <w:szCs w:val="21"/>
          <w:highlight w:val="none"/>
          <w:lang w:eastAsia="zh-CN"/>
        </w:rPr>
        <w:t>响应</w:t>
      </w:r>
      <w:r>
        <w:rPr>
          <w:rFonts w:hint="eastAsia" w:ascii="宋体" w:hAnsi="宋体" w:eastAsia="宋体" w:cs="宋体"/>
          <w:b/>
          <w:color w:val="auto"/>
          <w:sz w:val="21"/>
          <w:szCs w:val="21"/>
          <w:highlight w:val="none"/>
        </w:rPr>
        <w:t>系统中作出磋商响应的，如供应商未对关联点进行响应或者在响应文件其它内容进行描述，造成电子评审不能查询的责任由供应商自行承担。</w:t>
      </w:r>
    </w:p>
    <w:p>
      <w:pPr>
        <w:pageBreakBefore w:val="0"/>
        <w:widowControl w:val="0"/>
        <w:numPr>
          <w:ilvl w:val="0"/>
          <w:numId w:val="0"/>
        </w:numPr>
        <w:kinsoku/>
        <w:wordWrap/>
        <w:overflowPunct/>
        <w:topLinePunct w:val="0"/>
        <w:bidi w:val="0"/>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2"/>
          <w:sz w:val="21"/>
          <w:szCs w:val="21"/>
          <w:highlight w:val="none"/>
          <w:lang w:val="en-US" w:eastAsia="zh-CN" w:bidi="ar-SA"/>
        </w:rPr>
        <w:t>（2）</w:t>
      </w:r>
      <w:r>
        <w:rPr>
          <w:rFonts w:hint="eastAsia" w:ascii="宋体" w:hAnsi="宋体" w:eastAsia="宋体" w:cs="宋体"/>
          <w:b/>
          <w:bCs/>
          <w:color w:val="auto"/>
          <w:sz w:val="21"/>
          <w:szCs w:val="21"/>
          <w:highlight w:val="none"/>
          <w:lang w:eastAsia="zh-CN"/>
        </w:rPr>
        <w:t>磋商文件</w:t>
      </w:r>
      <w:r>
        <w:rPr>
          <w:rFonts w:hint="eastAsia" w:ascii="宋体" w:hAnsi="宋体" w:eastAsia="宋体" w:cs="宋体"/>
          <w:b/>
          <w:bCs/>
          <w:color w:val="auto"/>
          <w:sz w:val="21"/>
          <w:szCs w:val="21"/>
          <w:highlight w:val="none"/>
        </w:rPr>
        <w:t>要求法定代表人（负责人）或委托代理人签字的部分必须签字然后扫描或者拍照做成 pdf 格式上传</w:t>
      </w:r>
      <w:r>
        <w:rPr>
          <w:rFonts w:hint="eastAsia" w:ascii="宋体" w:hAnsi="宋体" w:eastAsia="宋体" w:cs="宋体"/>
          <w:b/>
          <w:bCs/>
          <w:color w:val="auto"/>
          <w:sz w:val="21"/>
          <w:szCs w:val="21"/>
          <w:highlight w:val="none"/>
          <w:lang w:eastAsia="zh-CN"/>
        </w:rPr>
        <w:t>（或加盖个人</w:t>
      </w:r>
      <w:r>
        <w:rPr>
          <w:rFonts w:hint="eastAsia" w:ascii="宋体" w:hAnsi="宋体" w:eastAsia="宋体" w:cs="宋体"/>
          <w:b/>
          <w:bCs/>
          <w:color w:val="auto"/>
          <w:sz w:val="21"/>
          <w:szCs w:val="21"/>
          <w:highlight w:val="none"/>
          <w:lang w:val="en-US" w:eastAsia="zh-CN"/>
        </w:rPr>
        <w:t>CA签章</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，无签字的视为</w:t>
      </w:r>
      <w:r>
        <w:rPr>
          <w:rFonts w:hint="eastAsia" w:ascii="宋体" w:hAnsi="宋体" w:eastAsia="宋体" w:cs="宋体"/>
          <w:b/>
          <w:bCs/>
          <w:color w:val="auto"/>
          <w:sz w:val="21"/>
          <w:szCs w:val="21"/>
          <w:highlight w:val="none"/>
          <w:lang w:val="en-US" w:eastAsia="zh-CN"/>
        </w:rPr>
        <w:t>响应</w:t>
      </w:r>
      <w:r>
        <w:rPr>
          <w:rFonts w:hint="eastAsia" w:ascii="宋体" w:hAnsi="宋体" w:eastAsia="宋体" w:cs="宋体"/>
          <w:b/>
          <w:bCs/>
          <w:color w:val="auto"/>
          <w:sz w:val="21"/>
          <w:szCs w:val="21"/>
          <w:highlight w:val="none"/>
        </w:rPr>
        <w:t>无效。</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82" w:name="_Toc2180"/>
      <w:bookmarkStart w:id="83" w:name="_Toc13660"/>
      <w:r>
        <w:rPr>
          <w:rFonts w:hint="eastAsia" w:ascii="宋体" w:hAnsi="宋体" w:eastAsia="宋体" w:cs="宋体"/>
          <w:color w:val="auto"/>
          <w:sz w:val="21"/>
          <w:szCs w:val="21"/>
          <w:highlight w:val="none"/>
        </w:rPr>
        <w:t>12. 响应文件的语言及计量</w:t>
      </w:r>
      <w:bookmarkEnd w:id="82"/>
      <w:bookmarkEnd w:id="83"/>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12.1 响应文件以及供应商与采购代理机构就有关磋商事宜的所有来往函电，均应以中文汉语书写。供应商提交的支持文件和印刷的文献可以使用别的语言，但其相应内容必须附有中文翻译文本，在解释响应文件时以中文翻译文本为主。</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 磋商计量单位，磋商文件已有明确规定的，使用磋商文件规定的计量单位；磋商文件没有规定的，应采用中华人民共和国法定计量单位（货币单位：人民币元），否则视同未响应。</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84" w:name="_Toc10838"/>
      <w:bookmarkStart w:id="85" w:name="_Toc3058"/>
      <w:r>
        <w:rPr>
          <w:rFonts w:hint="eastAsia" w:ascii="宋体" w:hAnsi="宋体" w:eastAsia="宋体" w:cs="宋体"/>
          <w:color w:val="auto"/>
          <w:sz w:val="21"/>
          <w:szCs w:val="21"/>
          <w:highlight w:val="none"/>
        </w:rPr>
        <w:t>13. 磋商报价及采购预算金额</w:t>
      </w:r>
      <w:bookmarkEnd w:id="84"/>
      <w:bookmarkEnd w:id="85"/>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13.1、磋商总报价应按采购文件中相关附表格式填写。</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13.2、磋商供应商必须就磋商文件所有内容作完整唯一报价，否则，其磋商将被拒绝。响应文件只允许有一个报价，有选择的或有条件的报价将不予接受。</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13.3、磋商总报价包括本项目采购范围内一切服务价款的总和；供应商综合考虑在报价中。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13.4、响应文件中磋商总报价的大写金额和小写金额不一致的，以大写金额为准；总价金额与按单价汇总金额不一致的，以单价金额计算结果为准；单价金额小数点明显错位的，应以总价为准，并修改单价；对不同文字文本响应文件的解释发生异议的，以中文文本为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按上述勘误修正原则及方法调整或修正响应文件的磋商报价，供应商需签字确认。</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13.5、未书面退出磋商的供应商在规定时间内提交最后报价，其最后报价超出采购预算金额导致已通过评审的响应文件无效的，按供应商在提交响应文件截止时间后撤回响应文件处理。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13.6、最后磋商总报价超出本项目采购预算总金额的将被视为无效磋商。</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13.7、磋商总报价应包括本次采购范围内提供的服务、技术费、人工费、保险、税金、培训、版权费等全部费用，磋商供应商综合考虑在报价中。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13.8、工程量清单报价表中所报的单价和合价，以及报价汇总表中的价格应包括施工设备（含脚手架）、主要材料、辅助材料、安装（如工程量清单中未列所安装设备则包含所安装设备的采购）、垃圾清运、劳务、管理、维护、保险、利润、增值税、政策性文件规定及合同包含的所有风险、责任等各项应有费用。</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13.9、磋商供应商应按磋商文件提供的工程量清单计算工程项目的综合单价和合价。清单中的每一项均需计算填写综合单价和合价，磋商供应商没有填写综合单价和合价的项目将不予支付，并认为此项费用已包括在清单的其他综合单价和合价中。磋商供应商在清单中多报的细目或单价、合价或总额价发包人将不予支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13.10、磋商供应商应对磋商文件中清单所列的各项内容和要求作实质性响应。</w:t>
      </w:r>
    </w:p>
    <w:p>
      <w:pPr>
        <w:keepNext w:val="0"/>
        <w:keepLines w:val="0"/>
        <w:pageBreakBefore w:val="0"/>
        <w:widowControl w:val="0"/>
        <w:kinsoku/>
        <w:wordWrap/>
        <w:overflowPunct/>
        <w:topLinePunct w:val="0"/>
        <w:autoSpaceDE/>
        <w:autoSpaceDN/>
        <w:bidi w:val="0"/>
        <w:adjustRightInd/>
        <w:snapToGrid/>
        <w:spacing w:line="380" w:lineRule="exact"/>
        <w:ind w:left="0" w:leftChars="0" w:right="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13.11、磋商供应商应采用综合单价对工程量清单进行磋商，不得采用总价让利或以百分比让利等形式进行磋商。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供应商应在规定时间内在政采云系统上提交最后报价，超出</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设定的最后报价时限或其最后报价超出采购预算导致已通过评审的响应文件无效的，按供应商在提交响应文件截止时间后撤回响应文件处理。</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86" w:name="_Toc26881"/>
      <w:bookmarkStart w:id="87" w:name="_Toc30554"/>
      <w:r>
        <w:rPr>
          <w:rFonts w:hint="eastAsia" w:ascii="宋体" w:hAnsi="宋体" w:eastAsia="宋体" w:cs="宋体"/>
          <w:color w:val="auto"/>
          <w:sz w:val="21"/>
          <w:szCs w:val="21"/>
          <w:highlight w:val="none"/>
        </w:rPr>
        <w:t>14. 响应文件有效期</w:t>
      </w:r>
      <w:bookmarkEnd w:id="86"/>
      <w:bookmarkEnd w:id="87"/>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 响应文件有效期：响应文件递交截止时间之日起90天，有效期不足的响应文件将被拒绝。</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出现特殊情况下，需要延长响应文件有效期的，采购代理机构</w:t>
      </w:r>
      <w:r>
        <w:rPr>
          <w:rFonts w:hint="eastAsia" w:ascii="宋体" w:hAnsi="宋体" w:eastAsia="宋体" w:cs="宋体"/>
          <w:color w:val="auto"/>
          <w:sz w:val="21"/>
          <w:szCs w:val="21"/>
          <w:highlight w:val="none"/>
          <w:lang w:eastAsia="zh-CN"/>
        </w:rPr>
        <w:t>书面</w:t>
      </w:r>
      <w:r>
        <w:rPr>
          <w:rFonts w:hint="eastAsia" w:ascii="宋体" w:hAnsi="宋体" w:eastAsia="宋体" w:cs="宋体"/>
          <w:color w:val="auto"/>
          <w:sz w:val="21"/>
          <w:szCs w:val="21"/>
          <w:highlight w:val="none"/>
        </w:rPr>
        <w:t>通知供应商延长响应文件有效期。供应商同意延长的，但不能修改响应文件。供应商拒绝延长的，其响应文件无效。</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88" w:name="_Toc20698"/>
      <w:bookmarkStart w:id="89" w:name="_Toc22602"/>
      <w:r>
        <w:rPr>
          <w:rFonts w:hint="eastAsia" w:ascii="宋体" w:hAnsi="宋体" w:eastAsia="宋体" w:cs="宋体"/>
          <w:color w:val="auto"/>
          <w:sz w:val="21"/>
          <w:szCs w:val="21"/>
          <w:highlight w:val="none"/>
        </w:rPr>
        <w:t>15. 保证金</w:t>
      </w:r>
      <w:bookmarkEnd w:id="88"/>
      <w:bookmarkEnd w:id="89"/>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本项目无需缴纳磋商保证金。</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lang w:eastAsia="zh-CN"/>
        </w:rPr>
      </w:pPr>
      <w:bookmarkStart w:id="90" w:name="_Toc387"/>
      <w:bookmarkStart w:id="91" w:name="_Toc30118"/>
      <w:r>
        <w:rPr>
          <w:rFonts w:hint="eastAsia" w:ascii="宋体" w:hAnsi="宋体" w:eastAsia="宋体" w:cs="宋体"/>
          <w:color w:val="auto"/>
          <w:sz w:val="21"/>
          <w:szCs w:val="21"/>
          <w:highlight w:val="none"/>
        </w:rPr>
        <w:t>16. 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w:t>
      </w:r>
      <w:bookmarkEnd w:id="90"/>
      <w:r>
        <w:rPr>
          <w:rFonts w:hint="eastAsia" w:ascii="宋体" w:hAnsi="宋体" w:eastAsia="宋体" w:cs="宋体"/>
          <w:color w:val="auto"/>
          <w:sz w:val="21"/>
          <w:szCs w:val="21"/>
          <w:highlight w:val="none"/>
          <w:lang w:eastAsia="zh-CN"/>
        </w:rPr>
        <w:t>制作</w:t>
      </w:r>
      <w:bookmarkEnd w:id="91"/>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16.1供应商制作电子响应文件前，应登陆“广西政府采购云平台”进行“申请获取采购文件”操作，否则，有可能导致无法在线编制响应文件并参与磋商，其不利后果由供应商自行承担。</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16.2供应商下载或获取竞争性磋商文件后，登录“广西政府采购云平台新版客户端”，按照本磋商文件规定的响应文件格式、顺序以及“广西政府采购云平台”平台的要求，通过“广西政府采购云平台新版客户端”编制电子响应文件。</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16.3 电子磋商响应文件中须加盖供应商公章部分均采用 CA 签章，并根据“政府采购项目电子交易管理操作指南-供应商”及本磋商文件规定的格式和顺序编制电子磋商响应文件并进行关联定位，以便磋商小组在评审时，点击评分项可直接定位到该评分项内容。如对磋商文件的某项要求，供应商的电子磋商响应文件未能关联定位提供相应的内容与其对应，则磋商小组在评审时如做出对供应商不利的评审由供应商自行承担。电子磋商响应文件如内容不完整、编排混乱导致磋商响应文件被误读、漏读，或者在按采购文件规定的部位查找不到相关内容的，由供应商自行承担。</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16.4供应商法人（负责人）或授权代表持有广西政府采购云平台个人CA签章的，应在响应文件中涉及到签字的位置使用个人CA签章，没有办理广西政府采购云平台个人CA签章的可在响应文件中涉及到签字的位置手写签字后扫描或者拍照做成 PDF 的格式上传即可。</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16.5 磋商响应文件不得涂改，若有修改错漏处，须法定代表人（负责人）或授权委托人签字（或个人CA签章）。磋商响应文件因字迹潦草或表达不清所引起的后果由供应商负责。</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16.6磋商前准备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16.6.1本项目实行在线磋商，采用电子磋商响应文件。若供应商参与磋商，自行承担磋商一切费用。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 xml:space="preserve">16.6.2各供应商应在截标前应确保成为广西政府采购云平台正式注册入库供应商，并完成 CA 数字证书申领和绑定。因未注册入库、未办理 CA 数字证书等原因造成无法磋商或磋商失败等后果由供应商自行承担。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16.6.3供应商将广西政府采购云平台新版客户端下载、安装完成后，可通过账号密码或 CA 登录客户端进行响应文件制作。客户端请至网站下载专区查看，如有问题可拨打广西政府采购云平台客户服务热线95763进行咨询。</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92" w:name="_Toc9738"/>
      <w:r>
        <w:rPr>
          <w:rFonts w:hint="eastAsia" w:ascii="宋体" w:hAnsi="宋体" w:eastAsia="宋体" w:cs="宋体"/>
          <w:color w:val="auto"/>
          <w:sz w:val="21"/>
          <w:szCs w:val="21"/>
          <w:highlight w:val="none"/>
        </w:rPr>
        <w:t>17. 响应文件的修改和撤回</w:t>
      </w:r>
      <w:bookmarkEnd w:id="92"/>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17.1 </w:t>
      </w:r>
      <w:r>
        <w:rPr>
          <w:rFonts w:hint="eastAsia" w:ascii="宋体" w:hAnsi="宋体" w:eastAsia="宋体" w:cs="宋体"/>
          <w:color w:val="auto"/>
          <w:sz w:val="21"/>
          <w:szCs w:val="21"/>
          <w:highlight w:val="none"/>
          <w:lang w:eastAsia="zh-CN"/>
        </w:rPr>
        <w:t>响应文件递交截止时间前可以撤回电子磋商响应文件。补充或者修改电子磋商响应文件的，应当先行撤回原文件，补充、修改后重新传输递交，磋商响应文件递交截止时间前未完成传输的，视为撤回磋商响应文件。</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17.2 在响应文件递交截止时间后的响应文件有效期内，供应商不得撤回其响应文件。</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lang w:eastAsia="zh-CN"/>
        </w:rPr>
      </w:pPr>
      <w:bookmarkStart w:id="93" w:name="_Toc24690"/>
      <w:bookmarkStart w:id="94" w:name="_Toc30156"/>
      <w:r>
        <w:rPr>
          <w:rFonts w:hint="eastAsia" w:ascii="宋体" w:hAnsi="宋体" w:eastAsia="宋体" w:cs="宋体"/>
          <w:color w:val="auto"/>
          <w:sz w:val="21"/>
          <w:szCs w:val="21"/>
          <w:highlight w:val="none"/>
        </w:rPr>
        <w:t>18. 响应文件的递交</w:t>
      </w:r>
      <w:r>
        <w:rPr>
          <w:rFonts w:hint="eastAsia" w:ascii="宋体" w:hAnsi="宋体" w:eastAsia="宋体" w:cs="宋体"/>
          <w:color w:val="auto"/>
          <w:sz w:val="21"/>
          <w:szCs w:val="21"/>
          <w:highlight w:val="none"/>
          <w:lang w:eastAsia="zh-CN"/>
        </w:rPr>
        <w:t>和解密</w:t>
      </w:r>
      <w:bookmarkEnd w:id="93"/>
      <w:bookmarkEnd w:id="94"/>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18.1响应文件递交截止时间</w:t>
      </w:r>
      <w:r>
        <w:rPr>
          <w:rFonts w:hint="eastAsia" w:ascii="宋体" w:hAnsi="宋体" w:eastAsia="宋体" w:cs="宋体"/>
          <w:color w:val="auto"/>
          <w:sz w:val="21"/>
          <w:szCs w:val="21"/>
          <w:highlight w:val="none"/>
          <w:lang w:eastAsia="zh-CN"/>
        </w:rPr>
        <w:t>：于</w:t>
      </w:r>
      <w:r>
        <w:rPr>
          <w:rFonts w:hint="eastAsia" w:ascii="宋体" w:hAnsi="宋体" w:eastAsia="宋体" w:cs="宋体"/>
          <w:color w:val="auto"/>
          <w:sz w:val="21"/>
          <w:szCs w:val="21"/>
          <w:highlight w:val="none"/>
          <w:u w:val="single"/>
          <w:lang w:eastAsia="zh-CN"/>
        </w:rPr>
        <w:t>20</w:t>
      </w:r>
      <w:r>
        <w:rPr>
          <w:rFonts w:hint="eastAsia" w:ascii="宋体" w:hAnsi="宋体" w:eastAsia="宋体" w:cs="宋体"/>
          <w:color w:val="auto"/>
          <w:sz w:val="21"/>
          <w:szCs w:val="21"/>
          <w:highlight w:val="none"/>
          <w:u w:val="single"/>
          <w:lang w:val="en-US" w:eastAsia="zh-CN"/>
        </w:rPr>
        <w:t>24</w:t>
      </w:r>
      <w:r>
        <w:rPr>
          <w:rFonts w:hint="eastAsia" w:ascii="宋体" w:hAnsi="宋体" w:eastAsia="宋体" w:cs="宋体"/>
          <w:color w:val="auto"/>
          <w:sz w:val="21"/>
          <w:szCs w:val="21"/>
          <w:highlight w:val="none"/>
          <w:u w:val="single"/>
          <w:lang w:eastAsia="zh-CN"/>
        </w:rPr>
        <w:t>年</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lang w:eastAsia="zh-CN"/>
        </w:rPr>
        <w:t>月</w:t>
      </w:r>
      <w:r>
        <w:rPr>
          <w:rFonts w:hint="eastAsia" w:ascii="宋体" w:hAnsi="宋体" w:cs="宋体"/>
          <w:color w:val="auto"/>
          <w:sz w:val="21"/>
          <w:szCs w:val="21"/>
          <w:highlight w:val="none"/>
          <w:u w:val="single"/>
          <w:lang w:val="en-US" w:eastAsia="zh-CN"/>
        </w:rPr>
        <w:t xml:space="preserve">11 </w:t>
      </w:r>
      <w:r>
        <w:rPr>
          <w:rFonts w:hint="eastAsia" w:ascii="宋体" w:hAnsi="宋体" w:eastAsia="宋体" w:cs="宋体"/>
          <w:color w:val="auto"/>
          <w:sz w:val="21"/>
          <w:szCs w:val="21"/>
          <w:highlight w:val="none"/>
          <w:u w:val="single"/>
          <w:lang w:eastAsia="zh-CN"/>
        </w:rPr>
        <w:t>日</w:t>
      </w:r>
      <w:r>
        <w:rPr>
          <w:rFonts w:hint="eastAsia" w:ascii="宋体" w:hAnsi="宋体" w:cs="宋体"/>
          <w:color w:val="auto"/>
          <w:sz w:val="21"/>
          <w:szCs w:val="21"/>
          <w:highlight w:val="none"/>
          <w:u w:val="single"/>
          <w:lang w:val="en-US" w:eastAsia="zh-CN"/>
        </w:rPr>
        <w:t>9</w:t>
      </w:r>
      <w:r>
        <w:rPr>
          <w:rFonts w:hint="eastAsia" w:ascii="宋体" w:hAnsi="宋体" w:eastAsia="宋体" w:cs="宋体"/>
          <w:color w:val="auto"/>
          <w:sz w:val="21"/>
          <w:szCs w:val="21"/>
          <w:highlight w:val="none"/>
          <w:u w:val="single"/>
          <w:lang w:val="en-US" w:eastAsia="zh-CN"/>
        </w:rPr>
        <w:t>时30分</w:t>
      </w:r>
      <w:r>
        <w:rPr>
          <w:rFonts w:hint="eastAsia" w:ascii="宋体" w:hAnsi="宋体" w:eastAsia="宋体" w:cs="宋体"/>
          <w:color w:val="auto"/>
          <w:sz w:val="21"/>
          <w:szCs w:val="21"/>
          <w:highlight w:val="none"/>
          <w:u w:val="none"/>
          <w:lang w:val="en-US" w:eastAsia="zh-CN"/>
        </w:rPr>
        <w:t>之</w:t>
      </w:r>
      <w:r>
        <w:rPr>
          <w:rFonts w:hint="eastAsia" w:ascii="宋体" w:hAnsi="宋体" w:eastAsia="宋体" w:cs="宋体"/>
          <w:color w:val="auto"/>
          <w:sz w:val="21"/>
          <w:szCs w:val="21"/>
          <w:highlight w:val="none"/>
          <w:u w:val="none"/>
          <w:lang w:val="en-US" w:eastAsia="zh-CN"/>
        </w:rPr>
        <w:t>前将电子磋商响应文件上传到广西政府采购云平台。应按照本项目磋商文件和广西政府采购云平台的要求编制、加密传输磋商响应文件。供应商在使用系统进行响应的过程中遇到涉及平台使用的任何问题，可致电广西政府采购云平台技术支持热线咨询，联系方式：95763</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18.2磋商响应文件解密时间：截标时</w:t>
      </w:r>
      <w:r>
        <w:rPr>
          <w:rFonts w:hint="eastAsia" w:ascii="宋体" w:hAnsi="宋体" w:eastAsia="宋体" w:cs="宋体"/>
          <w:color w:val="auto"/>
          <w:sz w:val="21"/>
          <w:szCs w:val="21"/>
          <w:highlight w:val="none"/>
          <w:u w:val="none"/>
        </w:rPr>
        <w:t>间后30分钟内磋商供应商可以登录广西政府采购云平台，用“项目采购-开标评标”功能进行解密磋商文件。若磋商供应商在规定时间内无法解密或解密失败，可以以电子备份磋商响应文件作为依据</w:t>
      </w:r>
      <w:r>
        <w:rPr>
          <w:rFonts w:hint="eastAsia" w:ascii="宋体" w:hAnsi="宋体" w:eastAsia="宋体" w:cs="宋体"/>
          <w:b/>
          <w:bCs/>
          <w:color w:val="auto"/>
          <w:sz w:val="21"/>
          <w:szCs w:val="21"/>
          <w:highlight w:val="none"/>
          <w:u w:val="none"/>
        </w:rPr>
        <w:t>【在接到无法解密或解密失败的通知后，磋商供应商可根据自身实际情况按通知时要求的时间到桂林市公共资源交易中</w:t>
      </w:r>
      <w:r>
        <w:rPr>
          <w:rFonts w:hint="eastAsia" w:ascii="宋体" w:hAnsi="宋体" w:eastAsia="宋体" w:cs="宋体"/>
          <w:b/>
          <w:bCs/>
          <w:color w:val="auto"/>
          <w:sz w:val="21"/>
          <w:szCs w:val="21"/>
          <w:highlight w:val="none"/>
          <w:u w:val="none"/>
        </w:rPr>
        <w:t>心</w:t>
      </w:r>
      <w:r>
        <w:rPr>
          <w:rFonts w:hint="eastAsia" w:ascii="宋体" w:hAnsi="宋体" w:cs="宋体"/>
          <w:b/>
          <w:bCs/>
          <w:color w:val="auto"/>
          <w:sz w:val="21"/>
          <w:szCs w:val="21"/>
          <w:highlight w:val="none"/>
          <w:u w:val="single"/>
          <w:lang w:val="en-US" w:eastAsia="zh-CN"/>
        </w:rPr>
        <w:t xml:space="preserve"> 2 </w:t>
      </w:r>
      <w:r>
        <w:rPr>
          <w:rFonts w:hint="eastAsia" w:ascii="宋体" w:hAnsi="宋体" w:eastAsia="宋体" w:cs="宋体"/>
          <w:b/>
          <w:bCs/>
          <w:color w:val="auto"/>
          <w:sz w:val="21"/>
          <w:szCs w:val="21"/>
          <w:highlight w:val="none"/>
          <w:u w:val="none"/>
        </w:rPr>
        <w:t>号</w:t>
      </w:r>
      <w:r>
        <w:rPr>
          <w:rFonts w:hint="eastAsia" w:ascii="宋体" w:hAnsi="宋体" w:eastAsia="宋体" w:cs="宋体"/>
          <w:b/>
          <w:bCs/>
          <w:color w:val="auto"/>
          <w:sz w:val="21"/>
          <w:szCs w:val="21"/>
          <w:highlight w:val="none"/>
          <w:u w:val="none"/>
        </w:rPr>
        <w:t>开标室现场提交或以电子邮件的形式（以通知时所告知的电子邮箱地址为准）提交电子备份磋商响应文件】</w:t>
      </w:r>
      <w:r>
        <w:rPr>
          <w:rFonts w:hint="eastAsia" w:ascii="宋体" w:hAnsi="宋体" w:eastAsia="宋体" w:cs="宋体"/>
          <w:color w:val="auto"/>
          <w:sz w:val="21"/>
          <w:szCs w:val="21"/>
          <w:highlight w:val="none"/>
          <w:u w:val="none"/>
        </w:rPr>
        <w:t>，若磋商供应商在规定时间内无法解密或解密失败且未提供电子备份磋商响应文件的(包含提供的电子备份文件无效或无法解密的情况)，视为响应文件撤回</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18.3 除竞争性磋商文件另有规定外，供应商所递交的响应文件不予退还。</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18.4 </w:t>
      </w:r>
      <w:r>
        <w:rPr>
          <w:rFonts w:hint="eastAsia" w:ascii="宋体" w:hAnsi="宋体" w:eastAsia="宋体" w:cs="宋体"/>
          <w:color w:val="auto"/>
          <w:sz w:val="21"/>
          <w:szCs w:val="21"/>
          <w:highlight w:val="none"/>
        </w:rPr>
        <w:t>电子响应文件的相关说明</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（1）供应商进行电子</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应安装客户端软件，并按照采购文件和电子交易平台的要求编制并加密</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响应文件。供应商未按规定加密的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响应文件，电子交易平台将拒收。供应商应当在</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截止时间前完成</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响应文件的传输递交，并可以补充、修改或者撤回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响应文件。补充或者修改</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响应文件的，应当先行撤回原文件，补充、修改后重新传输递交。</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截止时间前未完成传输的，视为撤回</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响应文件。</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截止时间后递交的</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响应文件，电子交易平台将拒收。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（2）如有特殊情况，采购代理机构延长截止时间和开标时间，采购代理机构和供应商的权利和义务将受到新的截止时间和开标时间的约束。</w:t>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95" w:name="_Toc2433"/>
      <w:bookmarkStart w:id="96" w:name="_Toc5807"/>
      <w:bookmarkStart w:id="97" w:name="_Toc2647"/>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四、竞争性磋商（简称磋商）与评审</w:t>
      </w:r>
      <w:bookmarkEnd w:id="95"/>
      <w:bookmarkEnd w:id="96"/>
      <w:bookmarkEnd w:id="97"/>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98" w:name="_Toc31588"/>
      <w:bookmarkStart w:id="99" w:name="_Toc11021"/>
      <w:r>
        <w:rPr>
          <w:rFonts w:hint="eastAsia" w:ascii="宋体" w:hAnsi="宋体" w:eastAsia="宋体" w:cs="宋体"/>
          <w:color w:val="auto"/>
          <w:sz w:val="21"/>
          <w:szCs w:val="21"/>
          <w:highlight w:val="none"/>
        </w:rPr>
        <w:t>19. 磋商小组组成及磋商时间、地点、人员</w:t>
      </w:r>
      <w:bookmarkEnd w:id="98"/>
      <w:bookmarkEnd w:id="99"/>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19.1 磋商小组组成：</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磋商及评审工作由采购代理机构负责组织，具体磋商、评审工作由依法组建的磋商小组负责，磋商小组由采购人代表和有关方面的专家组成。磋商小组的构成：</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人，其中采购人代表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1 </w:t>
      </w:r>
      <w:r>
        <w:rPr>
          <w:rFonts w:hint="eastAsia" w:ascii="宋体" w:hAnsi="宋体" w:eastAsia="宋体" w:cs="宋体"/>
          <w:color w:val="auto"/>
          <w:sz w:val="21"/>
          <w:szCs w:val="21"/>
          <w:highlight w:val="none"/>
        </w:rPr>
        <w:t>人， 专家</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2 </w:t>
      </w:r>
      <w:r>
        <w:rPr>
          <w:rFonts w:hint="eastAsia" w:ascii="宋体" w:hAnsi="宋体" w:eastAsia="宋体" w:cs="宋体"/>
          <w:color w:val="auto"/>
          <w:sz w:val="21"/>
          <w:szCs w:val="21"/>
          <w:highlight w:val="none"/>
        </w:rPr>
        <w:t>人。</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19.2 磋商时间、地点、人员：</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bookmarkStart w:id="100" w:name="_Toc9878"/>
      <w:r>
        <w:rPr>
          <w:rFonts w:hint="eastAsia" w:ascii="宋体" w:hAnsi="宋体" w:eastAsia="宋体" w:cs="宋体"/>
          <w:color w:val="auto"/>
          <w:sz w:val="21"/>
          <w:szCs w:val="21"/>
          <w:highlight w:val="none"/>
        </w:rPr>
        <w:t>19.2.1磋商时间：响应文件递交截止时间后。</w:t>
      </w:r>
      <w:bookmarkEnd w:id="100"/>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bookmarkStart w:id="101" w:name="_Toc29268"/>
      <w:r>
        <w:rPr>
          <w:rFonts w:hint="eastAsia" w:ascii="宋体" w:hAnsi="宋体" w:eastAsia="宋体" w:cs="宋体"/>
          <w:color w:val="auto"/>
          <w:sz w:val="21"/>
          <w:szCs w:val="21"/>
          <w:highlight w:val="none"/>
          <w:lang w:val="en-US" w:eastAsia="zh-CN"/>
        </w:rPr>
        <w:t>19.2.2</w:t>
      </w:r>
      <w:bookmarkEnd w:id="101"/>
      <w:bookmarkStart w:id="102" w:name="_Toc21307"/>
      <w:r>
        <w:rPr>
          <w:rFonts w:hint="eastAsia" w:ascii="宋体" w:hAnsi="宋体" w:eastAsia="宋体" w:cs="宋体"/>
          <w:color w:val="auto"/>
          <w:sz w:val="21"/>
          <w:szCs w:val="21"/>
          <w:highlight w:val="none"/>
          <w:lang w:val="en-US" w:eastAsia="zh-CN"/>
        </w:rPr>
        <w:t>磋商地点</w:t>
      </w:r>
      <w:r>
        <w:rPr>
          <w:rFonts w:hint="eastAsia" w:ascii="宋体" w:hAnsi="宋体" w:eastAsia="宋体" w:cs="宋体"/>
          <w:color w:val="auto"/>
          <w:sz w:val="21"/>
          <w:szCs w:val="21"/>
          <w:highlight w:val="none"/>
        </w:rPr>
        <w:t>：供应商代表在响应文件提交当天实时登陆“广西政府采购云平台”，按磋商小组要求在线等候参与磋商及提交最后报价。因供应商未保持实时在线，导致磋商小组无法及时与其取得联系，从而造成供应商未按规定参与磋商或报价的，其不利后果由供应商自行承担</w:t>
      </w:r>
      <w:r>
        <w:rPr>
          <w:rFonts w:hint="eastAsia" w:ascii="宋体" w:hAnsi="宋体" w:eastAsia="宋体" w:cs="宋体"/>
          <w:color w:val="auto"/>
          <w:sz w:val="21"/>
          <w:szCs w:val="21"/>
          <w:highlight w:val="none"/>
          <w:lang w:eastAsia="zh-CN"/>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b w:val="0"/>
          <w:bCs/>
          <w:color w:val="auto"/>
          <w:sz w:val="21"/>
          <w:szCs w:val="21"/>
          <w:highlight w:val="none"/>
        </w:rPr>
        <w:t>.2.3磋商参加人员：供应商法定代表人、负责人、自然人或相应的委托代理人持有效身份证原件和供应商广西政府采购云平台CA数字证书参加磋商。请供应商实时登陆“广西政府采购云平台”等候在线磋商。</w:t>
      </w:r>
      <w:bookmarkEnd w:id="102"/>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val="0"/>
          <w:bCs/>
          <w:color w:val="auto"/>
          <w:sz w:val="21"/>
          <w:szCs w:val="21"/>
          <w:highlight w:val="none"/>
        </w:rPr>
      </w:pPr>
      <w:bookmarkStart w:id="103" w:name="_Toc6288"/>
      <w:r>
        <w:rPr>
          <w:rFonts w:hint="eastAsia" w:ascii="宋体" w:hAnsi="宋体" w:eastAsia="宋体" w:cs="宋体"/>
          <w:b w:val="0"/>
          <w:bCs/>
          <w:color w:val="auto"/>
          <w:sz w:val="21"/>
          <w:szCs w:val="21"/>
          <w:highlight w:val="none"/>
        </w:rPr>
        <w:t>19.2.4响应文件递交截止时间后，由磋商小组在评标室内线上开启响应文件。</w:t>
      </w:r>
      <w:bookmarkEnd w:id="103"/>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04" w:name="_Toc25258"/>
      <w:bookmarkStart w:id="105" w:name="_Toc21088"/>
      <w:r>
        <w:rPr>
          <w:rFonts w:hint="eastAsia" w:ascii="宋体" w:hAnsi="宋体" w:eastAsia="宋体" w:cs="宋体"/>
          <w:color w:val="auto"/>
          <w:sz w:val="21"/>
          <w:szCs w:val="21"/>
          <w:highlight w:val="none"/>
        </w:rPr>
        <w:t>20. 评审原则</w:t>
      </w:r>
      <w:bookmarkEnd w:id="104"/>
      <w:bookmarkEnd w:id="105"/>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 磋商小组必须坚持公平、公正、科学和择优的原则。</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 评审办法：综合评分法，具体详见第四章评审办法。</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 磋商小组应按磋商文件进行评审，不得擅自更改评审办法。</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20.4 在评审过程中，磋商小组任何人不得对某个供应商发表任何倾向性意见，不得向其他磋商小组成员明示或者暗示自己的评审意见。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20.5 磋商小组成员对需要共同认定的事项存在争议的，按照少数服从多数的原则作出结论。持不同意见的磋商小组成员应当在评审报告上签署不同意见并说明理由，否则视为同意。</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20.6 响应文件最后报价出现前后不一致的，除竞争性磋商文件另有规定外，按照下列规定修正：</w:t>
      </w:r>
    </w:p>
    <w:p>
      <w:pPr>
        <w:pStyle w:val="27"/>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响应文件中磋商报价表内容与响应文件中相应内容不一致的，以最后磋商报价表为准；</w:t>
      </w:r>
    </w:p>
    <w:p>
      <w:pPr>
        <w:pStyle w:val="27"/>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大写金额和小写金额不一致的，以大写金额为准；</w:t>
      </w:r>
    </w:p>
    <w:p>
      <w:pPr>
        <w:pStyle w:val="27"/>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单价金额小数点或者百分比有明显错位的，以报价表的总价为准，并修改单价；</w:t>
      </w:r>
    </w:p>
    <w:p>
      <w:pPr>
        <w:pStyle w:val="27"/>
        <w:keepNext w:val="0"/>
        <w:keepLines w:val="0"/>
        <w:pageBreakBefore w:val="0"/>
        <w:widowControl w:val="0"/>
        <w:tabs>
          <w:tab w:val="left" w:pos="1099"/>
        </w:tabs>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同时出现两种以上不一致的，按照前款规定的顺序修正。修正后的报价（不得超出响应文件的范围或者改变响应文件的实质性内容）经磋商供应商确认后产生约束力，磋商供应商不确认的，作无效响应处理。</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06" w:name="_Toc21012"/>
      <w:bookmarkStart w:id="107" w:name="_Toc27193"/>
      <w:r>
        <w:rPr>
          <w:rFonts w:hint="eastAsia" w:ascii="宋体" w:hAnsi="宋体" w:eastAsia="宋体" w:cs="宋体"/>
          <w:color w:val="auto"/>
          <w:sz w:val="21"/>
          <w:szCs w:val="21"/>
          <w:highlight w:val="none"/>
        </w:rPr>
        <w:t>21. 评审程序及磋商要求</w:t>
      </w:r>
      <w:bookmarkEnd w:id="106"/>
      <w:bookmarkEnd w:id="107"/>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21.1磋商小组成员的通讯工具或相关电子设备交由桂林市公共资源交易中心统一保管后到达评标室，采购 </w:t>
      </w:r>
    </w:p>
    <w:p>
      <w:pPr>
        <w:pageBreakBefore w:val="0"/>
        <w:widowControl w:val="0"/>
        <w:kinsoku/>
        <w:wordWrap/>
        <w:overflowPunct/>
        <w:topLinePunct w:val="0"/>
        <w:bidi w:val="0"/>
        <w:snapToGrid/>
        <w:spacing w:line="380" w:lineRule="exact"/>
        <w:ind w:left="0" w:left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代理机构核实磋商小组成员身份，告知回避要求，宣布评审工作纪律和程序，推选磋商小组组长。</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21.2磋商小组应当对发布公告的竞争性磋商文件（简称磋商文件）进行确认，审查供应商的响应文件并作出评价；要求供应商解释或者澄清其响应文件；编写评审报告；告知采购人、采购代理机构在评审过程中发现的供应商的违法违规行为。</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21.3 磋商小组依据竞争性磋商文件的规定，首先对响应文件进行资格性审查，以确定供应商是否具备本项 目供应商资格；再对通过资格性审查的供应商响应文件的有效性、完整性和对磋商文件的响应程度进行符合性 审查，以确定是否对磋商文件的实质性要求做出响应。 </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21.4 磋商小组在对供应商进行资格性审查时，将对供应商企业股东及出资等信息进行查询。根据 《 中华人民共和国政府采购法实施条例 》 第十八条第一款规定，审查中如发现供应商存在单位负责人为同一人或者存在直接控股、管理关系的不同供应商参加同一合同项下的政府采购活动的，按响应文件无效处理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21.4.1 查询渠道：《国家企业信用信息公示系统》（网址：www.gsxt.gov.cn/index.html）</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21.4.2 审查流程：</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（1）进入《国家企业信用信息公示系统》（网址：www.gsxt.gov.cn/index.html），输入企业名称，进入企业信息主页面；</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（2）查看主页“股东及出资信息”栏，或年报中的“股东及出资信息”栏信息；</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（3）将各供应商的股东及出资信息进行比对，得出审查结论；</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（4）将相关资料作为评审资料打印存档。</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21.5 磋商小组如发现供应商提供的证明文件不齐全或不符合规定格式的，应一次性告知供应商，供应商应在规定的时间内</w:t>
      </w:r>
      <w:r>
        <w:rPr>
          <w:rFonts w:hint="eastAsia" w:ascii="宋体" w:hAnsi="宋体" w:eastAsia="宋体" w:cs="宋体"/>
          <w:b/>
          <w:bCs/>
          <w:color w:val="auto"/>
          <w:sz w:val="21"/>
          <w:szCs w:val="21"/>
          <w:highlight w:val="none"/>
          <w:lang w:eastAsia="zh-CN"/>
        </w:rPr>
        <w:t>线上</w:t>
      </w:r>
      <w:r>
        <w:rPr>
          <w:rFonts w:hint="eastAsia" w:ascii="宋体" w:hAnsi="宋体" w:eastAsia="宋体" w:cs="宋体"/>
          <w:b/>
          <w:bCs/>
          <w:color w:val="auto"/>
          <w:sz w:val="21"/>
          <w:szCs w:val="21"/>
          <w:highlight w:val="none"/>
        </w:rPr>
        <w:t>补正或更正。</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21.6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澄清、说明或者更正应由其法定代表人或相应的授权委托代表签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个人CA签章)</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根据磋商文件规定的程序、评定成交的标准等事项与实质性响应竞争性磋商文件要求的供应商进行磋商。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未实质性响应磋商文件的响应文件按无效处理，磋商小组应当告知有关供应商。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磋商小组所有成员应当按已确定的磋商顺序集中与单一供应商分别进行磋商，并给予所有实质性响应竞争性磋商文件要求的供应商平等的磋商机会。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磋商中，磋商小组不得透露与磋商有关的其他供应商的技术资料、价格和其他信息。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磋商小组对磋商过程和重要磋商内容进行记录，磋商双方在记录上签字确认。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21.7当磋商小组一致确定磋商供应商的竞争性磋商响应文件能够详细列明采购标的的技术、服务要求且符合竞争性磋商文件要求，无需再磋商的，磋商小组按竞争性磋商文件设定的21.11、21.16程序和综合评分法确定成交候选人。第一轮磋商后竞争性磋商文件有实质性变动或仍需磋商的，磋商小组对竞争性磋商文件变动或提出磋商意见后进行第二轮磋商。</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21.8 在磋商过程中，磋商小组可以根据磋商文件和磋商情况实质性变动项目需求中的技术、服务要求以及合同草案条款，但不得变动磋商文件中的其他内容。实质性变动的内容，须经采购人代表确认。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对磋商文件作出的实质性变动是磋商文件的有效组成部分，磋商小组应当及时</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广西政府采购云平台</w:t>
      </w:r>
      <w:r>
        <w:rPr>
          <w:rFonts w:hint="eastAsia" w:ascii="宋体" w:hAnsi="宋体" w:eastAsia="宋体" w:cs="宋体"/>
          <w:color w:val="auto"/>
          <w:sz w:val="21"/>
          <w:szCs w:val="21"/>
          <w:highlight w:val="none"/>
          <w:lang w:eastAsia="zh-CN"/>
        </w:rPr>
        <w:t>同时</w:t>
      </w:r>
      <w:r>
        <w:rPr>
          <w:rFonts w:hint="eastAsia" w:ascii="宋体" w:hAnsi="宋体" w:eastAsia="宋体" w:cs="宋体"/>
          <w:color w:val="auto"/>
          <w:sz w:val="21"/>
          <w:szCs w:val="21"/>
          <w:highlight w:val="none"/>
        </w:rPr>
        <w:t xml:space="preserve">通知所有参加磋商的供应商。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供应商应当按照磋商文件的变动情况和磋商小组的要求重新提交响应文件，并由其法定代表人、负责人、</w:t>
      </w:r>
      <w:r>
        <w:rPr>
          <w:rFonts w:hint="eastAsia" w:ascii="宋体" w:hAnsi="宋体" w:eastAsia="宋体" w:cs="宋体"/>
          <w:color w:val="auto"/>
          <w:sz w:val="21"/>
          <w:szCs w:val="21"/>
          <w:highlight w:val="none"/>
          <w:lang w:eastAsia="zh-CN"/>
        </w:rPr>
        <w:t>自然人或相应的授权委托代表签字（个人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或者加盖供应商公章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 xml:space="preserve">。逾时不交的，视同放弃磋商。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21.9 第二轮磋商</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磋商小组集中就重新提交的响应文件或磋商小组提出的磋商意见与单一响应供应商分别进行磋商。磋商小组对磋商过程和重要磋商内容进行记录，磋商双方在记录上签字确认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CA签章确认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磋商后，供应商根据磋商小组统一整理的书面磋商记录要求做出书面承诺，并由其法定代表人或授权代表签字或者加盖公章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后按时</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lang w:val="en-US" w:eastAsia="zh-CN"/>
        </w:rPr>
        <w:t>提交</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当磋商小组一致确定供应商的竞争性磋商响应文件符合竞争性磋商文件要求，无需再磋商的，磋商小组按竞争性磋商文件设定的21.11、21.16程序和评审方法确定成交候选人。第二轮磋商后竞争性磋商文件仍有实质性变动的或仍需磋商的，磋商小组对竞争性磋商文件变动或提出磋商意见后进行第三轮磋商。以此类推。</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21.10 在采购过程中符合竞争要求的供应商或者报价未超过采购预算的供应商不足 3 家的，采购人或者采购代理机构应当终止竞争性磋商采购活动。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21.11 最后报价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21.11.1 磋商文件能够详细列明采购标的的质量要求的，磋商结束后，磋商小组应当要求所有继续参加磋商的供应商在规定时间内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提交最后报价，提交最后报价的供应商不得少于 3 家。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21.11.2 磋商文件不能详细列明采购标的的施工要求，需经磋商由供应商提供最终设计方案或解决方案的，磋商结束后，磋商小组应当按照少数服从多数的原则投票推荐 3 家以上（含 3 家）供应商的设计方案或者解决方案，并要求其在规定时间内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21.11.3</w:t>
      </w:r>
      <w:r>
        <w:rPr>
          <w:rFonts w:hint="eastAsia" w:ascii="宋体" w:hAnsi="宋体" w:eastAsia="宋体" w:cs="宋体"/>
          <w:color w:val="auto"/>
          <w:kern w:val="0"/>
          <w:sz w:val="21"/>
          <w:szCs w:val="21"/>
          <w:highlight w:val="none"/>
        </w:rPr>
        <w:t>最后报价（应答文件）是供应商响应文件的有效组成部分：</w:t>
      </w:r>
      <w:r>
        <w:rPr>
          <w:rFonts w:hint="eastAsia" w:ascii="宋体" w:hAnsi="宋体" w:eastAsia="宋体" w:cs="宋体"/>
          <w:b/>
          <w:color w:val="auto"/>
          <w:spacing w:val="-4"/>
          <w:sz w:val="21"/>
          <w:szCs w:val="21"/>
          <w:highlight w:val="none"/>
        </w:rPr>
        <w:t>供应商做最终报价时，如供应商维持磋商报价不变</w:t>
      </w:r>
      <w:r>
        <w:rPr>
          <w:rFonts w:hint="eastAsia" w:ascii="宋体" w:hAnsi="宋体" w:eastAsia="宋体" w:cs="宋体"/>
          <w:b/>
          <w:color w:val="auto"/>
          <w:spacing w:val="-4"/>
          <w:sz w:val="21"/>
          <w:szCs w:val="21"/>
          <w:highlight w:val="none"/>
          <w:lang w:eastAsia="zh-CN"/>
        </w:rPr>
        <w:t>，</w:t>
      </w:r>
      <w:r>
        <w:rPr>
          <w:rFonts w:hint="eastAsia" w:ascii="宋体" w:hAnsi="宋体" w:eastAsia="宋体" w:cs="宋体"/>
          <w:b/>
          <w:color w:val="auto"/>
          <w:spacing w:val="-4"/>
          <w:sz w:val="21"/>
          <w:szCs w:val="21"/>
          <w:highlight w:val="none"/>
        </w:rPr>
        <w:t>以原磋商报价作为供应商最后报价；供应商应预先准备好调整后的完整已标价的工程量清单。如供应商在磋商过程中，改变原报价且未按竞争性磋商文件要求提供调整后的磋商报价</w:t>
      </w:r>
      <w:r>
        <w:rPr>
          <w:rFonts w:hint="eastAsia" w:ascii="宋体" w:hAnsi="宋体" w:eastAsia="宋体" w:cs="宋体"/>
          <w:b/>
          <w:color w:val="auto"/>
          <w:spacing w:val="-4"/>
          <w:sz w:val="21"/>
          <w:szCs w:val="21"/>
          <w:highlight w:val="none"/>
          <w:lang w:eastAsia="zh-CN"/>
        </w:rPr>
        <w:t>电子</w:t>
      </w:r>
      <w:r>
        <w:rPr>
          <w:rFonts w:hint="eastAsia" w:ascii="宋体" w:hAnsi="宋体" w:eastAsia="宋体" w:cs="宋体"/>
          <w:b/>
          <w:color w:val="auto"/>
          <w:spacing w:val="-4"/>
          <w:sz w:val="21"/>
          <w:szCs w:val="21"/>
          <w:highlight w:val="none"/>
        </w:rPr>
        <w:t>版的，其报价不予认可，视供应商维持原磋商报价不变</w:t>
      </w:r>
      <w:r>
        <w:rPr>
          <w:rFonts w:hint="eastAsia" w:ascii="宋体" w:hAnsi="宋体" w:eastAsia="宋体" w:cs="宋体"/>
          <w:b/>
          <w:color w:val="auto"/>
          <w:sz w:val="21"/>
          <w:szCs w:val="21"/>
          <w:highlight w:val="none"/>
        </w:rPr>
        <w:t>。</w:t>
      </w:r>
      <w:r>
        <w:rPr>
          <w:rFonts w:hint="eastAsia" w:ascii="宋体" w:hAnsi="宋体" w:eastAsia="宋体" w:cs="宋体"/>
          <w:color w:val="auto"/>
          <w:spacing w:val="-4"/>
          <w:sz w:val="21"/>
          <w:szCs w:val="21"/>
          <w:highlight w:val="none"/>
        </w:rPr>
        <w:t>必须由供应商</w:t>
      </w:r>
      <w:r>
        <w:rPr>
          <w:rFonts w:hint="eastAsia" w:ascii="宋体" w:hAnsi="宋体" w:eastAsia="宋体" w:cs="宋体"/>
          <w:color w:val="auto"/>
          <w:sz w:val="21"/>
          <w:szCs w:val="21"/>
          <w:highlight w:val="none"/>
        </w:rPr>
        <w:t>加盖公章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pacing w:val="-4"/>
          <w:sz w:val="21"/>
          <w:szCs w:val="21"/>
          <w:highlight w:val="none"/>
        </w:rPr>
        <w:t>。</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 xml:space="preserve"> 根据《财政部关于政府采购竞争性磋商采购方式管理暂行办法有关问题的补充通知》</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的规定，如采购项目为政府购买服务项目（含政府和社会资本合作项目），在采购过程中符合要求的供应商（社会资本）只有 2 家的，竞争性磋商采购活动可以继续进行，并要求其在规定时间内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提交最后报价；采购过程中符合要求的供应商（社会资本）只有 1 家的，采购人或者采购代理机构应当终止竞争性磋商采购活动，发布项目终止公告并说明原因，重新开展采购活动。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21.11.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 xml:space="preserve"> 根据《政府采购竞争性磋商采购方式管理暂行办法》</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财库〔2014〕214 号</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的规定：</w:t>
      </w:r>
      <w:r>
        <w:rPr>
          <w:rFonts w:hint="eastAsia" w:ascii="宋体" w:hAnsi="宋体" w:eastAsia="宋体" w:cs="宋体"/>
          <w:b/>
          <w:bCs/>
          <w:color w:val="auto"/>
          <w:sz w:val="21"/>
          <w:szCs w:val="21"/>
          <w:highlight w:val="none"/>
        </w:rPr>
        <w:t xml:space="preserve">最后报价是供应商响应文件的有效组成部分。 </w:t>
      </w:r>
      <w:r>
        <w:rPr>
          <w:rFonts w:hint="eastAsia" w:ascii="宋体" w:hAnsi="宋体" w:eastAsia="宋体" w:cs="宋体"/>
          <w:color w:val="auto"/>
          <w:sz w:val="21"/>
          <w:szCs w:val="21"/>
          <w:highlight w:val="none"/>
        </w:rPr>
        <w:t>符合本办法(财库〔2014〕214号文)第三条第四项情形的，提交最后报价的供应商可以为2家。</w:t>
      </w:r>
      <w:r>
        <w:rPr>
          <w:rFonts w:hint="eastAsia" w:ascii="宋体" w:hAnsi="宋体" w:eastAsia="宋体" w:cs="宋体"/>
          <w:b/>
          <w:bCs/>
          <w:color w:val="auto"/>
          <w:sz w:val="21"/>
          <w:szCs w:val="21"/>
          <w:highlight w:val="none"/>
        </w:rPr>
        <w:t>（财库〔2014〕214号文第三条第四项：市场竞争不充分的科研项目，以及需要扶持的科技成果转化项目。）</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21.12 已提交响应文件的供应商，在提交最后报价之前，可以根据磋商情况书面退出磋商。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未书面退出磋商的供应商在规定时间内</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 xml:space="preserve">提交最后报价，其最后报价超出采购预算导致已通过评审的响应文件无效的，按供应商在提交响应文件截止时间后撤回响应文件处理。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21.13 评审报告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磋商小组应当从质量和服务均能满足磋商文件全部实质性响应要求的供应商中，按照最后综合得分由高到低的顺序提出 3 名以上（含 3 名）成交候选人，并编写评审报告。</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21.14 在评审过程中出现法律法规和磋商文件均没有明确规定的情形时，由磋商小组现场协商解决，协商不一致的，由全体磋商小组投票表决，以得票率二分之一以上磋商小组成员的意见为准。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21.15 采购代理机构发现磋商小组有明显的违规倾向或歧视现象，或不按评审办法进行，或其他不正常行为的，应当及时制止。如制止无效，应及时向政府采购监督管理机构报告。</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21.16 本采购项目的评审依据为竞争性磋商文件和竞争性磋商响应文件，采用的评审方法为</w:t>
      </w:r>
      <w:r>
        <w:rPr>
          <w:rFonts w:hint="eastAsia" w:ascii="宋体" w:hAnsi="宋体" w:eastAsia="宋体" w:cs="宋体"/>
          <w:b w:val="0"/>
          <w:bCs w:val="0"/>
          <w:color w:val="auto"/>
          <w:sz w:val="21"/>
          <w:szCs w:val="21"/>
          <w:highlight w:val="none"/>
        </w:rPr>
        <w:t>综合评分法。</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08" w:name="_Toc18722"/>
      <w:bookmarkStart w:id="109" w:name="_Toc32470"/>
      <w:r>
        <w:rPr>
          <w:rFonts w:hint="eastAsia" w:ascii="宋体" w:hAnsi="宋体" w:eastAsia="宋体" w:cs="宋体"/>
          <w:color w:val="auto"/>
          <w:sz w:val="21"/>
          <w:szCs w:val="21"/>
          <w:highlight w:val="none"/>
        </w:rPr>
        <w:t>22. 确定成交供应商</w:t>
      </w:r>
      <w:bookmarkEnd w:id="108"/>
      <w:bookmarkEnd w:id="109"/>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磋商小组应当根据综合得分情况，按照综合得分由高到低顺序推荐成交候选人，并编写评审报告。磋商小组根据综合得分由高到低排列次序，若得分相同时，以评审报价由低到高顺序排列；若得分相同且评审报价相同的，以最后报价由低到高顺序排列；若仍相同的，由磋商小组按照抽签的方式决定排列次序。</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22.2采购单位应当确定磋商小组推荐排名第一的成交候选人为成交供应商。</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排名第一的成交候选人放弃成交、因不可抗力提出不能履行合同，或信用信息记录不符合相关规定的，或者磋商文件规定应当提交履约保证金而在规定的期限内未能提交的（本项目免收履约保证金），采购单位可以确定排名第二的成交候选人为成交供应商。</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22.4排名第二的成交候选人因前款规定的同样原因不能签订合同的，采购单位可以确定排名第三的成交候选人为成交供应商。</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10" w:name="_Toc15332"/>
      <w:bookmarkStart w:id="111" w:name="_Toc21715"/>
      <w:r>
        <w:rPr>
          <w:rFonts w:hint="eastAsia" w:ascii="宋体" w:hAnsi="宋体" w:eastAsia="宋体" w:cs="宋体"/>
          <w:color w:val="auto"/>
          <w:sz w:val="21"/>
          <w:szCs w:val="21"/>
          <w:highlight w:val="none"/>
        </w:rPr>
        <w:t>23. 属于下列情况之一者，响应文件无效</w:t>
      </w:r>
      <w:bookmarkEnd w:id="110"/>
      <w:bookmarkEnd w:id="111"/>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（1）未按磋商文件规定完整</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提交响应文件或未按规定要求</w:t>
      </w:r>
      <w:r>
        <w:rPr>
          <w:rFonts w:hint="eastAsia" w:ascii="宋体" w:hAnsi="宋体" w:eastAsia="宋体" w:cs="宋体"/>
          <w:color w:val="auto"/>
          <w:sz w:val="21"/>
          <w:szCs w:val="21"/>
          <w:highlight w:val="none"/>
          <w:lang w:eastAsia="zh-CN"/>
        </w:rPr>
        <w:t>线上</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val="en-US" w:eastAsia="zh-CN"/>
        </w:rPr>
        <w:t>签章</w:t>
      </w:r>
      <w:r>
        <w:rPr>
          <w:rFonts w:hint="eastAsia" w:ascii="宋体" w:hAnsi="宋体" w:eastAsia="宋体" w:cs="宋体"/>
          <w:color w:val="auto"/>
          <w:sz w:val="21"/>
          <w:szCs w:val="21"/>
          <w:highlight w:val="none"/>
        </w:rPr>
        <w:t>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（2）不具备磋商文件规定的资格要求的；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在进行资格性审查时，磋商小组将进入《国家企业信用信息公示系统》对企业股东及出资等信息进行查询，对存在《中华人民共和国政府采购法实施条例》第十八条第一款情形的，即单位负责人为同一人或者存在直接控股、管理关系的不同供应商，不得参加同一合同项下的政府采购活动，其磋商文件将被视为无效文件；</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）响应文件未按磋商文件的内容和要求编制，或提供虚假材料的；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）响应文件有效期、质量要求、工期要求不能满足采购文件要求的；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）供应商未就工程量清单中的所有内容作完整唯一报价的；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）未在磋商小组规定的时间内提交响应文件(包括最后报价)的；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）超越了按照法律法规规定必须获得行政许可或者行政审批的经营范围的；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）未满足磋商文件实质性要求的或者响应文件有采购人不能接受的附加条件的；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）响应文件实质性要求未做变动，供应商最后报价高于第一次报价的；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）不符合法律、法规和磋商文件规定的其他实质性要求和条件的。</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供应商有下列情形之一的视为供应商相互串通磋商，响应文件将被视为无效</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（1）不同供应商的响应文件由同一单位或者个人编制；或不同供应商报名的IP地址一致的；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（2）不同供应商委托同一单位或者个人办理磋商事宜；</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（3）不同的供应商的响应文件载明的项目管理员为同一个人；</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（4）不同供应商的响应文件异常一致或竞标报价呈规律性差异；</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（5）不同供应商的响应文件相互混</w:t>
      </w:r>
      <w:r>
        <w:rPr>
          <w:rFonts w:hint="eastAsia" w:ascii="宋体" w:hAnsi="宋体" w:eastAsia="宋体" w:cs="宋体"/>
          <w:color w:val="auto"/>
          <w:sz w:val="21"/>
          <w:szCs w:val="21"/>
          <w:highlight w:val="none"/>
          <w:lang w:eastAsia="zh-CN"/>
        </w:rPr>
        <w:t>编</w:t>
      </w:r>
      <w:r>
        <w:rPr>
          <w:rFonts w:hint="eastAsia" w:ascii="宋体" w:hAnsi="宋体" w:eastAsia="宋体" w:cs="宋体"/>
          <w:color w:val="auto"/>
          <w:sz w:val="21"/>
          <w:szCs w:val="21"/>
          <w:highlight w:val="none"/>
        </w:rPr>
        <w:t>。</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12" w:name="_Toc27786"/>
      <w:bookmarkStart w:id="113" w:name="_Toc5714"/>
      <w:r>
        <w:rPr>
          <w:rFonts w:hint="eastAsia" w:ascii="宋体" w:hAnsi="宋体" w:eastAsia="宋体" w:cs="宋体"/>
          <w:color w:val="auto"/>
          <w:sz w:val="21"/>
          <w:szCs w:val="21"/>
          <w:highlight w:val="none"/>
        </w:rPr>
        <w:t>24. 出现下列情形之一的，采购人或者采购代理机构应当终止竞争性磋商采购活动，发布项目终止公告并说明原因，重新开展采购活动</w:t>
      </w:r>
      <w:bookmarkEnd w:id="112"/>
      <w:bookmarkEnd w:id="113"/>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（1）因情况变化，不再符合规定的竞争性磋商采购方式适用情形的；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（2）出现影响采购公正的违法、违规行为的； </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（3）在采购过程中符合竞争要求的供应商或者报价未超过采购预算的供应商不足3家的。</w:t>
      </w:r>
      <w:r>
        <w:rPr>
          <w:rFonts w:hint="eastAsia" w:ascii="宋体" w:hAnsi="宋体" w:eastAsia="宋体" w:cs="宋体"/>
          <w:b/>
          <w:bCs/>
          <w:color w:val="auto"/>
          <w:sz w:val="21"/>
          <w:szCs w:val="21"/>
          <w:highlight w:val="none"/>
        </w:rPr>
        <w:t xml:space="preserve">（除财库〔2014〕214 号《政府采购竞争性磋商采购方式管理暂行办法》第二十一条第三款规定的情形外） </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14" w:name="_Toc19910"/>
      <w:bookmarkStart w:id="115" w:name="_Toc19105"/>
      <w:r>
        <w:rPr>
          <w:rFonts w:hint="eastAsia" w:ascii="宋体" w:hAnsi="宋体" w:eastAsia="宋体" w:cs="宋体"/>
          <w:color w:val="auto"/>
          <w:sz w:val="21"/>
          <w:szCs w:val="21"/>
          <w:highlight w:val="none"/>
        </w:rPr>
        <w:t>25. 磋商过程的监控</w:t>
      </w:r>
      <w:bookmarkEnd w:id="114"/>
      <w:bookmarkEnd w:id="115"/>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本项目磋商过程实行全程录音、录像监控，供应商在磋商过程中所进行的试图影响磋商结果的不公正活动，可能导致其磋商被拒绝。</w:t>
      </w:r>
    </w:p>
    <w:p>
      <w:pPr>
        <w:pStyle w:val="4"/>
        <w:pageBreakBefore w:val="0"/>
        <w:widowControl w:val="0"/>
        <w:numPr>
          <w:ilvl w:val="0"/>
          <w:numId w:val="4"/>
        </w:numPr>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16" w:name="_Toc26291"/>
      <w:bookmarkStart w:id="117" w:name="_Toc14787"/>
      <w:r>
        <w:rPr>
          <w:rFonts w:hint="eastAsia" w:ascii="宋体" w:hAnsi="宋体" w:eastAsia="宋体" w:cs="宋体"/>
          <w:color w:val="auto"/>
          <w:sz w:val="21"/>
          <w:szCs w:val="21"/>
          <w:highlight w:val="none"/>
        </w:rPr>
        <w:t>信用查询</w:t>
      </w:r>
      <w:bookmarkEnd w:id="116"/>
      <w:bookmarkEnd w:id="117"/>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根据《关于做好政府采购有关信用主体标识码登记及在政府采购活动中查询使用信用记录有关问题的通知》桂财采〔2016〕37号的通知，采购代理机构对成交人的成交资格进行信用查询：</w:t>
      </w:r>
    </w:p>
    <w:p>
      <w:pPr>
        <w:pageBreakBefore w:val="0"/>
        <w:widowControl w:val="0"/>
        <w:kinsoku/>
        <w:wordWrap/>
        <w:overflowPunct/>
        <w:topLinePunct w:val="0"/>
        <w:bidi w:val="0"/>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（1）查询渠道：“信用中国”网站(www.creditchina.gov.cn)、中国政府采购网(www.ccgp.gov.cn)等；</w:t>
      </w:r>
    </w:p>
    <w:p>
      <w:pPr>
        <w:pageBreakBefore w:val="0"/>
        <w:widowControl w:val="0"/>
        <w:kinsoku/>
        <w:wordWrap/>
        <w:overflowPunct/>
        <w:topLinePunct w:val="0"/>
        <w:bidi w:val="0"/>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（2）查询时间：成交通知书发出前；</w:t>
      </w:r>
    </w:p>
    <w:p>
      <w:pPr>
        <w:pageBreakBefore w:val="0"/>
        <w:widowControl w:val="0"/>
        <w:kinsoku/>
        <w:wordWrap/>
        <w:overflowPunct/>
        <w:topLinePunct w:val="0"/>
        <w:bidi w:val="0"/>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（3）信用信息查询记录和证据留存方式：在查询网站中直接打印查询记录，打印材料作为采购活动资料保存。</w:t>
      </w:r>
    </w:p>
    <w:p>
      <w:pPr>
        <w:pageBreakBefore w:val="0"/>
        <w:widowControl w:val="0"/>
        <w:kinsoku/>
        <w:wordWrap/>
        <w:overflowPunct/>
        <w:topLinePunct w:val="0"/>
        <w:bidi w:val="0"/>
        <w:snapToGrid/>
        <w:spacing w:line="380" w:lineRule="exact"/>
        <w:ind w:left="0" w:leftChars="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信用信息使用规则：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取消其成交候选人资格。采购人依法按照评审报告中磋商小组推荐成交候选人排序表确定排名第二的成交候选人为成交供应商或者重新组织采购。</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18" w:name="_Toc9438"/>
      <w:bookmarkStart w:id="119" w:name="_Toc25468"/>
      <w:r>
        <w:rPr>
          <w:rFonts w:hint="eastAsia" w:ascii="宋体" w:hAnsi="宋体" w:eastAsia="宋体" w:cs="宋体"/>
          <w:color w:val="auto"/>
          <w:sz w:val="21"/>
          <w:szCs w:val="21"/>
          <w:highlight w:val="none"/>
        </w:rPr>
        <w:t>27. 成交结果公告及成交通知书</w:t>
      </w:r>
      <w:bookmarkEnd w:id="118"/>
      <w:bookmarkEnd w:id="119"/>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27.1 采购代理机构于磋商结束后两个工作日内将评审报告送交采购人，采购人应当自收到评审报告五个工作日内在评审报告推荐的成交候选人中按顺序确定成交供应商，采购代理机构在成交供应商确定之日起两个工作日内发出成交通知书，并在指定媒体上公告成交信息。</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27.2 在发布成交公告的同时，采购代理机构向成交供应商发出成交通知书。成交供应商自接到通知之日起七个工作日内，办理成交通知书领取手续。</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27.3 采购代理机构无义务向未成交的供应商解释未成交原因和退还响应文件。</w:t>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120" w:name="_Toc24102"/>
      <w:bookmarkStart w:id="121" w:name="_Toc6064"/>
      <w:bookmarkStart w:id="122" w:name="_Toc25593"/>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五、签订合同</w:t>
      </w:r>
      <w:bookmarkEnd w:id="120"/>
      <w:bookmarkEnd w:id="121"/>
      <w:bookmarkEnd w:id="122"/>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23" w:name="_Toc26520"/>
      <w:bookmarkStart w:id="124" w:name="_Toc1032"/>
      <w:r>
        <w:rPr>
          <w:rFonts w:hint="eastAsia" w:ascii="宋体" w:hAnsi="宋体" w:eastAsia="宋体" w:cs="宋体"/>
          <w:color w:val="auto"/>
          <w:sz w:val="21"/>
          <w:szCs w:val="21"/>
          <w:highlight w:val="none"/>
        </w:rPr>
        <w:t>28. 履约保证金</w:t>
      </w:r>
      <w:bookmarkEnd w:id="123"/>
      <w:bookmarkEnd w:id="124"/>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bookmarkStart w:id="125" w:name="_Toc22004"/>
      <w:bookmarkStart w:id="126" w:name="_Toc4956"/>
      <w:r>
        <w:rPr>
          <w:rFonts w:hint="eastAsia" w:ascii="宋体" w:hAnsi="宋体" w:eastAsia="宋体" w:cs="宋体"/>
          <w:color w:val="auto"/>
          <w:sz w:val="21"/>
          <w:szCs w:val="21"/>
          <w:highlight w:val="none"/>
          <w:lang w:eastAsia="zh-CN"/>
        </w:rPr>
        <w:t>本项目不收取履约保证金</w:t>
      </w:r>
      <w:r>
        <w:rPr>
          <w:rFonts w:hint="eastAsia" w:ascii="宋体" w:hAnsi="宋体" w:eastAsia="宋体" w:cs="宋体"/>
          <w:color w:val="auto"/>
          <w:sz w:val="21"/>
          <w:szCs w:val="21"/>
          <w:highlight w:val="none"/>
        </w:rPr>
        <w:t>。</w:t>
      </w:r>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 签订合同</w:t>
      </w:r>
      <w:bookmarkEnd w:id="125"/>
      <w:bookmarkEnd w:id="126"/>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29.1 签订合同时间：</w:t>
      </w:r>
      <w:r>
        <w:rPr>
          <w:rFonts w:hint="eastAsia" w:ascii="宋体" w:hAnsi="宋体" w:eastAsia="宋体" w:cs="宋体"/>
          <w:b/>
          <w:bCs/>
          <w:color w:val="auto"/>
          <w:sz w:val="21"/>
          <w:szCs w:val="21"/>
          <w:highlight w:val="none"/>
          <w:lang w:eastAsia="zh-CN"/>
        </w:rPr>
        <w:t>成交通知书</w:t>
      </w:r>
      <w:r>
        <w:rPr>
          <w:rFonts w:hint="eastAsia" w:ascii="宋体" w:hAnsi="宋体" w:eastAsia="宋体" w:cs="宋体"/>
          <w:b/>
          <w:bCs/>
          <w:color w:val="auto"/>
          <w:sz w:val="21"/>
          <w:szCs w:val="21"/>
          <w:highlight w:val="none"/>
        </w:rPr>
        <w:t>发出之日起8个工作日内签订合同。成交供应商领取成交通知书后，应按规定与采购人签订合同。</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29.2 如成交供应商有下列情形之一的，情节严重的，由财政部门将其列入不良行为记录名单，在一至三年内禁止参加政府采购活动，并予以通报。采购代理机构可从磋商小组推荐的成交候选人中按顺序重新确定成交供应商或重新组织采购。拒绝签订政府采购合同的成交供应商不得参加对该项目重新开展的采购活动。</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（1）成交后不与采购人签订合同的（不可抗力除外）；</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（2）将成交项目转让给他人，或者在响应文件中未说明，且未经采购人同意，将成交项目分包给他人的；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（3）拒绝履行合同义务的。</w:t>
      </w:r>
    </w:p>
    <w:p>
      <w:pPr>
        <w:pageBreakBefore w:val="0"/>
        <w:widowControl w:val="0"/>
        <w:kinsoku/>
        <w:wordWrap/>
        <w:overflowPunct/>
        <w:topLinePunct w:val="0"/>
        <w:bidi w:val="0"/>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29.3 合同备案存档：政府采购合同双方自签订之日起一个工作日内将合同原件</w:t>
      </w:r>
      <w:r>
        <w:rPr>
          <w:rFonts w:hint="eastAsia" w:ascii="宋体" w:hAnsi="宋体" w:cs="宋体"/>
          <w:color w:val="auto"/>
          <w:sz w:val="21"/>
          <w:szCs w:val="21"/>
          <w:highlight w:val="none"/>
          <w:lang w:eastAsia="zh-CN"/>
        </w:rPr>
        <w:t>两</w:t>
      </w:r>
      <w:r>
        <w:rPr>
          <w:rFonts w:hint="eastAsia" w:ascii="宋体" w:hAnsi="宋体" w:eastAsia="宋体" w:cs="宋体"/>
          <w:color w:val="auto"/>
          <w:sz w:val="21"/>
          <w:szCs w:val="21"/>
          <w:highlight w:val="none"/>
        </w:rPr>
        <w:t>份交采购代理机构，采购代理机构将政府采购合同在省级以上人民政府财政部门指定媒体上公告。采购人于合同签订之日起七个工作日内将一份合同原件送本级财政部门备案，一份由</w:t>
      </w:r>
      <w:r>
        <w:rPr>
          <w:rFonts w:hint="eastAsia" w:ascii="宋体" w:hAnsi="宋体" w:cs="宋体"/>
          <w:color w:val="auto"/>
          <w:sz w:val="21"/>
          <w:szCs w:val="21"/>
          <w:highlight w:val="none"/>
          <w:lang w:val="en-US" w:eastAsia="zh-CN"/>
        </w:rPr>
        <w:t>广西高质建设管理咨询有限公司</w:t>
      </w:r>
      <w:r>
        <w:rPr>
          <w:rFonts w:hint="eastAsia" w:ascii="宋体" w:hAnsi="宋体" w:eastAsia="宋体" w:cs="宋体"/>
          <w:color w:val="auto"/>
          <w:sz w:val="21"/>
          <w:szCs w:val="21"/>
          <w:highlight w:val="none"/>
        </w:rPr>
        <w:t>存档。</w:t>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bookmarkStart w:id="127" w:name="_Toc26986"/>
      <w:bookmarkStart w:id="128" w:name="_Toc17898"/>
      <w:bookmarkStart w:id="129" w:name="_Toc16348"/>
    </w:p>
    <w:p>
      <w:pPr>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br w:type="page"/>
      </w:r>
    </w:p>
    <w:p>
      <w:pPr>
        <w:pStyle w:val="2"/>
        <w:keepNext/>
        <w:keepLines/>
        <w:pageBreakBefore w:val="0"/>
        <w:widowControl w:val="0"/>
        <w:tabs>
          <w:tab w:val="left" w:pos="567"/>
        </w:tabs>
        <w:kinsoku/>
        <w:wordWrap/>
        <w:overflowPunct/>
        <w:topLinePunct w:val="0"/>
        <w:autoSpaceDE/>
        <w:autoSpaceDN/>
        <w:bidi w:val="0"/>
        <w:adjustRightInd/>
        <w:snapToGrid/>
        <w:spacing w:before="0" w:after="0" w:line="380" w:lineRule="exact"/>
        <w:ind w:left="0" w:leftChars="0"/>
        <w:jc w:val="center"/>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六、其他事项</w:t>
      </w:r>
      <w:bookmarkEnd w:id="127"/>
      <w:bookmarkEnd w:id="128"/>
      <w:bookmarkEnd w:id="129"/>
    </w:p>
    <w:p>
      <w:pPr>
        <w:pStyle w:val="4"/>
        <w:pageBreakBefore w:val="0"/>
        <w:widowControl w:val="0"/>
        <w:kinsoku/>
        <w:wordWrap/>
        <w:overflowPunct/>
        <w:topLinePunct w:val="0"/>
        <w:bidi w:val="0"/>
        <w:snapToGrid/>
        <w:spacing w:before="0" w:after="0" w:line="380" w:lineRule="exact"/>
        <w:ind w:left="0" w:leftChars="0" w:firstLine="422" w:firstLineChars="200"/>
        <w:textAlignment w:val="auto"/>
        <w:rPr>
          <w:rFonts w:hint="eastAsia" w:ascii="宋体" w:hAnsi="宋体" w:eastAsia="宋体" w:cs="宋体"/>
          <w:color w:val="auto"/>
          <w:sz w:val="21"/>
          <w:szCs w:val="21"/>
          <w:highlight w:val="none"/>
        </w:rPr>
      </w:pPr>
      <w:bookmarkStart w:id="130" w:name="_Toc28647"/>
      <w:bookmarkStart w:id="131" w:name="_Toc29572"/>
      <w:r>
        <w:rPr>
          <w:rFonts w:hint="eastAsia" w:ascii="宋体" w:hAnsi="宋体" w:eastAsia="宋体" w:cs="宋体"/>
          <w:color w:val="auto"/>
          <w:sz w:val="21"/>
          <w:szCs w:val="21"/>
          <w:highlight w:val="none"/>
        </w:rPr>
        <w:t>30. 采购代理服务费</w:t>
      </w:r>
      <w:bookmarkEnd w:id="130"/>
      <w:bookmarkEnd w:id="131"/>
    </w:p>
    <w:p>
      <w:pPr>
        <w:pageBreakBefore w:val="0"/>
        <w:widowControl w:val="0"/>
        <w:kinsoku/>
        <w:wordWrap/>
        <w:overflowPunct/>
        <w:topLinePunct w:val="0"/>
        <w:bidi w:val="0"/>
        <w:snapToGrid/>
        <w:spacing w:line="380" w:lineRule="exact"/>
        <w:ind w:left="0" w:leftChars="0" w:firstLine="420"/>
        <w:textAlignment w:val="auto"/>
        <w:rPr>
          <w:rFonts w:hint="eastAsia" w:ascii="宋体" w:hAnsi="宋体" w:eastAsia="宋体" w:cs="宋体"/>
          <w:color w:val="auto"/>
          <w:sz w:val="21"/>
          <w:szCs w:val="21"/>
          <w:highlight w:val="none"/>
        </w:rPr>
      </w:pPr>
      <w:bookmarkStart w:id="132" w:name="_Toc12374"/>
      <w:r>
        <w:rPr>
          <w:rFonts w:hint="eastAsia" w:ascii="宋体" w:hAnsi="宋体" w:eastAsia="宋体" w:cs="宋体"/>
          <w:color w:val="auto"/>
          <w:sz w:val="21"/>
          <w:szCs w:val="21"/>
          <w:highlight w:val="none"/>
          <w:lang w:val="en-US" w:eastAsia="zh-CN"/>
        </w:rPr>
        <w:t>30.1</w:t>
      </w:r>
      <w:r>
        <w:rPr>
          <w:rFonts w:hint="eastAsia" w:ascii="宋体" w:hAnsi="宋体" w:eastAsia="宋体" w:cs="宋体"/>
          <w:color w:val="auto"/>
          <w:sz w:val="21"/>
          <w:szCs w:val="21"/>
          <w:highlight w:val="none"/>
        </w:rPr>
        <w:t>成交供应商领取成交通知书前，向</w:t>
      </w:r>
      <w:r>
        <w:rPr>
          <w:rFonts w:hint="eastAsia" w:ascii="宋体" w:hAnsi="宋体" w:cs="宋体"/>
          <w:color w:val="auto"/>
          <w:sz w:val="21"/>
          <w:szCs w:val="21"/>
          <w:highlight w:val="none"/>
          <w:lang w:val="en-US" w:eastAsia="zh-CN"/>
        </w:rPr>
        <w:t>广西高质建设管理咨询有限公司</w:t>
      </w:r>
      <w:r>
        <w:rPr>
          <w:rFonts w:hint="eastAsia" w:ascii="宋体" w:hAnsi="宋体" w:eastAsia="宋体" w:cs="宋体"/>
          <w:color w:val="auto"/>
          <w:sz w:val="21"/>
          <w:szCs w:val="21"/>
          <w:highlight w:val="none"/>
        </w:rPr>
        <w:t>一次性付清代理服务费。本项目招标代理服务收费标准参照计价格[2002]1980号《招标代理服务收费管理暂行办法》</w:t>
      </w:r>
      <w:r>
        <w:rPr>
          <w:rFonts w:hint="eastAsia" w:ascii="宋体" w:hAnsi="宋体" w:eastAsia="宋体" w:cs="宋体"/>
          <w:color w:val="auto"/>
          <w:sz w:val="21"/>
          <w:szCs w:val="21"/>
          <w:highlight w:val="none"/>
          <w:lang w:eastAsia="zh-CN"/>
        </w:rPr>
        <w:t>工程</w:t>
      </w:r>
      <w:r>
        <w:rPr>
          <w:rFonts w:hint="eastAsia" w:ascii="宋体" w:hAnsi="宋体" w:eastAsia="宋体" w:cs="宋体"/>
          <w:color w:val="auto"/>
          <w:sz w:val="21"/>
          <w:szCs w:val="21"/>
          <w:highlight w:val="none"/>
        </w:rPr>
        <w:t>类收费标准向</w:t>
      </w:r>
      <w:r>
        <w:rPr>
          <w:rFonts w:hint="eastAsia" w:ascii="宋体" w:hAnsi="宋体" w:eastAsia="宋体" w:cs="宋体"/>
          <w:color w:val="auto"/>
          <w:sz w:val="21"/>
          <w:szCs w:val="21"/>
          <w:highlight w:val="none"/>
          <w:lang w:eastAsia="zh-CN"/>
        </w:rPr>
        <w:t>成交供应商</w:t>
      </w:r>
      <w:r>
        <w:rPr>
          <w:rFonts w:hint="eastAsia" w:ascii="宋体" w:hAnsi="宋体" w:eastAsia="宋体" w:cs="宋体"/>
          <w:color w:val="auto"/>
          <w:sz w:val="21"/>
          <w:szCs w:val="21"/>
          <w:highlight w:val="none"/>
        </w:rPr>
        <w:t>收取（不足人民币</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000元的，按</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000元支付）。</w:t>
      </w:r>
    </w:p>
    <w:tbl>
      <w:tblPr>
        <w:tblStyle w:val="19"/>
        <w:tblW w:w="900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841"/>
        <w:gridCol w:w="1992"/>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0288" behindDoc="0" locked="0" layoutInCell="1" allowOverlap="1">
                      <wp:simplePos x="0" y="0"/>
                      <wp:positionH relativeFrom="column">
                        <wp:posOffset>296545</wp:posOffset>
                      </wp:positionH>
                      <wp:positionV relativeFrom="paragraph">
                        <wp:posOffset>10795</wp:posOffset>
                      </wp:positionV>
                      <wp:extent cx="1463675" cy="653415"/>
                      <wp:effectExtent l="1905" t="4445" r="20320" b="8890"/>
                      <wp:wrapNone/>
                      <wp:docPr id="1026" name="直接连接符 1026"/>
                      <wp:cNvGraphicFramePr/>
                      <a:graphic xmlns:a="http://schemas.openxmlformats.org/drawingml/2006/main">
                        <a:graphicData uri="http://schemas.microsoft.com/office/word/2010/wordprocessingShape">
                          <wps:wsp>
                            <wps:cNvCnPr/>
                            <wps:spPr>
                              <a:xfrm>
                                <a:off x="0" y="0"/>
                                <a:ext cx="1463675" cy="653415"/>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23.35pt;margin-top:0.85pt;height:51.45pt;width:115.25pt;z-index:251660288;mso-width-relative:page;mso-height-relative:page;" filled="f" stroked="t" coordsize="21600,21600" o:gfxdata="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gFTNNYAAAAIAQAADwAAAAAAAAABACAAAAAiAAAAZHJzL2Rvd25yZXYu&#10;eG1sUEsBAhQAFAAAAAgAh07iQDnnG0P9AQAA+wMAAA4AAAAAAAAAAQAgAAAAJQEAAGRycy9lMm9E&#10;b2MueG1sUEsFBgAAAAAGAAYAWQEAAJQFAAAAAA==&#10;">
                      <v:fill on="f" focussize="0,0"/>
                      <v:stroke color="#000000" joinstyle="round"/>
                      <v:imagedata o:title=""/>
                      <o:lock v:ext="edit" aspectratio="f"/>
                    </v:line>
                  </w:pict>
                </mc:Fallback>
              </mc:AlternateContent>
            </w:r>
            <w:r>
              <w:rPr>
                <w:rFonts w:hint="eastAsia" w:ascii="宋体" w:hAnsi="宋体" w:eastAsia="宋体" w:cs="宋体"/>
                <w:color w:val="auto"/>
                <w:sz w:val="21"/>
                <w:szCs w:val="21"/>
                <w:highlight w:val="none"/>
              </w:rPr>
              <w:t>费率           服务类型</w:t>
            </w:r>
          </w:p>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39370</wp:posOffset>
                      </wp:positionV>
                      <wp:extent cx="1828800" cy="396240"/>
                      <wp:effectExtent l="1270" t="4445" r="17780" b="18415"/>
                      <wp:wrapNone/>
                      <wp:docPr id="1027" name="直接连接符 1027"/>
                      <wp:cNvGraphicFramePr/>
                      <a:graphic xmlns:a="http://schemas.openxmlformats.org/drawingml/2006/main">
                        <a:graphicData uri="http://schemas.microsoft.com/office/word/2010/wordprocessingShape">
                          <wps:wsp>
                            <wps:cNvCnPr/>
                            <wps:spPr>
                              <a:xfrm>
                                <a:off x="0" y="0"/>
                                <a:ext cx="1828800" cy="396239"/>
                              </a:xfrm>
                              <a:prstGeom prst="line">
                                <a:avLst/>
                              </a:prstGeom>
                              <a:ln w="9525"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5.4pt;margin-top:3.1pt;height:31.2pt;width:144pt;z-index:251661312;mso-width-relative:page;mso-height-relative:page;" filled="f" stroked="t" coordsize="21600,21600" o:gfxdata="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AOr0TWAAAACAEAAA8AAAAAAAAAAQAgAAAAIgAAAGRycy9kb3ducmV2&#10;LnhtbFBLAQIUABQAAAAIAIdO4kDL+yLd/gEAAPsDAAAOAAAAAAAAAAEAIAAAACUBAABkcnMvZTJv&#10;RG9jLnhtbFBLBQYAAAAABgAGAFkBAACVBQAAAAA=&#10;">
                      <v:fill on="f" focussize="0,0"/>
                      <v:stroke color="#000000" joinstyle="round"/>
                      <v:imagedata o:title=""/>
                      <o:lock v:ext="edit" aspectratio="f"/>
                    </v:line>
                  </w:pict>
                </mc:Fallback>
              </mc:AlternateContent>
            </w:r>
          </w:p>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中标金额（万元）</w:t>
            </w:r>
          </w:p>
        </w:tc>
        <w:tc>
          <w:tcPr>
            <w:tcW w:w="1841" w:type="dxa"/>
            <w:vAlign w:val="center"/>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货物招标</w:t>
            </w:r>
          </w:p>
        </w:tc>
        <w:tc>
          <w:tcPr>
            <w:tcW w:w="1992" w:type="dxa"/>
            <w:vAlign w:val="center"/>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服务招标</w:t>
            </w:r>
          </w:p>
        </w:tc>
        <w:tc>
          <w:tcPr>
            <w:tcW w:w="2293" w:type="dxa"/>
            <w:vAlign w:val="center"/>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100以下</w:t>
            </w:r>
          </w:p>
        </w:tc>
        <w:tc>
          <w:tcPr>
            <w:tcW w:w="1841"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992"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2293"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100-500</w:t>
            </w:r>
          </w:p>
        </w:tc>
        <w:tc>
          <w:tcPr>
            <w:tcW w:w="1841"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992"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2293"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500-1000</w:t>
            </w:r>
          </w:p>
        </w:tc>
        <w:tc>
          <w:tcPr>
            <w:tcW w:w="1841"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0.8%</w:t>
            </w:r>
          </w:p>
        </w:tc>
        <w:tc>
          <w:tcPr>
            <w:tcW w:w="1992"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0.45%</w:t>
            </w:r>
          </w:p>
        </w:tc>
        <w:tc>
          <w:tcPr>
            <w:tcW w:w="2293"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1000-5000</w:t>
            </w:r>
          </w:p>
        </w:tc>
        <w:tc>
          <w:tcPr>
            <w:tcW w:w="1841"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0.5%</w:t>
            </w:r>
          </w:p>
        </w:tc>
        <w:tc>
          <w:tcPr>
            <w:tcW w:w="1992"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2293"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2880" w:type="dxa"/>
            <w:vAlign w:val="top"/>
          </w:tcPr>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5000-10000</w:t>
            </w:r>
          </w:p>
        </w:tc>
        <w:tc>
          <w:tcPr>
            <w:tcW w:w="1841"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0.25%</w:t>
            </w:r>
          </w:p>
        </w:tc>
        <w:tc>
          <w:tcPr>
            <w:tcW w:w="1992"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0.1%</w:t>
            </w:r>
          </w:p>
        </w:tc>
        <w:tc>
          <w:tcPr>
            <w:tcW w:w="2293" w:type="dxa"/>
            <w:vAlign w:val="top"/>
          </w:tcPr>
          <w:p>
            <w:pPr>
              <w:pageBreakBefore w:val="0"/>
              <w:widowControl w:val="0"/>
              <w:kinsoku/>
              <w:wordWrap/>
              <w:overflowPunct/>
              <w:topLinePunct w:val="0"/>
              <w:bidi w:val="0"/>
              <w:snapToGrid/>
              <w:spacing w:before="0" w:after="0" w:line="380" w:lineRule="exact"/>
              <w:ind w:left="0" w:leftChars="0" w:firstLine="0" w:firstLine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0.2%</w:t>
            </w:r>
          </w:p>
        </w:tc>
      </w:tr>
    </w:tbl>
    <w:p>
      <w:pPr>
        <w:pageBreakBefore w:val="0"/>
        <w:widowControl w:val="0"/>
        <w:kinsoku/>
        <w:wordWrap/>
        <w:overflowPunct/>
        <w:topLinePunct w:val="0"/>
        <w:bidi w:val="0"/>
        <w:snapToGrid/>
        <w:spacing w:before="0" w:after="0" w:line="380" w:lineRule="exact"/>
        <w:ind w:left="0" w:leftChars="0" w:firstLine="0" w:firstLineChars="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注：招标代理服务收费按差额定率累进法计算。</w:t>
      </w:r>
    </w:p>
    <w:p>
      <w:pPr>
        <w:pageBreakBefore w:val="0"/>
        <w:widowControl w:val="0"/>
        <w:kinsoku/>
        <w:wordWrap/>
        <w:overflowPunct/>
        <w:topLinePunct w:val="0"/>
        <w:bidi w:val="0"/>
        <w:snapToGrid/>
        <w:spacing w:line="380" w:lineRule="exact"/>
        <w:ind w:left="0" w:leftChars="0" w:firstLine="422" w:firstLineChars="200"/>
        <w:textAlignment w:val="auto"/>
        <w:rPr>
          <w:rFonts w:hint="eastAsia" w:ascii="宋体" w:hAnsi="宋体" w:eastAsia="宋体" w:cs="宋体"/>
          <w:color w:val="auto"/>
          <w:sz w:val="21"/>
          <w:szCs w:val="21"/>
          <w:highlight w:val="none"/>
        </w:rPr>
      </w:pPr>
      <w:bookmarkStart w:id="133" w:name="_Toc9779"/>
      <w:r>
        <w:rPr>
          <w:rStyle w:val="28"/>
          <w:rFonts w:hint="eastAsia" w:ascii="宋体" w:hAnsi="宋体" w:eastAsia="宋体" w:cs="宋体"/>
          <w:color w:val="auto"/>
          <w:sz w:val="21"/>
          <w:szCs w:val="21"/>
          <w:highlight w:val="none"/>
        </w:rPr>
        <w:t>31. 解释权</w:t>
      </w:r>
      <w:bookmarkEnd w:id="132"/>
      <w:bookmarkEnd w:id="133"/>
      <w:r>
        <w:rPr>
          <w:rFonts w:hint="eastAsia" w:ascii="宋体" w:hAnsi="宋体" w:eastAsia="宋体" w:cs="宋体"/>
          <w:color w:val="auto"/>
          <w:sz w:val="21"/>
          <w:szCs w:val="21"/>
          <w:highlight w:val="none"/>
        </w:rPr>
        <w:t>：本竞争性磋商文件是根据《中华人民共和国政府采购法》《中华人民共和国政府采购法实施条例》《政府采购竞争性磋商采购方式管理暂行办法》和政府采购管理有关规定编制，本竞争性磋商文件的解释权属于采购代理机构。</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color w:val="auto"/>
          <w:sz w:val="21"/>
          <w:szCs w:val="21"/>
          <w:highlight w:val="none"/>
        </w:rPr>
      </w:pPr>
      <w:bookmarkStart w:id="134" w:name="_Toc32738"/>
      <w:r>
        <w:rPr>
          <w:rStyle w:val="28"/>
          <w:rFonts w:hint="eastAsia" w:ascii="宋体" w:hAnsi="宋体" w:eastAsia="宋体" w:cs="宋体"/>
          <w:color w:val="auto"/>
          <w:sz w:val="21"/>
          <w:szCs w:val="21"/>
          <w:highlight w:val="none"/>
        </w:rPr>
        <w:t>32. 监督管理机构</w:t>
      </w:r>
      <w:bookmarkEnd w:id="134"/>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兴安县政府采购管理办公室</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lang w:eastAsia="zh-CN"/>
        </w:rPr>
        <w:t>0773-6220651</w:t>
      </w:r>
    </w:p>
    <w:p>
      <w:pPr>
        <w:pageBreakBefore w:val="0"/>
        <w:widowControl w:val="0"/>
        <w:kinsoku/>
        <w:wordWrap/>
        <w:overflowPunct/>
        <w:topLinePunct w:val="0"/>
        <w:bidi w:val="0"/>
        <w:snapToGrid w:val="0"/>
        <w:spacing w:line="440" w:lineRule="exact"/>
        <w:ind w:firstLine="420" w:firstLineChars="200"/>
        <w:textAlignment w:val="auto"/>
        <w:rPr>
          <w:rFonts w:hint="eastAsia" w:ascii="宋体" w:hAnsi="宋体" w:eastAsia="宋体" w:cs="宋体"/>
          <w:color w:val="auto"/>
          <w:sz w:val="21"/>
          <w:szCs w:val="21"/>
          <w:highlight w:val="none"/>
          <w:lang w:eastAsia="zh-CN"/>
        </w:rPr>
      </w:pPr>
    </w:p>
    <w:p>
      <w:pPr>
        <w:pageBreakBefore w:val="0"/>
        <w:widowControl w:val="0"/>
        <w:kinsoku/>
        <w:wordWrap/>
        <w:overflowPunct/>
        <w:topLinePunct w:val="0"/>
        <w:bidi w:val="0"/>
        <w:spacing w:line="440" w:lineRule="exact"/>
        <w:textAlignment w:val="auto"/>
        <w:rPr>
          <w:rFonts w:hint="eastAsia" w:ascii="宋体" w:hAnsi="宋体" w:eastAsia="宋体" w:cs="宋体"/>
          <w:color w:val="auto"/>
          <w:sz w:val="21"/>
          <w:szCs w:val="21"/>
          <w:highlight w:val="none"/>
          <w:lang w:eastAsia="zh-CN"/>
        </w:rPr>
      </w:pPr>
    </w:p>
    <w:p>
      <w:pPr>
        <w:pStyle w:val="10"/>
        <w:rPr>
          <w:rFonts w:hint="eastAsia" w:ascii="宋体" w:hAnsi="宋体" w:eastAsia="宋体" w:cs="宋体"/>
          <w:color w:val="auto"/>
          <w:sz w:val="21"/>
          <w:szCs w:val="21"/>
          <w:highlight w:val="none"/>
          <w:lang w:eastAsia="zh-CN"/>
        </w:rPr>
      </w:pPr>
    </w:p>
    <w:p>
      <w:pPr>
        <w:pStyle w:val="10"/>
        <w:rPr>
          <w:rFonts w:hint="eastAsia" w:ascii="宋体" w:hAnsi="宋体" w:eastAsia="宋体" w:cs="宋体"/>
          <w:color w:val="auto"/>
          <w:sz w:val="21"/>
          <w:szCs w:val="21"/>
          <w:highlight w:val="none"/>
          <w:lang w:eastAsia="zh-CN"/>
        </w:rPr>
      </w:pPr>
    </w:p>
    <w:p>
      <w:pPr>
        <w:pStyle w:val="10"/>
        <w:rPr>
          <w:rFonts w:hint="eastAsia" w:ascii="宋体" w:hAnsi="宋体" w:eastAsia="宋体" w:cs="宋体"/>
          <w:color w:val="auto"/>
          <w:sz w:val="21"/>
          <w:szCs w:val="21"/>
          <w:highlight w:val="none"/>
          <w:lang w:eastAsia="zh-CN"/>
        </w:rPr>
      </w:pPr>
    </w:p>
    <w:p>
      <w:pPr>
        <w:snapToGrid w:val="0"/>
        <w:rPr>
          <w:rFonts w:hint="eastAsia" w:ascii="宋体" w:hAnsi="宋体" w:eastAsia="宋体" w:cs="宋体"/>
          <w:b/>
          <w:color w:val="auto"/>
          <w:kern w:val="0"/>
          <w:sz w:val="21"/>
          <w:szCs w:val="21"/>
          <w:highlight w:val="none"/>
        </w:rPr>
      </w:pPr>
    </w:p>
    <w:p>
      <w:pPr>
        <w:snapToGrid w:val="0"/>
        <w:rPr>
          <w:rFonts w:hint="eastAsia" w:ascii="宋体" w:hAnsi="宋体" w:eastAsia="宋体" w:cs="宋体"/>
          <w:b/>
          <w:color w:val="auto"/>
          <w:kern w:val="0"/>
          <w:sz w:val="21"/>
          <w:szCs w:val="21"/>
          <w:highlight w:val="none"/>
        </w:rPr>
      </w:pPr>
    </w:p>
    <w:p>
      <w:pPr>
        <w:snapToGrid w:val="0"/>
        <w:rPr>
          <w:rFonts w:hint="eastAsia" w:ascii="宋体" w:hAnsi="宋体" w:eastAsia="宋体" w:cs="宋体"/>
          <w:b/>
          <w:color w:val="auto"/>
          <w:kern w:val="0"/>
          <w:sz w:val="21"/>
          <w:szCs w:val="21"/>
          <w:highlight w:val="none"/>
        </w:rPr>
        <w:sectPr>
          <w:pgSz w:w="11906" w:h="16838"/>
          <w:pgMar w:top="1418" w:right="1115" w:bottom="1418" w:left="1131" w:header="851" w:footer="992" w:gutter="0"/>
          <w:pgNumType w:fmt="decimal"/>
          <w:cols w:space="720" w:num="1"/>
          <w:titlePg/>
          <w:docGrid w:type="lines" w:linePitch="312" w:charSpace="0"/>
        </w:sectPr>
      </w:pPr>
    </w:p>
    <w:p>
      <w:pPr>
        <w:snapToGrid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附表1：</w:t>
      </w: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质疑函（格式）</w:t>
      </w:r>
    </w:p>
    <w:p>
      <w:pPr>
        <w:snapToGrid w:val="0"/>
        <w:spacing w:line="36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一、质疑供应商基本信息：</w:t>
      </w:r>
    </w:p>
    <w:p>
      <w:pPr>
        <w:snapToGrid w:val="0"/>
        <w:spacing w:line="36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质疑供应商：</w:t>
      </w:r>
    </w:p>
    <w:p>
      <w:pPr>
        <w:snapToGrid w:val="0"/>
        <w:spacing w:line="3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地址：邮编：</w:t>
      </w:r>
    </w:p>
    <w:p>
      <w:pPr>
        <w:snapToGrid w:val="0"/>
        <w:spacing w:line="3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联系人：联系电话：</w:t>
      </w:r>
    </w:p>
    <w:p>
      <w:pPr>
        <w:snapToGrid w:val="0"/>
        <w:spacing w:line="3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授权代表：</w:t>
      </w:r>
    </w:p>
    <w:p>
      <w:pPr>
        <w:snapToGrid w:val="0"/>
        <w:spacing w:line="36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联系电话：</w:t>
      </w:r>
    </w:p>
    <w:p>
      <w:pPr>
        <w:snapToGrid w:val="0"/>
        <w:spacing w:line="36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地址：邮编：</w:t>
      </w:r>
    </w:p>
    <w:p>
      <w:pPr>
        <w:snapToGrid w:val="0"/>
        <w:spacing w:line="36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二、质疑项目基本情况：</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质疑</w:t>
      </w:r>
      <w:r>
        <w:rPr>
          <w:rFonts w:hint="eastAsia" w:ascii="宋体" w:hAnsi="宋体" w:eastAsia="宋体" w:cs="宋体"/>
          <w:color w:val="auto"/>
          <w:kern w:val="0"/>
          <w:sz w:val="21"/>
          <w:szCs w:val="21"/>
          <w:highlight w:val="none"/>
        </w:rPr>
        <w:t>项目的名称：</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质疑</w:t>
      </w:r>
      <w:r>
        <w:rPr>
          <w:rFonts w:hint="eastAsia" w:ascii="宋体" w:hAnsi="宋体" w:eastAsia="宋体" w:cs="宋体"/>
          <w:color w:val="auto"/>
          <w:kern w:val="0"/>
          <w:sz w:val="21"/>
          <w:szCs w:val="21"/>
          <w:highlight w:val="none"/>
        </w:rPr>
        <w:t>项目的编号：</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采购人名称：</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质疑事项：</w:t>
      </w:r>
    </w:p>
    <w:p>
      <w:pPr>
        <w:spacing w:line="360" w:lineRule="exact"/>
        <w:ind w:left="25" w:leftChars="12" w:firstLine="308" w:firstLineChars="14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□采购文件   采购文件获取日期：</w:t>
      </w:r>
    </w:p>
    <w:p>
      <w:pPr>
        <w:spacing w:line="360" w:lineRule="exact"/>
        <w:ind w:left="25" w:leftChars="12" w:firstLine="308" w:firstLineChars="14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□采购过程   </w:t>
      </w:r>
    </w:p>
    <w:p>
      <w:pPr>
        <w:spacing w:line="360" w:lineRule="exact"/>
        <w:ind w:left="25" w:leftChars="12" w:firstLine="308" w:firstLineChars="147"/>
        <w:rPr>
          <w:rFonts w:hint="eastAsia" w:ascii="宋体" w:hAnsi="宋体" w:eastAsia="宋体" w:cs="宋体"/>
          <w:bCs/>
          <w:color w:val="auto"/>
          <w:kern w:val="0"/>
          <w:sz w:val="21"/>
          <w:szCs w:val="21"/>
          <w:highlight w:val="none"/>
          <w:u w:val="single"/>
        </w:rPr>
      </w:pPr>
      <w:r>
        <w:rPr>
          <w:rFonts w:hint="eastAsia" w:ascii="宋体" w:hAnsi="宋体" w:eastAsia="宋体" w:cs="宋体"/>
          <w:color w:val="auto"/>
          <w:kern w:val="0"/>
          <w:sz w:val="21"/>
          <w:szCs w:val="21"/>
          <w:highlight w:val="none"/>
        </w:rPr>
        <w:t xml:space="preserve">□成交结果   </w:t>
      </w:r>
    </w:p>
    <w:p>
      <w:pPr>
        <w:spacing w:line="360" w:lineRule="exact"/>
        <w:ind w:left="25" w:leftChars="12"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三、质疑事项具体内容</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质疑事项1：</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事实依据：</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法律依据：</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质疑事项2</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四、与质疑事项相关的质疑请求：</w:t>
      </w: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请求：</w:t>
      </w:r>
    </w:p>
    <w:p>
      <w:pPr>
        <w:spacing w:line="360" w:lineRule="exact"/>
        <w:ind w:left="25" w:leftChars="12" w:firstLine="308" w:firstLineChars="147"/>
        <w:rPr>
          <w:rFonts w:hint="eastAsia" w:ascii="宋体" w:hAnsi="宋体" w:eastAsia="宋体" w:cs="宋体"/>
          <w:color w:val="auto"/>
          <w:kern w:val="0"/>
          <w:sz w:val="21"/>
          <w:szCs w:val="21"/>
          <w:highlight w:val="none"/>
        </w:rPr>
      </w:pP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签字（签章）：                                       公章：</w:t>
      </w:r>
    </w:p>
    <w:p>
      <w:pPr>
        <w:spacing w:line="360" w:lineRule="exact"/>
        <w:ind w:left="25" w:leftChars="12" w:firstLine="308" w:firstLineChars="147"/>
        <w:rPr>
          <w:rFonts w:hint="eastAsia" w:ascii="宋体" w:hAnsi="宋体" w:eastAsia="宋体" w:cs="宋体"/>
          <w:color w:val="auto"/>
          <w:kern w:val="0"/>
          <w:sz w:val="21"/>
          <w:szCs w:val="21"/>
          <w:highlight w:val="none"/>
        </w:rPr>
      </w:pPr>
    </w:p>
    <w:p>
      <w:pPr>
        <w:spacing w:line="36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p>
      <w:pPr>
        <w:snapToGrid w:val="0"/>
        <w:spacing w:line="340" w:lineRule="exact"/>
        <w:rPr>
          <w:rFonts w:hint="eastAsia" w:ascii="宋体" w:hAnsi="宋体" w:eastAsia="宋体" w:cs="宋体"/>
          <w:b/>
          <w:color w:val="auto"/>
          <w:kern w:val="0"/>
          <w:sz w:val="21"/>
          <w:szCs w:val="21"/>
          <w:highlight w:val="none"/>
        </w:rPr>
      </w:pPr>
    </w:p>
    <w:p>
      <w:pPr>
        <w:snapToGrid w:val="0"/>
        <w:spacing w:line="3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w:t>
      </w:r>
    </w:p>
    <w:p>
      <w:pPr>
        <w:spacing w:line="340" w:lineRule="exact"/>
        <w:ind w:left="25" w:leftChars="12" w:firstLine="310" w:firstLineChars="147"/>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1.供应商提出质疑时，应提交质疑函和必要的证明材料</w:t>
      </w:r>
      <w:r>
        <w:rPr>
          <w:rFonts w:hint="eastAsia" w:ascii="宋体" w:hAnsi="宋体" w:eastAsia="宋体" w:cs="宋体"/>
          <w:b/>
          <w:bCs/>
          <w:color w:val="auto"/>
          <w:kern w:val="0"/>
          <w:sz w:val="21"/>
          <w:szCs w:val="21"/>
          <w:highlight w:val="none"/>
        </w:rPr>
        <w:t>。</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3.质疑函的质疑事项应具体、明确，并有必要的事实依据和法律依据。</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4.质疑函的质疑请求应与质疑事项相关。</w:t>
      </w:r>
    </w:p>
    <w:p>
      <w:pPr>
        <w:spacing w:line="340" w:lineRule="exact"/>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6.质疑供应商为法人或者其他组织的，质疑函应由法定代表人、主要负责人，或者其授权代表签字或者盖章，并加盖公章。</w:t>
      </w:r>
    </w:p>
    <w:p>
      <w:pPr>
        <w:snapToGrid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附表2：</w:t>
      </w:r>
    </w:p>
    <w:p>
      <w:pPr>
        <w:spacing w:line="460" w:lineRule="exact"/>
        <w:jc w:val="center"/>
        <w:rPr>
          <w:rFonts w:hint="eastAsia" w:ascii="宋体" w:hAnsi="宋体" w:eastAsia="宋体" w:cs="宋体"/>
          <w:color w:val="auto"/>
          <w:kern w:val="0"/>
          <w:sz w:val="21"/>
          <w:szCs w:val="21"/>
          <w:highlight w:val="none"/>
        </w:rPr>
      </w:pPr>
    </w:p>
    <w:p>
      <w:pPr>
        <w:spacing w:line="460" w:lineRule="exact"/>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投诉书（格式）</w:t>
      </w:r>
    </w:p>
    <w:p>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一、投诉相关主体基本情况：</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供应商：</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地址：邮编：</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法定代表人/主要负责人：</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联系电话：</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授权代表：联系电话：</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地址：邮编：</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被投诉人1：</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地址：邮编：</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联系人：联系电话：</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被投诉人2：</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相关供应商：</w:t>
      </w:r>
    </w:p>
    <w:p>
      <w:pPr>
        <w:snapToGrid w:val="0"/>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地址：邮编：</w:t>
      </w:r>
    </w:p>
    <w:p>
      <w:pPr>
        <w:snapToGrid w:val="0"/>
        <w:spacing w:line="400" w:lineRule="exact"/>
        <w:ind w:firstLine="420" w:firstLineChars="200"/>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联系人：联系电话：</w:t>
      </w:r>
    </w:p>
    <w:p>
      <w:pPr>
        <w:snapToGrid w:val="0"/>
        <w:spacing w:line="400" w:lineRule="exact"/>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二、投诉项目基本情况：</w:t>
      </w:r>
    </w:p>
    <w:p>
      <w:pPr>
        <w:spacing w:line="40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采购</w:t>
      </w:r>
      <w:r>
        <w:rPr>
          <w:rFonts w:hint="eastAsia" w:ascii="宋体" w:hAnsi="宋体" w:eastAsia="宋体" w:cs="宋体"/>
          <w:color w:val="auto"/>
          <w:kern w:val="0"/>
          <w:sz w:val="21"/>
          <w:szCs w:val="21"/>
          <w:highlight w:val="none"/>
        </w:rPr>
        <w:t>项目的名称：</w:t>
      </w:r>
    </w:p>
    <w:p>
      <w:pPr>
        <w:spacing w:line="40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rPr>
        <w:t>采购</w:t>
      </w:r>
      <w:r>
        <w:rPr>
          <w:rFonts w:hint="eastAsia" w:ascii="宋体" w:hAnsi="宋体" w:eastAsia="宋体" w:cs="宋体"/>
          <w:color w:val="auto"/>
          <w:kern w:val="0"/>
          <w:sz w:val="21"/>
          <w:szCs w:val="21"/>
          <w:highlight w:val="none"/>
        </w:rPr>
        <w:t>项目的编号：</w:t>
      </w:r>
    </w:p>
    <w:p>
      <w:pPr>
        <w:spacing w:line="400" w:lineRule="exact"/>
        <w:ind w:left="25" w:leftChars="12" w:firstLine="413" w:firstLineChars="197"/>
        <w:rPr>
          <w:rFonts w:hint="eastAsia" w:ascii="宋体" w:hAnsi="宋体" w:eastAsia="宋体" w:cs="宋体"/>
          <w:bCs/>
          <w:color w:val="auto"/>
          <w:kern w:val="0"/>
          <w:sz w:val="21"/>
          <w:szCs w:val="21"/>
          <w:highlight w:val="none"/>
          <w:u w:val="single"/>
        </w:rPr>
      </w:pPr>
      <w:r>
        <w:rPr>
          <w:rFonts w:hint="eastAsia" w:ascii="宋体" w:hAnsi="宋体" w:eastAsia="宋体" w:cs="宋体"/>
          <w:color w:val="auto"/>
          <w:kern w:val="0"/>
          <w:sz w:val="21"/>
          <w:szCs w:val="21"/>
          <w:highlight w:val="none"/>
        </w:rPr>
        <w:t>采购人名称：</w:t>
      </w:r>
    </w:p>
    <w:p>
      <w:pPr>
        <w:spacing w:line="400" w:lineRule="exact"/>
        <w:ind w:left="25" w:leftChars="12" w:firstLine="413" w:firstLineChars="197"/>
        <w:rPr>
          <w:rFonts w:hint="eastAsia" w:ascii="宋体" w:hAnsi="宋体" w:eastAsia="宋体" w:cs="宋体"/>
          <w:bCs/>
          <w:color w:val="auto"/>
          <w:kern w:val="0"/>
          <w:sz w:val="21"/>
          <w:szCs w:val="21"/>
          <w:highlight w:val="none"/>
          <w:u w:val="single"/>
        </w:rPr>
      </w:pPr>
      <w:r>
        <w:rPr>
          <w:rFonts w:hint="eastAsia" w:ascii="宋体" w:hAnsi="宋体" w:eastAsia="宋体" w:cs="宋体"/>
          <w:color w:val="auto"/>
          <w:kern w:val="0"/>
          <w:sz w:val="21"/>
          <w:szCs w:val="21"/>
          <w:highlight w:val="none"/>
        </w:rPr>
        <w:t>代理机构名称：</w:t>
      </w:r>
    </w:p>
    <w:p>
      <w:pPr>
        <w:spacing w:line="400" w:lineRule="exact"/>
        <w:ind w:left="25" w:leftChars="12" w:firstLine="413" w:firstLineChars="197"/>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采购文件公告：</w:t>
      </w:r>
      <w:r>
        <w:rPr>
          <w:rFonts w:hint="eastAsia" w:ascii="宋体" w:hAnsi="宋体" w:eastAsia="宋体" w:cs="宋体"/>
          <w:bCs/>
          <w:color w:val="auto"/>
          <w:kern w:val="0"/>
          <w:sz w:val="21"/>
          <w:szCs w:val="21"/>
          <w:highlight w:val="none"/>
          <w:u w:val="single"/>
        </w:rPr>
        <w:t>是/否</w:t>
      </w:r>
      <w:r>
        <w:rPr>
          <w:rFonts w:hint="eastAsia" w:ascii="宋体" w:hAnsi="宋体" w:eastAsia="宋体" w:cs="宋体"/>
          <w:bCs/>
          <w:color w:val="auto"/>
          <w:kern w:val="0"/>
          <w:sz w:val="21"/>
          <w:szCs w:val="21"/>
          <w:highlight w:val="none"/>
        </w:rPr>
        <w:t>公告期限：</w:t>
      </w:r>
    </w:p>
    <w:p>
      <w:pPr>
        <w:spacing w:line="400" w:lineRule="exact"/>
        <w:ind w:left="25" w:leftChars="12" w:firstLine="413" w:firstLineChars="197"/>
        <w:rPr>
          <w:rFonts w:hint="eastAsia" w:ascii="宋体" w:hAnsi="宋体" w:eastAsia="宋体" w:cs="宋体"/>
          <w:b/>
          <w:color w:val="auto"/>
          <w:kern w:val="0"/>
          <w:sz w:val="21"/>
          <w:szCs w:val="21"/>
          <w:highlight w:val="none"/>
        </w:rPr>
      </w:pPr>
      <w:r>
        <w:rPr>
          <w:rFonts w:hint="eastAsia" w:ascii="宋体" w:hAnsi="宋体" w:eastAsia="宋体" w:cs="宋体"/>
          <w:bCs/>
          <w:color w:val="auto"/>
          <w:kern w:val="0"/>
          <w:sz w:val="21"/>
          <w:szCs w:val="21"/>
          <w:highlight w:val="none"/>
        </w:rPr>
        <w:t>采购结果公告：</w:t>
      </w:r>
      <w:r>
        <w:rPr>
          <w:rFonts w:hint="eastAsia" w:ascii="宋体" w:hAnsi="宋体" w:eastAsia="宋体" w:cs="宋体"/>
          <w:bCs/>
          <w:color w:val="auto"/>
          <w:kern w:val="0"/>
          <w:sz w:val="21"/>
          <w:szCs w:val="21"/>
          <w:highlight w:val="none"/>
          <w:u w:val="single"/>
        </w:rPr>
        <w:t>是/否</w:t>
      </w:r>
      <w:r>
        <w:rPr>
          <w:rFonts w:hint="eastAsia" w:ascii="宋体" w:hAnsi="宋体" w:eastAsia="宋体" w:cs="宋体"/>
          <w:bCs/>
          <w:color w:val="auto"/>
          <w:kern w:val="0"/>
          <w:sz w:val="21"/>
          <w:szCs w:val="21"/>
          <w:highlight w:val="none"/>
        </w:rPr>
        <w:t>公告期限：</w:t>
      </w:r>
    </w:p>
    <w:p>
      <w:pPr>
        <w:spacing w:line="400" w:lineRule="exact"/>
        <w:ind w:left="25" w:leftChars="12"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三、质疑基本情况</w:t>
      </w:r>
    </w:p>
    <w:p>
      <w:pPr>
        <w:spacing w:line="400" w:lineRule="exact"/>
        <w:ind w:left="25" w:leftChars="12" w:firstLine="833" w:firstLineChars="397"/>
        <w:rPr>
          <w:rFonts w:hint="eastAsia" w:ascii="宋体" w:hAnsi="宋体" w:eastAsia="宋体" w:cs="宋体"/>
          <w:bCs/>
          <w:color w:val="auto"/>
          <w:kern w:val="0"/>
          <w:sz w:val="21"/>
          <w:szCs w:val="21"/>
          <w:highlight w:val="none"/>
          <w:u w:val="single"/>
        </w:rPr>
      </w:pPr>
      <w:r>
        <w:rPr>
          <w:rFonts w:hint="eastAsia" w:ascii="宋体" w:hAnsi="宋体" w:eastAsia="宋体" w:cs="宋体"/>
          <w:color w:val="auto"/>
          <w:kern w:val="0"/>
          <w:sz w:val="21"/>
          <w:szCs w:val="21"/>
          <w:highlight w:val="none"/>
        </w:rPr>
        <w:t>投诉人于年月日，向提出质疑，质疑事项为：</w:t>
      </w:r>
    </w:p>
    <w:p>
      <w:pPr>
        <w:spacing w:line="400" w:lineRule="exact"/>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u w:val="single"/>
        </w:rPr>
        <w:t>采购人/代理机构</w:t>
      </w:r>
      <w:r>
        <w:rPr>
          <w:rFonts w:hint="eastAsia" w:ascii="宋体" w:hAnsi="宋体" w:eastAsia="宋体" w:cs="宋体"/>
          <w:bCs/>
          <w:color w:val="auto"/>
          <w:kern w:val="0"/>
          <w:sz w:val="21"/>
          <w:szCs w:val="21"/>
          <w:highlight w:val="none"/>
        </w:rPr>
        <w:t>于</w:t>
      </w:r>
      <w:r>
        <w:rPr>
          <w:rFonts w:hint="eastAsia" w:ascii="宋体" w:hAnsi="宋体" w:eastAsia="宋体" w:cs="宋体"/>
          <w:color w:val="auto"/>
          <w:kern w:val="0"/>
          <w:sz w:val="21"/>
          <w:szCs w:val="21"/>
          <w:highlight w:val="none"/>
        </w:rPr>
        <w:t>年月日，</w:t>
      </w:r>
      <w:r>
        <w:rPr>
          <w:rFonts w:hint="eastAsia" w:ascii="宋体" w:hAnsi="宋体" w:eastAsia="宋体" w:cs="宋体"/>
          <w:bCs/>
          <w:color w:val="auto"/>
          <w:kern w:val="0"/>
          <w:sz w:val="21"/>
          <w:szCs w:val="21"/>
          <w:highlight w:val="none"/>
        </w:rPr>
        <w:t xml:space="preserve">就质疑事项作出了答复/没有在法定期限内作出答复。                                                                                             </w:t>
      </w:r>
    </w:p>
    <w:p>
      <w:pPr>
        <w:spacing w:line="400" w:lineRule="exact"/>
        <w:ind w:left="25" w:leftChars="12"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四、投诉事项具体内容</w:t>
      </w:r>
    </w:p>
    <w:p>
      <w:pPr>
        <w:spacing w:line="400" w:lineRule="exact"/>
        <w:ind w:left="25" w:leftChars="12" w:firstLine="413" w:firstLineChars="197"/>
        <w:rPr>
          <w:rFonts w:hint="eastAsia" w:ascii="宋体" w:hAnsi="宋体" w:eastAsia="宋体" w:cs="宋体"/>
          <w:bCs/>
          <w:color w:val="auto"/>
          <w:kern w:val="0"/>
          <w:sz w:val="21"/>
          <w:szCs w:val="21"/>
          <w:highlight w:val="none"/>
          <w:u w:val="single"/>
        </w:rPr>
      </w:pPr>
      <w:r>
        <w:rPr>
          <w:rFonts w:hint="eastAsia" w:ascii="宋体" w:hAnsi="宋体" w:eastAsia="宋体" w:cs="宋体"/>
          <w:color w:val="auto"/>
          <w:kern w:val="0"/>
          <w:sz w:val="21"/>
          <w:szCs w:val="21"/>
          <w:highlight w:val="none"/>
        </w:rPr>
        <w:t>投诉事项1：</w:t>
      </w:r>
    </w:p>
    <w:p>
      <w:pPr>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事实依据：</w:t>
      </w:r>
    </w:p>
    <w:p>
      <w:pPr>
        <w:spacing w:line="400" w:lineRule="exact"/>
        <w:ind w:left="25" w:leftChars="12" w:firstLine="413" w:firstLineChars="197"/>
        <w:rPr>
          <w:rFonts w:hint="eastAsia" w:ascii="宋体" w:hAnsi="宋体" w:eastAsia="宋体" w:cs="宋体"/>
          <w:color w:val="auto"/>
          <w:kern w:val="0"/>
          <w:sz w:val="21"/>
          <w:szCs w:val="21"/>
          <w:highlight w:val="none"/>
        </w:rPr>
      </w:pPr>
    </w:p>
    <w:p>
      <w:pPr>
        <w:spacing w:line="400" w:lineRule="exact"/>
        <w:ind w:firstLine="420" w:firstLineChars="200"/>
        <w:rPr>
          <w:rFonts w:hint="eastAsia" w:ascii="宋体" w:hAnsi="宋体" w:eastAsia="宋体" w:cs="宋体"/>
          <w:bCs/>
          <w:color w:val="auto"/>
          <w:kern w:val="0"/>
          <w:sz w:val="21"/>
          <w:szCs w:val="21"/>
          <w:highlight w:val="none"/>
          <w:u w:val="single"/>
        </w:rPr>
      </w:pPr>
      <w:r>
        <w:rPr>
          <w:rFonts w:hint="eastAsia" w:ascii="宋体" w:hAnsi="宋体" w:eastAsia="宋体" w:cs="宋体"/>
          <w:bCs/>
          <w:color w:val="auto"/>
          <w:kern w:val="0"/>
          <w:sz w:val="21"/>
          <w:szCs w:val="21"/>
          <w:highlight w:val="none"/>
        </w:rPr>
        <w:t>法律依据：</w:t>
      </w:r>
    </w:p>
    <w:p>
      <w:pPr>
        <w:spacing w:line="400" w:lineRule="exact"/>
        <w:ind w:left="25" w:leftChars="12" w:firstLine="308" w:firstLineChars="147"/>
        <w:rPr>
          <w:rFonts w:hint="eastAsia" w:ascii="宋体" w:hAnsi="宋体" w:eastAsia="宋体" w:cs="宋体"/>
          <w:bCs/>
          <w:color w:val="auto"/>
          <w:kern w:val="0"/>
          <w:sz w:val="21"/>
          <w:szCs w:val="21"/>
          <w:highlight w:val="none"/>
          <w:u w:val="single"/>
        </w:rPr>
      </w:pPr>
    </w:p>
    <w:p>
      <w:pPr>
        <w:spacing w:line="400" w:lineRule="exact"/>
        <w:ind w:left="25" w:leftChars="12" w:firstLine="413" w:firstLineChars="197"/>
        <w:rPr>
          <w:rFonts w:hint="eastAsia" w:ascii="宋体" w:hAnsi="宋体" w:eastAsia="宋体" w:cs="宋体"/>
          <w:bCs/>
          <w:color w:val="auto"/>
          <w:kern w:val="0"/>
          <w:sz w:val="21"/>
          <w:szCs w:val="21"/>
          <w:highlight w:val="none"/>
        </w:rPr>
      </w:pPr>
      <w:r>
        <w:rPr>
          <w:rFonts w:hint="eastAsia" w:ascii="宋体" w:hAnsi="宋体" w:eastAsia="宋体" w:cs="宋体"/>
          <w:color w:val="auto"/>
          <w:kern w:val="0"/>
          <w:sz w:val="21"/>
          <w:szCs w:val="21"/>
          <w:highlight w:val="none"/>
        </w:rPr>
        <w:t xml:space="preserve">投诉事项2  </w:t>
      </w:r>
    </w:p>
    <w:p>
      <w:pPr>
        <w:spacing w:line="400" w:lineRule="exact"/>
        <w:ind w:left="25" w:leftChars="12" w:firstLine="413" w:firstLineChars="197"/>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w:t>
      </w:r>
    </w:p>
    <w:p>
      <w:pPr>
        <w:spacing w:line="400" w:lineRule="exact"/>
        <w:ind w:left="25" w:leftChars="12" w:firstLine="413" w:firstLineChars="196"/>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五、与投诉事项相关的投诉请求：</w:t>
      </w:r>
    </w:p>
    <w:p>
      <w:pPr>
        <w:spacing w:line="40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请求：</w:t>
      </w:r>
    </w:p>
    <w:p>
      <w:pPr>
        <w:spacing w:line="40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签字（签章）：                                       公章：</w:t>
      </w:r>
    </w:p>
    <w:p>
      <w:pPr>
        <w:spacing w:line="400" w:lineRule="exact"/>
        <w:ind w:left="25" w:leftChars="12" w:firstLine="308" w:firstLineChars="147"/>
        <w:rPr>
          <w:rFonts w:hint="eastAsia" w:ascii="宋体" w:hAnsi="宋体" w:eastAsia="宋体" w:cs="宋体"/>
          <w:color w:val="auto"/>
          <w:kern w:val="0"/>
          <w:sz w:val="21"/>
          <w:szCs w:val="21"/>
          <w:highlight w:val="none"/>
        </w:rPr>
      </w:pPr>
    </w:p>
    <w:p>
      <w:pPr>
        <w:spacing w:line="400" w:lineRule="exact"/>
        <w:ind w:left="25" w:leftChars="12" w:firstLine="413" w:firstLineChars="197"/>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日期：</w:t>
      </w:r>
    </w:p>
    <w:p>
      <w:pPr>
        <w:spacing w:line="360" w:lineRule="exact"/>
        <w:ind w:left="25" w:leftChars="12" w:firstLine="413" w:firstLineChars="197"/>
        <w:rPr>
          <w:rFonts w:hint="eastAsia" w:ascii="宋体" w:hAnsi="宋体" w:eastAsia="宋体" w:cs="宋体"/>
          <w:color w:val="auto"/>
          <w:kern w:val="0"/>
          <w:sz w:val="21"/>
          <w:szCs w:val="21"/>
          <w:highlight w:val="none"/>
        </w:rPr>
      </w:pPr>
    </w:p>
    <w:p>
      <w:pPr>
        <w:snapToGrid w:val="0"/>
        <w:spacing w:line="340" w:lineRule="exact"/>
        <w:rPr>
          <w:rFonts w:hint="eastAsia" w:ascii="宋体" w:hAnsi="宋体" w:eastAsia="宋体" w:cs="宋体"/>
          <w:b/>
          <w:color w:val="auto"/>
          <w:kern w:val="0"/>
          <w:sz w:val="21"/>
          <w:szCs w:val="21"/>
          <w:highlight w:val="none"/>
        </w:rPr>
      </w:pPr>
    </w:p>
    <w:p>
      <w:pPr>
        <w:snapToGrid w:val="0"/>
        <w:spacing w:line="340" w:lineRule="exact"/>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说明：</w:t>
      </w:r>
    </w:p>
    <w:p>
      <w:pPr>
        <w:spacing w:line="340" w:lineRule="exact"/>
        <w:ind w:left="25" w:leftChars="12" w:firstLine="310" w:firstLineChars="147"/>
        <w:rPr>
          <w:rFonts w:hint="eastAsia" w:ascii="宋体" w:hAnsi="宋体" w:eastAsia="宋体" w:cs="宋体"/>
          <w:b/>
          <w:bCs/>
          <w:color w:val="auto"/>
          <w:kern w:val="0"/>
          <w:sz w:val="21"/>
          <w:szCs w:val="21"/>
          <w:highlight w:val="none"/>
        </w:rPr>
      </w:pPr>
      <w:r>
        <w:rPr>
          <w:rFonts w:hint="eastAsia" w:ascii="宋体" w:hAnsi="宋体" w:eastAsia="宋体" w:cs="宋体"/>
          <w:b/>
          <w:color w:val="auto"/>
          <w:kern w:val="0"/>
          <w:sz w:val="21"/>
          <w:szCs w:val="21"/>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kern w:val="0"/>
          <w:sz w:val="21"/>
          <w:szCs w:val="21"/>
          <w:highlight w:val="none"/>
        </w:rPr>
        <w:t>。</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3.投诉书应简要列明质疑事项，质疑函、质疑答复等作为附件材料提供。</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4.投诉书的投诉事项应具体、明确，并有必要的事实依据和法律依据。</w:t>
      </w:r>
    </w:p>
    <w:p>
      <w:pPr>
        <w:spacing w:line="340" w:lineRule="exact"/>
        <w:ind w:left="25" w:leftChars="12" w:firstLine="310" w:firstLineChars="147"/>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5.投诉书的投诉请求应与投诉事项相关。</w:t>
      </w:r>
    </w:p>
    <w:p>
      <w:pPr>
        <w:spacing w:line="340" w:lineRule="exact"/>
        <w:ind w:left="25" w:leftChars="12" w:firstLine="310" w:firstLineChars="147"/>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6.</w:t>
      </w:r>
      <w:r>
        <w:rPr>
          <w:rFonts w:hint="eastAsia" w:ascii="宋体" w:hAnsi="宋体" w:eastAsia="宋体" w:cs="宋体"/>
          <w:b/>
          <w:color w:val="auto"/>
          <w:sz w:val="21"/>
          <w:szCs w:val="21"/>
          <w:highlight w:val="none"/>
        </w:rPr>
        <w:t>投诉人为法人或者其他组织的，投诉书应由法定代表人、主要负责人，或者其授权代表签字或者盖章，并加盖公章。</w:t>
      </w:r>
    </w:p>
    <w:p>
      <w:pPr>
        <w:spacing w:line="340" w:lineRule="exact"/>
        <w:ind w:left="25" w:leftChars="12" w:firstLine="310" w:firstLineChars="147"/>
        <w:rPr>
          <w:rFonts w:hint="eastAsia" w:ascii="宋体" w:hAnsi="宋体" w:eastAsia="宋体" w:cs="宋体"/>
          <w:b/>
          <w:color w:val="auto"/>
          <w:kern w:val="0"/>
          <w:sz w:val="21"/>
          <w:szCs w:val="21"/>
          <w:highlight w:val="no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pStyle w:val="8"/>
        <w:spacing w:before="191" w:line="219" w:lineRule="auto"/>
        <w:ind w:left="9"/>
        <w:rPr>
          <w:color w:val="auto"/>
          <w:spacing w:val="-8"/>
          <w:sz w:val="24"/>
          <w:szCs w:val="24"/>
          <w:highlight w:val="none"/>
          <w14:textOutline w14:w="4358" w14:cap="sq" w14:cmpd="sng">
            <w14:solidFill>
              <w14:srgbClr w14:val="000000"/>
            </w14:solidFill>
            <w14:prstDash w14:val="solid"/>
            <w14:bevel/>
          </w14:textOutline>
        </w:rPr>
      </w:pPr>
    </w:p>
    <w:p>
      <w:pPr>
        <w:rPr>
          <w:color w:val="auto"/>
          <w:spacing w:val="-8"/>
          <w:sz w:val="24"/>
          <w:szCs w:val="24"/>
          <w:highlight w:val="none"/>
          <w14:textOutline w14:w="4358" w14:cap="sq" w14:cmpd="sng">
            <w14:solidFill>
              <w14:srgbClr w14:val="000000"/>
            </w14:solidFill>
            <w14:prstDash w14:val="solid"/>
            <w14:bevel/>
          </w14:textOutline>
        </w:rPr>
      </w:pPr>
    </w:p>
    <w:p>
      <w:pPr>
        <w:pStyle w:val="2"/>
        <w:rPr>
          <w:color w:val="auto"/>
          <w:highlight w:val="none"/>
        </w:rPr>
      </w:pPr>
    </w:p>
    <w:p>
      <w:pPr>
        <w:rPr>
          <w:color w:val="auto"/>
          <w:highlight w:val="none"/>
        </w:rPr>
      </w:pPr>
    </w:p>
    <w:p>
      <w:pPr>
        <w:pStyle w:val="8"/>
        <w:rPr>
          <w:color w:val="auto"/>
          <w:highlight w:val="none"/>
        </w:rPr>
      </w:pPr>
    </w:p>
    <w:p>
      <w:pPr>
        <w:snapToGrid w:val="0"/>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附表 3:</w:t>
      </w:r>
    </w:p>
    <w:p>
      <w:pPr>
        <w:pStyle w:val="8"/>
        <w:keepNext w:val="0"/>
        <w:keepLines w:val="0"/>
        <w:pageBreakBefore w:val="0"/>
        <w:widowControl w:val="0"/>
        <w:kinsoku/>
        <w:wordWrap/>
        <w:overflowPunct/>
        <w:topLinePunct w:val="0"/>
        <w:autoSpaceDE/>
        <w:autoSpaceDN/>
        <w:bidi w:val="0"/>
        <w:adjustRightInd/>
        <w:snapToGrid/>
        <w:spacing w:after="0" w:line="400" w:lineRule="atLeast"/>
        <w:ind w:left="0"/>
        <w:jc w:val="center"/>
        <w:textAlignment w:val="auto"/>
        <w:rPr>
          <w:color w:val="auto"/>
          <w:sz w:val="24"/>
          <w:szCs w:val="24"/>
          <w:highlight w:val="none"/>
        </w:rPr>
      </w:pPr>
      <w:r>
        <w:rPr>
          <w:color w:val="auto"/>
          <w:spacing w:val="9"/>
          <w:sz w:val="24"/>
          <w:szCs w:val="24"/>
          <w:highlight w:val="none"/>
          <w14:textOutline w14:w="5793" w14:cap="sq" w14:cmpd="sng">
            <w14:solidFill>
              <w14:srgbClr w14:val="000000"/>
            </w14:solidFill>
            <w14:prstDash w14:val="solid"/>
            <w14:bevel/>
          </w14:textOutline>
        </w:rPr>
        <w:t>政府采购项目合同验收报告（格式）</w:t>
      </w:r>
    </w:p>
    <w:p>
      <w:pPr>
        <w:spacing w:line="242" w:lineRule="auto"/>
        <w:rPr>
          <w:rFonts w:ascii="Arial"/>
          <w:color w:val="auto"/>
          <w:sz w:val="21"/>
          <w:highlight w:val="none"/>
        </w:rPr>
      </w:pPr>
    </w:p>
    <w:p>
      <w:pPr>
        <w:spacing w:line="243" w:lineRule="auto"/>
        <w:rPr>
          <w:rFonts w:ascii="Arial"/>
          <w:color w:val="auto"/>
          <w:sz w:val="21"/>
          <w:highlight w:val="none"/>
        </w:rPr>
      </w:pPr>
    </w:p>
    <w:p>
      <w:pPr>
        <w:spacing w:line="243" w:lineRule="auto"/>
        <w:rPr>
          <w:rFonts w:ascii="Arial"/>
          <w:color w:val="auto"/>
          <w:sz w:val="21"/>
          <w:highlight w:val="none"/>
        </w:rPr>
      </w:pPr>
    </w:p>
    <w:p>
      <w:pPr>
        <w:spacing w:before="65" w:line="229" w:lineRule="auto"/>
        <w:jc w:val="right"/>
        <w:rPr>
          <w:rFonts w:ascii="仿宋" w:hAnsi="仿宋" w:eastAsia="仿宋" w:cs="仿宋"/>
          <w:color w:val="auto"/>
          <w:sz w:val="20"/>
          <w:szCs w:val="20"/>
          <w:highlight w:val="none"/>
        </w:rPr>
      </w:pPr>
      <w:r>
        <w:rPr>
          <w:rFonts w:ascii="仿宋" w:hAnsi="仿宋" w:eastAsia="仿宋" w:cs="仿宋"/>
          <w:color w:val="auto"/>
          <w:spacing w:val="7"/>
          <w:sz w:val="20"/>
          <w:szCs w:val="20"/>
          <w:highlight w:val="none"/>
        </w:rPr>
        <w:t>根据政府采购项目（</w:t>
      </w:r>
      <w:r>
        <w:rPr>
          <w:rFonts w:ascii="仿宋" w:hAnsi="仿宋" w:eastAsia="仿宋" w:cs="仿宋"/>
          <w:color w:val="auto"/>
          <w:spacing w:val="7"/>
          <w:sz w:val="20"/>
          <w:szCs w:val="20"/>
          <w:highlight w:val="none"/>
          <w:u w:val="single" w:color="auto"/>
        </w:rPr>
        <w:t>采购合同编号</w:t>
      </w:r>
      <w:r>
        <w:rPr>
          <w:rFonts w:ascii="仿宋" w:hAnsi="仿宋" w:eastAsia="仿宋" w:cs="仿宋"/>
          <w:color w:val="auto"/>
          <w:spacing w:val="2"/>
          <w:sz w:val="20"/>
          <w:szCs w:val="20"/>
          <w:highlight w:val="none"/>
          <w:u w:val="single" w:color="auto"/>
        </w:rPr>
        <w:t>：</w:t>
      </w:r>
      <w:r>
        <w:rPr>
          <w:rFonts w:ascii="仿宋" w:hAnsi="仿宋" w:eastAsia="仿宋" w:cs="仿宋"/>
          <w:color w:val="auto"/>
          <w:spacing w:val="17"/>
          <w:sz w:val="20"/>
          <w:szCs w:val="20"/>
          <w:highlight w:val="none"/>
          <w:u w:val="single" w:color="auto"/>
        </w:rPr>
        <w:t xml:space="preserve"> </w:t>
      </w:r>
      <w:r>
        <w:rPr>
          <w:rFonts w:ascii="仿宋" w:hAnsi="仿宋" w:eastAsia="仿宋" w:cs="仿宋"/>
          <w:color w:val="auto"/>
          <w:spacing w:val="-70"/>
          <w:sz w:val="20"/>
          <w:szCs w:val="20"/>
          <w:highlight w:val="none"/>
        </w:rPr>
        <w:t xml:space="preserve"> </w:t>
      </w:r>
      <w:r>
        <w:rPr>
          <w:rFonts w:ascii="仿宋" w:hAnsi="仿宋" w:eastAsia="仿宋" w:cs="仿宋"/>
          <w:color w:val="auto"/>
          <w:spacing w:val="2"/>
          <w:sz w:val="20"/>
          <w:szCs w:val="20"/>
          <w:highlight w:val="none"/>
        </w:rPr>
        <w:t>）</w:t>
      </w:r>
      <w:r>
        <w:rPr>
          <w:rFonts w:ascii="仿宋" w:hAnsi="仿宋" w:eastAsia="仿宋" w:cs="仿宋"/>
          <w:color w:val="auto"/>
          <w:spacing w:val="7"/>
          <w:sz w:val="20"/>
          <w:szCs w:val="20"/>
          <w:highlight w:val="none"/>
        </w:rPr>
        <w:t>的约定，我单位对（</w:t>
      </w:r>
      <w:r>
        <w:rPr>
          <w:rFonts w:ascii="仿宋" w:hAnsi="仿宋" w:eastAsia="仿宋" w:cs="仿宋"/>
          <w:color w:val="auto"/>
          <w:spacing w:val="53"/>
          <w:sz w:val="20"/>
          <w:szCs w:val="20"/>
          <w:highlight w:val="none"/>
          <w:u w:val="single" w:color="auto"/>
        </w:rPr>
        <w:t xml:space="preserve"> </w:t>
      </w:r>
      <w:r>
        <w:rPr>
          <w:rFonts w:ascii="仿宋" w:hAnsi="仿宋" w:eastAsia="仿宋" w:cs="仿宋"/>
          <w:color w:val="auto"/>
          <w:spacing w:val="7"/>
          <w:sz w:val="20"/>
          <w:szCs w:val="20"/>
          <w:highlight w:val="none"/>
          <w:u w:val="single" w:color="auto"/>
        </w:rPr>
        <w:t>项目名称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7"/>
          <w:sz w:val="20"/>
          <w:szCs w:val="20"/>
          <w:highlight w:val="none"/>
        </w:rPr>
        <w:t>）政府采购项目中</w:t>
      </w:r>
      <w:r>
        <w:rPr>
          <w:rFonts w:ascii="仿宋" w:hAnsi="仿宋" w:eastAsia="仿宋" w:cs="仿宋"/>
          <w:color w:val="auto"/>
          <w:spacing w:val="6"/>
          <w:sz w:val="20"/>
          <w:szCs w:val="20"/>
          <w:highlight w:val="none"/>
        </w:rPr>
        <w:t>标（或成</w:t>
      </w:r>
    </w:p>
    <w:p>
      <w:pPr>
        <w:spacing w:before="73" w:line="221" w:lineRule="auto"/>
        <w:rPr>
          <w:rFonts w:ascii="仿宋" w:hAnsi="仿宋" w:eastAsia="仿宋" w:cs="仿宋"/>
          <w:color w:val="auto"/>
          <w:sz w:val="20"/>
          <w:szCs w:val="20"/>
          <w:highlight w:val="none"/>
        </w:rPr>
      </w:pPr>
      <w:r>
        <w:rPr>
          <w:rFonts w:ascii="仿宋" w:hAnsi="仿宋" w:eastAsia="仿宋" w:cs="仿宋"/>
          <w:color w:val="auto"/>
          <w:spacing w:val="6"/>
          <w:sz w:val="20"/>
          <w:szCs w:val="20"/>
          <w:highlight w:val="none"/>
        </w:rPr>
        <w:t>交）供应商</w:t>
      </w:r>
      <w:r>
        <w:rPr>
          <w:rFonts w:ascii="仿宋" w:hAnsi="仿宋" w:eastAsia="仿宋" w:cs="仿宋"/>
          <w:color w:val="auto"/>
          <w:spacing w:val="6"/>
          <w:sz w:val="20"/>
          <w:szCs w:val="20"/>
          <w:highlight w:val="none"/>
          <w:u w:val="single" w:color="auto"/>
        </w:rPr>
        <w:t>（</w:t>
      </w:r>
      <w:r>
        <w:rPr>
          <w:rFonts w:ascii="仿宋" w:hAnsi="仿宋" w:eastAsia="仿宋" w:cs="仿宋"/>
          <w:color w:val="auto"/>
          <w:spacing w:val="72"/>
          <w:sz w:val="20"/>
          <w:szCs w:val="20"/>
          <w:highlight w:val="none"/>
          <w:u w:val="single" w:color="auto"/>
        </w:rPr>
        <w:t xml:space="preserve"> </w:t>
      </w:r>
      <w:r>
        <w:rPr>
          <w:rFonts w:ascii="仿宋" w:hAnsi="仿宋" w:eastAsia="仿宋" w:cs="仿宋"/>
          <w:color w:val="auto"/>
          <w:spacing w:val="6"/>
          <w:sz w:val="20"/>
          <w:szCs w:val="20"/>
          <w:highlight w:val="none"/>
          <w:u w:val="single" w:color="auto"/>
        </w:rPr>
        <w:t>公司名称</w:t>
      </w:r>
      <w:r>
        <w:rPr>
          <w:rFonts w:ascii="仿宋" w:hAnsi="仿宋" w:eastAsia="仿宋" w:cs="仿宋"/>
          <w:color w:val="auto"/>
          <w:spacing w:val="38"/>
          <w:sz w:val="20"/>
          <w:szCs w:val="20"/>
          <w:highlight w:val="none"/>
          <w:u w:val="single" w:color="auto"/>
        </w:rPr>
        <w:t xml:space="preserve"> </w:t>
      </w:r>
      <w:r>
        <w:rPr>
          <w:rFonts w:ascii="仿宋" w:hAnsi="仿宋" w:eastAsia="仿宋" w:cs="仿宋"/>
          <w:color w:val="auto"/>
          <w:spacing w:val="6"/>
          <w:sz w:val="20"/>
          <w:szCs w:val="20"/>
          <w:highlight w:val="none"/>
          <w:u w:val="single" w:color="auto"/>
        </w:rPr>
        <w:t xml:space="preserve">） </w:t>
      </w:r>
      <w:r>
        <w:rPr>
          <w:rFonts w:ascii="仿宋" w:hAnsi="仿宋" w:eastAsia="仿宋" w:cs="仿宋"/>
          <w:color w:val="auto"/>
          <w:spacing w:val="-84"/>
          <w:sz w:val="20"/>
          <w:szCs w:val="20"/>
          <w:highlight w:val="none"/>
        </w:rPr>
        <w:t xml:space="preserve"> </w:t>
      </w:r>
      <w:r>
        <w:rPr>
          <w:rFonts w:ascii="仿宋" w:hAnsi="仿宋" w:eastAsia="仿宋" w:cs="仿宋"/>
          <w:color w:val="auto"/>
          <w:spacing w:val="6"/>
          <w:sz w:val="20"/>
          <w:szCs w:val="20"/>
          <w:highlight w:val="none"/>
        </w:rPr>
        <w:t>提供的货物（或工程、服务）进行了验收，验收情况如下：</w:t>
      </w:r>
    </w:p>
    <w:tbl>
      <w:tblPr>
        <w:tblStyle w:val="50"/>
        <w:tblW w:w="8449" w:type="dxa"/>
        <w:tblInd w:w="5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38"/>
        <w:gridCol w:w="1917"/>
        <w:gridCol w:w="695"/>
        <w:gridCol w:w="102"/>
        <w:gridCol w:w="2100"/>
        <w:gridCol w:w="178"/>
        <w:gridCol w:w="684"/>
        <w:gridCol w:w="14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3255" w:type="dxa"/>
            <w:gridSpan w:val="2"/>
            <w:vAlign w:val="top"/>
          </w:tcPr>
          <w:p>
            <w:pPr>
              <w:pStyle w:val="49"/>
              <w:spacing w:before="172" w:line="228" w:lineRule="auto"/>
              <w:ind w:left="1103"/>
              <w:rPr>
                <w:color w:val="auto"/>
                <w:highlight w:val="none"/>
              </w:rPr>
            </w:pPr>
            <w:r>
              <w:rPr>
                <w:color w:val="auto"/>
                <w:spacing w:val="6"/>
                <w:highlight w:val="none"/>
              </w:rPr>
              <w:t>验收方式：</w:t>
            </w:r>
          </w:p>
        </w:tc>
        <w:tc>
          <w:tcPr>
            <w:tcW w:w="5194" w:type="dxa"/>
            <w:gridSpan w:val="6"/>
            <w:vAlign w:val="top"/>
          </w:tcPr>
          <w:p>
            <w:pPr>
              <w:pStyle w:val="49"/>
              <w:spacing w:before="172" w:line="196" w:lineRule="auto"/>
              <w:ind w:left="1823"/>
              <w:rPr>
                <w:color w:val="auto"/>
                <w:highlight w:val="none"/>
              </w:rPr>
            </w:pPr>
            <w:r>
              <w:rPr>
                <w:rFonts w:ascii="微软雅黑" w:hAnsi="微软雅黑" w:eastAsia="微软雅黑" w:cs="微软雅黑"/>
                <w:color w:val="auto"/>
                <w:spacing w:val="-15"/>
                <w:highlight w:val="none"/>
              </w:rPr>
              <w:t>口</w:t>
            </w:r>
            <w:r>
              <w:rPr>
                <w:rFonts w:ascii="微软雅黑" w:hAnsi="微软雅黑" w:eastAsia="微软雅黑" w:cs="微软雅黑"/>
                <w:color w:val="auto"/>
                <w:spacing w:val="-13"/>
                <w:highlight w:val="none"/>
              </w:rPr>
              <w:t xml:space="preserve"> </w:t>
            </w:r>
            <w:r>
              <w:rPr>
                <w:color w:val="auto"/>
                <w:spacing w:val="-15"/>
                <w:highlight w:val="none"/>
              </w:rPr>
              <w:t>自行验收</w:t>
            </w:r>
            <w:r>
              <w:rPr>
                <w:color w:val="auto"/>
                <w:spacing w:val="23"/>
                <w:highlight w:val="none"/>
              </w:rPr>
              <w:t xml:space="preserve"> </w:t>
            </w:r>
            <w:r>
              <w:rPr>
                <w:rFonts w:ascii="微软雅黑" w:hAnsi="微软雅黑" w:eastAsia="微软雅黑" w:cs="微软雅黑"/>
                <w:color w:val="auto"/>
                <w:spacing w:val="-15"/>
                <w:highlight w:val="none"/>
              </w:rPr>
              <w:t>口</w:t>
            </w:r>
            <w:r>
              <w:rPr>
                <w:color w:val="auto"/>
                <w:spacing w:val="-15"/>
                <w:highlight w:val="none"/>
              </w:rPr>
              <w:t>委托验收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4" w:hRule="atLeast"/>
        </w:trPr>
        <w:tc>
          <w:tcPr>
            <w:tcW w:w="1338" w:type="dxa"/>
            <w:vAlign w:val="top"/>
          </w:tcPr>
          <w:p>
            <w:pPr>
              <w:pStyle w:val="49"/>
              <w:spacing w:before="234" w:line="229" w:lineRule="auto"/>
              <w:ind w:left="458"/>
              <w:rPr>
                <w:color w:val="auto"/>
                <w:highlight w:val="none"/>
              </w:rPr>
            </w:pPr>
            <w:r>
              <w:rPr>
                <w:color w:val="auto"/>
                <w:spacing w:val="5"/>
                <w:highlight w:val="none"/>
              </w:rPr>
              <w:t>序号</w:t>
            </w:r>
          </w:p>
        </w:tc>
        <w:tc>
          <w:tcPr>
            <w:tcW w:w="1917" w:type="dxa"/>
            <w:vAlign w:val="top"/>
          </w:tcPr>
          <w:p>
            <w:pPr>
              <w:pStyle w:val="49"/>
              <w:spacing w:before="234" w:line="230" w:lineRule="auto"/>
              <w:ind w:left="698"/>
              <w:rPr>
                <w:color w:val="auto"/>
                <w:highlight w:val="none"/>
              </w:rPr>
            </w:pPr>
            <w:r>
              <w:rPr>
                <w:color w:val="auto"/>
                <w:highlight w:val="none"/>
              </w:rPr>
              <w:t>名</w:t>
            </w:r>
            <w:r>
              <w:rPr>
                <w:color w:val="auto"/>
                <w:spacing w:val="12"/>
                <w:highlight w:val="none"/>
              </w:rPr>
              <w:t xml:space="preserve"> </w:t>
            </w:r>
            <w:r>
              <w:rPr>
                <w:color w:val="auto"/>
                <w:highlight w:val="none"/>
              </w:rPr>
              <w:t>称</w:t>
            </w:r>
          </w:p>
        </w:tc>
        <w:tc>
          <w:tcPr>
            <w:tcW w:w="2897" w:type="dxa"/>
            <w:gridSpan w:val="3"/>
            <w:vAlign w:val="top"/>
          </w:tcPr>
          <w:p>
            <w:pPr>
              <w:pStyle w:val="49"/>
              <w:spacing w:before="75" w:line="227" w:lineRule="auto"/>
              <w:ind w:left="91"/>
              <w:rPr>
                <w:color w:val="auto"/>
                <w:highlight w:val="none"/>
              </w:rPr>
            </w:pPr>
            <w:r>
              <w:rPr>
                <w:color w:val="auto"/>
                <w:spacing w:val="8"/>
                <w:highlight w:val="none"/>
              </w:rPr>
              <w:t>货物型号规格、标准及配置等</w:t>
            </w:r>
          </w:p>
          <w:p>
            <w:pPr>
              <w:pStyle w:val="49"/>
              <w:spacing w:before="73" w:line="220" w:lineRule="auto"/>
              <w:ind w:left="411"/>
              <w:rPr>
                <w:color w:val="auto"/>
                <w:highlight w:val="none"/>
              </w:rPr>
            </w:pPr>
            <w:r>
              <w:rPr>
                <w:color w:val="auto"/>
                <w:spacing w:val="7"/>
                <w:highlight w:val="none"/>
              </w:rPr>
              <w:t>（或服务内容、标准）</w:t>
            </w:r>
          </w:p>
        </w:tc>
        <w:tc>
          <w:tcPr>
            <w:tcW w:w="862" w:type="dxa"/>
            <w:gridSpan w:val="2"/>
            <w:vAlign w:val="top"/>
          </w:tcPr>
          <w:p>
            <w:pPr>
              <w:pStyle w:val="49"/>
              <w:spacing w:before="234" w:line="228" w:lineRule="auto"/>
              <w:ind w:left="227"/>
              <w:rPr>
                <w:color w:val="auto"/>
                <w:highlight w:val="none"/>
              </w:rPr>
            </w:pPr>
            <w:r>
              <w:rPr>
                <w:color w:val="auto"/>
                <w:spacing w:val="3"/>
                <w:highlight w:val="none"/>
              </w:rPr>
              <w:t>数量</w:t>
            </w:r>
          </w:p>
        </w:tc>
        <w:tc>
          <w:tcPr>
            <w:tcW w:w="1435" w:type="dxa"/>
            <w:vAlign w:val="top"/>
          </w:tcPr>
          <w:p>
            <w:pPr>
              <w:pStyle w:val="49"/>
              <w:spacing w:before="234" w:line="228" w:lineRule="auto"/>
              <w:ind w:left="459"/>
              <w:rPr>
                <w:color w:val="auto"/>
                <w:highlight w:val="none"/>
              </w:rPr>
            </w:pPr>
            <w:r>
              <w:rPr>
                <w:color w:val="auto"/>
                <w:highlight w:val="none"/>
              </w:rPr>
              <w:t>金</w:t>
            </w:r>
            <w:r>
              <w:rPr>
                <w:color w:val="auto"/>
                <w:spacing w:val="13"/>
                <w:highlight w:val="none"/>
              </w:rPr>
              <w:t xml:space="preserve"> </w:t>
            </w:r>
            <w:r>
              <w:rPr>
                <w:color w:val="auto"/>
                <w:highlight w:val="none"/>
              </w:rPr>
              <w:t>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338" w:type="dxa"/>
            <w:vAlign w:val="top"/>
          </w:tcPr>
          <w:p>
            <w:pPr>
              <w:rPr>
                <w:rFonts w:ascii="Arial"/>
                <w:color w:val="auto"/>
                <w:sz w:val="21"/>
                <w:highlight w:val="none"/>
              </w:rPr>
            </w:pPr>
          </w:p>
        </w:tc>
        <w:tc>
          <w:tcPr>
            <w:tcW w:w="1917" w:type="dxa"/>
            <w:vAlign w:val="top"/>
          </w:tcPr>
          <w:p>
            <w:pPr>
              <w:rPr>
                <w:rFonts w:ascii="Arial"/>
                <w:color w:val="auto"/>
                <w:sz w:val="21"/>
                <w:highlight w:val="none"/>
              </w:rPr>
            </w:pPr>
          </w:p>
        </w:tc>
        <w:tc>
          <w:tcPr>
            <w:tcW w:w="2897" w:type="dxa"/>
            <w:gridSpan w:val="3"/>
            <w:vAlign w:val="top"/>
          </w:tcPr>
          <w:p>
            <w:pPr>
              <w:rPr>
                <w:rFonts w:ascii="Arial"/>
                <w:color w:val="auto"/>
                <w:sz w:val="21"/>
                <w:highlight w:val="none"/>
              </w:rPr>
            </w:pP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1" w:hRule="atLeast"/>
        </w:trPr>
        <w:tc>
          <w:tcPr>
            <w:tcW w:w="6152" w:type="dxa"/>
            <w:gridSpan w:val="5"/>
            <w:vAlign w:val="top"/>
          </w:tcPr>
          <w:p>
            <w:pPr>
              <w:pStyle w:val="49"/>
              <w:spacing w:before="161" w:line="229" w:lineRule="auto"/>
              <w:ind w:left="2821"/>
              <w:rPr>
                <w:color w:val="auto"/>
                <w:highlight w:val="none"/>
              </w:rPr>
            </w:pPr>
            <w:r>
              <w:rPr>
                <w:color w:val="auto"/>
                <w:highlight w:val="none"/>
              </w:rPr>
              <w:t>合</w:t>
            </w:r>
            <w:r>
              <w:rPr>
                <w:color w:val="auto"/>
                <w:spacing w:val="13"/>
                <w:highlight w:val="none"/>
              </w:rPr>
              <w:t xml:space="preserve"> </w:t>
            </w:r>
            <w:r>
              <w:rPr>
                <w:color w:val="auto"/>
                <w:highlight w:val="none"/>
              </w:rPr>
              <w:t>计</w:t>
            </w:r>
          </w:p>
        </w:tc>
        <w:tc>
          <w:tcPr>
            <w:tcW w:w="862" w:type="dxa"/>
            <w:gridSpan w:val="2"/>
            <w:vAlign w:val="top"/>
          </w:tcPr>
          <w:p>
            <w:pPr>
              <w:rPr>
                <w:rFonts w:ascii="Arial"/>
                <w:color w:val="auto"/>
                <w:sz w:val="21"/>
                <w:highlight w:val="none"/>
              </w:rPr>
            </w:pPr>
          </w:p>
        </w:tc>
        <w:tc>
          <w:tcPr>
            <w:tcW w:w="1435" w:type="dxa"/>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8449" w:type="dxa"/>
            <w:gridSpan w:val="8"/>
            <w:vAlign w:val="top"/>
          </w:tcPr>
          <w:p>
            <w:pPr>
              <w:pStyle w:val="49"/>
              <w:spacing w:before="238" w:line="228" w:lineRule="auto"/>
              <w:ind w:left="15"/>
              <w:rPr>
                <w:color w:val="auto"/>
                <w:highlight w:val="none"/>
              </w:rPr>
            </w:pPr>
            <w:r>
              <w:rPr>
                <w:color w:val="auto"/>
                <w:spacing w:val="6"/>
                <w:highlight w:val="none"/>
              </w:rPr>
              <w:t>合计大写金额：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45" w:hRule="atLeast"/>
        </w:trPr>
        <w:tc>
          <w:tcPr>
            <w:tcW w:w="1338" w:type="dxa"/>
            <w:vAlign w:val="top"/>
          </w:tcPr>
          <w:p>
            <w:pPr>
              <w:pStyle w:val="49"/>
              <w:spacing w:before="240" w:line="227" w:lineRule="auto"/>
              <w:ind w:left="44"/>
              <w:rPr>
                <w:color w:val="auto"/>
                <w:highlight w:val="none"/>
              </w:rPr>
            </w:pPr>
            <w:r>
              <w:rPr>
                <w:color w:val="auto"/>
                <w:spacing w:val="7"/>
                <w:highlight w:val="none"/>
              </w:rPr>
              <w:t>实际供货日期</w:t>
            </w:r>
          </w:p>
        </w:tc>
        <w:tc>
          <w:tcPr>
            <w:tcW w:w="2714" w:type="dxa"/>
            <w:gridSpan w:val="3"/>
            <w:vAlign w:val="top"/>
          </w:tcPr>
          <w:p>
            <w:pPr>
              <w:rPr>
                <w:rFonts w:ascii="Arial"/>
                <w:color w:val="auto"/>
                <w:sz w:val="21"/>
                <w:highlight w:val="none"/>
              </w:rPr>
            </w:pPr>
          </w:p>
        </w:tc>
        <w:tc>
          <w:tcPr>
            <w:tcW w:w="2278" w:type="dxa"/>
            <w:gridSpan w:val="2"/>
            <w:vAlign w:val="top"/>
          </w:tcPr>
          <w:p>
            <w:pPr>
              <w:pStyle w:val="49"/>
              <w:spacing w:before="240" w:line="227" w:lineRule="auto"/>
              <w:ind w:left="324"/>
              <w:rPr>
                <w:color w:val="auto"/>
                <w:highlight w:val="none"/>
              </w:rPr>
            </w:pPr>
            <w:r>
              <w:rPr>
                <w:color w:val="auto"/>
                <w:spacing w:val="8"/>
                <w:highlight w:val="none"/>
              </w:rPr>
              <w:t>合同交货验收日期</w:t>
            </w: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9" w:hRule="atLeast"/>
        </w:trPr>
        <w:tc>
          <w:tcPr>
            <w:tcW w:w="1338" w:type="dxa"/>
            <w:vAlign w:val="top"/>
          </w:tcPr>
          <w:p>
            <w:pPr>
              <w:rPr>
                <w:rFonts w:ascii="Arial"/>
                <w:color w:val="auto"/>
                <w:sz w:val="21"/>
                <w:highlight w:val="none"/>
              </w:rPr>
            </w:pPr>
          </w:p>
        </w:tc>
        <w:tc>
          <w:tcPr>
            <w:tcW w:w="2714" w:type="dxa"/>
            <w:gridSpan w:val="3"/>
            <w:vAlign w:val="top"/>
          </w:tcPr>
          <w:p>
            <w:pPr>
              <w:rPr>
                <w:rFonts w:ascii="Arial"/>
                <w:color w:val="auto"/>
                <w:sz w:val="21"/>
                <w:highlight w:val="none"/>
              </w:rPr>
            </w:pPr>
          </w:p>
        </w:tc>
        <w:tc>
          <w:tcPr>
            <w:tcW w:w="2278" w:type="dxa"/>
            <w:gridSpan w:val="2"/>
            <w:vAlign w:val="top"/>
          </w:tcPr>
          <w:p>
            <w:pPr>
              <w:rPr>
                <w:rFonts w:ascii="Arial"/>
                <w:color w:val="auto"/>
                <w:sz w:val="21"/>
                <w:highlight w:val="none"/>
              </w:rPr>
            </w:pPr>
          </w:p>
        </w:tc>
        <w:tc>
          <w:tcPr>
            <w:tcW w:w="2119" w:type="dxa"/>
            <w:gridSpan w:val="2"/>
            <w:vAlign w:val="top"/>
          </w:tcPr>
          <w:p>
            <w:pPr>
              <w:rPr>
                <w:rFonts w:ascii="Arial"/>
                <w:color w:val="auto"/>
                <w:sz w:val="21"/>
                <w:highlight w:val="none"/>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3" w:hRule="atLeast"/>
        </w:trPr>
        <w:tc>
          <w:tcPr>
            <w:tcW w:w="1338" w:type="dxa"/>
            <w:vAlign w:val="top"/>
          </w:tcPr>
          <w:p>
            <w:pPr>
              <w:spacing w:line="332" w:lineRule="auto"/>
              <w:rPr>
                <w:rFonts w:ascii="Arial"/>
                <w:color w:val="auto"/>
                <w:sz w:val="21"/>
                <w:highlight w:val="none"/>
              </w:rPr>
            </w:pPr>
          </w:p>
          <w:p>
            <w:pPr>
              <w:pStyle w:val="49"/>
              <w:spacing w:before="65" w:line="263" w:lineRule="auto"/>
              <w:ind w:left="113" w:right="171" w:hanging="3"/>
              <w:rPr>
                <w:color w:val="auto"/>
                <w:highlight w:val="none"/>
              </w:rPr>
            </w:pPr>
            <w:r>
              <w:rPr>
                <w:color w:val="auto"/>
                <w:spacing w:val="8"/>
                <w:highlight w:val="none"/>
              </w:rPr>
              <w:t>验收具体内</w:t>
            </w:r>
            <w:r>
              <w:rPr>
                <w:color w:val="auto"/>
                <w:highlight w:val="none"/>
              </w:rPr>
              <w:t xml:space="preserve"> 容</w:t>
            </w:r>
          </w:p>
        </w:tc>
        <w:tc>
          <w:tcPr>
            <w:tcW w:w="7111" w:type="dxa"/>
            <w:gridSpan w:val="7"/>
            <w:vAlign w:val="top"/>
          </w:tcPr>
          <w:p>
            <w:pPr>
              <w:pStyle w:val="49"/>
              <w:spacing w:before="79" w:line="255" w:lineRule="auto"/>
              <w:ind w:left="103" w:right="103" w:firstLine="9"/>
              <w:rPr>
                <w:rFonts w:ascii="微软雅黑" w:hAnsi="微软雅黑" w:eastAsia="微软雅黑" w:cs="微软雅黑"/>
                <w:color w:val="auto"/>
                <w:highlight w:val="none"/>
              </w:rPr>
            </w:pPr>
            <w:r>
              <w:rPr>
                <w:color w:val="auto"/>
                <w:spacing w:val="8"/>
                <w:highlight w:val="none"/>
              </w:rPr>
              <w:t>（应按采购合同、采购文件、投标响应文件及验收方案等进行验收；并核对</w:t>
            </w:r>
            <w:r>
              <w:rPr>
                <w:color w:val="auto"/>
                <w:spacing w:val="14"/>
                <w:highlight w:val="none"/>
              </w:rPr>
              <w:t xml:space="preserve"> </w:t>
            </w:r>
            <w:r>
              <w:rPr>
                <w:color w:val="auto"/>
                <w:spacing w:val="9"/>
                <w:highlight w:val="none"/>
              </w:rPr>
              <w:t>中标或者成交供应商在安装调试等方面是否违反合同</w:t>
            </w:r>
            <w:r>
              <w:rPr>
                <w:color w:val="auto"/>
                <w:spacing w:val="8"/>
                <w:highlight w:val="none"/>
              </w:rPr>
              <w:t>约定或服务规范要求、</w:t>
            </w:r>
            <w:r>
              <w:rPr>
                <w:color w:val="auto"/>
                <w:highlight w:val="none"/>
              </w:rPr>
              <w:t xml:space="preserve"> </w:t>
            </w:r>
            <w:r>
              <w:rPr>
                <w:color w:val="auto"/>
                <w:spacing w:val="9"/>
                <w:highlight w:val="none"/>
              </w:rPr>
              <w:t xml:space="preserve">提供的质量保证证明材料是否齐全、应有的配件及附件是否达到合同约定  </w:t>
            </w:r>
            <w:r>
              <w:rPr>
                <w:color w:val="auto"/>
                <w:spacing w:val="11"/>
                <w:highlight w:val="none"/>
              </w:rPr>
              <w:t>等。可附件</w:t>
            </w:r>
            <w:r>
              <w:rPr>
                <w:rFonts w:ascii="微软雅黑" w:hAnsi="微软雅黑" w:eastAsia="微软雅黑" w:cs="微软雅黑"/>
                <w:color w:val="auto"/>
                <w:spacing w:val="11"/>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84" w:hRule="atLeast"/>
        </w:trPr>
        <w:tc>
          <w:tcPr>
            <w:tcW w:w="1338" w:type="dxa"/>
            <w:vMerge w:val="restart"/>
            <w:tcBorders>
              <w:bottom w:val="nil"/>
            </w:tcBorders>
            <w:vAlign w:val="top"/>
          </w:tcPr>
          <w:p>
            <w:pPr>
              <w:spacing w:line="267" w:lineRule="auto"/>
              <w:rPr>
                <w:rFonts w:ascii="Arial"/>
                <w:color w:val="auto"/>
                <w:sz w:val="21"/>
                <w:highlight w:val="none"/>
              </w:rPr>
            </w:pPr>
          </w:p>
          <w:p>
            <w:pPr>
              <w:spacing w:line="268" w:lineRule="auto"/>
              <w:rPr>
                <w:rFonts w:ascii="Arial"/>
                <w:color w:val="auto"/>
                <w:sz w:val="21"/>
                <w:highlight w:val="none"/>
              </w:rPr>
            </w:pPr>
          </w:p>
          <w:p>
            <w:pPr>
              <w:spacing w:line="268" w:lineRule="auto"/>
              <w:rPr>
                <w:rFonts w:ascii="Arial"/>
                <w:color w:val="auto"/>
                <w:sz w:val="21"/>
                <w:highlight w:val="none"/>
              </w:rPr>
            </w:pPr>
          </w:p>
          <w:p>
            <w:pPr>
              <w:pStyle w:val="49"/>
              <w:spacing w:before="66" w:line="261" w:lineRule="auto"/>
              <w:ind w:left="114" w:right="171" w:hanging="4"/>
              <w:rPr>
                <w:color w:val="auto"/>
                <w:highlight w:val="none"/>
              </w:rPr>
            </w:pPr>
            <w:r>
              <w:rPr>
                <w:color w:val="auto"/>
                <w:spacing w:val="8"/>
                <w:highlight w:val="none"/>
              </w:rPr>
              <w:t>验收小组意</w:t>
            </w:r>
            <w:r>
              <w:rPr>
                <w:color w:val="auto"/>
                <w:highlight w:val="none"/>
              </w:rPr>
              <w:t xml:space="preserve"> 见</w:t>
            </w:r>
          </w:p>
        </w:tc>
        <w:tc>
          <w:tcPr>
            <w:tcW w:w="7111" w:type="dxa"/>
            <w:gridSpan w:val="7"/>
            <w:vAlign w:val="top"/>
          </w:tcPr>
          <w:p>
            <w:pPr>
              <w:spacing w:line="247" w:lineRule="auto"/>
              <w:rPr>
                <w:rFonts w:ascii="Arial"/>
                <w:color w:val="auto"/>
                <w:sz w:val="21"/>
                <w:highlight w:val="none"/>
              </w:rPr>
            </w:pPr>
          </w:p>
          <w:p>
            <w:pPr>
              <w:spacing w:line="248" w:lineRule="auto"/>
              <w:rPr>
                <w:rFonts w:ascii="Arial"/>
                <w:color w:val="auto"/>
                <w:sz w:val="21"/>
                <w:highlight w:val="none"/>
              </w:rPr>
            </w:pPr>
          </w:p>
          <w:p>
            <w:pPr>
              <w:pStyle w:val="49"/>
              <w:spacing w:before="65" w:line="228" w:lineRule="auto"/>
              <w:ind w:left="5"/>
              <w:rPr>
                <w:color w:val="auto"/>
                <w:highlight w:val="none"/>
              </w:rPr>
            </w:pPr>
            <w:r>
              <w:rPr>
                <w:color w:val="auto"/>
                <w:spacing w:val="7"/>
                <w:highlight w:val="none"/>
              </w:rPr>
              <w:t>验收结论性意见：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1338" w:type="dxa"/>
            <w:vMerge w:val="continue"/>
            <w:tcBorders>
              <w:top w:val="nil"/>
            </w:tcBorders>
            <w:vAlign w:val="top"/>
          </w:tcPr>
          <w:p>
            <w:pPr>
              <w:rPr>
                <w:rFonts w:ascii="Arial"/>
                <w:color w:val="auto"/>
                <w:sz w:val="21"/>
                <w:highlight w:val="none"/>
              </w:rPr>
            </w:pPr>
          </w:p>
        </w:tc>
        <w:tc>
          <w:tcPr>
            <w:tcW w:w="7111" w:type="dxa"/>
            <w:gridSpan w:val="7"/>
            <w:vAlign w:val="top"/>
          </w:tcPr>
          <w:p>
            <w:pPr>
              <w:pStyle w:val="49"/>
              <w:spacing w:before="85" w:line="600" w:lineRule="exact"/>
              <w:ind w:left="7"/>
              <w:rPr>
                <w:color w:val="auto"/>
                <w:highlight w:val="none"/>
              </w:rPr>
            </w:pPr>
            <w:r>
              <w:rPr>
                <w:color w:val="auto"/>
                <w:spacing w:val="8"/>
                <w:position w:val="30"/>
                <w:highlight w:val="none"/>
              </w:rPr>
              <w:t>有异议的意见和说明理由：</w:t>
            </w:r>
          </w:p>
          <w:p>
            <w:pPr>
              <w:pStyle w:val="49"/>
              <w:spacing w:line="210" w:lineRule="auto"/>
              <w:ind w:left="6"/>
              <w:rPr>
                <w:color w:val="auto"/>
                <w:highlight w:val="none"/>
              </w:rPr>
            </w:pPr>
            <w:r>
              <w:rPr>
                <w:color w:val="auto"/>
                <w:spacing w:val="3"/>
                <w:highlight w:val="none"/>
              </w:rPr>
              <w:t>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1" w:hRule="atLeast"/>
        </w:trPr>
        <w:tc>
          <w:tcPr>
            <w:tcW w:w="8449" w:type="dxa"/>
            <w:gridSpan w:val="8"/>
            <w:vAlign w:val="top"/>
          </w:tcPr>
          <w:p>
            <w:pPr>
              <w:pStyle w:val="49"/>
              <w:spacing w:before="178" w:line="228" w:lineRule="auto"/>
              <w:ind w:left="110"/>
              <w:rPr>
                <w:color w:val="auto"/>
                <w:highlight w:val="none"/>
              </w:rPr>
            </w:pPr>
            <w:r>
              <w:rPr>
                <w:color w:val="auto"/>
                <w:spacing w:val="7"/>
                <w:highlight w:val="none"/>
              </w:rPr>
              <w:t>验收小组成员签字：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24" w:hRule="atLeast"/>
        </w:trPr>
        <w:tc>
          <w:tcPr>
            <w:tcW w:w="8449" w:type="dxa"/>
            <w:gridSpan w:val="8"/>
            <w:vAlign w:val="top"/>
          </w:tcPr>
          <w:p>
            <w:pPr>
              <w:pStyle w:val="49"/>
              <w:spacing w:before="87" w:line="600" w:lineRule="exact"/>
              <w:ind w:left="111"/>
              <w:rPr>
                <w:color w:val="auto"/>
                <w:highlight w:val="none"/>
              </w:rPr>
            </w:pPr>
            <w:r>
              <w:rPr>
                <w:color w:val="auto"/>
                <w:spacing w:val="8"/>
                <w:position w:val="30"/>
                <w:highlight w:val="none"/>
              </w:rPr>
              <w:t>监督人员或其他相关人员签字：</w:t>
            </w:r>
          </w:p>
          <w:p>
            <w:pPr>
              <w:pStyle w:val="49"/>
              <w:spacing w:line="209" w:lineRule="auto"/>
              <w:ind w:left="113"/>
              <w:rPr>
                <w:color w:val="auto"/>
                <w:highlight w:val="none"/>
              </w:rPr>
            </w:pPr>
            <w:r>
              <w:rPr>
                <w:color w:val="auto"/>
                <w:spacing w:val="8"/>
                <w:highlight w:val="none"/>
              </w:rPr>
              <w:t>或受邀机构的意见（盖章</w:t>
            </w:r>
            <w:r>
              <w:rPr>
                <w:color w:val="auto"/>
                <w:spacing w:val="4"/>
                <w:highlight w:val="none"/>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3" w:hRule="atLeast"/>
        </w:trPr>
        <w:tc>
          <w:tcPr>
            <w:tcW w:w="3950" w:type="dxa"/>
            <w:gridSpan w:val="3"/>
            <w:tcBorders>
              <w:right w:val="single" w:color="000000" w:sz="2" w:space="0"/>
            </w:tcBorders>
            <w:vAlign w:val="top"/>
          </w:tcPr>
          <w:p>
            <w:pPr>
              <w:pStyle w:val="49"/>
              <w:spacing w:before="89" w:line="600" w:lineRule="exact"/>
              <w:ind w:left="130"/>
              <w:rPr>
                <w:color w:val="auto"/>
                <w:highlight w:val="none"/>
              </w:rPr>
            </w:pPr>
            <w:r>
              <w:rPr>
                <w:color w:val="auto"/>
                <w:spacing w:val="7"/>
                <w:position w:val="30"/>
                <w:highlight w:val="none"/>
              </w:rPr>
              <w:t>中标或者成交供应商负责人签字或盖章：</w:t>
            </w:r>
          </w:p>
          <w:p>
            <w:pPr>
              <w:pStyle w:val="49"/>
              <w:spacing w:before="1" w:line="215" w:lineRule="auto"/>
              <w:ind w:left="111"/>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c>
          <w:tcPr>
            <w:tcW w:w="4499" w:type="dxa"/>
            <w:gridSpan w:val="5"/>
            <w:tcBorders>
              <w:left w:val="single" w:color="000000" w:sz="2" w:space="0"/>
            </w:tcBorders>
            <w:vAlign w:val="top"/>
          </w:tcPr>
          <w:p>
            <w:pPr>
              <w:pStyle w:val="49"/>
              <w:spacing w:before="89" w:line="600" w:lineRule="exact"/>
              <w:ind w:left="209"/>
              <w:rPr>
                <w:color w:val="auto"/>
                <w:highlight w:val="none"/>
              </w:rPr>
            </w:pPr>
            <w:r>
              <w:rPr>
                <w:color w:val="auto"/>
                <w:spacing w:val="9"/>
                <w:position w:val="30"/>
                <w:highlight w:val="none"/>
              </w:rPr>
              <w:t>采购人或受托机构的意见（盖章</w:t>
            </w:r>
            <w:r>
              <w:rPr>
                <w:color w:val="auto"/>
                <w:spacing w:val="1"/>
                <w:position w:val="30"/>
                <w:highlight w:val="none"/>
              </w:rPr>
              <w:t>）：</w:t>
            </w:r>
          </w:p>
          <w:p>
            <w:pPr>
              <w:pStyle w:val="49"/>
              <w:spacing w:before="1" w:line="215" w:lineRule="auto"/>
              <w:ind w:left="210"/>
              <w:rPr>
                <w:color w:val="auto"/>
                <w:highlight w:val="none"/>
              </w:rPr>
            </w:pPr>
            <w:r>
              <w:rPr>
                <w:color w:val="auto"/>
                <w:spacing w:val="3"/>
                <w:highlight w:val="none"/>
              </w:rPr>
              <w:t>联系电话：</w:t>
            </w:r>
            <w:r>
              <w:rPr>
                <w:color w:val="auto"/>
                <w:spacing w:val="25"/>
                <w:highlight w:val="none"/>
              </w:rPr>
              <w:t xml:space="preserve"> </w:t>
            </w:r>
            <w:r>
              <w:rPr>
                <w:color w:val="auto"/>
                <w:spacing w:val="3"/>
                <w:highlight w:val="none"/>
              </w:rPr>
              <w:t>年</w:t>
            </w:r>
            <w:r>
              <w:rPr>
                <w:color w:val="auto"/>
                <w:spacing w:val="12"/>
                <w:highlight w:val="none"/>
              </w:rPr>
              <w:t xml:space="preserve">  </w:t>
            </w:r>
            <w:r>
              <w:rPr>
                <w:color w:val="auto"/>
                <w:spacing w:val="3"/>
                <w:highlight w:val="none"/>
              </w:rPr>
              <w:t>月</w:t>
            </w:r>
            <w:r>
              <w:rPr>
                <w:color w:val="auto"/>
                <w:spacing w:val="27"/>
                <w:highlight w:val="none"/>
              </w:rPr>
              <w:t xml:space="preserve">  </w:t>
            </w:r>
            <w:r>
              <w:rPr>
                <w:color w:val="auto"/>
                <w:spacing w:val="3"/>
                <w:highlight w:val="none"/>
              </w:rPr>
              <w:t>日</w:t>
            </w:r>
          </w:p>
        </w:tc>
      </w:tr>
    </w:tbl>
    <w:p>
      <w:pPr>
        <w:rPr>
          <w:rFonts w:ascii="Arial"/>
          <w:color w:val="auto"/>
          <w:sz w:val="21"/>
          <w:highlight w:val="none"/>
        </w:rPr>
      </w:pPr>
    </w:p>
    <w:p>
      <w:pPr>
        <w:rPr>
          <w:rFonts w:ascii="Arial" w:hAnsi="Arial" w:eastAsia="Arial" w:cs="Arial"/>
          <w:color w:val="auto"/>
          <w:sz w:val="21"/>
          <w:szCs w:val="21"/>
          <w:highlight w:val="none"/>
        </w:rPr>
        <w:sectPr>
          <w:footerReference r:id="rId9" w:type="default"/>
          <w:pgSz w:w="11906" w:h="16839"/>
          <w:pgMar w:top="1431" w:right="1158" w:bottom="1362" w:left="1151" w:header="0" w:footer="120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line="231" w:lineRule="auto"/>
        <w:ind w:left="0"/>
        <w:textAlignment w:val="auto"/>
        <w:rPr>
          <w:rFonts w:hint="eastAsia" w:ascii="宋体" w:hAnsi="宋体" w:eastAsia="宋体" w:cs="宋体"/>
          <w:color w:val="auto"/>
          <w:sz w:val="24"/>
          <w:szCs w:val="24"/>
          <w:highlight w:val="none"/>
        </w:rPr>
      </w:pPr>
      <w:r>
        <w:rPr>
          <w:rFonts w:hint="eastAsia" w:ascii="宋体" w:hAnsi="宋体" w:eastAsia="宋体" w:cs="宋体"/>
          <w:color w:val="auto"/>
          <w:spacing w:val="-6"/>
          <w:sz w:val="24"/>
          <w:szCs w:val="24"/>
          <w:highlight w:val="none"/>
        </w:rPr>
        <w:t>附件</w:t>
      </w:r>
    </w:p>
    <w:p>
      <w:pPr>
        <w:spacing w:before="184" w:line="186" w:lineRule="auto"/>
        <w:jc w:val="center"/>
        <w:rPr>
          <w:rFonts w:hint="eastAsia" w:ascii="宋体" w:hAnsi="宋体" w:eastAsia="宋体" w:cs="宋体"/>
          <w:color w:val="auto"/>
          <w:sz w:val="28"/>
          <w:szCs w:val="28"/>
          <w:highlight w:val="none"/>
        </w:rPr>
      </w:pPr>
      <w:r>
        <w:rPr>
          <w:rFonts w:hint="eastAsia" w:ascii="宋体" w:hAnsi="宋体" w:eastAsia="宋体" w:cs="宋体"/>
          <w:color w:val="auto"/>
          <w:spacing w:val="9"/>
          <w:sz w:val="28"/>
          <w:szCs w:val="28"/>
          <w:highlight w:val="none"/>
        </w:rPr>
        <w:t>广西线上“政采贷”政策告知函</w:t>
      </w:r>
    </w:p>
    <w:p>
      <w:pPr>
        <w:spacing w:line="291" w:lineRule="auto"/>
        <w:rPr>
          <w:rFonts w:hint="eastAsia" w:ascii="宋体" w:hAnsi="宋体" w:eastAsia="宋体" w:cs="宋体"/>
          <w:color w:val="auto"/>
          <w:sz w:val="24"/>
          <w:szCs w:val="24"/>
          <w:highlight w:val="none"/>
        </w:rPr>
      </w:pPr>
    </w:p>
    <w:p>
      <w:pPr>
        <w:spacing w:before="101" w:line="229" w:lineRule="auto"/>
        <w:ind w:left="12"/>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各供应商：</w:t>
      </w:r>
    </w:p>
    <w:p>
      <w:pPr>
        <w:spacing w:before="196" w:line="228" w:lineRule="auto"/>
        <w:ind w:left="651"/>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欢迎贵公司参与广西政府采购活动！</w:t>
      </w:r>
    </w:p>
    <w:p>
      <w:pPr>
        <w:spacing w:before="203" w:line="345" w:lineRule="auto"/>
        <w:ind w:left="13" w:firstLine="648"/>
        <w:rPr>
          <w:rFonts w:hint="eastAsia" w:ascii="宋体" w:hAnsi="宋体" w:eastAsia="宋体" w:cs="宋体"/>
          <w:color w:val="auto"/>
          <w:sz w:val="24"/>
          <w:szCs w:val="24"/>
          <w:highlight w:val="none"/>
        </w:rPr>
      </w:pPr>
      <w:r>
        <w:rPr>
          <w:rFonts w:hint="eastAsia" w:ascii="宋体" w:hAnsi="宋体" w:eastAsia="宋体" w:cs="宋体"/>
          <w:color w:val="auto"/>
          <w:spacing w:val="8"/>
          <w:sz w:val="24"/>
          <w:szCs w:val="24"/>
          <w:highlight w:val="none"/>
        </w:rPr>
        <w:t>线上“政采贷</w:t>
      </w:r>
      <w:r>
        <w:rPr>
          <w:rFonts w:hint="eastAsia" w:ascii="宋体" w:hAnsi="宋体" w:eastAsia="宋体" w:cs="宋体"/>
          <w:color w:val="auto"/>
          <w:spacing w:val="-97"/>
          <w:sz w:val="24"/>
          <w:szCs w:val="24"/>
          <w:highlight w:val="none"/>
        </w:rPr>
        <w:t xml:space="preserve"> </w:t>
      </w:r>
      <w:r>
        <w:rPr>
          <w:rFonts w:hint="eastAsia" w:ascii="宋体" w:hAnsi="宋体" w:eastAsia="宋体" w:cs="宋体"/>
          <w:color w:val="auto"/>
          <w:spacing w:val="8"/>
          <w:sz w:val="24"/>
          <w:szCs w:val="24"/>
          <w:highlight w:val="none"/>
        </w:rPr>
        <w:t>”是人民银行南宁中心支行和自治区财政厅共同支</w:t>
      </w:r>
      <w:r>
        <w:rPr>
          <w:rFonts w:hint="eastAsia" w:ascii="宋体" w:hAnsi="宋体" w:eastAsia="宋体" w:cs="宋体"/>
          <w:color w:val="auto"/>
          <w:sz w:val="24"/>
          <w:szCs w:val="24"/>
          <w:highlight w:val="none"/>
        </w:rPr>
        <w:t xml:space="preserve"> </w:t>
      </w:r>
      <w:r>
        <w:rPr>
          <w:rFonts w:hint="eastAsia" w:ascii="宋体" w:hAnsi="宋体" w:eastAsia="宋体" w:cs="宋体"/>
          <w:color w:val="auto"/>
          <w:spacing w:val="3"/>
          <w:sz w:val="24"/>
          <w:szCs w:val="24"/>
          <w:highlight w:val="none"/>
        </w:rPr>
        <w:t>持企业发展，针对参与政府采购活动的企业融资难、融资贵、融资慢、</w:t>
      </w:r>
      <w:r>
        <w:rPr>
          <w:rFonts w:hint="eastAsia" w:ascii="宋体" w:hAnsi="宋体" w:eastAsia="宋体" w:cs="宋体"/>
          <w:color w:val="auto"/>
          <w:spacing w:val="10"/>
          <w:sz w:val="24"/>
          <w:szCs w:val="24"/>
          <w:highlight w:val="none"/>
        </w:rPr>
        <w:t xml:space="preserve">融资繁问题推出的一项融资政策。贵公司若成为本次政府采购项目的中标（成交）供应商，可持政府采购合同在线向银行业金融机构申请 </w:t>
      </w:r>
      <w:r>
        <w:rPr>
          <w:rFonts w:hint="eastAsia" w:ascii="宋体" w:hAnsi="宋体" w:eastAsia="宋体" w:cs="宋体"/>
          <w:color w:val="auto"/>
          <w:spacing w:val="5"/>
          <w:sz w:val="24"/>
          <w:szCs w:val="24"/>
          <w:highlight w:val="none"/>
        </w:rPr>
        <w:t>贷款，融资机构将根据《中国人民银行南宁中心支行 广西壮族自治区</w:t>
      </w:r>
      <w:r>
        <w:rPr>
          <w:rFonts w:hint="eastAsia" w:ascii="宋体" w:hAnsi="宋体" w:eastAsia="宋体" w:cs="宋体"/>
          <w:color w:val="auto"/>
          <w:spacing w:val="2"/>
          <w:sz w:val="24"/>
          <w:szCs w:val="24"/>
          <w:highlight w:val="none"/>
        </w:rPr>
        <w:t>财政厅关于推广线上“政采贷</w:t>
      </w:r>
      <w:r>
        <w:rPr>
          <w:rFonts w:hint="eastAsia" w:ascii="宋体" w:hAnsi="宋体" w:eastAsia="宋体" w:cs="宋体"/>
          <w:color w:val="auto"/>
          <w:spacing w:val="-112"/>
          <w:sz w:val="24"/>
          <w:szCs w:val="24"/>
          <w:highlight w:val="none"/>
        </w:rPr>
        <w:t xml:space="preserve"> </w:t>
      </w:r>
      <w:r>
        <w:rPr>
          <w:rFonts w:hint="eastAsia" w:ascii="宋体" w:hAnsi="宋体" w:eastAsia="宋体" w:cs="宋体"/>
          <w:color w:val="auto"/>
          <w:spacing w:val="2"/>
          <w:sz w:val="24"/>
          <w:szCs w:val="24"/>
          <w:highlight w:val="none"/>
        </w:rPr>
        <w:t>”融资模式的通知》（南宁银发〔202</w:t>
      </w:r>
      <w:r>
        <w:rPr>
          <w:rFonts w:hint="eastAsia" w:ascii="宋体" w:hAnsi="宋体" w:eastAsia="宋体" w:cs="宋体"/>
          <w:color w:val="auto"/>
          <w:spacing w:val="1"/>
          <w:sz w:val="24"/>
          <w:szCs w:val="24"/>
          <w:highlight w:val="none"/>
        </w:rPr>
        <w:t>1〕</w:t>
      </w:r>
      <w:r>
        <w:rPr>
          <w:rFonts w:hint="eastAsia" w:ascii="宋体" w:hAnsi="宋体" w:eastAsia="宋体" w:cs="宋体"/>
          <w:color w:val="auto"/>
          <w:spacing w:val="6"/>
          <w:sz w:val="24"/>
          <w:szCs w:val="24"/>
          <w:highlight w:val="none"/>
        </w:rPr>
        <w:t>258</w:t>
      </w:r>
      <w:r>
        <w:rPr>
          <w:rFonts w:hint="eastAsia" w:ascii="宋体" w:hAnsi="宋体" w:eastAsia="宋体" w:cs="宋体"/>
          <w:color w:val="auto"/>
          <w:spacing w:val="-45"/>
          <w:sz w:val="24"/>
          <w:szCs w:val="24"/>
          <w:highlight w:val="none"/>
        </w:rPr>
        <w:t xml:space="preserve"> </w:t>
      </w:r>
      <w:r>
        <w:rPr>
          <w:rFonts w:hint="eastAsia" w:ascii="宋体" w:hAnsi="宋体" w:eastAsia="宋体" w:cs="宋体"/>
          <w:color w:val="auto"/>
          <w:spacing w:val="6"/>
          <w:sz w:val="24"/>
          <w:szCs w:val="24"/>
          <w:highlight w:val="none"/>
        </w:rPr>
        <w:t>号</w:t>
      </w:r>
      <w:r>
        <w:rPr>
          <w:rFonts w:hint="eastAsia" w:ascii="宋体" w:hAnsi="宋体" w:eastAsia="宋体" w:cs="宋体"/>
          <w:color w:val="auto"/>
          <w:spacing w:val="27"/>
          <w:sz w:val="24"/>
          <w:szCs w:val="24"/>
          <w:highlight w:val="none"/>
        </w:rPr>
        <w:t>），</w:t>
      </w:r>
      <w:r>
        <w:rPr>
          <w:rFonts w:hint="eastAsia" w:ascii="宋体" w:hAnsi="宋体" w:eastAsia="宋体" w:cs="宋体"/>
          <w:color w:val="auto"/>
          <w:spacing w:val="6"/>
          <w:sz w:val="24"/>
          <w:szCs w:val="24"/>
          <w:highlight w:val="none"/>
        </w:rPr>
        <w:t>按照双方自愿的原则提供便捷、优惠的贷款服务。</w:t>
      </w:r>
    </w:p>
    <w:p>
      <w:pPr>
        <w:pStyle w:val="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0"/>
          <w:sz w:val="24"/>
          <w:szCs w:val="24"/>
          <w:highlight w:val="none"/>
        </w:rPr>
        <w:t>相关金融产品和银行业金融机构联系方式，可在中征应收账款融</w:t>
      </w:r>
      <w:r>
        <w:rPr>
          <w:rFonts w:hint="eastAsia" w:ascii="宋体" w:hAnsi="宋体" w:eastAsia="宋体" w:cs="宋体"/>
          <w:color w:val="auto"/>
          <w:spacing w:val="-3"/>
          <w:sz w:val="24"/>
          <w:szCs w:val="24"/>
          <w:highlight w:val="none"/>
        </w:rPr>
        <w:t>资</w:t>
      </w:r>
      <w:r>
        <w:rPr>
          <w:rFonts w:hint="eastAsia" w:ascii="宋体" w:hAnsi="宋体" w:eastAsia="宋体" w:cs="宋体"/>
          <w:color w:val="auto"/>
          <w:spacing w:val="-77"/>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70"/>
          <w:sz w:val="24"/>
          <w:szCs w:val="24"/>
          <w:highlight w:val="none"/>
        </w:rPr>
        <w:t xml:space="preserve"> </w:t>
      </w:r>
      <w:r>
        <w:rPr>
          <w:rFonts w:hint="eastAsia" w:ascii="宋体" w:hAnsi="宋体" w:eastAsia="宋体" w:cs="宋体"/>
          <w:color w:val="auto"/>
          <w:spacing w:val="-3"/>
          <w:sz w:val="24"/>
          <w:szCs w:val="24"/>
          <w:highlight w:val="none"/>
        </w:rPr>
        <w:t>务</w:t>
      </w:r>
      <w:r>
        <w:rPr>
          <w:rFonts w:hint="eastAsia" w:ascii="宋体" w:hAnsi="宋体" w:eastAsia="宋体" w:cs="宋体"/>
          <w:color w:val="auto"/>
          <w:spacing w:val="-76"/>
          <w:sz w:val="24"/>
          <w:szCs w:val="24"/>
          <w:highlight w:val="none"/>
        </w:rPr>
        <w:t xml:space="preserve"> </w:t>
      </w:r>
      <w:r>
        <w:rPr>
          <w:rFonts w:hint="eastAsia" w:ascii="宋体" w:hAnsi="宋体" w:eastAsia="宋体" w:cs="宋体"/>
          <w:color w:val="auto"/>
          <w:spacing w:val="-3"/>
          <w:sz w:val="24"/>
          <w:szCs w:val="24"/>
          <w:highlight w:val="none"/>
        </w:rPr>
        <w:t>平</w:t>
      </w:r>
      <w:r>
        <w:rPr>
          <w:rFonts w:hint="eastAsia" w:ascii="宋体" w:hAnsi="宋体" w:eastAsia="宋体" w:cs="宋体"/>
          <w:color w:val="auto"/>
          <w:spacing w:val="-49"/>
          <w:sz w:val="24"/>
          <w:szCs w:val="24"/>
          <w:highlight w:val="none"/>
        </w:rPr>
        <w:t xml:space="preserve"> </w:t>
      </w:r>
      <w:r>
        <w:rPr>
          <w:rFonts w:hint="eastAsia" w:ascii="宋体" w:hAnsi="宋体" w:eastAsia="宋体" w:cs="宋体"/>
          <w:color w:val="auto"/>
          <w:spacing w:val="-3"/>
          <w:sz w:val="24"/>
          <w:szCs w:val="24"/>
          <w:highlight w:val="none"/>
        </w:rPr>
        <w:t>台</w:t>
      </w:r>
      <w:r>
        <w:rPr>
          <w:rFonts w:hint="eastAsia" w:ascii="宋体" w:hAnsi="宋体" w:eastAsia="宋体" w:cs="宋体"/>
          <w:color w:val="auto"/>
          <w:spacing w:val="-73"/>
          <w:sz w:val="24"/>
          <w:szCs w:val="24"/>
          <w:highlight w:val="none"/>
        </w:rPr>
        <w:t xml:space="preserve"> </w:t>
      </w:r>
      <w:r>
        <w:rPr>
          <w:rFonts w:hint="eastAsia" w:ascii="宋体" w:hAnsi="宋体" w:eastAsia="宋体" w:cs="宋体"/>
          <w:color w:val="auto"/>
          <w:spacing w:val="-3"/>
          <w:sz w:val="24"/>
          <w:szCs w:val="24"/>
          <w:highlight w:val="none"/>
        </w:rPr>
        <w:t>查</w:t>
      </w:r>
      <w:r>
        <w:rPr>
          <w:rFonts w:hint="eastAsia" w:ascii="宋体" w:hAnsi="宋体" w:eastAsia="宋体" w:cs="宋体"/>
          <w:color w:val="auto"/>
          <w:spacing w:val="-80"/>
          <w:sz w:val="24"/>
          <w:szCs w:val="24"/>
          <w:highlight w:val="none"/>
        </w:rPr>
        <w:t xml:space="preserve"> </w:t>
      </w:r>
      <w:r>
        <w:rPr>
          <w:rFonts w:hint="eastAsia" w:ascii="宋体" w:hAnsi="宋体" w:eastAsia="宋体" w:cs="宋体"/>
          <w:color w:val="auto"/>
          <w:spacing w:val="-3"/>
          <w:sz w:val="24"/>
          <w:szCs w:val="24"/>
          <w:highlight w:val="none"/>
        </w:rPr>
        <w:t>询</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pacing w:val="-3"/>
          <w:sz w:val="24"/>
          <w:szCs w:val="24"/>
          <w:highlight w:val="none"/>
        </w:rPr>
        <w:t>（网</w:t>
      </w:r>
      <w:r>
        <w:rPr>
          <w:rFonts w:hint="eastAsia" w:ascii="宋体" w:hAnsi="宋体" w:eastAsia="宋体" w:cs="宋体"/>
          <w:color w:val="auto"/>
          <w:spacing w:val="-72"/>
          <w:sz w:val="24"/>
          <w:szCs w:val="24"/>
          <w:highlight w:val="none"/>
        </w:rPr>
        <w:t xml:space="preserve"> </w:t>
      </w:r>
      <w:r>
        <w:rPr>
          <w:rFonts w:hint="eastAsia" w:ascii="宋体" w:hAnsi="宋体" w:eastAsia="宋体" w:cs="宋体"/>
          <w:color w:val="auto"/>
          <w:spacing w:val="-3"/>
          <w:sz w:val="24"/>
          <w:szCs w:val="24"/>
          <w:highlight w:val="none"/>
        </w:rPr>
        <w:t>址</w:t>
      </w:r>
      <w:r>
        <w:rPr>
          <w:rFonts w:hint="eastAsia" w:ascii="宋体" w:hAnsi="宋体" w:eastAsia="宋体" w:cs="宋体"/>
          <w:color w:val="auto"/>
          <w:spacing w:val="-52"/>
          <w:sz w:val="24"/>
          <w:szCs w:val="24"/>
          <w:highlight w:val="none"/>
        </w:rPr>
        <w:t xml:space="preserve"> </w:t>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92"/>
          <w:sz w:val="24"/>
          <w:szCs w:val="24"/>
          <w:highlight w:val="none"/>
        </w:rPr>
        <w:t xml:space="preserve"> </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"https://www.crcrfsp.com/"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sz w:val="24"/>
          <w:szCs w:val="24"/>
          <w:highlight w:val="none"/>
          <w:u w:val="single" w:color="auto"/>
        </w:rPr>
        <w:t>https://www.crcrfsp.com/</w:t>
      </w:r>
      <w:r>
        <w:rPr>
          <w:rFonts w:hint="eastAsia" w:ascii="宋体" w:hAnsi="宋体" w:eastAsia="宋体" w:cs="宋体"/>
          <w:color w:val="auto"/>
          <w:spacing w:val="-3"/>
          <w:sz w:val="24"/>
          <w:szCs w:val="24"/>
          <w:highlight w:val="none"/>
          <w:u w:val="single" w:color="auto"/>
        </w:rPr>
        <w:fldChar w:fldCharType="end"/>
      </w:r>
      <w:r>
        <w:rPr>
          <w:rFonts w:hint="eastAsia" w:ascii="宋体" w:hAnsi="宋体" w:eastAsia="宋体" w:cs="宋体"/>
          <w:color w:val="auto"/>
          <w:spacing w:val="-3"/>
          <w:sz w:val="24"/>
          <w:szCs w:val="24"/>
          <w:highlight w:val="none"/>
        </w:rPr>
        <w:t>，</w:t>
      </w:r>
      <w:r>
        <w:rPr>
          <w:rFonts w:hint="eastAsia" w:ascii="宋体" w:hAnsi="宋体" w:eastAsia="宋体" w:cs="宋体"/>
          <w:color w:val="auto"/>
          <w:spacing w:val="-65"/>
          <w:sz w:val="24"/>
          <w:szCs w:val="24"/>
          <w:highlight w:val="none"/>
        </w:rPr>
        <w:t xml:space="preserve"> </w:t>
      </w:r>
      <w:r>
        <w:rPr>
          <w:rFonts w:hint="eastAsia" w:ascii="宋体" w:hAnsi="宋体" w:eastAsia="宋体" w:cs="宋体"/>
          <w:color w:val="auto"/>
          <w:spacing w:val="-3"/>
          <w:sz w:val="24"/>
          <w:szCs w:val="24"/>
          <w:highlight w:val="none"/>
        </w:rPr>
        <w:t>客</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服</w:t>
      </w:r>
      <w:r>
        <w:rPr>
          <w:rFonts w:hint="eastAsia" w:ascii="宋体" w:hAnsi="宋体" w:eastAsia="宋体" w:cs="宋体"/>
          <w:color w:val="auto"/>
          <w:spacing w:val="-41"/>
          <w:sz w:val="24"/>
          <w:szCs w:val="24"/>
          <w:highlight w:val="none"/>
        </w:rPr>
        <w:t xml:space="preserve"> </w:t>
      </w:r>
      <w:r>
        <w:rPr>
          <w:rFonts w:hint="eastAsia" w:ascii="宋体" w:hAnsi="宋体" w:eastAsia="宋体" w:cs="宋体"/>
          <w:color w:val="auto"/>
          <w:spacing w:val="-3"/>
          <w:sz w:val="24"/>
          <w:szCs w:val="24"/>
          <w:highlight w:val="none"/>
        </w:rPr>
        <w:t>电</w:t>
      </w:r>
      <w:r>
        <w:rPr>
          <w:rFonts w:hint="eastAsia" w:ascii="宋体" w:hAnsi="宋体" w:eastAsia="宋体" w:cs="宋体"/>
          <w:color w:val="auto"/>
          <w:spacing w:val="-79"/>
          <w:sz w:val="24"/>
          <w:szCs w:val="24"/>
          <w:highlight w:val="none"/>
        </w:rPr>
        <w:t xml:space="preserve"> </w:t>
      </w:r>
      <w:r>
        <w:rPr>
          <w:rFonts w:hint="eastAsia" w:ascii="宋体" w:hAnsi="宋体" w:eastAsia="宋体" w:cs="宋体"/>
          <w:color w:val="auto"/>
          <w:spacing w:val="-3"/>
          <w:sz w:val="24"/>
          <w:szCs w:val="24"/>
          <w:highlight w:val="none"/>
        </w:rPr>
        <w:t>话：</w:t>
      </w:r>
      <w:r>
        <w:rPr>
          <w:rFonts w:hint="eastAsia" w:ascii="宋体" w:hAnsi="宋体" w:eastAsia="宋体" w:cs="宋体"/>
          <w:color w:val="auto"/>
          <w:spacing w:val="3"/>
          <w:sz w:val="24"/>
          <w:szCs w:val="24"/>
          <w:highlight w:val="none"/>
        </w:rPr>
        <w:t>400-009-0001）。</w:t>
      </w:r>
    </w:p>
    <w:p>
      <w:pPr>
        <w:rPr>
          <w:rFonts w:hint="eastAsia" w:ascii="宋体" w:hAnsi="宋体" w:eastAsia="宋体" w:cs="宋体"/>
          <w:color w:val="auto"/>
          <w:sz w:val="21"/>
          <w:szCs w:val="21"/>
          <w:highlight w:val="none"/>
          <w:lang w:eastAsia="zh-CN"/>
        </w:rPr>
      </w:pPr>
    </w:p>
    <w:p>
      <w:pPr>
        <w:pStyle w:val="2"/>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2"/>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25"/>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ascii="宋体" w:hAnsi="宋体" w:eastAsia="宋体" w:cs="宋体"/>
          <w:color w:val="auto"/>
          <w:sz w:val="21"/>
          <w:szCs w:val="21"/>
          <w:highlight w:val="none"/>
          <w:lang w:eastAsia="zh-CN"/>
        </w:rPr>
      </w:pPr>
    </w:p>
    <w:p>
      <w:pPr>
        <w:rPr>
          <w:rFonts w:hint="eastAsia" w:ascii="宋体" w:hAnsi="宋体" w:eastAsia="宋体" w:cs="宋体"/>
          <w:color w:val="auto"/>
          <w:sz w:val="21"/>
          <w:szCs w:val="21"/>
          <w:highlight w:val="none"/>
          <w:lang w:eastAsia="zh-CN"/>
        </w:rPr>
      </w:pPr>
    </w:p>
    <w:p>
      <w:pPr>
        <w:pStyle w:val="8"/>
        <w:rPr>
          <w:rFonts w:hint="eastAsia"/>
          <w:color w:val="auto"/>
          <w:highlight w:val="none"/>
          <w:lang w:eastAsia="zh-CN"/>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sz w:val="21"/>
          <w:szCs w:val="21"/>
          <w:highlight w:val="none"/>
        </w:rPr>
      </w:pPr>
      <w:bookmarkStart w:id="135" w:name="_Toc28939"/>
      <w:bookmarkStart w:id="136" w:name="_Toc2989"/>
    </w:p>
    <w:p>
      <w:pPr>
        <w:rPr>
          <w:rFonts w:hint="eastAsia"/>
          <w:color w:val="auto"/>
          <w:highlight w:val="none"/>
        </w:rPr>
      </w:pPr>
    </w:p>
    <w:p>
      <w:pPr>
        <w:pStyle w:val="3"/>
        <w:keepNext/>
        <w:keepLines/>
        <w:pageBreakBefore w:val="0"/>
        <w:widowControl w:val="0"/>
        <w:kinsoku/>
        <w:wordWrap/>
        <w:overflowPunct/>
        <w:topLinePunct w:val="0"/>
        <w:autoSpaceDE/>
        <w:autoSpaceDN/>
        <w:bidi w:val="0"/>
        <w:adjustRightInd/>
        <w:snapToGrid/>
        <w:spacing w:before="0" w:after="0" w:line="240" w:lineRule="auto"/>
        <w:jc w:val="center"/>
        <w:textAlignment w:val="auto"/>
        <w:rPr>
          <w:rFonts w:hint="eastAsia" w:ascii="宋体" w:hAnsi="宋体" w:eastAsia="宋体" w:cs="宋体"/>
          <w:color w:val="auto"/>
          <w:sz w:val="32"/>
          <w:szCs w:val="32"/>
          <w:highlight w:val="none"/>
          <w:lang w:eastAsia="zh-CN"/>
        </w:rPr>
      </w:pPr>
      <w:bookmarkStart w:id="137" w:name="_Toc23263"/>
      <w:r>
        <w:rPr>
          <w:rFonts w:hint="eastAsia" w:ascii="宋体" w:hAnsi="宋体" w:eastAsia="宋体" w:cs="宋体"/>
          <w:color w:val="auto"/>
          <w:sz w:val="32"/>
          <w:szCs w:val="32"/>
          <w:highlight w:val="none"/>
        </w:rPr>
        <w:t xml:space="preserve">第三章 </w:t>
      </w:r>
      <w:r>
        <w:rPr>
          <w:rFonts w:hint="eastAsia" w:ascii="宋体" w:hAnsi="宋体" w:eastAsia="宋体" w:cs="宋体"/>
          <w:color w:val="auto"/>
          <w:sz w:val="32"/>
          <w:szCs w:val="32"/>
          <w:highlight w:val="none"/>
          <w:lang w:eastAsia="zh-CN"/>
        </w:rPr>
        <w:t>工程量清单</w:t>
      </w:r>
      <w:bookmarkEnd w:id="135"/>
      <w:bookmarkEnd w:id="137"/>
    </w:p>
    <w:p>
      <w:pPr>
        <w:pStyle w:val="11"/>
        <w:keepNext w:val="0"/>
        <w:keepLines w:val="0"/>
        <w:pageBreakBefore w:val="0"/>
        <w:widowControl w:val="0"/>
        <w:kinsoku/>
        <w:wordWrap/>
        <w:overflowPunct/>
        <w:topLinePunct w:val="0"/>
        <w:autoSpaceDE/>
        <w:autoSpaceDN/>
        <w:bidi w:val="0"/>
        <w:snapToGrid/>
        <w:spacing w:line="380" w:lineRule="exact"/>
        <w:textAlignment w:val="auto"/>
        <w:rPr>
          <w:rFonts w:hint="eastAsia" w:ascii="宋体" w:hAnsi="宋体" w:eastAsia="宋体" w:cs="宋体"/>
          <w:color w:val="auto"/>
          <w:kern w:val="21"/>
          <w:sz w:val="21"/>
          <w:szCs w:val="21"/>
          <w:highlight w:val="none"/>
        </w:rPr>
      </w:pPr>
      <w:bookmarkStart w:id="138" w:name="_Toc164138057"/>
      <w:bookmarkStart w:id="139" w:name="_Toc160609998"/>
      <w:bookmarkStart w:id="140" w:name="_Toc194308407"/>
      <w:r>
        <w:rPr>
          <w:rFonts w:hint="eastAsia" w:ascii="宋体" w:hAnsi="宋体" w:eastAsia="宋体" w:cs="宋体"/>
          <w:b/>
          <w:color w:val="auto"/>
          <w:sz w:val="21"/>
          <w:szCs w:val="21"/>
          <w:highlight w:val="none"/>
        </w:rPr>
        <w:t>一、工程量清单说明</w:t>
      </w:r>
      <w:bookmarkEnd w:id="138"/>
      <w:bookmarkEnd w:id="139"/>
      <w:r>
        <w:rPr>
          <w:rFonts w:hint="eastAsia" w:ascii="宋体" w:hAnsi="宋体" w:eastAsia="宋体" w:cs="宋体"/>
          <w:color w:val="auto"/>
          <w:kern w:val="21"/>
          <w:sz w:val="21"/>
          <w:szCs w:val="21"/>
          <w:highlight w:val="none"/>
        </w:rPr>
        <w:t>：</w:t>
      </w:r>
      <w:bookmarkEnd w:id="140"/>
      <w:r>
        <w:rPr>
          <w:rFonts w:hint="eastAsia" w:ascii="宋体" w:hAnsi="宋体" w:eastAsia="宋体" w:cs="宋体"/>
          <w:color w:val="auto"/>
          <w:kern w:val="21"/>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kern w:val="21"/>
          <w:sz w:val="21"/>
          <w:szCs w:val="21"/>
          <w:highlight w:val="none"/>
          <w:lang w:val="en-US" w:eastAsia="zh-CN"/>
        </w:rPr>
        <w:t>1、</w:t>
      </w:r>
      <w:r>
        <w:rPr>
          <w:rFonts w:hint="eastAsia" w:ascii="宋体" w:hAnsi="宋体" w:eastAsia="宋体" w:cs="宋体"/>
          <w:color w:val="auto"/>
          <w:sz w:val="21"/>
          <w:szCs w:val="21"/>
          <w:highlight w:val="none"/>
          <w:lang w:eastAsia="zh-CN"/>
        </w:rPr>
        <w:t>工程概况：</w:t>
      </w:r>
    </w:p>
    <w:p>
      <w:pPr>
        <w:keepNext w:val="0"/>
        <w:keepLines w:val="0"/>
        <w:pageBreakBefore w:val="0"/>
        <w:widowControl w:val="0"/>
        <w:kinsoku/>
        <w:wordWrap/>
        <w:overflowPunct/>
        <w:topLinePunct w:val="0"/>
        <w:autoSpaceDE/>
        <w:autoSpaceDN/>
        <w:bidi w:val="0"/>
        <w:snapToGrid/>
        <w:spacing w:line="380" w:lineRule="exact"/>
        <w:ind w:left="0" w:leftChars="0" w:firstLine="420" w:firstLineChars="200"/>
        <w:textAlignment w:val="auto"/>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lang w:eastAsia="zh-CN"/>
        </w:rPr>
        <w:t>工程名称：兴安县溶江镇永安村农贸市场扩建项目</w:t>
      </w:r>
    </w:p>
    <w:p>
      <w:pPr>
        <w:keepNext w:val="0"/>
        <w:keepLines w:val="0"/>
        <w:pageBreakBefore w:val="0"/>
        <w:widowControl w:val="0"/>
        <w:tabs>
          <w:tab w:val="left" w:pos="210"/>
        </w:tabs>
        <w:kinsoku/>
        <w:wordWrap/>
        <w:overflowPunct/>
        <w:topLinePunct w:val="0"/>
        <w:autoSpaceDE/>
        <w:autoSpaceDN/>
        <w:bidi w:val="0"/>
        <w:adjustRightInd/>
        <w:snapToGrid/>
        <w:spacing w:line="400" w:lineRule="exact"/>
        <w:ind w:left="0"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建设地址；兴安县溶江镇永安村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eastAsia="zh-CN"/>
        </w:rPr>
        <w:t>建设</w:t>
      </w:r>
      <w:r>
        <w:rPr>
          <w:rFonts w:hint="eastAsia" w:ascii="宋体" w:hAnsi="宋体" w:cs="宋体"/>
          <w:color w:val="auto"/>
          <w:sz w:val="21"/>
          <w:szCs w:val="21"/>
          <w:highlight w:val="none"/>
          <w:lang w:eastAsia="zh-CN"/>
        </w:rPr>
        <w:t>规模及</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lang w:eastAsia="zh-CN"/>
        </w:rPr>
        <w:t>本项目属于扩建工程，建设地点为兴安县溶江镇永安村，</w:t>
      </w:r>
      <w:r>
        <w:rPr>
          <w:rFonts w:hint="eastAsia" w:ascii="宋体" w:hAnsi="宋体" w:cs="宋体"/>
          <w:color w:val="auto"/>
          <w:sz w:val="21"/>
          <w:szCs w:val="21"/>
          <w:highlight w:val="none"/>
          <w:lang w:eastAsia="zh-CN"/>
        </w:rPr>
        <w:t>建设规模及</w:t>
      </w:r>
      <w:r>
        <w:rPr>
          <w:rFonts w:hint="eastAsia" w:ascii="宋体" w:hAnsi="宋体" w:eastAsia="宋体" w:cs="宋体"/>
          <w:color w:val="auto"/>
          <w:sz w:val="21"/>
          <w:szCs w:val="21"/>
          <w:highlight w:val="none"/>
          <w:lang w:eastAsia="zh-CN"/>
        </w:rPr>
        <w:t>内容为搭建烤房钢结构建筑面积约651平方米，</w:t>
      </w:r>
      <w:r>
        <w:rPr>
          <w:rFonts w:hint="eastAsia" w:ascii="宋体" w:hAnsi="宋体" w:cs="宋体"/>
          <w:color w:val="auto"/>
          <w:sz w:val="21"/>
          <w:szCs w:val="21"/>
          <w:highlight w:val="none"/>
          <w:lang w:eastAsia="zh-CN"/>
        </w:rPr>
        <w:t>内装</w:t>
      </w:r>
      <w:r>
        <w:rPr>
          <w:rFonts w:hint="eastAsia" w:ascii="宋体" w:hAnsi="宋体" w:eastAsia="宋体" w:cs="宋体"/>
          <w:color w:val="auto"/>
          <w:sz w:val="21"/>
          <w:szCs w:val="21"/>
          <w:highlight w:val="none"/>
          <w:lang w:eastAsia="zh-CN"/>
        </w:rPr>
        <w:t>烤箱</w:t>
      </w:r>
      <w:r>
        <w:rPr>
          <w:rFonts w:hint="eastAsia" w:ascii="宋体" w:hAnsi="宋体" w:cs="宋体"/>
          <w:color w:val="auto"/>
          <w:sz w:val="21"/>
          <w:szCs w:val="21"/>
          <w:highlight w:val="none"/>
          <w:lang w:eastAsia="zh-CN"/>
        </w:rPr>
        <w:t>一个，</w:t>
      </w:r>
      <w:r>
        <w:rPr>
          <w:rFonts w:hint="eastAsia" w:ascii="宋体" w:hAnsi="宋体" w:eastAsia="宋体" w:cs="宋体"/>
          <w:color w:val="auto"/>
          <w:sz w:val="21"/>
          <w:szCs w:val="21"/>
          <w:highlight w:val="none"/>
          <w:lang w:eastAsia="zh-CN"/>
        </w:rPr>
        <w:t>房</w:t>
      </w:r>
      <w:bookmarkStart w:id="141" w:name="OLE_LINK2"/>
      <w:r>
        <w:rPr>
          <w:rFonts w:hint="eastAsia" w:ascii="宋体" w:hAnsi="宋体" w:eastAsia="宋体" w:cs="宋体"/>
          <w:color w:val="auto"/>
          <w:sz w:val="21"/>
          <w:szCs w:val="21"/>
          <w:highlight w:val="none"/>
          <w:lang w:eastAsia="zh-CN"/>
        </w:rPr>
        <w:t>烤房</w:t>
      </w:r>
      <w:bookmarkEnd w:id="141"/>
      <w:r>
        <w:rPr>
          <w:rFonts w:hint="eastAsia" w:ascii="宋体" w:hAnsi="宋体" w:eastAsia="宋体" w:cs="宋体"/>
          <w:color w:val="auto"/>
          <w:sz w:val="21"/>
          <w:szCs w:val="21"/>
          <w:highlight w:val="none"/>
          <w:lang w:eastAsia="zh-CN"/>
        </w:rPr>
        <w:t>及蓝球场地面约1622平方米、混凝土挡土墙68米等。</w:t>
      </w:r>
      <w:r>
        <w:rPr>
          <w:rFonts w:hint="eastAsia" w:ascii="宋体" w:hAnsi="宋体" w:eastAsia="宋体" w:cs="宋体"/>
          <w:b w:val="0"/>
          <w:bCs w:val="0"/>
          <w:color w:val="auto"/>
          <w:sz w:val="21"/>
          <w:szCs w:val="21"/>
          <w:highlight w:val="none"/>
          <w:lang w:val="en-US" w:eastAsia="zh-CN"/>
        </w:rPr>
        <w:t>具体详见施工图纸及财评后工程量清单。</w:t>
      </w:r>
    </w:p>
    <w:p>
      <w:pPr>
        <w:keepNext w:val="0"/>
        <w:keepLines w:val="0"/>
        <w:pageBreakBefore w:val="0"/>
        <w:widowControl w:val="0"/>
        <w:numPr>
          <w:ilvl w:val="0"/>
          <w:numId w:val="5"/>
        </w:numPr>
        <w:tabs>
          <w:tab w:val="left" w:pos="210"/>
        </w:tabs>
        <w:kinsoku/>
        <w:wordWrap/>
        <w:overflowPunct/>
        <w:topLinePunct w:val="0"/>
        <w:autoSpaceDE/>
        <w:autoSpaceDN/>
        <w:bidi w:val="0"/>
        <w:adjustRightInd/>
        <w:snapToGrid/>
        <w:spacing w:line="380" w:lineRule="exact"/>
        <w:ind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编制依据：</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1、（GB50500-2013)《建设工程工程量清单计价规范》广西壮族自治区实施细则；</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2、（GB50854~50862-2013)《建设工程工程量计算规范广西壮族自治区实施细则》（修订本）；</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3、2013年《广西壮族自治区建筑装饰装修工程消耗量定额》及配套费用定额；</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4、桂建标【2019】12号《自治区住房城乡建设厅关于调整建设工程计价增值税税率的通知》；</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5、桂建标【2018】19号《自治区住房城乡建设厅关于调整建设工程定额人工费及有关费率的通知》；</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 xml:space="preserve"> 6、桂建标[2023] 7号广西壮族自治区住房和城乡建设厅文件《自治区住房城乡建设厅关于调整建设工程定额人工费及有关费率的通知》；</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kern w:val="21"/>
          <w:sz w:val="21"/>
          <w:szCs w:val="21"/>
          <w:highlight w:val="none"/>
          <w:lang w:val="en-US" w:eastAsia="zh-CN"/>
        </w:rPr>
      </w:pPr>
      <w:r>
        <w:rPr>
          <w:rFonts w:hint="eastAsia" w:ascii="宋体" w:hAnsi="宋体" w:eastAsia="宋体" w:cs="宋体"/>
          <w:color w:val="auto"/>
          <w:kern w:val="21"/>
          <w:sz w:val="21"/>
          <w:szCs w:val="21"/>
          <w:highlight w:val="none"/>
          <w:lang w:val="en-US" w:eastAsia="zh-CN"/>
        </w:rPr>
        <w:t>7、材料价格参照2024年《桂林市建设工程造价信息》第3期兴安县信息价，兴安县信息价缺项的按桂林市同期信息价或市场询价；</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4"/>
          <w:szCs w:val="24"/>
          <w:highlight w:val="none"/>
          <w:lang w:val="en-US" w:eastAsia="zh-CN"/>
        </w:rPr>
      </w:pPr>
      <w:r>
        <w:rPr>
          <w:rFonts w:hint="eastAsia" w:ascii="宋体" w:hAnsi="宋体" w:eastAsia="宋体" w:cs="宋体"/>
          <w:color w:val="auto"/>
          <w:kern w:val="21"/>
          <w:sz w:val="21"/>
          <w:szCs w:val="21"/>
          <w:highlight w:val="none"/>
          <w:lang w:val="en-US" w:eastAsia="zh-CN"/>
        </w:rPr>
        <w:t>8.、本工程地点位于溶江镇永安村，溶江镇永安村距离兴安县城约60KM，主要材料计算超运距；</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eastAsia"/>
          <w:b w:val="0"/>
          <w:bCs w:val="0"/>
          <w:color w:val="auto"/>
          <w:sz w:val="21"/>
          <w:szCs w:val="21"/>
          <w:highlight w:val="none"/>
          <w:lang w:val="en-US" w:eastAsia="zh-CN"/>
        </w:rPr>
      </w:pPr>
      <w:r>
        <w:rPr>
          <w:rFonts w:hint="eastAsia" w:ascii="宋体" w:hAnsi="宋体" w:cs="宋体"/>
          <w:color w:val="auto"/>
          <w:kern w:val="21"/>
          <w:sz w:val="21"/>
          <w:szCs w:val="21"/>
          <w:highlight w:val="none"/>
          <w:lang w:val="en-US" w:eastAsia="zh-CN"/>
        </w:rPr>
        <w:t>9</w:t>
      </w:r>
      <w:r>
        <w:rPr>
          <w:rFonts w:hint="eastAsia" w:ascii="宋体" w:hAnsi="宋体" w:eastAsia="宋体" w:cs="宋体"/>
          <w:color w:val="auto"/>
          <w:kern w:val="21"/>
          <w:sz w:val="21"/>
          <w:szCs w:val="21"/>
          <w:highlight w:val="none"/>
          <w:lang w:val="en-US" w:eastAsia="zh-CN"/>
        </w:rPr>
        <w:t>、软件版本：博奥云计价（版本号19.0.0.1）</w:t>
      </w:r>
      <w:r>
        <w:rPr>
          <w:rFonts w:hint="eastAsia" w:ascii="宋体" w:hAnsi="宋体" w:cs="宋体"/>
          <w:color w:val="auto"/>
          <w:kern w:val="21"/>
          <w:sz w:val="21"/>
          <w:szCs w:val="21"/>
          <w:highlight w:val="none"/>
          <w:lang w:val="en-US" w:eastAsia="zh-CN"/>
        </w:rPr>
        <w:t>；</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firstLine="420" w:firstLineChars="200"/>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10</w:t>
      </w:r>
      <w:r>
        <w:rPr>
          <w:rFonts w:hint="eastAsia" w:ascii="宋体" w:hAnsi="宋体" w:eastAsia="宋体" w:cs="宋体"/>
          <w:color w:val="auto"/>
          <w:kern w:val="21"/>
          <w:sz w:val="21"/>
          <w:szCs w:val="21"/>
          <w:highlight w:val="none"/>
          <w:lang w:val="en-US" w:eastAsia="zh-CN"/>
        </w:rPr>
        <w:t>、</w:t>
      </w:r>
      <w:r>
        <w:rPr>
          <w:rFonts w:hint="eastAsia" w:ascii="宋体" w:hAnsi="宋体" w:cs="宋体"/>
          <w:color w:val="auto"/>
          <w:kern w:val="21"/>
          <w:sz w:val="21"/>
          <w:szCs w:val="21"/>
          <w:highlight w:val="none"/>
          <w:lang w:val="en-US" w:eastAsia="zh-CN"/>
        </w:rPr>
        <w:t>施工设计图。</w:t>
      </w:r>
    </w:p>
    <w:p>
      <w:pPr>
        <w:keepNext w:val="0"/>
        <w:keepLines w:val="0"/>
        <w:pageBreakBefore w:val="0"/>
        <w:widowControl w:val="0"/>
        <w:kinsoku/>
        <w:wordWrap/>
        <w:overflowPunct/>
        <w:topLinePunct w:val="0"/>
        <w:autoSpaceDE/>
        <w:autoSpaceDN/>
        <w:bidi w:val="0"/>
        <w:adjustRightInd w:val="0"/>
        <w:snapToGrid/>
        <w:spacing w:line="38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二</w:t>
      </w:r>
      <w:r>
        <w:rPr>
          <w:rFonts w:hint="eastAsia" w:ascii="宋体" w:hAnsi="宋体" w:eastAsia="宋体" w:cs="宋体"/>
          <w:b/>
          <w:color w:val="auto"/>
          <w:sz w:val="21"/>
          <w:szCs w:val="21"/>
          <w:highlight w:val="none"/>
        </w:rPr>
        <w:t>、注意事项及要求：</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严格按国家标准及本项目工程量清单、图纸要求施工；</w:t>
      </w:r>
    </w:p>
    <w:p>
      <w:pPr>
        <w:pStyle w:val="11"/>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hAnsi="宋体" w:cs="宋体"/>
          <w:color w:val="auto"/>
          <w:sz w:val="21"/>
          <w:szCs w:val="21"/>
          <w:highlight w:val="none"/>
          <w:lang w:val="en-US" w:eastAsia="zh-CN"/>
        </w:rPr>
        <w:t>.</w:t>
      </w:r>
      <w:r>
        <w:rPr>
          <w:rFonts w:hint="eastAsia" w:ascii="宋体" w:hAnsi="宋体" w:eastAsia="宋体" w:cs="宋体"/>
          <w:color w:val="auto"/>
          <w:sz w:val="21"/>
          <w:szCs w:val="21"/>
          <w:highlight w:val="none"/>
        </w:rPr>
        <w:t>要求工期：</w:t>
      </w:r>
      <w:r>
        <w:rPr>
          <w:rFonts w:hint="eastAsia" w:ascii="宋体" w:hAnsi="宋体" w:eastAsia="宋体" w:cs="宋体"/>
          <w:color w:val="auto"/>
          <w:sz w:val="21"/>
          <w:szCs w:val="21"/>
          <w:highlight w:val="none"/>
          <w:lang w:val="en-US" w:eastAsia="zh-CN"/>
        </w:rPr>
        <w:t>自合同签订之日起</w:t>
      </w:r>
      <w:r>
        <w:rPr>
          <w:rFonts w:hint="eastAsia"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en-US" w:eastAsia="zh-CN"/>
        </w:rPr>
        <w:t>个日历天内完工</w:t>
      </w:r>
      <w:r>
        <w:rPr>
          <w:rFonts w:hint="eastAsia" w:ascii="宋体" w:hAnsi="宋体" w:eastAsia="宋体" w:cs="宋体"/>
          <w:i w:val="0"/>
          <w:iCs w:val="0"/>
          <w:color w:val="auto"/>
          <w:sz w:val="21"/>
          <w:szCs w:val="21"/>
          <w:highlight w:val="none"/>
          <w:lang w:val="en-US" w:eastAsia="zh-CN"/>
        </w:rPr>
        <w:t>。</w:t>
      </w:r>
      <w:r>
        <w:rPr>
          <w:rFonts w:hint="eastAsia" w:ascii="宋体" w:hAnsi="宋体" w:eastAsia="宋体" w:cs="宋体"/>
          <w:color w:val="auto"/>
          <w:sz w:val="21"/>
          <w:szCs w:val="21"/>
          <w:highlight w:val="none"/>
        </w:rPr>
        <w:t xml:space="preserve"> </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质量标准：</w:t>
      </w:r>
      <w:r>
        <w:rPr>
          <w:rFonts w:hint="eastAsia" w:ascii="宋体" w:hAnsi="宋体" w:eastAsia="宋体" w:cs="宋体"/>
          <w:color w:val="auto"/>
          <w:sz w:val="21"/>
          <w:szCs w:val="21"/>
          <w:highlight w:val="none"/>
          <w:lang w:eastAsia="zh-CN"/>
        </w:rPr>
        <w:t>达到国家施工验收规范合格标准</w:t>
      </w:r>
      <w:r>
        <w:rPr>
          <w:rFonts w:hint="eastAsia" w:ascii="宋体" w:hAnsi="宋体" w:eastAsia="宋体" w:cs="宋体"/>
          <w:color w:val="auto"/>
          <w:sz w:val="21"/>
          <w:szCs w:val="21"/>
          <w:highlight w:val="none"/>
        </w:rPr>
        <w:t>。</w:t>
      </w:r>
    </w:p>
    <w:p>
      <w:pPr>
        <w:keepNext w:val="0"/>
        <w:keepLines w:val="0"/>
        <w:pageBreakBefore w:val="0"/>
        <w:widowControl w:val="0"/>
        <w:tabs>
          <w:tab w:val="left" w:pos="210"/>
        </w:tabs>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cs="宋体"/>
          <w:color w:val="auto"/>
          <w:sz w:val="21"/>
          <w:szCs w:val="21"/>
          <w:highlight w:val="none"/>
          <w:lang w:val="en-US" w:eastAsia="zh-CN"/>
        </w:rPr>
        <w:t>.</w:t>
      </w:r>
      <w:r>
        <w:rPr>
          <w:rFonts w:hint="eastAsia" w:ascii="宋体" w:hAnsi="宋体" w:eastAsia="宋体" w:cs="宋体"/>
          <w:b/>
          <w:bCs/>
          <w:color w:val="auto"/>
          <w:sz w:val="21"/>
          <w:szCs w:val="21"/>
          <w:highlight w:val="none"/>
        </w:rPr>
        <w:t>供应商承诺工程竣工后，供应商应按照采购人的要求免费对开工的工程场地进行清理及清洁。</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rPr>
        <w:t>工程量</w:t>
      </w:r>
      <w:r>
        <w:rPr>
          <w:rFonts w:hint="eastAsia" w:ascii="宋体" w:hAnsi="宋体" w:eastAsia="宋体" w:cs="宋体"/>
          <w:color w:val="auto"/>
          <w:sz w:val="21"/>
          <w:szCs w:val="21"/>
          <w:highlight w:val="none"/>
          <w:lang w:eastAsia="zh-CN"/>
        </w:rPr>
        <w:t>按采购人提供的工程量清单，供应商进行自行报价。</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color w:val="auto"/>
          <w:kern w:val="0"/>
          <w:sz w:val="21"/>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cs="宋体"/>
          <w:color w:val="auto"/>
          <w:sz w:val="21"/>
          <w:szCs w:val="21"/>
          <w:highlight w:val="none"/>
          <w:lang w:val="en-US" w:eastAsia="zh-CN"/>
        </w:rPr>
        <w:t>.</w:t>
      </w:r>
      <w:r>
        <w:rPr>
          <w:rFonts w:hint="eastAsia" w:ascii="宋体" w:hAnsi="宋体" w:eastAsia="宋体" w:cs="宋体"/>
          <w:b/>
          <w:color w:val="auto"/>
          <w:kern w:val="0"/>
          <w:sz w:val="21"/>
          <w:szCs w:val="21"/>
          <w:highlight w:val="none"/>
        </w:rPr>
        <w:t>本工程</w:t>
      </w:r>
      <w:r>
        <w:rPr>
          <w:rFonts w:hint="eastAsia" w:ascii="宋体" w:hAnsi="宋体" w:eastAsia="宋体" w:cs="宋体"/>
          <w:b/>
          <w:bCs/>
          <w:color w:val="auto"/>
          <w:sz w:val="21"/>
          <w:szCs w:val="21"/>
          <w:highlight w:val="none"/>
          <w:lang w:eastAsia="zh-CN"/>
        </w:rPr>
        <w:t>财评后的</w:t>
      </w:r>
      <w:r>
        <w:rPr>
          <w:rFonts w:hint="eastAsia" w:ascii="宋体" w:hAnsi="宋体" w:eastAsia="宋体" w:cs="宋体"/>
          <w:b/>
          <w:color w:val="auto"/>
          <w:kern w:val="0"/>
          <w:sz w:val="21"/>
          <w:szCs w:val="21"/>
          <w:highlight w:val="none"/>
          <w:lang w:val="en-US" w:eastAsia="zh-CN"/>
        </w:rPr>
        <w:t>预算控制价为</w:t>
      </w:r>
      <w:r>
        <w:rPr>
          <w:rFonts w:hint="eastAsia" w:ascii="宋体" w:hAnsi="宋体" w:eastAsia="宋体" w:cs="宋体"/>
          <w:b/>
          <w:color w:val="auto"/>
          <w:kern w:val="0"/>
          <w:sz w:val="21"/>
          <w:szCs w:val="21"/>
          <w:highlight w:val="none"/>
        </w:rPr>
        <w:t>人民币</w:t>
      </w:r>
      <w:r>
        <w:rPr>
          <w:rFonts w:hint="eastAsia" w:ascii="宋体" w:hAnsi="宋体" w:cs="宋体"/>
          <w:b/>
          <w:color w:val="auto"/>
          <w:kern w:val="0"/>
          <w:sz w:val="21"/>
          <w:szCs w:val="21"/>
          <w:highlight w:val="none"/>
          <w:u w:val="single"/>
          <w:lang w:val="en-US" w:eastAsia="zh-CN"/>
        </w:rPr>
        <w:t>635858.42</w:t>
      </w:r>
      <w:r>
        <w:rPr>
          <w:rFonts w:hint="eastAsia" w:ascii="宋体" w:hAnsi="宋体" w:eastAsia="宋体" w:cs="宋体"/>
          <w:b/>
          <w:color w:val="auto"/>
          <w:kern w:val="0"/>
          <w:sz w:val="21"/>
          <w:szCs w:val="21"/>
          <w:highlight w:val="none"/>
        </w:rPr>
        <w:t>元</w:t>
      </w:r>
      <w:r>
        <w:rPr>
          <w:rFonts w:hint="eastAsia" w:ascii="宋体" w:hAnsi="宋体" w:eastAsia="宋体" w:cs="宋体"/>
          <w:b/>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Cs/>
          <w:color w:val="auto"/>
          <w:sz w:val="21"/>
          <w:szCs w:val="21"/>
          <w:highlight w:val="none"/>
          <w:lang w:eastAsia="zh-CN"/>
        </w:rPr>
      </w:pPr>
      <w:r>
        <w:rPr>
          <w:rFonts w:hint="eastAsia" w:ascii="宋体" w:hAnsi="宋体" w:eastAsia="宋体" w:cs="宋体"/>
          <w:b/>
          <w:bCs/>
          <w:color w:val="auto"/>
          <w:sz w:val="21"/>
          <w:szCs w:val="21"/>
          <w:highlight w:val="none"/>
          <w:lang w:eastAsia="zh-CN"/>
        </w:rPr>
        <w:t>经采购人同意，</w:t>
      </w:r>
      <w:r>
        <w:rPr>
          <w:rFonts w:hint="eastAsia" w:ascii="宋体" w:hAnsi="宋体" w:eastAsia="宋体" w:cs="宋体"/>
          <w:b/>
          <w:bCs/>
          <w:color w:val="auto"/>
          <w:sz w:val="21"/>
          <w:szCs w:val="21"/>
          <w:highlight w:val="none"/>
        </w:rPr>
        <w:t>本工程最高磋商限价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为</w:t>
      </w:r>
      <w:r>
        <w:rPr>
          <w:rFonts w:hint="eastAsia" w:ascii="宋体" w:hAnsi="宋体" w:cs="宋体"/>
          <w:b/>
          <w:color w:val="auto"/>
          <w:kern w:val="0"/>
          <w:sz w:val="21"/>
          <w:szCs w:val="21"/>
          <w:highlight w:val="none"/>
          <w:u w:val="single"/>
          <w:lang w:val="en-US" w:eastAsia="zh-CN"/>
        </w:rPr>
        <w:t>635858.42</w:t>
      </w:r>
      <w:r>
        <w:rPr>
          <w:rFonts w:hint="eastAsia" w:ascii="宋体" w:hAnsi="宋体" w:eastAsia="宋体" w:cs="宋体"/>
          <w:b/>
          <w:bCs/>
          <w:color w:val="auto"/>
          <w:kern w:val="0"/>
          <w:sz w:val="21"/>
          <w:szCs w:val="21"/>
          <w:highlight w:val="none"/>
          <w:u w:val="single"/>
        </w:rPr>
        <w:t>元</w:t>
      </w:r>
      <w:r>
        <w:rPr>
          <w:rFonts w:hint="eastAsia" w:ascii="宋体" w:hAnsi="宋体" w:eastAsia="宋体" w:cs="宋体"/>
          <w:b/>
          <w:bCs/>
          <w:color w:val="auto"/>
          <w:sz w:val="21"/>
          <w:szCs w:val="21"/>
          <w:highlight w:val="none"/>
          <w:lang w:eastAsia="zh-CN"/>
        </w:rPr>
        <w:t>。</w:t>
      </w:r>
    </w:p>
    <w:p>
      <w:pPr>
        <w:keepNext w:val="0"/>
        <w:keepLines w:val="0"/>
        <w:pageBreakBefore w:val="0"/>
        <w:widowControl w:val="0"/>
        <w:tabs>
          <w:tab w:val="left" w:pos="1305"/>
        </w:tabs>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w:t>
      </w:r>
      <w:r>
        <w:rPr>
          <w:rFonts w:hint="eastAsia" w:ascii="宋体" w:hAnsi="宋体" w:eastAsia="宋体" w:cs="宋体"/>
          <w:b/>
          <w:color w:val="auto"/>
          <w:sz w:val="21"/>
          <w:szCs w:val="21"/>
          <w:highlight w:val="none"/>
          <w:lang w:eastAsia="zh-CN"/>
        </w:rPr>
        <w:t>供应商的磋商报价不得超过本工程</w:t>
      </w:r>
      <w:r>
        <w:rPr>
          <w:rFonts w:hint="eastAsia" w:ascii="宋体" w:hAnsi="宋体" w:eastAsia="宋体" w:cs="宋体"/>
          <w:b/>
          <w:bCs/>
          <w:color w:val="auto"/>
          <w:sz w:val="21"/>
          <w:szCs w:val="21"/>
          <w:highlight w:val="none"/>
        </w:rPr>
        <w:t>最高磋商限价</w:t>
      </w:r>
      <w:r>
        <w:rPr>
          <w:rFonts w:hint="eastAsia" w:ascii="宋体" w:hAnsi="宋体" w:eastAsia="宋体" w:cs="宋体"/>
          <w:b/>
          <w:bCs/>
          <w:color w:val="auto"/>
          <w:sz w:val="21"/>
          <w:szCs w:val="21"/>
          <w:highlight w:val="none"/>
          <w:lang w:eastAsia="zh-CN"/>
        </w:rPr>
        <w:t>（预算</w:t>
      </w:r>
      <w:r>
        <w:rPr>
          <w:rFonts w:hint="eastAsia" w:ascii="宋体" w:hAnsi="宋体" w:eastAsia="宋体" w:cs="宋体"/>
          <w:b/>
          <w:bCs/>
          <w:color w:val="auto"/>
          <w:sz w:val="21"/>
          <w:szCs w:val="21"/>
          <w:highlight w:val="none"/>
          <w:lang w:val="en-US" w:eastAsia="zh-CN"/>
        </w:rPr>
        <w:t>控制价</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kern w:val="0"/>
          <w:sz w:val="21"/>
          <w:szCs w:val="21"/>
          <w:highlight w:val="none"/>
          <w:lang w:eastAsia="zh-CN"/>
        </w:rPr>
        <w:t>，否则作无效标处理；</w:t>
      </w:r>
      <w:r>
        <w:rPr>
          <w:rFonts w:hint="eastAsia" w:ascii="宋体" w:hAnsi="宋体" w:eastAsia="宋体" w:cs="宋体"/>
          <w:b/>
          <w:color w:val="auto"/>
          <w:sz w:val="21"/>
          <w:szCs w:val="21"/>
          <w:highlight w:val="none"/>
        </w:rPr>
        <w:t>供应商的第二次磋商报价不得高于该供应商第一次磋商报价，否则做无效标处理。如供应商维持</w:t>
      </w:r>
      <w:r>
        <w:rPr>
          <w:rFonts w:hint="eastAsia" w:ascii="宋体" w:hAnsi="宋体" w:eastAsia="宋体" w:cs="宋体"/>
          <w:b/>
          <w:color w:val="auto"/>
          <w:sz w:val="21"/>
          <w:szCs w:val="21"/>
          <w:highlight w:val="none"/>
          <w:lang w:eastAsia="zh-CN"/>
        </w:rPr>
        <w:t>磋商</w:t>
      </w:r>
      <w:r>
        <w:rPr>
          <w:rFonts w:hint="eastAsia" w:ascii="宋体" w:hAnsi="宋体" w:eastAsia="宋体" w:cs="宋体"/>
          <w:b/>
          <w:color w:val="auto"/>
          <w:sz w:val="21"/>
          <w:szCs w:val="21"/>
          <w:highlight w:val="none"/>
        </w:rPr>
        <w:t>报价不变，以原磋商报价作为供应商最后报价</w:t>
      </w:r>
      <w:r>
        <w:rPr>
          <w:rFonts w:hint="eastAsia" w:ascii="宋体" w:hAnsi="宋体" w:eastAsia="宋体" w:cs="宋体"/>
          <w:b/>
          <w:bCs/>
          <w:color w:val="auto"/>
          <w:sz w:val="21"/>
          <w:szCs w:val="21"/>
          <w:highlight w:val="none"/>
        </w:rPr>
        <w:t>；如供应商需要改变原磋商报价时，</w:t>
      </w:r>
      <w:r>
        <w:rPr>
          <w:rFonts w:hint="eastAsia" w:ascii="宋体" w:hAnsi="宋体" w:eastAsia="宋体" w:cs="宋体"/>
          <w:b/>
          <w:color w:val="auto"/>
          <w:sz w:val="21"/>
          <w:szCs w:val="21"/>
          <w:highlight w:val="none"/>
        </w:rPr>
        <w:t>供应商应预先准备好调整后的</w:t>
      </w:r>
      <w:r>
        <w:rPr>
          <w:rFonts w:hint="eastAsia" w:ascii="宋体" w:hAnsi="宋体" w:eastAsia="宋体" w:cs="宋体"/>
          <w:b/>
          <w:color w:val="auto"/>
          <w:sz w:val="21"/>
          <w:szCs w:val="21"/>
          <w:highlight w:val="none"/>
          <w:lang w:eastAsia="zh-CN"/>
        </w:rPr>
        <w:t>已标价的工程量清单</w:t>
      </w:r>
      <w:r>
        <w:rPr>
          <w:rFonts w:hint="eastAsia" w:ascii="宋体" w:hAnsi="宋体" w:eastAsia="宋体" w:cs="宋体"/>
          <w:b/>
          <w:color w:val="auto"/>
          <w:sz w:val="21"/>
          <w:szCs w:val="21"/>
          <w:highlight w:val="none"/>
        </w:rPr>
        <w:t>。</w:t>
      </w:r>
    </w:p>
    <w:p>
      <w:pPr>
        <w:keepNext w:val="0"/>
        <w:keepLines w:val="0"/>
        <w:pageBreakBefore w:val="0"/>
        <w:widowControl w:val="0"/>
        <w:numPr>
          <w:ilvl w:val="0"/>
          <w:numId w:val="6"/>
        </w:numPr>
        <w:tabs>
          <w:tab w:val="left" w:pos="1305"/>
        </w:tabs>
        <w:kinsoku/>
        <w:wordWrap/>
        <w:overflowPunct/>
        <w:topLinePunct w:val="0"/>
        <w:autoSpaceDE/>
        <w:autoSpaceDN/>
        <w:bidi w:val="0"/>
        <w:adjustRightInd/>
        <w:snapToGrid/>
        <w:spacing w:line="380" w:lineRule="exact"/>
        <w:textAlignment w:val="auto"/>
        <w:rPr>
          <w:rFonts w:hint="eastAsia" w:ascii="宋体" w:hAnsi="宋体" w:cs="宋体"/>
          <w:b/>
          <w:color w:val="auto"/>
          <w:sz w:val="21"/>
          <w:szCs w:val="21"/>
          <w:highlight w:val="none"/>
          <w:lang w:eastAsia="zh-CN"/>
        </w:rPr>
      </w:pPr>
      <w:r>
        <w:rPr>
          <w:rFonts w:hint="eastAsia" w:ascii="宋体" w:hAnsi="宋体" w:eastAsia="宋体" w:cs="宋体"/>
          <w:b/>
          <w:color w:val="auto"/>
          <w:sz w:val="21"/>
          <w:szCs w:val="21"/>
          <w:highlight w:val="none"/>
        </w:rPr>
        <w:t>工程量清单</w:t>
      </w:r>
      <w:r>
        <w:rPr>
          <w:rFonts w:hint="eastAsia" w:ascii="宋体" w:hAnsi="宋体" w:cs="宋体"/>
          <w:b/>
          <w:color w:val="auto"/>
          <w:sz w:val="21"/>
          <w:szCs w:val="21"/>
          <w:highlight w:val="none"/>
          <w:lang w:eastAsia="zh-CN"/>
        </w:rPr>
        <w:t>及施工图</w:t>
      </w:r>
      <w:r>
        <w:rPr>
          <w:rFonts w:hint="eastAsia" w:ascii="宋体" w:hAnsi="宋体" w:eastAsia="宋体" w:cs="宋体"/>
          <w:b/>
          <w:color w:val="auto"/>
          <w:sz w:val="21"/>
          <w:szCs w:val="21"/>
          <w:highlight w:val="none"/>
        </w:rPr>
        <w:t>（另册）</w:t>
      </w:r>
      <w:r>
        <w:rPr>
          <w:rFonts w:hint="eastAsia" w:ascii="宋体" w:hAnsi="宋体" w:eastAsia="宋体" w:cs="宋体"/>
          <w:b/>
          <w:color w:val="auto"/>
          <w:sz w:val="21"/>
          <w:szCs w:val="21"/>
          <w:highlight w:val="none"/>
        </w:rPr>
        <w:t>，是本竞争</w:t>
      </w:r>
      <w:r>
        <w:rPr>
          <w:rFonts w:hint="eastAsia" w:ascii="宋体" w:hAnsi="宋体" w:eastAsia="宋体" w:cs="宋体"/>
          <w:b/>
          <w:color w:val="auto"/>
          <w:sz w:val="21"/>
          <w:szCs w:val="21"/>
          <w:highlight w:val="none"/>
          <w:lang w:val="en-US" w:eastAsia="zh-CN"/>
        </w:rPr>
        <w:t>性磋商</w:t>
      </w:r>
      <w:r>
        <w:rPr>
          <w:rFonts w:hint="eastAsia" w:ascii="宋体" w:hAnsi="宋体" w:eastAsia="宋体" w:cs="宋体"/>
          <w:b/>
          <w:color w:val="auto"/>
          <w:sz w:val="21"/>
          <w:szCs w:val="21"/>
          <w:highlight w:val="none"/>
        </w:rPr>
        <w:t>文件的一个重要组成部分</w:t>
      </w:r>
      <w:r>
        <w:rPr>
          <w:rFonts w:hint="eastAsia" w:ascii="宋体" w:hAnsi="宋体" w:cs="宋体"/>
          <w:b/>
          <w:color w:val="auto"/>
          <w:sz w:val="21"/>
          <w:szCs w:val="21"/>
          <w:highlight w:val="none"/>
          <w:lang w:eastAsia="zh-CN"/>
        </w:rPr>
        <w:t>。</w:t>
      </w:r>
    </w:p>
    <w:p>
      <w:pPr>
        <w:rPr>
          <w:rFonts w:hint="eastAsia" w:ascii="宋体" w:hAnsi="宋体" w:cs="宋体"/>
          <w:b/>
          <w:color w:val="auto"/>
          <w:sz w:val="21"/>
          <w:szCs w:val="21"/>
          <w:highlight w:val="none"/>
          <w:lang w:eastAsia="zh-CN"/>
        </w:rPr>
      </w:pPr>
    </w:p>
    <w:p>
      <w:pPr>
        <w:rPr>
          <w:rFonts w:hint="eastAsia" w:ascii="宋体" w:hAnsi="宋体" w:cs="宋体"/>
          <w:b/>
          <w:color w:val="auto"/>
          <w:sz w:val="21"/>
          <w:szCs w:val="21"/>
          <w:highlight w:val="none"/>
          <w:lang w:eastAsia="zh-CN"/>
        </w:rPr>
      </w:pPr>
    </w:p>
    <w:bookmarkEnd w:id="136"/>
    <w:p>
      <w:pPr>
        <w:pStyle w:val="3"/>
        <w:pageBreakBefore w:val="0"/>
        <w:widowControl w:val="0"/>
        <w:numPr>
          <w:ilvl w:val="0"/>
          <w:numId w:val="0"/>
        </w:numPr>
        <w:tabs>
          <w:tab w:val="left" w:pos="0"/>
        </w:tabs>
        <w:kinsoku/>
        <w:wordWrap/>
        <w:overflowPunct/>
        <w:topLinePunct w:val="0"/>
        <w:autoSpaceDE w:val="0"/>
        <w:autoSpaceDN w:val="0"/>
        <w:bidi w:val="0"/>
        <w:adjustRightInd w:val="0"/>
        <w:snapToGrid/>
        <w:spacing w:before="0" w:after="0" w:line="440" w:lineRule="exact"/>
        <w:jc w:val="center"/>
        <w:textAlignment w:val="auto"/>
        <w:rPr>
          <w:rFonts w:hint="eastAsia"/>
          <w:color w:val="auto"/>
          <w:highlight w:val="none"/>
          <w:lang w:eastAsia="zh-CN"/>
        </w:rPr>
      </w:pPr>
      <w:bookmarkStart w:id="142" w:name="_Toc5828"/>
      <w:r>
        <w:rPr>
          <w:rFonts w:hint="eastAsia" w:ascii="宋体" w:hAnsi="宋体" w:eastAsia="宋体" w:cs="宋体"/>
          <w:color w:val="auto"/>
          <w:sz w:val="32"/>
          <w:szCs w:val="32"/>
          <w:highlight w:val="none"/>
          <w:lang w:eastAsia="zh-CN"/>
        </w:rPr>
        <w:t>第四章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评审办法</w:t>
      </w:r>
    </w:p>
    <w:bookmarkEnd w:id="142"/>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一、评审依据及方式</w:t>
      </w:r>
      <w:r>
        <w:rPr>
          <w:rFonts w:hint="eastAsia" w:ascii="宋体" w:hAnsi="宋体" w:eastAsia="宋体" w:cs="宋体"/>
          <w:b/>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1.评审依据：磋商小组以竞争性磋商文件和响应文件为评审依据，</w:t>
      </w:r>
      <w:r>
        <w:rPr>
          <w:rFonts w:hint="eastAsia" w:ascii="宋体" w:hAnsi="宋体" w:eastAsia="宋体" w:cs="宋体"/>
          <w:color w:val="auto"/>
          <w:sz w:val="21"/>
          <w:szCs w:val="21"/>
          <w:highlight w:val="none"/>
          <w:lang w:val="en-US" w:eastAsia="zh-CN"/>
        </w:rPr>
        <w:t>对磋商供应商的响应文件按百分制打分</w:t>
      </w:r>
      <w:r>
        <w:rPr>
          <w:rFonts w:hint="eastAsia" w:ascii="宋体" w:hAnsi="宋体" w:eastAsia="宋体" w:cs="宋体"/>
          <w:color w:val="auto"/>
          <w:sz w:val="21"/>
          <w:szCs w:val="21"/>
          <w:highlight w:val="none"/>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2.评审方式：以封闭方式进行评审。</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3.根据财库〔2012〕69号文规定，采购人和采购代理机构，磋商小组成员要严格遵守政府采购相关法律制度，依法履行各自职责，公正、客观、审慎地组织和参与评审工作。</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二、评审办法</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（一）本次评标采用综合评分法。</w:t>
      </w:r>
      <w:r>
        <w:rPr>
          <w:rFonts w:hint="eastAsia" w:ascii="宋体" w:hAnsi="宋体" w:eastAsia="宋体" w:cs="宋体"/>
          <w:bCs/>
          <w:color w:val="auto"/>
          <w:sz w:val="21"/>
          <w:szCs w:val="21"/>
          <w:highlight w:val="none"/>
          <w:lang w:eastAsia="zh-CN"/>
        </w:rPr>
        <w:t>磋商小组</w:t>
      </w:r>
      <w:r>
        <w:rPr>
          <w:rFonts w:hint="eastAsia" w:ascii="宋体" w:hAnsi="宋体" w:eastAsia="宋体" w:cs="宋体"/>
          <w:bCs/>
          <w:color w:val="auto"/>
          <w:sz w:val="21"/>
          <w:szCs w:val="21"/>
          <w:highlight w:val="none"/>
        </w:rPr>
        <w:t>会首先对</w:t>
      </w:r>
      <w:r>
        <w:rPr>
          <w:rFonts w:hint="eastAsia" w:ascii="宋体" w:hAnsi="宋体" w:eastAsia="宋体" w:cs="宋体"/>
          <w:bCs/>
          <w:color w:val="auto"/>
          <w:sz w:val="21"/>
          <w:szCs w:val="21"/>
          <w:highlight w:val="none"/>
          <w:lang w:eastAsia="zh-CN"/>
        </w:rPr>
        <w:t>磋商供应商</w:t>
      </w:r>
      <w:r>
        <w:rPr>
          <w:rFonts w:hint="eastAsia" w:ascii="宋体" w:hAnsi="宋体" w:eastAsia="宋体" w:cs="宋体"/>
          <w:bCs/>
          <w:color w:val="auto"/>
          <w:sz w:val="21"/>
          <w:szCs w:val="21"/>
          <w:highlight w:val="none"/>
        </w:rPr>
        <w:t>提交的响应文件进行资格性审查和符合性审查，只有通过了资格性审查和符合性审查才能进入详评。</w:t>
      </w:r>
    </w:p>
    <w:p>
      <w:pPr>
        <w:keepNext w:val="0"/>
        <w:keepLines w:val="0"/>
        <w:pageBreakBefore w:val="0"/>
        <w:kinsoku/>
        <w:wordWrap/>
        <w:overflowPunct/>
        <w:topLinePunct w:val="0"/>
        <w:autoSpaceDE/>
        <w:autoSpaceDN/>
        <w:bidi w:val="0"/>
        <w:adjustRightInd/>
        <w:spacing w:line="400" w:lineRule="exact"/>
        <w:ind w:left="0" w:leftChars="0"/>
        <w:jc w:val="left"/>
        <w:rPr>
          <w:rFonts w:hint="eastAsia" w:ascii="宋体" w:hAnsi="宋体" w:eastAsia="宋体" w:cs="宋体"/>
          <w:b/>
          <w:color w:val="auto"/>
          <w:w w:val="99"/>
          <w:kern w:val="0"/>
          <w:sz w:val="21"/>
          <w:szCs w:val="21"/>
          <w:highlight w:val="none"/>
          <w:lang w:val="en-US" w:eastAsia="zh-CN"/>
        </w:rPr>
      </w:pPr>
      <w:r>
        <w:rPr>
          <w:rFonts w:hint="eastAsia" w:ascii="宋体" w:hAnsi="宋体" w:eastAsia="宋体" w:cs="宋体"/>
          <w:b/>
          <w:color w:val="auto"/>
          <w:w w:val="99"/>
          <w:kern w:val="0"/>
          <w:sz w:val="21"/>
          <w:szCs w:val="21"/>
          <w:highlight w:val="none"/>
          <w:lang w:val="en-US" w:eastAsia="zh-CN"/>
        </w:rPr>
        <w:t>初步评审：</w:t>
      </w:r>
    </w:p>
    <w:tbl>
      <w:tblPr>
        <w:tblStyle w:val="19"/>
        <w:tblW w:w="9948" w:type="dxa"/>
        <w:jc w:val="center"/>
        <w:tblLayout w:type="fixed"/>
        <w:tblCellMar>
          <w:top w:w="0" w:type="dxa"/>
          <w:left w:w="108" w:type="dxa"/>
          <w:bottom w:w="0" w:type="dxa"/>
          <w:right w:w="108" w:type="dxa"/>
        </w:tblCellMar>
      </w:tblPr>
      <w:tblGrid>
        <w:gridCol w:w="944"/>
        <w:gridCol w:w="1460"/>
        <w:gridCol w:w="2344"/>
        <w:gridCol w:w="5200"/>
      </w:tblGrid>
      <w:tr>
        <w:tblPrEx>
          <w:tblCellMar>
            <w:top w:w="0" w:type="dxa"/>
            <w:left w:w="108" w:type="dxa"/>
            <w:bottom w:w="0" w:type="dxa"/>
            <w:right w:w="108" w:type="dxa"/>
          </w:tblCellMar>
        </w:tblPrEx>
        <w:trPr>
          <w:trHeight w:val="609" w:hRule="atLeast"/>
          <w:jc w:val="center"/>
        </w:trPr>
        <w:tc>
          <w:tcPr>
            <w:tcW w:w="944" w:type="dxa"/>
            <w:tcBorders>
              <w:top w:val="single" w:color="auto" w:sz="4" w:space="0"/>
              <w:left w:val="single" w:color="auto" w:sz="4" w:space="0"/>
              <w:bottom w:val="single" w:color="auto" w:sz="4" w:space="0"/>
              <w:right w:val="single" w:color="000000"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条款号</w:t>
            </w:r>
          </w:p>
        </w:tc>
        <w:tc>
          <w:tcPr>
            <w:tcW w:w="9004" w:type="dxa"/>
            <w:gridSpan w:val="3"/>
            <w:tcBorders>
              <w:top w:val="single" w:color="auto" w:sz="4" w:space="0"/>
              <w:left w:val="nil"/>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评审标准</w:t>
            </w:r>
          </w:p>
        </w:tc>
      </w:tr>
      <w:tr>
        <w:tblPrEx>
          <w:tblCellMar>
            <w:top w:w="0" w:type="dxa"/>
            <w:left w:w="108" w:type="dxa"/>
            <w:bottom w:w="0" w:type="dxa"/>
            <w:right w:w="108" w:type="dxa"/>
          </w:tblCellMar>
        </w:tblPrEx>
        <w:trPr>
          <w:trHeight w:val="453" w:hRule="atLeast"/>
          <w:jc w:val="center"/>
        </w:trPr>
        <w:tc>
          <w:tcPr>
            <w:tcW w:w="94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2.1.1</w:t>
            </w:r>
          </w:p>
        </w:tc>
        <w:tc>
          <w:tcPr>
            <w:tcW w:w="1460" w:type="dxa"/>
            <w:vMerge w:val="restart"/>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color w:val="auto"/>
                <w:spacing w:val="-6"/>
                <w:sz w:val="21"/>
                <w:szCs w:val="21"/>
                <w:highlight w:val="none"/>
                <w:lang w:eastAsia="zh-CN"/>
              </w:rPr>
            </w:pPr>
            <w:r>
              <w:rPr>
                <w:rFonts w:hint="eastAsia" w:ascii="宋体" w:hAnsi="宋体" w:eastAsia="宋体" w:cs="宋体"/>
                <w:color w:val="auto"/>
                <w:sz w:val="21"/>
                <w:szCs w:val="21"/>
                <w:highlight w:val="none"/>
              </w:rPr>
              <w:t>资格</w:t>
            </w:r>
            <w:r>
              <w:rPr>
                <w:rFonts w:hint="eastAsia" w:ascii="宋体" w:hAnsi="宋体" w:eastAsia="宋体" w:cs="宋体"/>
                <w:color w:val="auto"/>
                <w:sz w:val="21"/>
                <w:szCs w:val="21"/>
                <w:highlight w:val="none"/>
                <w:lang w:eastAsia="zh-CN"/>
              </w:rPr>
              <w:t>评审</w:t>
            </w:r>
          </w:p>
          <w:p>
            <w:pPr>
              <w:pStyle w:val="14"/>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color w:val="auto"/>
                <w:spacing w:val="-6"/>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评审因素</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评审标准</w:t>
            </w:r>
            <w:r>
              <w:rPr>
                <w:rFonts w:hint="eastAsia" w:ascii="宋体" w:hAnsi="宋体" w:eastAsia="宋体" w:cs="宋体"/>
                <w:b/>
                <w:bCs/>
                <w:color w:val="auto"/>
                <w:sz w:val="21"/>
                <w:szCs w:val="21"/>
                <w:highlight w:val="none"/>
              </w:rPr>
              <w:t>（合格标准：缺少任何一项或有任何一项不合格者，其资格</w:t>
            </w:r>
            <w:r>
              <w:rPr>
                <w:rFonts w:hint="eastAsia" w:ascii="宋体" w:hAnsi="宋体" w:eastAsia="宋体" w:cs="宋体"/>
                <w:b/>
                <w:bCs/>
                <w:color w:val="auto"/>
                <w:sz w:val="21"/>
                <w:szCs w:val="21"/>
                <w:highlight w:val="none"/>
                <w:lang w:eastAsia="zh-CN"/>
              </w:rPr>
              <w:t>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537" w:hRule="atLeast"/>
          <w:jc w:val="center"/>
        </w:trPr>
        <w:tc>
          <w:tcPr>
            <w:tcW w:w="944"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法定代表人、委托代理人身份证明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有效的法定代表人身份</w:t>
            </w:r>
            <w:r>
              <w:rPr>
                <w:rFonts w:hint="eastAsia" w:ascii="宋体" w:hAnsi="宋体" w:eastAsia="宋体" w:cs="宋体"/>
                <w:color w:val="auto"/>
                <w:sz w:val="21"/>
                <w:szCs w:val="21"/>
                <w:highlight w:val="none"/>
                <w:lang w:eastAsia="zh-CN"/>
              </w:rPr>
              <w:t>证</w:t>
            </w:r>
            <w:r>
              <w:rPr>
                <w:rFonts w:hint="eastAsia" w:ascii="宋体" w:hAnsi="宋体" w:eastAsia="宋体" w:cs="宋体"/>
                <w:color w:val="auto"/>
                <w:sz w:val="21"/>
                <w:szCs w:val="21"/>
                <w:highlight w:val="none"/>
              </w:rPr>
              <w:t>复印件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法人授权委托书（附身份证复印件，</w:t>
            </w:r>
            <w:r>
              <w:rPr>
                <w:rFonts w:hint="eastAsia" w:ascii="宋体" w:hAnsi="宋体" w:eastAsia="宋体" w:cs="宋体"/>
                <w:color w:val="auto"/>
                <w:sz w:val="21"/>
                <w:szCs w:val="21"/>
                <w:highlight w:val="none"/>
                <w:lang w:eastAsia="zh-CN"/>
              </w:rPr>
              <w:t>社会保险缴纳证明材料</w:t>
            </w:r>
            <w:r>
              <w:rPr>
                <w:rFonts w:hint="eastAsia" w:ascii="宋体" w:hAnsi="宋体" w:eastAsia="宋体" w:cs="宋体"/>
                <w:color w:val="auto"/>
                <w:sz w:val="21"/>
                <w:szCs w:val="21"/>
                <w:highlight w:val="none"/>
              </w:rPr>
              <w:t>授权代理时提供）</w:t>
            </w:r>
          </w:p>
        </w:tc>
      </w:tr>
      <w:tr>
        <w:tblPrEx>
          <w:tblCellMar>
            <w:top w:w="0" w:type="dxa"/>
            <w:left w:w="108" w:type="dxa"/>
            <w:bottom w:w="0" w:type="dxa"/>
            <w:right w:w="108" w:type="dxa"/>
          </w:tblCellMar>
        </w:tblPrEx>
        <w:trPr>
          <w:trHeight w:val="53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无</w:t>
            </w:r>
            <w:r>
              <w:rPr>
                <w:rFonts w:hint="eastAsia" w:ascii="宋体" w:hAnsi="宋体" w:eastAsia="宋体" w:cs="宋体"/>
                <w:color w:val="auto"/>
                <w:sz w:val="21"/>
                <w:szCs w:val="21"/>
                <w:highlight w:val="none"/>
              </w:rPr>
              <w:t>重大违法记录的书面声明</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bCs/>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竞标人</w:t>
            </w:r>
            <w:r>
              <w:rPr>
                <w:rFonts w:hint="eastAsia" w:ascii="宋体" w:hAnsi="宋体" w:eastAsia="宋体" w:cs="宋体"/>
                <w:color w:val="auto"/>
                <w:sz w:val="21"/>
                <w:szCs w:val="21"/>
                <w:highlight w:val="none"/>
              </w:rPr>
              <w:t>参加政府采购活动前3年内在经营活动中没有重大违法记录的书面声明</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有效的营业执照</w:t>
            </w:r>
            <w:r>
              <w:rPr>
                <w:rFonts w:hint="eastAsia" w:ascii="宋体" w:hAnsi="宋体" w:eastAsia="宋体" w:cs="宋体"/>
                <w:color w:val="auto"/>
                <w:sz w:val="21"/>
                <w:szCs w:val="21"/>
                <w:highlight w:val="none"/>
                <w:lang w:eastAsia="zh-CN"/>
              </w:rPr>
              <w:t>复印件</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lang w:eastAsia="zh-CN"/>
              </w:rPr>
              <w:t>资质证书</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采购文件要求。</w:t>
            </w:r>
          </w:p>
        </w:tc>
      </w:tr>
      <w:tr>
        <w:tblPrEx>
          <w:tblCellMar>
            <w:top w:w="0" w:type="dxa"/>
            <w:left w:w="108" w:type="dxa"/>
            <w:bottom w:w="0" w:type="dxa"/>
            <w:right w:w="108" w:type="dxa"/>
          </w:tblCellMar>
        </w:tblPrEx>
        <w:trPr>
          <w:trHeight w:val="622"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落实政府采购政策需满足的资格要求</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《中小企业声明函》或《残疾人福利性单位声明函》或省级以上监狱管理局、戒毒管理局（含新疆生产建设兵团）出具的属于监狱企业的证明文件复印件（必须提供其中一项）。</w:t>
            </w:r>
          </w:p>
        </w:tc>
      </w:tr>
      <w:tr>
        <w:tblPrEx>
          <w:tblCellMar>
            <w:top w:w="0" w:type="dxa"/>
            <w:left w:w="108" w:type="dxa"/>
            <w:bottom w:w="0" w:type="dxa"/>
            <w:right w:w="108" w:type="dxa"/>
          </w:tblCellMar>
        </w:tblPrEx>
        <w:trPr>
          <w:trHeight w:val="497"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安全生产许可证</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rPr>
              <w:t>有效的安全生产许可证</w:t>
            </w:r>
            <w:r>
              <w:rPr>
                <w:rFonts w:hint="eastAsia" w:ascii="宋体" w:hAnsi="宋体" w:eastAsia="宋体" w:cs="宋体"/>
                <w:color w:val="auto"/>
                <w:sz w:val="21"/>
                <w:szCs w:val="21"/>
                <w:highlight w:val="none"/>
                <w:lang w:eastAsia="zh-CN"/>
              </w:rPr>
              <w:t>复印件取得“三证合一”的除外。</w:t>
            </w:r>
          </w:p>
        </w:tc>
      </w:tr>
      <w:tr>
        <w:tblPrEx>
          <w:tblCellMar>
            <w:top w:w="0" w:type="dxa"/>
            <w:left w:w="108" w:type="dxa"/>
            <w:bottom w:w="0" w:type="dxa"/>
            <w:right w:w="108" w:type="dxa"/>
          </w:tblCellMar>
        </w:tblPrEx>
        <w:trPr>
          <w:trHeight w:val="560"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财务状况报告</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610" w:hRule="atLeast"/>
          <w:jc w:val="center"/>
        </w:trPr>
        <w:tc>
          <w:tcPr>
            <w:tcW w:w="944"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kern w:val="0"/>
                <w:sz w:val="21"/>
                <w:szCs w:val="21"/>
                <w:highlight w:val="none"/>
              </w:rPr>
            </w:pPr>
          </w:p>
        </w:tc>
        <w:tc>
          <w:tcPr>
            <w:tcW w:w="2344"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widowControl/>
              <w:kinsoku/>
              <w:wordWrap/>
              <w:overflowPunct/>
              <w:topLinePunct w:val="0"/>
              <w:autoSpaceDE/>
              <w:autoSpaceDN/>
              <w:bidi w:val="0"/>
              <w:adjustRightInd/>
              <w:snapToGrid w:val="0"/>
              <w:spacing w:line="400" w:lineRule="exact"/>
              <w:ind w:left="0" w:leftChars="0" w:firstLine="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依法纳税证明材料</w:t>
            </w:r>
          </w:p>
        </w:tc>
        <w:tc>
          <w:tcPr>
            <w:tcW w:w="5200" w:type="dxa"/>
            <w:tcBorders>
              <w:top w:val="single" w:color="auto" w:sz="4" w:space="0"/>
              <w:left w:val="single" w:color="auto" w:sz="4" w:space="0"/>
              <w:bottom w:val="single" w:color="auto" w:sz="4" w:space="0"/>
              <w:right w:val="single" w:color="auto" w:sz="4" w:space="0"/>
            </w:tcBorders>
            <w:vAlign w:val="center"/>
          </w:tcPr>
          <w:p>
            <w:pPr>
              <w:pStyle w:val="29"/>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按采购文件要求提供。</w:t>
            </w:r>
          </w:p>
        </w:tc>
      </w:tr>
      <w:tr>
        <w:tblPrEx>
          <w:tblCellMar>
            <w:top w:w="0" w:type="dxa"/>
            <w:left w:w="108" w:type="dxa"/>
            <w:bottom w:w="0" w:type="dxa"/>
            <w:right w:w="108" w:type="dxa"/>
          </w:tblCellMar>
        </w:tblPrEx>
        <w:trPr>
          <w:trHeight w:val="487" w:hRule="atLeast"/>
          <w:jc w:val="center"/>
        </w:trPr>
        <w:tc>
          <w:tcPr>
            <w:tcW w:w="944"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b/>
                <w:color w:val="auto"/>
                <w:sz w:val="21"/>
                <w:szCs w:val="21"/>
                <w:highlight w:val="none"/>
              </w:rPr>
            </w:pPr>
            <w:r>
              <w:rPr>
                <w:rFonts w:hint="eastAsia" w:ascii="宋体" w:hAnsi="宋体" w:eastAsia="宋体" w:cs="宋体"/>
                <w:bCs/>
                <w:color w:val="auto"/>
                <w:sz w:val="21"/>
                <w:szCs w:val="21"/>
                <w:highlight w:val="none"/>
              </w:rPr>
              <w:t>2.1.2</w:t>
            </w:r>
          </w:p>
        </w:tc>
        <w:tc>
          <w:tcPr>
            <w:tcW w:w="1460" w:type="dxa"/>
            <w:vMerge w:val="restart"/>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符合性评审</w:t>
            </w:r>
          </w:p>
        </w:tc>
        <w:tc>
          <w:tcPr>
            <w:tcW w:w="2344"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评审因素</w:t>
            </w:r>
          </w:p>
        </w:tc>
        <w:tc>
          <w:tcPr>
            <w:tcW w:w="5200" w:type="dxa"/>
            <w:tcBorders>
              <w:top w:val="single" w:color="auto"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评审标准（合格标准：缺少任何一项或有任何一项不合格者，其</w:t>
            </w:r>
            <w:r>
              <w:rPr>
                <w:rFonts w:hint="eastAsia" w:ascii="宋体" w:hAnsi="宋体" w:eastAsia="宋体" w:cs="宋体"/>
                <w:b/>
                <w:bCs/>
                <w:color w:val="auto"/>
                <w:sz w:val="21"/>
                <w:szCs w:val="21"/>
                <w:highlight w:val="none"/>
                <w:lang w:eastAsia="zh-CN"/>
              </w:rPr>
              <w:t>符合性评审</w:t>
            </w:r>
            <w:r>
              <w:rPr>
                <w:rFonts w:hint="eastAsia" w:ascii="宋体" w:hAnsi="宋体" w:eastAsia="宋体" w:cs="宋体"/>
                <w:b/>
                <w:bCs/>
                <w:color w:val="auto"/>
                <w:sz w:val="21"/>
                <w:szCs w:val="21"/>
                <w:highlight w:val="none"/>
              </w:rPr>
              <w:t>视为不合格）</w:t>
            </w:r>
          </w:p>
        </w:tc>
      </w:tr>
      <w:tr>
        <w:tblPrEx>
          <w:tblCellMar>
            <w:top w:w="0" w:type="dxa"/>
            <w:left w:w="108" w:type="dxa"/>
            <w:bottom w:w="0" w:type="dxa"/>
            <w:right w:w="108" w:type="dxa"/>
          </w:tblCellMar>
        </w:tblPrEx>
        <w:trPr>
          <w:trHeight w:val="51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响应函</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46"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工程报价汇总表</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25"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已标价工程量清单</w:t>
            </w:r>
          </w:p>
        </w:tc>
        <w:tc>
          <w:tcPr>
            <w:tcW w:w="52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491"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拟投入主要施工管理人员</w:t>
            </w:r>
          </w:p>
        </w:tc>
        <w:tc>
          <w:tcPr>
            <w:tcW w:w="5200"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29"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0"/>
                <w:sz w:val="21"/>
                <w:szCs w:val="21"/>
                <w:highlight w:val="none"/>
                <w:lang w:eastAsia="zh-CN"/>
              </w:rPr>
              <w:t>项目经理</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符合采购文件要求</w:t>
            </w:r>
          </w:p>
        </w:tc>
      </w:tr>
      <w:tr>
        <w:tblPrEx>
          <w:tblCellMar>
            <w:top w:w="0" w:type="dxa"/>
            <w:left w:w="108" w:type="dxa"/>
            <w:bottom w:w="0" w:type="dxa"/>
            <w:right w:w="108" w:type="dxa"/>
          </w:tblCellMar>
        </w:tblPrEx>
        <w:trPr>
          <w:trHeight w:val="470"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施工组织方案</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23"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eastAsia="zh-CN"/>
              </w:rPr>
              <w:t>工程完工服务承诺书</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577" w:hRule="atLeas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Cs/>
                <w:color w:val="auto"/>
                <w:sz w:val="21"/>
                <w:szCs w:val="21"/>
                <w:highlight w:val="none"/>
                <w:lang w:eastAsia="zh-CN"/>
              </w:rPr>
            </w:pPr>
            <w:r>
              <w:rPr>
                <w:rFonts w:hint="eastAsia" w:ascii="宋体" w:hAnsi="宋体" w:eastAsia="宋体" w:cs="宋体"/>
                <w:color w:val="auto"/>
                <w:kern w:val="0"/>
                <w:sz w:val="21"/>
                <w:szCs w:val="21"/>
                <w:highlight w:val="none"/>
                <w:lang w:eastAsia="zh-CN"/>
              </w:rPr>
              <w:t>农民工工资保障金缴纳与使用承诺书</w:t>
            </w:r>
          </w:p>
        </w:tc>
        <w:tc>
          <w:tcPr>
            <w:tcW w:w="5200" w:type="dxa"/>
            <w:tcBorders>
              <w:top w:val="single" w:color="000000" w:sz="4" w:space="0"/>
              <w:left w:val="single" w:color="000000" w:sz="4" w:space="0"/>
              <w:bottom w:val="single" w:color="000000" w:sz="4" w:space="0"/>
              <w:right w:val="single" w:color="auto"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bCs/>
                <w:color w:val="auto"/>
                <w:sz w:val="21"/>
                <w:szCs w:val="21"/>
                <w:highlight w:val="none"/>
              </w:rPr>
            </w:pPr>
            <w:r>
              <w:rPr>
                <w:rFonts w:hint="eastAsia" w:ascii="宋体" w:hAnsi="宋体" w:eastAsia="宋体" w:cs="宋体"/>
                <w:color w:val="auto"/>
                <w:kern w:val="0"/>
                <w:sz w:val="21"/>
                <w:szCs w:val="21"/>
                <w:highlight w:val="none"/>
                <w:lang w:eastAsia="zh-CN"/>
              </w:rPr>
              <w:t>必须提供</w:t>
            </w:r>
          </w:p>
        </w:tc>
      </w:tr>
      <w:tr>
        <w:tblPrEx>
          <w:tblCellMar>
            <w:top w:w="0" w:type="dxa"/>
            <w:left w:w="108" w:type="dxa"/>
            <w:bottom w:w="0" w:type="dxa"/>
            <w:right w:w="108" w:type="dxa"/>
          </w:tblCellMar>
        </w:tblPrEx>
        <w:trPr>
          <w:trHeight w:val="1039" w:hRule="exact"/>
          <w:jc w:val="center"/>
        </w:trPr>
        <w:tc>
          <w:tcPr>
            <w:tcW w:w="944"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1460" w:type="dxa"/>
            <w:vMerge w:val="continue"/>
            <w:tcBorders>
              <w:top w:val="single" w:color="auto" w:sz="4" w:space="0"/>
              <w:left w:val="single" w:color="000000"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jc w:val="left"/>
              <w:rPr>
                <w:rFonts w:hint="eastAsia" w:ascii="宋体" w:hAnsi="宋体" w:eastAsia="宋体" w:cs="宋体"/>
                <w:color w:val="auto"/>
                <w:sz w:val="21"/>
                <w:szCs w:val="21"/>
                <w:highlight w:val="none"/>
              </w:rPr>
            </w:pPr>
          </w:p>
        </w:tc>
        <w:tc>
          <w:tcPr>
            <w:tcW w:w="2344" w:type="dxa"/>
            <w:tcBorders>
              <w:top w:val="single" w:color="000000" w:sz="4" w:space="0"/>
              <w:left w:val="single" w:color="000000" w:sz="4" w:space="0"/>
              <w:bottom w:val="single" w:color="auto" w:sz="4" w:space="0"/>
              <w:right w:val="single" w:color="000000" w:sz="4" w:space="0"/>
            </w:tcBorders>
            <w:vAlign w:val="center"/>
          </w:tcPr>
          <w:p>
            <w:pPr>
              <w:keepNext w:val="0"/>
              <w:keepLines w:val="0"/>
              <w:pageBreakBefore w:val="0"/>
              <w:kinsoku/>
              <w:wordWrap/>
              <w:overflowPunct/>
              <w:topLinePunct w:val="0"/>
              <w:autoSpaceDE/>
              <w:autoSpaceDN/>
              <w:bidi w:val="0"/>
              <w:adjustRightInd/>
              <w:spacing w:line="400" w:lineRule="exact"/>
              <w:ind w:left="0" w:leftChars="0"/>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城乡清洁工程渣土清运承诺书</w:t>
            </w:r>
          </w:p>
        </w:tc>
        <w:tc>
          <w:tcPr>
            <w:tcW w:w="5200" w:type="dxa"/>
            <w:tcBorders>
              <w:top w:val="single" w:color="000000" w:sz="4" w:space="0"/>
              <w:left w:val="single" w:color="000000"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val="0"/>
              <w:spacing w:line="400" w:lineRule="exact"/>
              <w:ind w:left="0" w:leftChars="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必须提供</w:t>
            </w:r>
          </w:p>
        </w:tc>
      </w:tr>
    </w:tbl>
    <w:p>
      <w:pPr>
        <w:pStyle w:val="11"/>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val="0"/>
          <w:color w:val="auto"/>
          <w:sz w:val="21"/>
          <w:szCs w:val="21"/>
          <w:highlight w:val="none"/>
          <w:lang w:eastAsia="zh-CN"/>
        </w:rPr>
        <w:t>详细</w:t>
      </w:r>
      <w:r>
        <w:rPr>
          <w:rFonts w:hint="eastAsia" w:ascii="宋体" w:hAnsi="宋体" w:eastAsia="宋体" w:cs="宋体"/>
          <w:b/>
          <w:color w:val="auto"/>
          <w:sz w:val="21"/>
          <w:szCs w:val="21"/>
          <w:highlight w:val="none"/>
        </w:rPr>
        <w:t>价格分………………………………………………………………………………</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满分30</w:t>
      </w:r>
      <w:r>
        <w:rPr>
          <w:rFonts w:hint="eastAsia" w:ascii="宋体" w:hAnsi="宋体" w:eastAsia="宋体" w:cs="宋体"/>
          <w:b/>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（1）本项目为专门面向中小微企业采购的项目（供应商应为中小微企业、监狱企业、残疾人福利性单位)，不再执行价格评审优惠的扶持政策。即评标价=最终报价。</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按照《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符合《关于促进残疾人就业政府采购政策的通知》(财库〔2017〕141号)规定条件，认定为残疾人福利性单位的，在政府采购活动中，残疾人福利性单位视同小型、微型企业。残疾人福利性单位参加政府采购活动时，应当提供该通知规定的《残疾人福利性单位声明函》，并对声明的真实性负责。</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人为残疾人福利性单位的，随</w:t>
      </w:r>
      <w:r>
        <w:rPr>
          <w:rFonts w:hint="eastAsia" w:ascii="宋体" w:hAnsi="宋体" w:eastAsia="宋体" w:cs="宋体"/>
          <w:b w:val="0"/>
          <w:bCs/>
          <w:color w:val="auto"/>
          <w:sz w:val="21"/>
          <w:szCs w:val="21"/>
          <w:highlight w:val="none"/>
          <w:lang w:eastAsia="zh-CN"/>
        </w:rPr>
        <w:t>成交</w:t>
      </w:r>
      <w:r>
        <w:rPr>
          <w:rFonts w:hint="eastAsia" w:ascii="宋体" w:hAnsi="宋体" w:eastAsia="宋体" w:cs="宋体"/>
          <w:b w:val="0"/>
          <w:bCs/>
          <w:color w:val="auto"/>
          <w:sz w:val="21"/>
          <w:szCs w:val="21"/>
          <w:highlight w:val="none"/>
        </w:rPr>
        <w:t>结果公告其《残疾人福利性单位声明函》，接受社会监督。</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（2）以进入评审的最低的评标价为</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（3）某供应商价格分 = 供应商最低评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报价（金额）/某供应商评</w:t>
      </w:r>
      <w:r>
        <w:rPr>
          <w:rFonts w:hint="eastAsia" w:ascii="宋体" w:hAnsi="宋体" w:eastAsia="宋体" w:cs="宋体"/>
          <w:b w:val="0"/>
          <w:bCs/>
          <w:color w:val="auto"/>
          <w:sz w:val="21"/>
          <w:szCs w:val="21"/>
          <w:highlight w:val="none"/>
          <w:lang w:eastAsia="zh-CN"/>
        </w:rPr>
        <w:t>审</w:t>
      </w:r>
      <w:r>
        <w:rPr>
          <w:rFonts w:hint="eastAsia" w:ascii="宋体" w:hAnsi="宋体" w:eastAsia="宋体" w:cs="宋体"/>
          <w:b w:val="0"/>
          <w:bCs/>
          <w:color w:val="auto"/>
          <w:sz w:val="21"/>
          <w:szCs w:val="21"/>
          <w:highlight w:val="none"/>
        </w:rPr>
        <w:t>报价（金额）×</w:t>
      </w:r>
      <w:r>
        <w:rPr>
          <w:rFonts w:hint="eastAsia" w:ascii="宋体" w:hAnsi="宋体" w:eastAsia="宋体" w:cs="宋体"/>
          <w:b w:val="0"/>
          <w:bCs/>
          <w:color w:val="auto"/>
          <w:sz w:val="21"/>
          <w:szCs w:val="21"/>
          <w:highlight w:val="none"/>
          <w:lang w:val="en-US" w:eastAsia="zh-CN"/>
        </w:rPr>
        <w:t>30</w:t>
      </w:r>
      <w:r>
        <w:rPr>
          <w:rFonts w:hint="eastAsia" w:ascii="宋体" w:hAnsi="宋体" w:eastAsia="宋体" w:cs="宋体"/>
          <w:b w:val="0"/>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2.技术分</w:t>
      </w:r>
      <w:r>
        <w:rPr>
          <w:rFonts w:hint="eastAsia" w:ascii="宋体" w:hAnsi="宋体" w:eastAsia="宋体" w:cs="宋体"/>
          <w:b/>
          <w:bCs w:val="0"/>
          <w:color w:val="auto"/>
          <w:sz w:val="21"/>
          <w:szCs w:val="21"/>
          <w:highlight w:val="none"/>
        </w:rPr>
        <w:t>…………………………………………………………………………………………</w:t>
      </w:r>
      <w:r>
        <w:rPr>
          <w:rFonts w:hint="eastAsia" w:ascii="宋体" w:hAnsi="宋体" w:eastAsia="宋体" w:cs="宋体"/>
          <w:b/>
          <w:bCs w:val="0"/>
          <w:color w:val="auto"/>
          <w:sz w:val="21"/>
          <w:szCs w:val="21"/>
          <w:highlight w:val="none"/>
          <w:lang w:val="en-US" w:eastAsia="zh-CN"/>
        </w:rPr>
        <w:t>满分</w:t>
      </w:r>
      <w:r>
        <w:rPr>
          <w:rFonts w:hint="eastAsia" w:ascii="宋体" w:hAnsi="宋体" w:cs="宋体"/>
          <w:b/>
          <w:bCs w:val="0"/>
          <w:color w:val="auto"/>
          <w:sz w:val="21"/>
          <w:szCs w:val="21"/>
          <w:highlight w:val="none"/>
          <w:lang w:val="en-US" w:eastAsia="zh-CN"/>
        </w:rPr>
        <w:t>60</w:t>
      </w:r>
      <w:r>
        <w:rPr>
          <w:rFonts w:hint="eastAsia" w:ascii="宋体" w:hAnsi="宋体" w:eastAsia="宋体" w:cs="宋体"/>
          <w:b/>
          <w:bCs w:val="0"/>
          <w:color w:val="auto"/>
          <w:sz w:val="21"/>
          <w:szCs w:val="21"/>
          <w:highlight w:val="none"/>
        </w:rPr>
        <w:t>分</w:t>
      </w:r>
    </w:p>
    <w:p>
      <w:pPr>
        <w:pStyle w:val="11"/>
        <w:keepNext w:val="0"/>
        <w:keepLines w:val="0"/>
        <w:pageBreakBefore w:val="0"/>
        <w:widowControl w:val="0"/>
        <w:tabs>
          <w:tab w:val="left" w:leader="middleDot" w:pos="8820"/>
        </w:tabs>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rPr>
        <w:t>1）总体概述</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10</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优</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10</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：对项目总体有深刻认识，表达清晰、完整、严谨、合理，措施先进、具体、有效、成熟；施工段划分清晰、合理，符合规范要求</w:t>
      </w:r>
      <w:r>
        <w:rPr>
          <w:rFonts w:hint="eastAsia" w:ascii="宋体" w:hAnsi="宋体" w:eastAsia="宋体" w:cs="宋体"/>
          <w:b w:val="0"/>
          <w:bCs/>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良</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6</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：对项目总体有一定认识，表达清晰、完整，措施具体有效；施工段划分清晰，符合规范要求</w:t>
      </w:r>
      <w:r>
        <w:rPr>
          <w:rFonts w:hint="eastAsia" w:ascii="宋体" w:hAnsi="宋体" w:eastAsia="宋体" w:cs="宋体"/>
          <w:b w:val="0"/>
          <w:bCs/>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lang w:eastAsia="zh-CN"/>
        </w:rPr>
      </w:pPr>
      <w:r>
        <w:rPr>
          <w:rFonts w:hint="eastAsia" w:ascii="宋体" w:hAnsi="宋体" w:eastAsia="宋体" w:cs="宋体"/>
          <w:b w:val="0"/>
          <w:bCs/>
          <w:color w:val="auto"/>
          <w:kern w:val="0"/>
          <w:sz w:val="21"/>
          <w:szCs w:val="21"/>
          <w:highlight w:val="none"/>
        </w:rPr>
        <w:t>中</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3</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：对项目总体有认识，有一定的措施但部分不具体；施工段划分较合理，符合规范要求</w:t>
      </w:r>
      <w:r>
        <w:rPr>
          <w:rFonts w:hint="eastAsia" w:ascii="宋体" w:hAnsi="宋体" w:eastAsia="宋体" w:cs="宋体"/>
          <w:b w:val="0"/>
          <w:bCs/>
          <w:color w:val="auto"/>
          <w:kern w:val="0"/>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kern w:val="0"/>
          <w:sz w:val="21"/>
          <w:szCs w:val="21"/>
          <w:highlight w:val="none"/>
        </w:rPr>
      </w:pPr>
      <w:r>
        <w:rPr>
          <w:rFonts w:hint="eastAsia" w:ascii="宋体" w:hAnsi="宋体" w:eastAsia="宋体" w:cs="宋体"/>
          <w:b w:val="0"/>
          <w:bCs/>
          <w:color w:val="auto"/>
          <w:kern w:val="0"/>
          <w:sz w:val="21"/>
          <w:szCs w:val="21"/>
          <w:highlight w:val="none"/>
        </w:rPr>
        <w:t>差</w:t>
      </w:r>
      <w:r>
        <w:rPr>
          <w:rFonts w:hint="eastAsia" w:ascii="宋体" w:hAnsi="宋体" w:eastAsia="宋体" w:cs="宋体"/>
          <w:b w:val="0"/>
          <w:bCs/>
          <w:color w:val="auto"/>
          <w:kern w:val="0"/>
          <w:sz w:val="21"/>
          <w:szCs w:val="21"/>
          <w:highlight w:val="none"/>
          <w:lang w:eastAsia="zh-CN"/>
        </w:rPr>
        <w:t>（</w:t>
      </w:r>
      <w:r>
        <w:rPr>
          <w:rFonts w:hint="eastAsia" w:hAnsi="宋体" w:cs="宋体"/>
          <w:b w:val="0"/>
          <w:bCs/>
          <w:color w:val="auto"/>
          <w:kern w:val="0"/>
          <w:sz w:val="21"/>
          <w:szCs w:val="21"/>
          <w:highlight w:val="none"/>
          <w:lang w:val="en-US" w:eastAsia="zh-CN"/>
        </w:rPr>
        <w:t>1</w:t>
      </w:r>
      <w:r>
        <w:rPr>
          <w:rFonts w:hint="eastAsia" w:ascii="宋体" w:hAnsi="宋体" w:eastAsia="宋体" w:cs="宋体"/>
          <w:b w:val="0"/>
          <w:bCs/>
          <w:color w:val="auto"/>
          <w:kern w:val="0"/>
          <w:sz w:val="21"/>
          <w:szCs w:val="21"/>
          <w:highlight w:val="none"/>
          <w:lang w:val="en-US" w:eastAsia="zh-CN"/>
        </w:rPr>
        <w:t>分</w:t>
      </w:r>
      <w:r>
        <w:rPr>
          <w:rFonts w:hint="eastAsia" w:ascii="宋体" w:hAnsi="宋体" w:eastAsia="宋体" w:cs="宋体"/>
          <w:b w:val="0"/>
          <w:bCs/>
          <w:color w:val="auto"/>
          <w:kern w:val="0"/>
          <w:sz w:val="21"/>
          <w:szCs w:val="21"/>
          <w:highlight w:val="none"/>
          <w:lang w:eastAsia="zh-CN"/>
        </w:rPr>
        <w:t>）</w:t>
      </w:r>
      <w:r>
        <w:rPr>
          <w:rFonts w:hint="eastAsia" w:ascii="宋体" w:hAnsi="宋体" w:eastAsia="宋体" w:cs="宋体"/>
          <w:b w:val="0"/>
          <w:bCs/>
          <w:color w:val="auto"/>
          <w:kern w:val="0"/>
          <w:sz w:val="21"/>
          <w:szCs w:val="21"/>
          <w:highlight w:val="none"/>
        </w:rPr>
        <w:t>：对项目认识不足，表达不清晰，措施不具体；施工段划分不合理。</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（2）主要施工方法</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12</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12</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：各主要分部施工方法符合项目实际，有详尽的施工技术方案，工艺先进、方法科学合理、可行，能指导具体施工并确保安全；</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8</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：各主要分部施工方法符合项目实际，有较详尽的施工技术方案，工艺较好、方法科学合理、可行，能指导具体施工并确保安全；</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：各主要分部施工方法能满足项目需求，有施工技术方案，能指导具体施工并确保安全；</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：各主要分部施工方法不能满足项目需求，没有施工技术方案，不能指导具体施工并确保安全。</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（3）施工进度计划和各阶段进度的保证措施</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7</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7</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：关键线路清晰、准确、完整，计划编制合理、可行，关键节点的控制措施有力、合理、可行</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：关键线路清晰、准确、完整，计划编制可行，关键节点的控制措施合理、可行</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3分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：关键线路基本准确，计划编制合理，关键节点的控制措施基本可行</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：关键线路不准确，计划编制不合理，关键节点的控制不可行。</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val="0"/>
          <w:color w:val="auto"/>
          <w:sz w:val="21"/>
          <w:szCs w:val="21"/>
          <w:highlight w:val="none"/>
          <w:lang w:val="en-US"/>
        </w:rPr>
      </w:pPr>
      <w:r>
        <w:rPr>
          <w:rFonts w:hint="eastAsia" w:ascii="宋体" w:hAnsi="宋体" w:eastAsia="宋体" w:cs="宋体"/>
          <w:b/>
          <w:bCs w:val="0"/>
          <w:color w:val="auto"/>
          <w:sz w:val="21"/>
          <w:szCs w:val="21"/>
          <w:highlight w:val="none"/>
        </w:rPr>
        <w:t>（4）劳动力和材料投入计划及其保证措施</w:t>
      </w:r>
      <w:r>
        <w:rPr>
          <w:rFonts w:hint="eastAsia" w:ascii="宋体" w:hAnsi="宋体" w:eastAsia="宋体" w:cs="宋体"/>
          <w:b/>
          <w:bCs w:val="0"/>
          <w:color w:val="auto"/>
          <w:sz w:val="21"/>
          <w:szCs w:val="21"/>
          <w:highlight w:val="none"/>
          <w:lang w:eastAsia="zh-CN"/>
        </w:rPr>
        <w:t>（</w:t>
      </w:r>
      <w:r>
        <w:rPr>
          <w:rFonts w:hint="eastAsia" w:hAnsi="宋体" w:cs="宋体"/>
          <w:b/>
          <w:color w:val="auto"/>
          <w:sz w:val="21"/>
          <w:szCs w:val="21"/>
          <w:highlight w:val="none"/>
          <w:lang w:val="en-US" w:eastAsia="zh-CN"/>
        </w:rPr>
        <w:t>6</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6</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：投入计划与进度计划呼应，较好满足施工需要，调配投入计划合理、准确</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：投入计划与进度计划呼应，基本满足施工需要，调配投入计划基本合理、准确</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：投入计划与进度计划呼应，基本满足施工需要，调配投入计划基本合理</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：投入计划与进度计划不呼应，不能满足施工需要。</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（5）施工平面布置和临时设施布置</w:t>
      </w:r>
      <w:r>
        <w:rPr>
          <w:rFonts w:hint="eastAsia" w:ascii="宋体" w:hAnsi="宋体" w:eastAsia="宋体" w:cs="宋体"/>
          <w:b/>
          <w:bCs w:val="0"/>
          <w:color w:val="auto"/>
          <w:sz w:val="21"/>
          <w:szCs w:val="21"/>
          <w:highlight w:val="none"/>
          <w:lang w:eastAsia="zh-CN"/>
        </w:rPr>
        <w:t>（</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5分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：总体布置有针对性、合理，较好满足施工需要，符合安全、文明生产要求</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：总体布置合理，能满足施工需要，基本符合安全、文明生产要求</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lang w:eastAsia="zh-CN"/>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lang w:val="en-US" w:eastAsia="zh-CN"/>
        </w:rPr>
        <w:t>2分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：总体布置基本合理，基本满足施工需要</w:t>
      </w:r>
      <w:r>
        <w:rPr>
          <w:rFonts w:hint="eastAsia" w:ascii="宋体" w:hAnsi="宋体" w:eastAsia="宋体" w:cs="宋体"/>
          <w:b w:val="0"/>
          <w:bCs/>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：总体布置不合理，不符合安全、文明生产要求。</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（6）关键施工技术、工艺及工程实施的重点、难点和解决方案</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：对项目关键技术、工艺有深入的表达，对重点</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难点有先进合理的施工措施并有可行的安全措施，解决方案完整、经济、安全、切实可行，措施得力。</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：对项目关键技术、工艺有深入的表达，对重点、难点有合理的建议，解决方案经济、安全、基本可行。</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：对项目关键技术有一定了解，对重点、难点有建议，解决方案基本可行。</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：对项目关键技术有表述，对重点、难点有建议，解决方案不可行。</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kern w:val="0"/>
          <w:sz w:val="21"/>
          <w:szCs w:val="21"/>
          <w:highlight w:val="none"/>
        </w:rPr>
        <w:t>（7）安全文明施工措施</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：针对项目实际情况，有先进、具体、完整、可行的实施措施，采用规范正确、清晰。</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：针对项目实际情况，有合理的措施且具体、完整，采用规范正确。</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：有基本合理的措施，采用规范正确。</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：安全文明措施不得力，采用规范不正确。</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（8）质量保证与承诺</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：针对项目实际提出先进、可行、具体的保证措施，超过招标文件的质量要求及施工验收规范要求。</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：针对项目实际提出先进、可行、具体的保证措施，满足招标文件的质量要求。</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：具体措施可行，满足招标文件的质量要求。</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：措施不可行。</w:t>
      </w:r>
    </w:p>
    <w:p>
      <w:pPr>
        <w:pStyle w:val="11"/>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rPr>
        <w:t>（9）新技术应用与承诺</w:t>
      </w:r>
      <w:r>
        <w:rPr>
          <w:rFonts w:hint="eastAsia" w:ascii="宋体" w:hAnsi="宋体" w:eastAsia="宋体" w:cs="宋体"/>
          <w:b/>
          <w:bCs w:val="0"/>
          <w:color w:val="auto"/>
          <w:sz w:val="21"/>
          <w:szCs w:val="21"/>
          <w:highlight w:val="none"/>
          <w:lang w:eastAsia="zh-CN"/>
        </w:rPr>
        <w:t>（</w:t>
      </w:r>
      <w:r>
        <w:rPr>
          <w:rFonts w:hint="eastAsia" w:hAnsi="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分</w:t>
      </w:r>
      <w:r>
        <w:rPr>
          <w:rFonts w:hint="eastAsia" w:ascii="宋体" w:hAnsi="宋体" w:eastAsia="宋体" w:cs="宋体"/>
          <w:b/>
          <w:bCs w:val="0"/>
          <w:color w:val="auto"/>
          <w:sz w:val="21"/>
          <w:szCs w:val="21"/>
          <w:highlight w:val="none"/>
          <w:lang w:eastAsia="zh-CN"/>
        </w:rPr>
        <w:t>）</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优</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5</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：针对项目实际，提出采用新技术的具体措施。新技术的验证材料可靠，对节约投资和工期的保证措施得力、具体、严谨。对采用新技术可能产生的风险预见充分，对新技术的实施有安全生产的可靠方案。</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良</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4</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：针对项目实际，提出采用新技术的具体措施。新技术的验证材料可靠，对节约投资和工期有保证措施。对采用新技术可能产生的风险有一定的预见。</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中</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2</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：有新技术措施，但验证材料不充分，对节约投资和工期可能有一定收益，对采用新技术可能产生的风险预见不足。</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差</w:t>
      </w:r>
      <w:r>
        <w:rPr>
          <w:rFonts w:hint="eastAsia" w:ascii="宋体" w:hAnsi="宋体" w:eastAsia="宋体" w:cs="宋体"/>
          <w:b w:val="0"/>
          <w:bCs/>
          <w:color w:val="auto"/>
          <w:sz w:val="21"/>
          <w:szCs w:val="21"/>
          <w:highlight w:val="none"/>
          <w:lang w:eastAsia="zh-CN"/>
        </w:rPr>
        <w:t>（</w:t>
      </w:r>
      <w:r>
        <w:rPr>
          <w:rFonts w:hint="eastAsia"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分</w:t>
      </w:r>
      <w:r>
        <w:rPr>
          <w:rFonts w:hint="eastAsia" w:ascii="宋体" w:hAnsi="宋体" w:eastAsia="宋体" w:cs="宋体"/>
          <w:b w:val="0"/>
          <w:bCs/>
          <w:color w:val="auto"/>
          <w:sz w:val="21"/>
          <w:szCs w:val="21"/>
          <w:highlight w:val="none"/>
          <w:lang w:eastAsia="zh-CN"/>
        </w:rPr>
        <w:t>）</w:t>
      </w:r>
      <w:r>
        <w:rPr>
          <w:rFonts w:hint="eastAsia" w:ascii="宋体" w:hAnsi="宋体" w:eastAsia="宋体" w:cs="宋体"/>
          <w:b w:val="0"/>
          <w:bCs/>
          <w:color w:val="auto"/>
          <w:sz w:val="21"/>
          <w:szCs w:val="21"/>
          <w:highlight w:val="none"/>
        </w:rPr>
        <w:t>：采用的新技术针对性不强或验证材料不可靠，对节约投资和工期没有具体收益。</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316" w:firstLineChars="150"/>
        <w:textAlignment w:val="auto"/>
        <w:outlineLvl w:val="0"/>
        <w:rPr>
          <w:rFonts w:hint="eastAsia" w:ascii="宋体" w:hAnsi="宋体" w:eastAsia="宋体" w:cs="宋体"/>
          <w:b/>
          <w:bCs/>
          <w:color w:val="auto"/>
          <w:kern w:val="0"/>
          <w:sz w:val="21"/>
          <w:szCs w:val="21"/>
          <w:highlight w:val="none"/>
        </w:rPr>
      </w:pPr>
      <w:bookmarkStart w:id="143" w:name="_Toc9651"/>
      <w:r>
        <w:rPr>
          <w:rFonts w:hint="eastAsia" w:ascii="宋体" w:hAnsi="宋体" w:eastAsia="宋体" w:cs="宋体"/>
          <w:b/>
          <w:color w:val="auto"/>
          <w:kern w:val="0"/>
          <w:sz w:val="21"/>
          <w:szCs w:val="21"/>
          <w:highlight w:val="none"/>
        </w:rPr>
        <w:t>注：</w:t>
      </w:r>
      <w:r>
        <w:rPr>
          <w:rFonts w:hint="eastAsia" w:ascii="宋体" w:hAnsi="宋体" w:eastAsia="宋体" w:cs="宋体"/>
          <w:b/>
          <w:bCs/>
          <w:color w:val="auto"/>
          <w:kern w:val="0"/>
          <w:sz w:val="21"/>
          <w:szCs w:val="21"/>
          <w:highlight w:val="none"/>
        </w:rPr>
        <w:t>供应商未提供上述“施工组织技术方案”相应内容的，相应项不得分。</w:t>
      </w:r>
      <w:bookmarkEnd w:id="143"/>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firstLine="211" w:firstLineChars="100"/>
        <w:textAlignment w:val="auto"/>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b/>
          <w:bCs w:val="0"/>
          <w:color w:val="auto"/>
          <w:kern w:val="2"/>
          <w:sz w:val="21"/>
          <w:szCs w:val="21"/>
          <w:highlight w:val="none"/>
          <w:lang w:val="en-US" w:eastAsia="zh-CN" w:bidi="ar-SA"/>
        </w:rPr>
        <w:t>3.拟投入主要管理人员配置…………………………………</w:t>
      </w:r>
      <w:r>
        <w:rPr>
          <w:rFonts w:hint="eastAsia" w:ascii="宋体" w:hAnsi="宋体" w:eastAsia="宋体" w:cs="宋体"/>
          <w:b/>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kern w:val="0"/>
          <w:sz w:val="21"/>
          <w:szCs w:val="21"/>
          <w:highlight w:val="none"/>
          <w:lang w:val="en-US" w:eastAsia="zh-CN" w:bidi="ar-SA"/>
        </w:rPr>
        <w:t>满分</w:t>
      </w:r>
      <w:r>
        <w:rPr>
          <w:rFonts w:hint="eastAsia" w:ascii="宋体" w:hAnsi="宋体" w:cs="宋体"/>
          <w:b/>
          <w:bCs/>
          <w:color w:val="auto"/>
          <w:kern w:val="0"/>
          <w:sz w:val="21"/>
          <w:szCs w:val="21"/>
          <w:highlight w:val="none"/>
          <w:lang w:val="en-US" w:eastAsia="zh-CN" w:bidi="ar-SA"/>
        </w:rPr>
        <w:t>4</w:t>
      </w:r>
      <w:r>
        <w:rPr>
          <w:rFonts w:hint="eastAsia" w:ascii="宋体" w:hAnsi="宋体" w:eastAsia="宋体" w:cs="宋体"/>
          <w:b/>
          <w:bCs/>
          <w:color w:val="auto"/>
          <w:kern w:val="0"/>
          <w:sz w:val="21"/>
          <w:szCs w:val="21"/>
          <w:highlight w:val="none"/>
          <w:lang w:val="en-US" w:eastAsia="zh-CN" w:bidi="ar-SA"/>
        </w:rPr>
        <w:t>分</w:t>
      </w:r>
    </w:p>
    <w:p>
      <w:pPr>
        <w:keepNext w:val="0"/>
        <w:keepLines w:val="0"/>
        <w:pageBreakBefore w:val="0"/>
        <w:kinsoku/>
        <w:wordWrap/>
        <w:overflowPunct/>
        <w:topLinePunct w:val="0"/>
        <w:autoSpaceDE/>
        <w:autoSpaceDN/>
        <w:bidi w:val="0"/>
        <w:adjustRightInd/>
        <w:spacing w:line="400" w:lineRule="exact"/>
        <w:ind w:left="0" w:leftChars="0" w:firstLine="420" w:firstLineChars="200"/>
        <w:rPr>
          <w:rFonts w:hint="eastAsia" w:ascii="宋体" w:hAnsi="宋体" w:eastAsia="宋体" w:cs="宋体"/>
          <w:b/>
          <w:bCs/>
          <w:color w:val="auto"/>
          <w:sz w:val="21"/>
          <w:szCs w:val="21"/>
          <w:highlight w:val="none"/>
        </w:rPr>
      </w:pPr>
      <w:r>
        <w:rPr>
          <w:rFonts w:hint="eastAsia" w:ascii="宋体" w:hAnsi="宋体" w:eastAsia="宋体" w:cs="宋体"/>
          <w:b w:val="0"/>
          <w:bCs w:val="0"/>
          <w:color w:val="auto"/>
          <w:kern w:val="2"/>
          <w:sz w:val="21"/>
          <w:szCs w:val="21"/>
          <w:highlight w:val="none"/>
          <w:lang w:val="en-US" w:eastAsia="zh-CN" w:bidi="ar-SA"/>
        </w:rPr>
        <w:t>（1）项目经理资格：具有</w:t>
      </w:r>
      <w:r>
        <w:rPr>
          <w:rFonts w:hint="eastAsia" w:ascii="宋体" w:hAnsi="宋体" w:cs="宋体"/>
          <w:b w:val="0"/>
          <w:bCs w:val="0"/>
          <w:color w:val="auto"/>
          <w:kern w:val="2"/>
          <w:sz w:val="21"/>
          <w:szCs w:val="21"/>
          <w:highlight w:val="none"/>
          <w:lang w:val="en-US" w:eastAsia="zh-CN" w:bidi="ar-SA"/>
        </w:rPr>
        <w:t>建筑工程专业</w:t>
      </w:r>
      <w:r>
        <w:rPr>
          <w:rFonts w:hint="eastAsia" w:ascii="宋体" w:hAnsi="宋体" w:eastAsia="宋体" w:cs="宋体"/>
          <w:b w:val="0"/>
          <w:bCs w:val="0"/>
          <w:color w:val="auto"/>
          <w:kern w:val="2"/>
          <w:sz w:val="21"/>
          <w:szCs w:val="21"/>
          <w:highlight w:val="none"/>
          <w:lang w:val="en-US" w:eastAsia="zh-CN" w:bidi="ar-SA"/>
        </w:rPr>
        <w:t>的二级注册建造师级和有效的安全生产考核</w:t>
      </w:r>
      <w:r>
        <w:rPr>
          <w:rFonts w:hint="eastAsia" w:ascii="宋体" w:hAnsi="宋体" w:eastAsia="宋体" w:cs="宋体"/>
          <w:b w:val="0"/>
          <w:bCs w:val="0"/>
          <w:color w:val="auto"/>
          <w:kern w:val="0"/>
          <w:sz w:val="21"/>
          <w:szCs w:val="21"/>
          <w:highlight w:val="none"/>
        </w:rPr>
        <w:t>合格证</w:t>
      </w:r>
      <w:r>
        <w:rPr>
          <w:rFonts w:hint="eastAsia" w:ascii="宋体" w:hAnsi="宋体" w:eastAsia="宋体" w:cs="宋体"/>
          <w:color w:val="auto"/>
          <w:kern w:val="0"/>
          <w:sz w:val="21"/>
          <w:szCs w:val="21"/>
          <w:highlight w:val="none"/>
        </w:rPr>
        <w:t>书（B类）的得</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r>
        <w:rPr>
          <w:rFonts w:hint="eastAsia" w:ascii="宋体" w:hAnsi="宋体" w:cs="宋体"/>
          <w:color w:val="auto"/>
          <w:kern w:val="0"/>
          <w:sz w:val="21"/>
          <w:szCs w:val="21"/>
          <w:highlight w:val="none"/>
          <w:lang w:eastAsia="zh-CN"/>
        </w:rPr>
        <w:t>。</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pPr>
        <w:pStyle w:val="29"/>
        <w:keepNext w:val="0"/>
        <w:keepLines w:val="0"/>
        <w:pageBreakBefore w:val="0"/>
        <w:kinsoku/>
        <w:wordWrap/>
        <w:overflowPunct/>
        <w:topLinePunct w:val="0"/>
        <w:autoSpaceDE/>
        <w:autoSpaceDN/>
        <w:bidi w:val="0"/>
        <w:adjustRightInd/>
        <w:snapToGrid w:val="0"/>
        <w:spacing w:line="400" w:lineRule="exact"/>
        <w:ind w:left="0" w:lef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）技术负责人：</w:t>
      </w:r>
      <w:r>
        <w:rPr>
          <w:rFonts w:hint="eastAsia" w:ascii="宋体" w:hAnsi="宋体" w:eastAsia="宋体" w:cs="宋体"/>
          <w:color w:val="auto"/>
          <w:sz w:val="21"/>
          <w:szCs w:val="21"/>
          <w:highlight w:val="none"/>
        </w:rPr>
        <w:t>具有</w:t>
      </w:r>
      <w:r>
        <w:rPr>
          <w:rFonts w:hint="eastAsia" w:ascii="宋体" w:hAnsi="宋体" w:cs="宋体"/>
          <w:b w:val="0"/>
          <w:bCs w:val="0"/>
          <w:color w:val="auto"/>
          <w:kern w:val="2"/>
          <w:sz w:val="21"/>
          <w:szCs w:val="21"/>
          <w:highlight w:val="none"/>
          <w:lang w:val="en-US" w:eastAsia="zh-CN" w:bidi="ar-SA"/>
        </w:rPr>
        <w:t>建筑工程专业</w:t>
      </w:r>
      <w:r>
        <w:rPr>
          <w:rFonts w:hint="eastAsia" w:ascii="宋体" w:hAnsi="宋体" w:eastAsia="宋体" w:cs="宋体"/>
          <w:color w:val="auto"/>
          <w:sz w:val="21"/>
          <w:szCs w:val="21"/>
          <w:highlight w:val="none"/>
        </w:rPr>
        <w:t>中级工程师职称的得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安全员具备有效安全生产考核合格证书（C类）</w:t>
      </w:r>
      <w:r>
        <w:rPr>
          <w:rFonts w:hint="eastAsia" w:ascii="宋体" w:hAnsi="宋体" w:eastAsia="宋体" w:cs="宋体"/>
          <w:color w:val="auto"/>
          <w:sz w:val="21"/>
          <w:szCs w:val="21"/>
          <w:highlight w:val="none"/>
        </w:rPr>
        <w:t>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（4）</w:t>
      </w:r>
      <w:r>
        <w:rPr>
          <w:rFonts w:hint="eastAsia" w:ascii="宋体" w:hAnsi="宋体" w:eastAsia="宋体" w:cs="宋体"/>
          <w:color w:val="auto"/>
          <w:kern w:val="0"/>
          <w:sz w:val="21"/>
          <w:szCs w:val="21"/>
          <w:highlight w:val="none"/>
          <w:lang w:bidi="ar"/>
        </w:rPr>
        <w:t>施工员具备有</w:t>
      </w:r>
      <w:r>
        <w:rPr>
          <w:rFonts w:hint="eastAsia" w:ascii="宋体" w:hAnsi="宋体" w:cs="宋体"/>
          <w:color w:val="auto"/>
          <w:kern w:val="0"/>
          <w:sz w:val="21"/>
          <w:szCs w:val="21"/>
          <w:highlight w:val="none"/>
          <w:lang w:eastAsia="zh-CN" w:bidi="ar"/>
        </w:rPr>
        <w:t>岗位证</w:t>
      </w:r>
      <w:r>
        <w:rPr>
          <w:rFonts w:hint="eastAsia" w:ascii="宋体" w:hAnsi="宋体" w:eastAsia="宋体" w:cs="宋体"/>
          <w:color w:val="auto"/>
          <w:kern w:val="0"/>
          <w:sz w:val="21"/>
          <w:szCs w:val="21"/>
          <w:highlight w:val="none"/>
          <w:lang w:bidi="ar"/>
        </w:rPr>
        <w:t>的得</w:t>
      </w:r>
      <w:r>
        <w:rPr>
          <w:rFonts w:hint="eastAsia" w:ascii="宋体" w:hAnsi="宋体" w:eastAsia="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bidi="ar"/>
        </w:rPr>
        <w:t>分。</w:t>
      </w:r>
      <w:r>
        <w:rPr>
          <w:rFonts w:hint="eastAsia" w:ascii="宋体" w:hAnsi="宋体" w:eastAsia="宋体" w:cs="宋体"/>
          <w:b/>
          <w:bCs/>
          <w:color w:val="auto"/>
          <w:kern w:val="0"/>
          <w:sz w:val="21"/>
          <w:szCs w:val="21"/>
          <w:highlight w:val="none"/>
          <w:lang w:bidi="ar"/>
        </w:rPr>
        <w:t>（满分</w:t>
      </w:r>
      <w:r>
        <w:rPr>
          <w:rFonts w:hint="eastAsia" w:ascii="宋体" w:hAnsi="宋体" w:cs="宋体"/>
          <w:b/>
          <w:bCs/>
          <w:color w:val="auto"/>
          <w:kern w:val="0"/>
          <w:sz w:val="21"/>
          <w:szCs w:val="21"/>
          <w:highlight w:val="none"/>
          <w:lang w:val="en-US" w:eastAsia="zh-CN" w:bidi="ar"/>
        </w:rPr>
        <w:t>0.5</w:t>
      </w:r>
      <w:r>
        <w:rPr>
          <w:rFonts w:hint="eastAsia" w:ascii="宋体" w:hAnsi="宋体" w:eastAsia="宋体" w:cs="宋体"/>
          <w:b/>
          <w:bCs/>
          <w:color w:val="auto"/>
          <w:kern w:val="0"/>
          <w:sz w:val="21"/>
          <w:szCs w:val="21"/>
          <w:highlight w:val="none"/>
          <w:lang w:bidi="ar"/>
        </w:rPr>
        <w:t>分）</w:t>
      </w:r>
    </w:p>
    <w:p>
      <w:pPr>
        <w:keepNext w:val="0"/>
        <w:keepLines w:val="0"/>
        <w:pageBreakBefore w:val="0"/>
        <w:widowControl/>
        <w:kinsoku/>
        <w:wordWrap/>
        <w:overflowPunct/>
        <w:topLinePunct w:val="0"/>
        <w:autoSpaceDE/>
        <w:autoSpaceDN/>
        <w:bidi w:val="0"/>
        <w:adjustRightInd/>
        <w:spacing w:line="400" w:lineRule="exact"/>
        <w:ind w:left="0" w:leftChars="0" w:firstLine="420" w:firstLineChars="200"/>
        <w:jc w:val="left"/>
        <w:textAlignment w:val="center"/>
        <w:rPr>
          <w:rFonts w:hint="eastAsia" w:ascii="宋体" w:hAnsi="宋体" w:eastAsia="宋体" w:cs="宋体"/>
          <w:b/>
          <w:bCs w:val="0"/>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质量员</w:t>
      </w:r>
      <w:r>
        <w:rPr>
          <w:rFonts w:hint="eastAsia" w:ascii="宋体" w:hAnsi="宋体" w:eastAsia="宋体" w:cs="宋体"/>
          <w:color w:val="auto"/>
          <w:sz w:val="21"/>
          <w:szCs w:val="21"/>
          <w:highlight w:val="none"/>
        </w:rPr>
        <w:t>具有</w:t>
      </w:r>
      <w:r>
        <w:rPr>
          <w:rFonts w:hint="eastAsia" w:ascii="宋体" w:hAnsi="宋体" w:cs="宋体"/>
          <w:color w:val="auto"/>
          <w:kern w:val="0"/>
          <w:sz w:val="21"/>
          <w:szCs w:val="21"/>
          <w:highlight w:val="none"/>
          <w:lang w:eastAsia="zh-CN" w:bidi="ar"/>
        </w:rPr>
        <w:t>岗位证</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w:t>
      </w:r>
      <w:r>
        <w:rPr>
          <w:rFonts w:hint="eastAsia" w:ascii="宋体" w:hAnsi="宋体" w:eastAsia="宋体" w:cs="宋体"/>
          <w:b/>
          <w:bCs/>
          <w:color w:val="auto"/>
          <w:sz w:val="21"/>
          <w:szCs w:val="21"/>
          <w:highlight w:val="none"/>
        </w:rPr>
        <w:t>（满分</w:t>
      </w:r>
      <w:r>
        <w:rPr>
          <w:rFonts w:hint="eastAsia" w:ascii="宋体" w:hAnsi="宋体" w:cs="宋体"/>
          <w:b/>
          <w:bCs/>
          <w:color w:val="auto"/>
          <w:sz w:val="21"/>
          <w:szCs w:val="21"/>
          <w:highlight w:val="none"/>
          <w:lang w:val="en-US" w:eastAsia="zh-CN"/>
        </w:rPr>
        <w:t>0.5</w:t>
      </w:r>
      <w:r>
        <w:rPr>
          <w:rFonts w:hint="eastAsia" w:ascii="宋体" w:hAnsi="宋体" w:eastAsia="宋体" w:cs="宋体"/>
          <w:b/>
          <w:bCs/>
          <w:color w:val="auto"/>
          <w:sz w:val="21"/>
          <w:szCs w:val="21"/>
          <w:highlight w:val="none"/>
        </w:rPr>
        <w:t>分）</w:t>
      </w:r>
    </w:p>
    <w:p>
      <w:pPr>
        <w:keepNext w:val="0"/>
        <w:keepLines w:val="0"/>
        <w:pageBreakBefore w:val="0"/>
        <w:widowControl w:val="0"/>
        <w:numPr>
          <w:ilvl w:val="0"/>
          <w:numId w:val="0"/>
        </w:numPr>
        <w:tabs>
          <w:tab w:val="left" w:pos="1305"/>
        </w:tabs>
        <w:kinsoku/>
        <w:wordWrap/>
        <w:overflowPunct/>
        <w:topLinePunct w:val="0"/>
        <w:autoSpaceDE/>
        <w:autoSpaceDN/>
        <w:bidi w:val="0"/>
        <w:adjustRightInd/>
        <w:snapToGrid/>
        <w:spacing w:line="400" w:lineRule="exact"/>
        <w:ind w:left="0" w:leftChars="0" w:firstLine="211" w:firstLineChars="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2"/>
          <w:sz w:val="21"/>
          <w:szCs w:val="21"/>
          <w:highlight w:val="none"/>
          <w:lang w:val="en-US" w:eastAsia="zh-CN" w:bidi="ar-SA"/>
        </w:rPr>
        <w:t>4.</w:t>
      </w:r>
      <w:r>
        <w:rPr>
          <w:rFonts w:hint="eastAsia" w:ascii="宋体" w:hAnsi="宋体" w:eastAsia="宋体" w:cs="宋体"/>
          <w:b/>
          <w:bCs/>
          <w:color w:val="auto"/>
          <w:sz w:val="21"/>
          <w:szCs w:val="21"/>
          <w:highlight w:val="none"/>
          <w:lang w:val="en-US" w:eastAsia="zh-CN"/>
        </w:rPr>
        <w:t>信誉业绩分</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val="0"/>
          <w:color w:val="auto"/>
          <w:kern w:val="2"/>
          <w:sz w:val="21"/>
          <w:szCs w:val="21"/>
          <w:highlight w:val="none"/>
          <w:lang w:val="en-US" w:eastAsia="zh-CN" w:bidi="ar-SA"/>
        </w:rPr>
        <w:t>……………</w:t>
      </w:r>
      <w:r>
        <w:rPr>
          <w:rFonts w:hint="eastAsia" w:ascii="宋体" w:hAnsi="宋体" w:eastAsia="宋体" w:cs="宋体"/>
          <w:b/>
          <w:bCs/>
          <w:color w:val="auto"/>
          <w:sz w:val="21"/>
          <w:szCs w:val="21"/>
          <w:highlight w:val="none"/>
          <w:lang w:eastAsia="zh-CN"/>
        </w:rPr>
        <w:t>满分</w:t>
      </w:r>
      <w:r>
        <w:rPr>
          <w:rFonts w:hint="eastAsia" w:ascii="宋体" w:hAnsi="宋体" w:cs="宋体"/>
          <w:b/>
          <w:bCs/>
          <w:color w:val="auto"/>
          <w:sz w:val="21"/>
          <w:szCs w:val="21"/>
          <w:highlight w:val="none"/>
          <w:lang w:val="en-US" w:eastAsia="zh-CN"/>
        </w:rPr>
        <w:t>6</w:t>
      </w:r>
      <w:r>
        <w:rPr>
          <w:rFonts w:hint="eastAsia" w:ascii="宋体" w:hAnsi="宋体" w:eastAsia="宋体" w:cs="宋体"/>
          <w:b/>
          <w:bCs/>
          <w:color w:val="auto"/>
          <w:sz w:val="21"/>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200"/>
        <w:textAlignment w:val="auto"/>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eastAsia="zh-CN"/>
        </w:rPr>
        <w:t>供应商202</w:t>
      </w: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eastAsia="zh-CN"/>
        </w:rPr>
        <w:t>年1月1日以来</w:t>
      </w:r>
      <w:r>
        <w:rPr>
          <w:rFonts w:hint="eastAsia" w:ascii="宋体" w:hAnsi="宋体" w:eastAsia="宋体" w:cs="宋体"/>
          <w:color w:val="auto"/>
          <w:highlight w:val="none"/>
          <w:lang w:val="zh-CN"/>
        </w:rPr>
        <w:t>承接过</w:t>
      </w:r>
      <w:r>
        <w:rPr>
          <w:rFonts w:hint="eastAsia" w:ascii="宋体" w:hAnsi="宋体" w:cs="宋体"/>
          <w:color w:val="auto"/>
          <w:highlight w:val="none"/>
          <w:lang w:val="zh-CN"/>
        </w:rPr>
        <w:t>或在建房屋</w:t>
      </w:r>
      <w:r>
        <w:rPr>
          <w:rFonts w:hint="eastAsia" w:ascii="宋体" w:hAnsi="宋体" w:cs="宋体"/>
          <w:color w:val="auto"/>
          <w:highlight w:val="none"/>
          <w:lang w:val="en-US" w:eastAsia="zh-CN"/>
        </w:rPr>
        <w:t>建筑工程</w:t>
      </w:r>
      <w:r>
        <w:rPr>
          <w:rFonts w:hint="eastAsia" w:ascii="宋体" w:hAnsi="宋体" w:eastAsia="宋体" w:cs="宋体"/>
          <w:color w:val="auto"/>
          <w:highlight w:val="none"/>
          <w:lang w:val="zh-CN"/>
        </w:rPr>
        <w:t>项目的，每项得</w:t>
      </w:r>
      <w:r>
        <w:rPr>
          <w:rFonts w:hint="eastAsia" w:ascii="宋体" w:hAnsi="宋体" w:cs="宋体"/>
          <w:color w:val="auto"/>
          <w:highlight w:val="none"/>
          <w:lang w:val="en-US" w:eastAsia="zh-CN"/>
        </w:rPr>
        <w:t>2</w:t>
      </w:r>
      <w:r>
        <w:rPr>
          <w:rFonts w:hint="eastAsia" w:ascii="宋体" w:hAnsi="宋体" w:eastAsia="宋体" w:cs="宋体"/>
          <w:color w:val="auto"/>
          <w:highlight w:val="none"/>
          <w:lang w:val="zh-CN"/>
        </w:rPr>
        <w:t>分，满分</w:t>
      </w:r>
      <w:r>
        <w:rPr>
          <w:rFonts w:hint="eastAsia" w:ascii="宋体" w:hAnsi="宋体" w:cs="宋体"/>
          <w:color w:val="auto"/>
          <w:highlight w:val="none"/>
          <w:lang w:val="en-US" w:eastAsia="zh-CN"/>
        </w:rPr>
        <w:t>6</w:t>
      </w:r>
      <w:r>
        <w:rPr>
          <w:rFonts w:hint="eastAsia" w:ascii="宋体" w:hAnsi="宋体" w:eastAsia="宋体" w:cs="宋体"/>
          <w:color w:val="auto"/>
          <w:highlight w:val="none"/>
          <w:lang w:val="zh-CN"/>
        </w:rPr>
        <w:t>分。（类似工程应附中标通知书或合同协议书扫描件。以上扫描件均须加盖投标单位公章投标人公章 (CA 签章）</w:t>
      </w:r>
      <w:r>
        <w:rPr>
          <w:rFonts w:hint="eastAsia" w:ascii="宋体" w:hAnsi="宋体" w:cs="宋体"/>
          <w:color w:val="auto"/>
          <w:highlight w:val="none"/>
          <w:lang w:val="zh-CN"/>
        </w:rPr>
        <w:t>。</w:t>
      </w:r>
    </w:p>
    <w:p>
      <w:pPr>
        <w:pStyle w:val="30"/>
        <w:keepNext w:val="0"/>
        <w:keepLines w:val="0"/>
        <w:pageBreakBefore w:val="0"/>
        <w:kinsoku/>
        <w:wordWrap/>
        <w:overflowPunct/>
        <w:topLinePunct w:val="0"/>
        <w:autoSpaceDE/>
        <w:autoSpaceDN/>
        <w:bidi w:val="0"/>
        <w:adjustRightInd/>
        <w:spacing w:line="400" w:lineRule="exact"/>
        <w:ind w:left="0" w:leftChars="0" w:firstLine="0" w:firstLineChars="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 xml:space="preserve">  5.综合得分＝1+2+3+4</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firstLine="211" w:firstLineChars="1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rPr>
        <w:t>推荐成交候选人原则</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小组应当根据综合评分情况，按照综合得分由高到低顺序推荐三名成交候选供应商，并编写评审报告。磋商小组根据综合得分由高到低排列次序，若得分相同时，以最后报价由低到高顺序排列；若仍相同的，依次按技术分、</w:t>
      </w:r>
      <w:r>
        <w:rPr>
          <w:rFonts w:hint="eastAsia" w:ascii="宋体" w:hAnsi="宋体" w:eastAsia="宋体" w:cs="宋体"/>
          <w:color w:val="auto"/>
          <w:sz w:val="21"/>
          <w:szCs w:val="21"/>
          <w:highlight w:val="none"/>
          <w:lang w:val="en-US" w:eastAsia="zh-CN"/>
        </w:rPr>
        <w:t>企业信誉实力</w:t>
      </w:r>
      <w:r>
        <w:rPr>
          <w:rFonts w:hint="eastAsia" w:ascii="宋体" w:hAnsi="宋体" w:eastAsia="宋体" w:cs="宋体"/>
          <w:color w:val="auto"/>
          <w:sz w:val="21"/>
          <w:szCs w:val="21"/>
          <w:highlight w:val="none"/>
        </w:rPr>
        <w:t>分由高到低顺序排列并推荐成交候选供应商。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（2）采购人应当确定磋商小组推荐排名第一的成交候选供应商为成交供应商。</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（3）排名第一的成交候选供应商放弃成交、因不可抗力提出不能履行合同，采购人可以按照评审报告推荐的成交候选供应商名单排序，确定下一候选供应商为成交供应商，也可以重新开展政府采购活动。</w:t>
      </w:r>
    </w:p>
    <w:p>
      <w:pPr>
        <w:keepNext w:val="0"/>
        <w:keepLines w:val="0"/>
        <w:pageBreakBefore w:val="0"/>
        <w:widowControl w:val="0"/>
        <w:tabs>
          <w:tab w:val="left" w:pos="1305"/>
        </w:tabs>
        <w:kinsoku/>
        <w:wordWrap/>
        <w:overflowPunct/>
        <w:topLinePunct w:val="0"/>
        <w:autoSpaceDE/>
        <w:autoSpaceDN/>
        <w:bidi w:val="0"/>
        <w:adjustRightInd/>
        <w:snapToGrid/>
        <w:spacing w:line="400" w:lineRule="exact"/>
        <w:ind w:left="0" w:leftChars="0" w:right="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小组认为，某供应商的响应报价或者某些分项报价明显不合理或者低于成本，有可能影响质量和不能诚信履约的，应要求其在规定的期限内提供书面文件予以解释说明，并提交相关证明材料，否则，磋商小组可以取消该供应商的成交候选资格，按顺序由排在其后面的供应商递补，以此类推。</w:t>
      </w:r>
    </w:p>
    <w:p>
      <w:pPr>
        <w:pStyle w:val="25"/>
        <w:rPr>
          <w:rFonts w:hint="eastAsia" w:ascii="宋体" w:hAnsi="宋体" w:eastAsia="宋体" w:cs="宋体"/>
          <w:color w:val="auto"/>
          <w:sz w:val="21"/>
          <w:szCs w:val="21"/>
          <w:highlight w:val="none"/>
        </w:rPr>
      </w:pPr>
    </w:p>
    <w:p>
      <w:pPr>
        <w:pStyle w:val="3"/>
        <w:numPr>
          <w:ilvl w:val="0"/>
          <w:numId w:val="0"/>
        </w:numPr>
        <w:tabs>
          <w:tab w:val="left" w:pos="0"/>
        </w:tabs>
        <w:autoSpaceDE w:val="0"/>
        <w:autoSpaceDN w:val="0"/>
        <w:adjustRightInd w:val="0"/>
        <w:spacing w:before="0" w:after="0" w:line="360" w:lineRule="auto"/>
        <w:jc w:val="center"/>
        <w:rPr>
          <w:rFonts w:hint="eastAsia" w:ascii="宋体" w:hAnsi="宋体" w:eastAsia="宋体" w:cs="宋体"/>
          <w:color w:val="auto"/>
          <w:sz w:val="32"/>
          <w:szCs w:val="32"/>
          <w:highlight w:val="none"/>
        </w:rPr>
      </w:pPr>
      <w:bookmarkStart w:id="144" w:name="_Toc5821"/>
      <w:bookmarkStart w:id="145" w:name="_Toc25717"/>
      <w:bookmarkStart w:id="146" w:name="_Toc8466"/>
      <w:bookmarkStart w:id="147" w:name="_Toc4774"/>
      <w:r>
        <w:rPr>
          <w:rFonts w:hint="eastAsia" w:ascii="宋体" w:hAnsi="宋体" w:eastAsia="宋体" w:cs="宋体"/>
          <w:color w:val="auto"/>
          <w:sz w:val="32"/>
          <w:szCs w:val="32"/>
          <w:highlight w:val="none"/>
          <w:lang w:eastAsia="zh-CN"/>
        </w:rPr>
        <w:t>第五章</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rPr>
        <w:t>采购合同（合同主要条款及格式）</w:t>
      </w:r>
      <w:bookmarkEnd w:id="144"/>
      <w:bookmarkEnd w:id="145"/>
      <w:bookmarkEnd w:id="146"/>
      <w:bookmarkEnd w:id="147"/>
    </w:p>
    <w:p>
      <w:pPr>
        <w:pStyle w:val="31"/>
        <w:numPr>
          <w:ilvl w:val="0"/>
          <w:numId w:val="7"/>
        </w:numPr>
        <w:spacing w:line="340" w:lineRule="exact"/>
        <w:jc w:val="center"/>
        <w:rPr>
          <w:rFonts w:hint="eastAsia" w:ascii="宋体" w:hAnsi="宋体" w:eastAsia="宋体" w:cs="宋体"/>
          <w:color w:val="auto"/>
          <w:sz w:val="21"/>
          <w:szCs w:val="21"/>
          <w:highlight w:val="none"/>
        </w:rPr>
      </w:pPr>
      <w:bookmarkStart w:id="148" w:name="_Toc256000031"/>
      <w:bookmarkStart w:id="149" w:name="_Toc522201558"/>
      <w:bookmarkStart w:id="150" w:name="_Toc30988"/>
      <w:bookmarkStart w:id="151" w:name="_Toc10014"/>
      <w:bookmarkStart w:id="152" w:name="_Toc24269"/>
      <w:r>
        <w:rPr>
          <w:rFonts w:hint="eastAsia" w:ascii="宋体" w:hAnsi="宋体" w:eastAsia="宋体" w:cs="宋体"/>
          <w:color w:val="auto"/>
          <w:sz w:val="21"/>
          <w:szCs w:val="21"/>
          <w:highlight w:val="none"/>
        </w:rPr>
        <w:t>合同协议书</w:t>
      </w:r>
      <w:bookmarkEnd w:id="148"/>
      <w:bookmarkEnd w:id="149"/>
      <w:bookmarkEnd w:id="150"/>
    </w:p>
    <w:p>
      <w:pPr>
        <w:pStyle w:val="31"/>
        <w:numPr>
          <w:ilvl w:val="0"/>
          <w:numId w:val="0"/>
        </w:numPr>
        <w:spacing w:line="340" w:lineRule="exact"/>
        <w:jc w:val="both"/>
        <w:rPr>
          <w:rFonts w:hint="eastAsia" w:ascii="宋体" w:hAnsi="宋体" w:eastAsia="宋体" w:cs="宋体"/>
          <w:color w:val="auto"/>
          <w:sz w:val="21"/>
          <w:szCs w:val="21"/>
          <w:highlight w:val="none"/>
        </w:rPr>
      </w:pPr>
    </w:p>
    <w:p>
      <w:pPr>
        <w:pStyle w:val="35"/>
        <w:adjustRightInd w:val="0"/>
        <w:snapToGrid w:val="0"/>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rPr>
        <w:t>兴安县溶江镇人民政府</w:t>
      </w:r>
    </w:p>
    <w:p>
      <w:pPr>
        <w:pStyle w:val="35"/>
        <w:adjustRightInd w:val="0"/>
        <w:snapToGrid w:val="0"/>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w:t>
      </w:r>
      <w:r>
        <w:rPr>
          <w:rFonts w:hint="eastAsia" w:ascii="宋体" w:hAnsi="宋体" w:eastAsia="宋体" w:cs="宋体"/>
          <w:color w:val="auto"/>
          <w:sz w:val="21"/>
          <w:szCs w:val="21"/>
          <w:highlight w:val="none"/>
          <w:lang w:eastAsia="zh-CN"/>
        </w:rPr>
        <w:t>民法典</w:t>
      </w:r>
      <w:r>
        <w:rPr>
          <w:rFonts w:hint="eastAsia" w:ascii="宋体" w:hAnsi="宋体" w:eastAsia="宋体" w:cs="宋体"/>
          <w:color w:val="auto"/>
          <w:sz w:val="21"/>
          <w:szCs w:val="21"/>
          <w:highlight w:val="none"/>
        </w:rPr>
        <w:t>》、《中华人民共和国建筑法》及有关法律规定，遵循平等、自愿、公平和诚实信用的原则，双方就</w:t>
      </w:r>
      <w:r>
        <w:rPr>
          <w:rFonts w:hint="eastAsia" w:ascii="宋体" w:hAnsi="宋体" w:eastAsia="宋体" w:cs="宋体"/>
          <w:color w:val="auto"/>
          <w:sz w:val="21"/>
          <w:szCs w:val="21"/>
          <w:highlight w:val="none"/>
          <w:u w:val="single"/>
        </w:rPr>
        <w:t>兴安县溶江镇永安村农贸市场扩建项目</w:t>
      </w:r>
      <w:r>
        <w:rPr>
          <w:rFonts w:hint="eastAsia" w:ascii="宋体" w:hAnsi="宋体" w:eastAsia="宋体" w:cs="宋体"/>
          <w:color w:val="auto"/>
          <w:sz w:val="21"/>
          <w:szCs w:val="21"/>
          <w:highlight w:val="none"/>
        </w:rPr>
        <w:t>及有关事项协商一致，共同达成如下协议：</w:t>
      </w:r>
      <w:bookmarkStart w:id="153" w:name="_Toc351203481"/>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54" w:name="_Toc406419153"/>
      <w:bookmarkStart w:id="155" w:name="_Toc17678"/>
      <w:bookmarkStart w:id="156" w:name="_Toc522201559"/>
      <w:bookmarkStart w:id="157" w:name="_Toc406522028"/>
      <w:bookmarkStart w:id="158" w:name="_Toc20764"/>
      <w:r>
        <w:rPr>
          <w:rFonts w:hint="eastAsia" w:ascii="宋体" w:hAnsi="宋体" w:eastAsia="宋体" w:cs="宋体"/>
          <w:b/>
          <w:color w:val="auto"/>
          <w:sz w:val="21"/>
          <w:szCs w:val="21"/>
          <w:highlight w:val="none"/>
        </w:rPr>
        <w:t>一、工程概况</w:t>
      </w:r>
      <w:bookmarkEnd w:id="153"/>
      <w:bookmarkEnd w:id="154"/>
      <w:bookmarkEnd w:id="155"/>
      <w:bookmarkEnd w:id="156"/>
      <w:bookmarkEnd w:id="157"/>
      <w:bookmarkEnd w:id="158"/>
    </w:p>
    <w:p>
      <w:pPr>
        <w:pStyle w:val="35"/>
        <w:adjustRightInd w:val="0"/>
        <w:snapToGrid w:val="0"/>
        <w:spacing w:line="400" w:lineRule="exact"/>
        <w:ind w:firstLine="459"/>
        <w:rPr>
          <w:rFonts w:hint="eastAsia" w:ascii="宋体" w:hAnsi="宋体" w:eastAsia="宋体" w:cs="宋体"/>
          <w:b w:val="0"/>
          <w:bCs w:val="0"/>
          <w:color w:val="auto"/>
          <w:kern w:val="2"/>
          <w:sz w:val="21"/>
          <w:szCs w:val="21"/>
          <w:highlight w:val="none"/>
          <w:u w:val="none"/>
          <w:lang w:val="en-US" w:eastAsia="zh-CN" w:bidi="ar-SA"/>
        </w:rPr>
      </w:pPr>
      <w:r>
        <w:rPr>
          <w:rFonts w:hint="eastAsia" w:ascii="宋体" w:hAnsi="宋体" w:eastAsia="宋体" w:cs="宋体"/>
          <w:color w:val="auto"/>
          <w:sz w:val="21"/>
          <w:szCs w:val="21"/>
          <w:highlight w:val="none"/>
        </w:rPr>
        <w:t>1.工程名称：</w:t>
      </w:r>
      <w:r>
        <w:rPr>
          <w:rFonts w:hint="eastAsia" w:ascii="宋体" w:hAnsi="宋体" w:eastAsia="宋体" w:cs="宋体"/>
          <w:color w:val="auto"/>
          <w:sz w:val="21"/>
          <w:szCs w:val="21"/>
          <w:highlight w:val="none"/>
          <w:u w:val="single"/>
        </w:rPr>
        <w:t>兴安县溶江镇永安村农贸市场扩建项目</w:t>
      </w:r>
      <w:r>
        <w:rPr>
          <w:rFonts w:hint="eastAsia" w:ascii="宋体" w:hAnsi="宋体" w:cs="宋体"/>
          <w:b w:val="0"/>
          <w:bCs w:val="0"/>
          <w:color w:val="auto"/>
          <w:kern w:val="2"/>
          <w:sz w:val="21"/>
          <w:szCs w:val="21"/>
          <w:highlight w:val="none"/>
          <w:u w:val="single"/>
          <w:lang w:val="en-US" w:eastAsia="zh-CN" w:bidi="ar-SA"/>
        </w:rPr>
        <w:t>。</w:t>
      </w:r>
    </w:p>
    <w:p>
      <w:pPr>
        <w:pStyle w:val="35"/>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2.工程地点：</w:t>
      </w:r>
      <w:r>
        <w:rPr>
          <w:rFonts w:hint="eastAsia" w:ascii="宋体" w:hAnsi="宋体" w:eastAsia="宋体" w:cs="宋体"/>
          <w:color w:val="auto"/>
          <w:sz w:val="21"/>
          <w:szCs w:val="21"/>
          <w:highlight w:val="none"/>
          <w:u w:val="single"/>
        </w:rPr>
        <w:t>兴安县溶江镇永安村</w:t>
      </w:r>
      <w:r>
        <w:rPr>
          <w:rFonts w:hint="eastAsia" w:ascii="宋体" w:hAnsi="宋体" w:eastAsia="宋体" w:cs="宋体"/>
          <w:color w:val="auto"/>
          <w:sz w:val="21"/>
          <w:szCs w:val="21"/>
          <w:highlight w:val="none"/>
        </w:rPr>
        <w:t>。</w:t>
      </w:r>
    </w:p>
    <w:p>
      <w:pPr>
        <w:pStyle w:val="35"/>
        <w:adjustRightInd w:val="0"/>
        <w:snapToGrid w:val="0"/>
        <w:spacing w:line="400" w:lineRule="exact"/>
        <w:ind w:firstLine="459"/>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3.资金来源：</w:t>
      </w:r>
      <w:r>
        <w:rPr>
          <w:rFonts w:hint="eastAsia" w:ascii="宋体" w:hAnsi="宋体" w:cs="宋体"/>
          <w:color w:val="auto"/>
          <w:sz w:val="21"/>
          <w:szCs w:val="21"/>
          <w:highlight w:val="none"/>
          <w:u w:val="single"/>
          <w:lang w:val="en-US" w:eastAsia="zh-CN"/>
        </w:rPr>
        <w:t>上级财政资金。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.工程内容：</w:t>
      </w:r>
      <w:r>
        <w:rPr>
          <w:rFonts w:hint="eastAsia" w:ascii="宋体" w:hAnsi="宋体" w:eastAsia="宋体" w:cs="宋体"/>
          <w:color w:val="auto"/>
          <w:sz w:val="21"/>
          <w:szCs w:val="21"/>
          <w:highlight w:val="none"/>
          <w:lang w:eastAsia="zh-CN"/>
        </w:rPr>
        <w:t>本项目属于扩建工程，建设地点为兴安县溶江镇永安村，</w:t>
      </w:r>
      <w:r>
        <w:rPr>
          <w:rFonts w:hint="eastAsia" w:ascii="宋体" w:hAnsi="宋体" w:cs="宋体"/>
          <w:color w:val="auto"/>
          <w:sz w:val="21"/>
          <w:szCs w:val="21"/>
          <w:highlight w:val="none"/>
          <w:lang w:eastAsia="zh-CN"/>
        </w:rPr>
        <w:t>建设规模及</w:t>
      </w:r>
      <w:r>
        <w:rPr>
          <w:rFonts w:hint="eastAsia" w:ascii="宋体" w:hAnsi="宋体" w:eastAsia="宋体" w:cs="宋体"/>
          <w:color w:val="auto"/>
          <w:sz w:val="21"/>
          <w:szCs w:val="21"/>
          <w:highlight w:val="none"/>
          <w:lang w:eastAsia="zh-CN"/>
        </w:rPr>
        <w:t>内容为搭建烤房钢结构建筑面积约651平方米，</w:t>
      </w:r>
      <w:r>
        <w:rPr>
          <w:rFonts w:hint="eastAsia" w:ascii="宋体" w:hAnsi="宋体" w:cs="宋体"/>
          <w:color w:val="auto"/>
          <w:sz w:val="21"/>
          <w:szCs w:val="21"/>
          <w:highlight w:val="none"/>
          <w:lang w:eastAsia="zh-CN"/>
        </w:rPr>
        <w:t>内装</w:t>
      </w:r>
      <w:r>
        <w:rPr>
          <w:rFonts w:hint="eastAsia" w:ascii="宋体" w:hAnsi="宋体" w:eastAsia="宋体" w:cs="宋体"/>
          <w:color w:val="auto"/>
          <w:sz w:val="21"/>
          <w:szCs w:val="21"/>
          <w:highlight w:val="none"/>
          <w:lang w:eastAsia="zh-CN"/>
        </w:rPr>
        <w:t>烤箱</w:t>
      </w:r>
      <w:r>
        <w:rPr>
          <w:rFonts w:hint="eastAsia" w:ascii="宋体" w:hAnsi="宋体" w:cs="宋体"/>
          <w:color w:val="auto"/>
          <w:sz w:val="21"/>
          <w:szCs w:val="21"/>
          <w:highlight w:val="none"/>
          <w:lang w:eastAsia="zh-CN"/>
        </w:rPr>
        <w:t>一个</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lang w:eastAsia="zh-CN"/>
        </w:rPr>
        <w:t>烤房及蓝球场地面约1622平方米、混凝土挡土墙68米等。</w:t>
      </w:r>
      <w:r>
        <w:rPr>
          <w:rFonts w:hint="eastAsia" w:ascii="宋体" w:hAnsi="宋体" w:eastAsia="宋体" w:cs="宋体"/>
          <w:b w:val="0"/>
          <w:bCs w:val="0"/>
          <w:color w:val="auto"/>
          <w:sz w:val="21"/>
          <w:szCs w:val="21"/>
          <w:highlight w:val="none"/>
          <w:lang w:val="en-US" w:eastAsia="zh-CN"/>
        </w:rPr>
        <w:t>具体详见施工图纸及财评后工程量清单。</w:t>
      </w:r>
    </w:p>
    <w:p>
      <w:pPr>
        <w:pStyle w:val="35"/>
        <w:adjustRightInd w:val="0"/>
        <w:snapToGrid w:val="0"/>
        <w:spacing w:line="400" w:lineRule="exact"/>
        <w:ind w:firstLine="459"/>
        <w:rPr>
          <w:rFonts w:hint="eastAsia" w:ascii="宋体" w:hAnsi="宋体" w:eastAsia="宋体" w:cs="宋体"/>
          <w:bCs/>
          <w:color w:val="auto"/>
          <w:sz w:val="21"/>
          <w:szCs w:val="21"/>
          <w:highlight w:val="none"/>
          <w:u w:val="single"/>
          <w:lang w:eastAsia="zh-CN"/>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.工程承包范围：</w:t>
      </w:r>
      <w:r>
        <w:rPr>
          <w:rFonts w:hint="eastAsia" w:ascii="宋体" w:hAnsi="宋体" w:eastAsia="宋体" w:cs="宋体"/>
          <w:b w:val="0"/>
          <w:bCs w:val="0"/>
          <w:color w:val="auto"/>
          <w:sz w:val="21"/>
          <w:szCs w:val="21"/>
          <w:highlight w:val="none"/>
          <w:u w:val="single"/>
          <w:lang w:val="en-US" w:eastAsia="zh-CN"/>
        </w:rPr>
        <w:t>本工程</w:t>
      </w:r>
      <w:r>
        <w:rPr>
          <w:rFonts w:hint="eastAsia" w:ascii="宋体" w:hAnsi="宋体" w:eastAsia="宋体" w:cs="宋体"/>
          <w:color w:val="auto"/>
          <w:sz w:val="21"/>
          <w:szCs w:val="21"/>
          <w:highlight w:val="none"/>
          <w:u w:val="single"/>
        </w:rPr>
        <w:t>扩建工程</w:t>
      </w:r>
      <w:r>
        <w:rPr>
          <w:rFonts w:hint="eastAsia" w:ascii="宋体" w:hAnsi="宋体" w:eastAsia="宋体" w:cs="宋体"/>
          <w:color w:val="auto"/>
          <w:sz w:val="21"/>
          <w:szCs w:val="21"/>
          <w:highlight w:val="none"/>
          <w:u w:val="single"/>
          <w:lang w:eastAsia="zh-CN"/>
        </w:rPr>
        <w:t>。</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59" w:name="_Toc349"/>
      <w:bookmarkStart w:id="160" w:name="_Toc406522029"/>
      <w:bookmarkStart w:id="161" w:name="_Toc522201560"/>
      <w:bookmarkStart w:id="162" w:name="_Toc3754"/>
      <w:bookmarkStart w:id="163" w:name="_Toc406419154"/>
      <w:bookmarkStart w:id="164" w:name="_Toc351203482"/>
      <w:r>
        <w:rPr>
          <w:rFonts w:hint="eastAsia" w:ascii="宋体" w:hAnsi="宋体" w:eastAsia="宋体" w:cs="宋体"/>
          <w:b/>
          <w:color w:val="auto"/>
          <w:sz w:val="21"/>
          <w:szCs w:val="21"/>
          <w:highlight w:val="none"/>
        </w:rPr>
        <w:t>二、合同工期</w:t>
      </w:r>
      <w:bookmarkEnd w:id="159"/>
      <w:bookmarkEnd w:id="160"/>
      <w:bookmarkEnd w:id="161"/>
      <w:bookmarkEnd w:id="162"/>
      <w:bookmarkEnd w:id="163"/>
      <w:bookmarkEnd w:id="164"/>
    </w:p>
    <w:p>
      <w:pPr>
        <w:pStyle w:val="35"/>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计划开工日期：</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日。（实际开工日期以开工令为准）</w:t>
      </w:r>
    </w:p>
    <w:p>
      <w:pPr>
        <w:pStyle w:val="35"/>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计划竣工日期：</w:t>
      </w:r>
      <w:r>
        <w:rPr>
          <w:rFonts w:hint="eastAsia" w:ascii="宋体" w:hAnsi="宋体" w:eastAsia="宋体" w:cs="宋体"/>
          <w:color w:val="auto"/>
          <w:sz w:val="21"/>
          <w:szCs w:val="21"/>
          <w:highlight w:val="none"/>
          <w:u w:val="single"/>
          <w:lang w:val="en-US" w:eastAsia="zh-CN"/>
        </w:rPr>
        <w:t>2024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35"/>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工期总日历天数：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90</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天</w:t>
      </w:r>
      <w:r>
        <w:rPr>
          <w:rFonts w:hint="eastAsia" w:ascii="宋体" w:hAnsi="宋体" w:eastAsia="宋体" w:cs="宋体"/>
          <w:color w:val="auto"/>
          <w:sz w:val="21"/>
          <w:szCs w:val="21"/>
          <w:highlight w:val="none"/>
        </w:rPr>
        <w:t>。工期总日历天数与根据前述计划开竣工日期计算的工期天数不一致的，以工期总日历天数为准。</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65" w:name="_Toc406522030"/>
      <w:bookmarkStart w:id="166" w:name="_Toc351203483"/>
      <w:bookmarkStart w:id="167" w:name="_Toc522201561"/>
      <w:bookmarkStart w:id="168" w:name="_Toc21915"/>
      <w:bookmarkStart w:id="169" w:name="_Toc406419155"/>
      <w:bookmarkStart w:id="170" w:name="_Toc15140"/>
      <w:r>
        <w:rPr>
          <w:rFonts w:hint="eastAsia" w:ascii="宋体" w:hAnsi="宋体" w:eastAsia="宋体" w:cs="宋体"/>
          <w:b/>
          <w:color w:val="auto"/>
          <w:sz w:val="21"/>
          <w:szCs w:val="21"/>
          <w:highlight w:val="none"/>
        </w:rPr>
        <w:t>三、质量标准</w:t>
      </w:r>
      <w:bookmarkEnd w:id="165"/>
      <w:bookmarkEnd w:id="166"/>
      <w:bookmarkEnd w:id="167"/>
      <w:bookmarkEnd w:id="168"/>
      <w:bookmarkEnd w:id="169"/>
      <w:bookmarkEnd w:id="170"/>
    </w:p>
    <w:p>
      <w:pPr>
        <w:tabs>
          <w:tab w:val="left" w:pos="210"/>
        </w:tabs>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质量标准：</w:t>
      </w:r>
      <w:r>
        <w:rPr>
          <w:rFonts w:hint="eastAsia" w:ascii="宋体" w:hAnsi="宋体" w:eastAsia="宋体" w:cs="宋体"/>
          <w:color w:val="auto"/>
          <w:sz w:val="21"/>
          <w:szCs w:val="21"/>
          <w:highlight w:val="none"/>
          <w:lang w:eastAsia="zh-CN"/>
        </w:rPr>
        <w:t>达到国家施工验收规范合格标准</w:t>
      </w:r>
      <w:r>
        <w:rPr>
          <w:rFonts w:hint="eastAsia" w:ascii="宋体" w:hAnsi="宋体" w:eastAsia="宋体" w:cs="宋体"/>
          <w:color w:val="auto"/>
          <w:sz w:val="21"/>
          <w:szCs w:val="21"/>
          <w:highlight w:val="none"/>
        </w:rPr>
        <w:t>。</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71" w:name="_Toc522201562"/>
      <w:bookmarkStart w:id="172" w:name="_Toc20328"/>
      <w:bookmarkStart w:id="173" w:name="_Toc8031"/>
      <w:bookmarkStart w:id="174" w:name="_Toc406419156"/>
      <w:bookmarkStart w:id="175" w:name="_Toc406522031"/>
      <w:bookmarkStart w:id="176" w:name="_Toc351203484"/>
      <w:r>
        <w:rPr>
          <w:rFonts w:hint="eastAsia" w:ascii="宋体" w:hAnsi="宋体" w:eastAsia="宋体" w:cs="宋体"/>
          <w:b/>
          <w:color w:val="auto"/>
          <w:sz w:val="21"/>
          <w:szCs w:val="21"/>
          <w:highlight w:val="none"/>
        </w:rPr>
        <w:t>四、签约合同价与合同价格形式</w:t>
      </w:r>
      <w:bookmarkEnd w:id="171"/>
      <w:bookmarkEnd w:id="172"/>
      <w:bookmarkEnd w:id="173"/>
      <w:bookmarkEnd w:id="174"/>
      <w:bookmarkEnd w:id="175"/>
      <w:bookmarkEnd w:id="176"/>
    </w:p>
    <w:p>
      <w:pPr>
        <w:pStyle w:val="35"/>
        <w:adjustRightInd w:val="0"/>
        <w:snapToGrid w:val="0"/>
        <w:spacing w:line="400" w:lineRule="exact"/>
        <w:ind w:firstLine="45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签约合同价为：</w:t>
      </w:r>
    </w:p>
    <w:p>
      <w:pPr>
        <w:pStyle w:val="35"/>
        <w:adjustRightInd w:val="0"/>
        <w:snapToGrid w:val="0"/>
        <w:spacing w:line="400" w:lineRule="exact"/>
        <w:ind w:firstLine="525" w:firstLineChars="25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中标</w:t>
      </w:r>
      <w:r>
        <w:rPr>
          <w:rFonts w:hint="eastAsia" w:ascii="宋体" w:hAnsi="宋体" w:eastAsia="宋体" w:cs="宋体"/>
          <w:color w:val="auto"/>
          <w:sz w:val="21"/>
          <w:szCs w:val="21"/>
          <w:highlight w:val="none"/>
        </w:rPr>
        <w:t>总价：人民币（大写）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525" w:firstLineChars="2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（1）投标报价：</w:t>
      </w:r>
    </w:p>
    <w:p>
      <w:pPr>
        <w:pStyle w:val="35"/>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（2）安全文明施工费：</w:t>
      </w:r>
    </w:p>
    <w:p>
      <w:pPr>
        <w:pStyle w:val="35"/>
        <w:adjustRightInd w:val="0"/>
        <w:snapToGrid w:val="0"/>
        <w:spacing w:line="400" w:lineRule="exact"/>
        <w:ind w:firstLine="978" w:firstLineChars="46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（3）规费：人民币（大写）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1050" w:firstLineChars="5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其中社会保险费：</w:t>
      </w:r>
    </w:p>
    <w:p>
      <w:pPr>
        <w:pStyle w:val="35"/>
        <w:adjustRightInd w:val="0"/>
        <w:snapToGrid w:val="0"/>
        <w:spacing w:line="400" w:lineRule="exact"/>
        <w:ind w:left="420" w:leftChars="200" w:firstLine="638" w:firstLineChars="30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945" w:firstLineChars="45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其他：</w:t>
      </w: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numPr>
          <w:ilvl w:val="0"/>
          <w:numId w:val="8"/>
        </w:numPr>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增值税：</w:t>
      </w:r>
    </w:p>
    <w:p>
      <w:pPr>
        <w:pStyle w:val="35"/>
        <w:adjustRightInd w:val="0"/>
        <w:snapToGrid w:val="0"/>
        <w:spacing w:line="400" w:lineRule="exact"/>
        <w:ind w:left="420" w:leftChars="20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（5）材料和工程设备暂估价金额：</w:t>
      </w:r>
    </w:p>
    <w:p>
      <w:pPr>
        <w:pStyle w:val="35"/>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（6）专业工程暂估价金额：</w:t>
      </w:r>
    </w:p>
    <w:p>
      <w:pPr>
        <w:pStyle w:val="35"/>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（7）暂列金额：</w:t>
      </w:r>
    </w:p>
    <w:p>
      <w:pPr>
        <w:pStyle w:val="35"/>
        <w:adjustRightInd w:val="0"/>
        <w:snapToGrid w:val="0"/>
        <w:spacing w:line="400" w:lineRule="exact"/>
        <w:ind w:firstLine="945" w:firstLineChars="4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人民币（大写）</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元）。</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合同价格形式：</w:t>
      </w:r>
      <w:r>
        <w:rPr>
          <w:rFonts w:hint="eastAsia" w:ascii="宋体" w:hAnsi="宋体" w:eastAsia="宋体" w:cs="宋体"/>
          <w:color w:val="auto"/>
          <w:sz w:val="21"/>
          <w:szCs w:val="21"/>
          <w:highlight w:val="none"/>
          <w:u w:val="single"/>
        </w:rPr>
        <w:t>采用固定综合单价合同形式</w:t>
      </w:r>
      <w:r>
        <w:rPr>
          <w:rFonts w:hint="eastAsia" w:ascii="宋体" w:hAnsi="宋体" w:eastAsia="宋体" w:cs="宋体"/>
          <w:color w:val="auto"/>
          <w:sz w:val="21"/>
          <w:szCs w:val="21"/>
          <w:highlight w:val="none"/>
        </w:rPr>
        <w:t>。</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77" w:name="_Toc351203485"/>
      <w:bookmarkStart w:id="178" w:name="_Toc406419157"/>
      <w:bookmarkStart w:id="179" w:name="_Toc522201563"/>
      <w:bookmarkStart w:id="180" w:name="_Toc406522032"/>
      <w:bookmarkStart w:id="181" w:name="_Toc2133"/>
      <w:bookmarkStart w:id="182" w:name="_Toc10860"/>
      <w:r>
        <w:rPr>
          <w:rFonts w:hint="eastAsia" w:ascii="宋体" w:hAnsi="宋体" w:eastAsia="宋体" w:cs="宋体"/>
          <w:b/>
          <w:color w:val="auto"/>
          <w:sz w:val="21"/>
          <w:szCs w:val="21"/>
          <w:highlight w:val="none"/>
        </w:rPr>
        <w:t>五、</w:t>
      </w:r>
      <w:bookmarkEnd w:id="177"/>
      <w:r>
        <w:rPr>
          <w:rFonts w:hint="eastAsia" w:ascii="宋体" w:hAnsi="宋体" w:eastAsia="宋体" w:cs="宋体"/>
          <w:b/>
          <w:color w:val="auto"/>
          <w:sz w:val="21"/>
          <w:szCs w:val="21"/>
          <w:highlight w:val="none"/>
        </w:rPr>
        <w:t>项目经理</w:t>
      </w:r>
      <w:bookmarkEnd w:id="178"/>
      <w:bookmarkEnd w:id="179"/>
      <w:bookmarkEnd w:id="180"/>
      <w:bookmarkEnd w:id="181"/>
      <w:bookmarkEnd w:id="182"/>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承包人项目经理：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lang w:val="en-US" w:eastAsia="zh-CN"/>
        </w:rPr>
        <w:t>联系方式：</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83" w:name="_Toc29699"/>
      <w:bookmarkStart w:id="184" w:name="_Toc406522033"/>
      <w:bookmarkStart w:id="185" w:name="_Toc23735"/>
      <w:bookmarkStart w:id="186" w:name="_Toc351203486"/>
      <w:bookmarkStart w:id="187" w:name="_Toc522201564"/>
      <w:bookmarkStart w:id="188" w:name="_Toc406419158"/>
      <w:r>
        <w:rPr>
          <w:rFonts w:hint="eastAsia" w:ascii="宋体" w:hAnsi="宋体" w:eastAsia="宋体" w:cs="宋体"/>
          <w:b/>
          <w:color w:val="auto"/>
          <w:sz w:val="21"/>
          <w:szCs w:val="21"/>
          <w:highlight w:val="none"/>
        </w:rPr>
        <w:t>六、合同文件构成</w:t>
      </w:r>
      <w:bookmarkEnd w:id="183"/>
      <w:bookmarkEnd w:id="184"/>
      <w:bookmarkEnd w:id="185"/>
      <w:bookmarkEnd w:id="186"/>
      <w:bookmarkEnd w:id="187"/>
      <w:bookmarkEnd w:id="188"/>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bookmarkStart w:id="189" w:name="_Toc406522034"/>
      <w:bookmarkStart w:id="190" w:name="_Toc351203487"/>
      <w:bookmarkStart w:id="191" w:name="_Toc7021"/>
      <w:bookmarkStart w:id="192" w:name="_Toc406419159"/>
      <w:r>
        <w:rPr>
          <w:rFonts w:hint="eastAsia" w:ascii="宋体" w:hAnsi="宋体" w:eastAsia="宋体" w:cs="宋体"/>
          <w:color w:val="auto"/>
          <w:sz w:val="21"/>
          <w:szCs w:val="21"/>
          <w:highlight w:val="none"/>
        </w:rPr>
        <w:t>本协议书与下列文件一起构成合同文件：</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（1）中标通知书（如果有）；</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（2）投标函及其附录（如果有）； </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（3）专用合同条款及其附件；</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（4）通用合同条款；</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（5）技术标准和要求；</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（6）图纸；</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（7）已标价工程量清单或预算书；</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（8）其他合同文件。</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在合同订立及履行过程中形成的与合同有关的文件均构成合同文件组成部分。</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上述各项合同文件包括合同当事人就该项合同文件所作出的补充和修改，属于同一类内容的文件，应以最新签署的为准。专用合同条款及其附件须经合同当事人签字或盖章。</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93" w:name="_Toc4424"/>
      <w:bookmarkStart w:id="194" w:name="_Toc522201565"/>
      <w:r>
        <w:rPr>
          <w:rFonts w:hint="eastAsia" w:ascii="宋体" w:hAnsi="宋体" w:eastAsia="宋体" w:cs="宋体"/>
          <w:b/>
          <w:color w:val="auto"/>
          <w:sz w:val="21"/>
          <w:szCs w:val="21"/>
          <w:highlight w:val="none"/>
        </w:rPr>
        <w:t>七、承诺</w:t>
      </w:r>
      <w:bookmarkEnd w:id="189"/>
      <w:bookmarkEnd w:id="190"/>
      <w:bookmarkEnd w:id="191"/>
      <w:bookmarkEnd w:id="192"/>
      <w:bookmarkEnd w:id="193"/>
      <w:bookmarkEnd w:id="194"/>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bookmarkStart w:id="195" w:name="_Toc406419160"/>
      <w:bookmarkStart w:id="196" w:name="_Toc351203488"/>
      <w:bookmarkStart w:id="197" w:name="_Toc11962"/>
      <w:bookmarkStart w:id="198" w:name="_Toc406522035"/>
      <w:r>
        <w:rPr>
          <w:rFonts w:hint="eastAsia" w:ascii="宋体" w:hAnsi="宋体" w:eastAsia="宋体" w:cs="宋体"/>
          <w:color w:val="auto"/>
          <w:sz w:val="21"/>
          <w:szCs w:val="21"/>
          <w:highlight w:val="none"/>
        </w:rPr>
        <w:t>1.发包人承诺按照法律规定履行项目审批手续、筹集工程建设资金并按照合同约定的期限和方式支付合同价款。</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2.承包人承诺按照法律规定及合同约定组织完成工程施工，确保工程质量和安全，不进行转包及违法分包，并在缺陷责任期及保修期内承担相应的工程维修责任。</w:t>
      </w:r>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3.发包人和承包人通过招投标形式签订合同的，双方理解并承诺不再就同一工程另行签订与合同实质性内容相背离的协议。</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199" w:name="_Toc522201566"/>
      <w:bookmarkStart w:id="200" w:name="_Toc28024"/>
      <w:r>
        <w:rPr>
          <w:rFonts w:hint="eastAsia" w:ascii="宋体" w:hAnsi="宋体" w:eastAsia="宋体" w:cs="宋体"/>
          <w:b/>
          <w:color w:val="auto"/>
          <w:sz w:val="21"/>
          <w:szCs w:val="21"/>
          <w:highlight w:val="none"/>
        </w:rPr>
        <w:t>八、词语含义</w:t>
      </w:r>
      <w:bookmarkEnd w:id="195"/>
      <w:bookmarkEnd w:id="196"/>
      <w:bookmarkEnd w:id="197"/>
      <w:bookmarkEnd w:id="198"/>
      <w:bookmarkEnd w:id="199"/>
      <w:bookmarkEnd w:id="200"/>
    </w:p>
    <w:p>
      <w:pPr>
        <w:pStyle w:val="35"/>
        <w:adjustRightInd w:val="0"/>
        <w:snapToGrid w:val="0"/>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本协议书中词语含义与第二部分通用合同条款中赋予的含义相同。</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1" w:name="_Toc522201567"/>
      <w:bookmarkStart w:id="202" w:name="_Toc351203489"/>
      <w:bookmarkStart w:id="203" w:name="_Toc406419161"/>
      <w:bookmarkStart w:id="204" w:name="_Toc22011"/>
      <w:bookmarkStart w:id="205" w:name="_Toc32285"/>
      <w:bookmarkStart w:id="206" w:name="_Toc406522036"/>
      <w:r>
        <w:rPr>
          <w:rFonts w:hint="eastAsia" w:ascii="宋体" w:hAnsi="宋体" w:eastAsia="宋体" w:cs="宋体"/>
          <w:b/>
          <w:color w:val="auto"/>
          <w:sz w:val="21"/>
          <w:szCs w:val="21"/>
          <w:highlight w:val="none"/>
        </w:rPr>
        <w:t>九、签订时间</w:t>
      </w:r>
      <w:bookmarkEnd w:id="201"/>
      <w:bookmarkEnd w:id="202"/>
      <w:bookmarkEnd w:id="203"/>
      <w:bookmarkEnd w:id="204"/>
      <w:bookmarkEnd w:id="205"/>
      <w:bookmarkEnd w:id="206"/>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年</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月</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日签订。</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07" w:name="_Toc351203490"/>
      <w:bookmarkStart w:id="208" w:name="_Toc406522037"/>
      <w:bookmarkStart w:id="209" w:name="_Toc406419162"/>
      <w:bookmarkStart w:id="210" w:name="_Toc522201568"/>
      <w:bookmarkStart w:id="211" w:name="_Toc3692"/>
      <w:bookmarkStart w:id="212" w:name="_Toc22784"/>
      <w:r>
        <w:rPr>
          <w:rFonts w:hint="eastAsia" w:ascii="宋体" w:hAnsi="宋体" w:eastAsia="宋体" w:cs="宋体"/>
          <w:b/>
          <w:color w:val="auto"/>
          <w:sz w:val="21"/>
          <w:szCs w:val="21"/>
          <w:highlight w:val="none"/>
        </w:rPr>
        <w:t>十、签订地点</w:t>
      </w:r>
      <w:bookmarkEnd w:id="207"/>
      <w:bookmarkEnd w:id="208"/>
      <w:bookmarkEnd w:id="209"/>
      <w:bookmarkEnd w:id="210"/>
      <w:bookmarkEnd w:id="211"/>
      <w:bookmarkEnd w:id="212"/>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本合同在</w:t>
      </w:r>
      <w:r>
        <w:rPr>
          <w:rFonts w:hint="eastAsia" w:ascii="宋体" w:hAnsi="宋体" w:eastAsia="宋体" w:cs="宋体"/>
          <w:bCs/>
          <w:color w:val="auto"/>
          <w:sz w:val="21"/>
          <w:szCs w:val="21"/>
          <w:highlight w:val="none"/>
          <w:u w:val="single"/>
        </w:rPr>
        <w:t xml:space="preserve">  广西桂林市</w:t>
      </w:r>
      <w:r>
        <w:rPr>
          <w:rFonts w:hint="eastAsia" w:ascii="宋体" w:hAnsi="宋体" w:eastAsia="宋体" w:cs="宋体"/>
          <w:bCs/>
          <w:color w:val="auto"/>
          <w:sz w:val="21"/>
          <w:szCs w:val="21"/>
          <w:highlight w:val="none"/>
          <w:u w:val="single"/>
          <w:lang w:val="en-US" w:eastAsia="zh-CN"/>
        </w:rPr>
        <w:t>兴安县</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签订。</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13" w:name="_Toc406522038"/>
      <w:bookmarkStart w:id="214" w:name="_Toc406419163"/>
      <w:bookmarkStart w:id="215" w:name="_Toc9576"/>
      <w:bookmarkStart w:id="216" w:name="_Toc27791"/>
      <w:bookmarkStart w:id="217" w:name="_Toc351203491"/>
      <w:bookmarkStart w:id="218" w:name="_Toc522201569"/>
      <w:r>
        <w:rPr>
          <w:rFonts w:hint="eastAsia" w:ascii="宋体" w:hAnsi="宋体" w:eastAsia="宋体" w:cs="宋体"/>
          <w:b/>
          <w:color w:val="auto"/>
          <w:sz w:val="21"/>
          <w:szCs w:val="21"/>
          <w:highlight w:val="none"/>
        </w:rPr>
        <w:t>十一、补充协议</w:t>
      </w:r>
      <w:bookmarkEnd w:id="213"/>
      <w:bookmarkEnd w:id="214"/>
      <w:bookmarkEnd w:id="215"/>
      <w:bookmarkEnd w:id="216"/>
      <w:bookmarkEnd w:id="217"/>
      <w:bookmarkEnd w:id="218"/>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合同未尽事宜，合同当事人另行签订补充协议，补充协议是合同的组成部分。</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19" w:name="_Toc406522039"/>
      <w:bookmarkStart w:id="220" w:name="_Toc522201570"/>
      <w:bookmarkStart w:id="221" w:name="_Toc32443"/>
      <w:bookmarkStart w:id="222" w:name="_Toc406419164"/>
      <w:bookmarkStart w:id="223" w:name="_Toc9517"/>
      <w:bookmarkStart w:id="224" w:name="_Toc351203492"/>
      <w:r>
        <w:rPr>
          <w:rFonts w:hint="eastAsia" w:ascii="宋体" w:hAnsi="宋体" w:eastAsia="宋体" w:cs="宋体"/>
          <w:b/>
          <w:color w:val="auto"/>
          <w:sz w:val="21"/>
          <w:szCs w:val="21"/>
          <w:highlight w:val="none"/>
        </w:rPr>
        <w:t>十二、合同生效</w:t>
      </w:r>
      <w:bookmarkEnd w:id="219"/>
      <w:bookmarkEnd w:id="220"/>
      <w:bookmarkEnd w:id="221"/>
      <w:bookmarkEnd w:id="222"/>
      <w:bookmarkEnd w:id="223"/>
      <w:bookmarkEnd w:id="224"/>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本合同自</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u w:val="single"/>
        </w:rPr>
        <w:t>双方法定代表人或其委托代理人签字或盖章并加盖单位</w:t>
      </w:r>
      <w:r>
        <w:rPr>
          <w:rFonts w:hint="eastAsia" w:ascii="宋体" w:hAnsi="宋体" w:eastAsia="宋体" w:cs="宋体"/>
          <w:color w:val="auto"/>
          <w:sz w:val="21"/>
          <w:szCs w:val="21"/>
          <w:highlight w:val="none"/>
          <w:u w:val="single"/>
          <w:lang w:eastAsia="zh-CN"/>
        </w:rPr>
        <w:t>公</w:t>
      </w:r>
      <w:r>
        <w:rPr>
          <w:rFonts w:hint="eastAsia" w:ascii="宋体" w:hAnsi="宋体" w:eastAsia="宋体" w:cs="宋体"/>
          <w:color w:val="auto"/>
          <w:sz w:val="21"/>
          <w:szCs w:val="21"/>
          <w:highlight w:val="none"/>
          <w:u w:val="single"/>
        </w:rPr>
        <w:t>章后</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生效。</w:t>
      </w:r>
    </w:p>
    <w:p>
      <w:pPr>
        <w:pStyle w:val="36"/>
        <w:adjustRightInd w:val="0"/>
        <w:snapToGrid w:val="0"/>
        <w:spacing w:line="400" w:lineRule="exact"/>
        <w:ind w:firstLine="422"/>
        <w:outlineLvl w:val="0"/>
        <w:rPr>
          <w:rFonts w:hint="eastAsia" w:ascii="宋体" w:hAnsi="宋体" w:eastAsia="宋体" w:cs="宋体"/>
          <w:b/>
          <w:color w:val="auto"/>
          <w:sz w:val="21"/>
          <w:szCs w:val="21"/>
          <w:highlight w:val="none"/>
        </w:rPr>
      </w:pPr>
      <w:bookmarkStart w:id="225" w:name="_Toc522201571"/>
      <w:bookmarkStart w:id="226" w:name="_Toc14945"/>
      <w:bookmarkStart w:id="227" w:name="_Toc406419165"/>
      <w:bookmarkStart w:id="228" w:name="_Toc16804"/>
      <w:bookmarkStart w:id="229" w:name="_Toc406522040"/>
      <w:bookmarkStart w:id="230" w:name="_Toc351203493"/>
      <w:r>
        <w:rPr>
          <w:rFonts w:hint="eastAsia" w:ascii="宋体" w:hAnsi="宋体" w:eastAsia="宋体" w:cs="宋体"/>
          <w:b/>
          <w:color w:val="auto"/>
          <w:sz w:val="21"/>
          <w:szCs w:val="21"/>
          <w:highlight w:val="none"/>
        </w:rPr>
        <w:t>十三、合同份数</w:t>
      </w:r>
      <w:bookmarkEnd w:id="225"/>
      <w:bookmarkEnd w:id="226"/>
      <w:bookmarkEnd w:id="227"/>
      <w:bookmarkEnd w:id="228"/>
      <w:bookmarkEnd w:id="229"/>
      <w:bookmarkEnd w:id="230"/>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本合同一式</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份，均具有同等法律效力，发包人执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份，承包人执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份，招标代理机构执</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u w:val="single"/>
          <w:lang w:val="en-US" w:eastAsia="zh-CN"/>
        </w:rPr>
        <w:t xml:space="preserve"> </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bCs/>
          <w:color w:val="auto"/>
          <w:sz w:val="21"/>
          <w:szCs w:val="21"/>
          <w:highlight w:val="none"/>
        </w:rPr>
        <w:t>份。</w:t>
      </w:r>
    </w:p>
    <w:p>
      <w:pPr>
        <w:pStyle w:val="35"/>
        <w:adjustRightInd w:val="0"/>
        <w:snapToGrid w:val="0"/>
        <w:spacing w:line="400" w:lineRule="exact"/>
        <w:ind w:firstLine="420" w:firstLineChars="200"/>
        <w:rPr>
          <w:rFonts w:hint="eastAsia" w:ascii="宋体" w:hAnsi="宋体" w:eastAsia="宋体" w:cs="宋体"/>
          <w:bCs/>
          <w:color w:val="auto"/>
          <w:sz w:val="21"/>
          <w:szCs w:val="21"/>
          <w:highlight w:val="none"/>
        </w:rPr>
      </w:pPr>
    </w:p>
    <w:tbl>
      <w:tblPr>
        <w:tblStyle w:val="20"/>
        <w:tblW w:w="8900"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03"/>
        <w:gridCol w:w="45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发包人：（公章）</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c>
          <w:tcPr>
            <w:tcW w:w="4597" w:type="dxa"/>
            <w:vAlign w:val="top"/>
          </w:tcPr>
          <w:p>
            <w:pPr>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承包人：（公章）</w:t>
            </w:r>
          </w:p>
          <w:p>
            <w:pPr>
              <w:pStyle w:val="8"/>
              <w:rPr>
                <w:rFonts w:hint="eastAsia" w:ascii="宋体" w:hAnsi="宋体" w:eastAsia="宋体" w:cs="宋体"/>
                <w:color w:val="auto"/>
                <w:sz w:val="21"/>
                <w:szCs w:val="21"/>
                <w:highlight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ascii="宋体" w:hAnsi="宋体" w:eastAsia="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法定代表人</w:t>
            </w:r>
            <w:r>
              <w:rPr>
                <w:rFonts w:hint="eastAsia" w:ascii="宋体" w:hAnsi="宋体" w:eastAsia="宋体" w:cs="宋体"/>
                <w:color w:val="auto"/>
                <w:sz w:val="21"/>
                <w:szCs w:val="21"/>
                <w:highlight w:val="none"/>
              </w:rPr>
              <w:t>或其委托代理人</w:t>
            </w:r>
            <w:r>
              <w:rPr>
                <w:rFonts w:hint="eastAsia" w:ascii="宋体" w:hAnsi="宋体" w:eastAsia="宋体" w:cs="宋体"/>
                <w:color w:val="auto"/>
                <w:kern w:val="0"/>
                <w:sz w:val="21"/>
                <w:szCs w:val="21"/>
                <w:highlight w:val="none"/>
                <w:u w:val="none"/>
                <w:lang w:val="en-US" w:eastAsia="zh-CN"/>
              </w:rPr>
              <w:t>：</w:t>
            </w:r>
          </w:p>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统一社会信用代码：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统一社会信用代码：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地址：</w:t>
            </w:r>
            <w:r>
              <w:rPr>
                <w:rFonts w:hint="eastAsia" w:ascii="宋体" w:hAnsi="宋体" w:eastAsia="宋体" w:cs="宋体"/>
                <w:color w:val="auto"/>
                <w:sz w:val="21"/>
                <w:szCs w:val="21"/>
                <w:highlight w:val="none"/>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邮政编码：</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邮政编码：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联系人：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电话：</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电话：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传真：</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传真：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电子信箱：</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电子信箱：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开户银行：</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 xml:space="preserve">开户银行：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rPr>
            </w:pPr>
            <w:r>
              <w:rPr>
                <w:rFonts w:hint="eastAsia" w:ascii="宋体" w:hAnsi="宋体" w:eastAsia="宋体" w:cs="宋体"/>
                <w:color w:val="auto"/>
                <w:kern w:val="0"/>
                <w:sz w:val="21"/>
                <w:szCs w:val="21"/>
                <w:highlight w:val="none"/>
                <w:u w:val="none"/>
                <w:lang w:val="en-US" w:eastAsia="zh-CN"/>
              </w:rPr>
              <w:t>开户名称：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03"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账号：</w:t>
            </w:r>
          </w:p>
        </w:tc>
        <w:tc>
          <w:tcPr>
            <w:tcW w:w="4597" w:type="dxa"/>
            <w:vAlign w:val="top"/>
          </w:tcPr>
          <w:p>
            <w:pPr>
              <w:spacing w:line="360" w:lineRule="auto"/>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rPr>
              <w:t xml:space="preserve">账号： </w:t>
            </w:r>
          </w:p>
        </w:tc>
      </w:tr>
    </w:tbl>
    <w:p>
      <w:pPr>
        <w:pStyle w:val="35"/>
        <w:adjustRightInd w:val="0"/>
        <w:snapToGrid w:val="0"/>
        <w:spacing w:line="400" w:lineRule="exact"/>
        <w:jc w:val="center"/>
        <w:rPr>
          <w:rFonts w:hint="eastAsia" w:ascii="宋体" w:hAnsi="宋体" w:eastAsia="宋体" w:cs="宋体"/>
          <w:b/>
          <w:bCs/>
          <w:color w:val="auto"/>
          <w:sz w:val="21"/>
          <w:szCs w:val="21"/>
          <w:highlight w:val="none"/>
        </w:rPr>
      </w:pPr>
    </w:p>
    <w:p>
      <w:pPr>
        <w:pStyle w:val="31"/>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br w:type="page"/>
      </w:r>
      <w:bookmarkStart w:id="231" w:name="_Toc256000032"/>
      <w:bookmarkStart w:id="232" w:name="_Toc30906"/>
      <w:bookmarkStart w:id="233" w:name="_Toc2370"/>
      <w:bookmarkStart w:id="234" w:name="_Toc351203494"/>
      <w:bookmarkStart w:id="235" w:name="_Toc522201572"/>
      <w:r>
        <w:rPr>
          <w:rFonts w:hint="eastAsia" w:ascii="宋体" w:hAnsi="宋体" w:eastAsia="宋体" w:cs="宋体"/>
          <w:color w:val="auto"/>
          <w:sz w:val="21"/>
          <w:szCs w:val="21"/>
          <w:highlight w:val="none"/>
        </w:rPr>
        <w:t>第二部分 通用合同条款</w:t>
      </w:r>
      <w:bookmarkEnd w:id="231"/>
      <w:bookmarkEnd w:id="232"/>
      <w:bookmarkEnd w:id="233"/>
      <w:bookmarkEnd w:id="234"/>
      <w:bookmarkEnd w:id="235"/>
      <w:bookmarkStart w:id="236" w:name="_Toc337558727"/>
    </w:p>
    <w:bookmarkEnd w:id="236"/>
    <w:p>
      <w:pPr>
        <w:pStyle w:val="4"/>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1"/>
          <w:szCs w:val="21"/>
          <w:highlight w:val="none"/>
        </w:rPr>
      </w:pPr>
      <w:bookmarkStart w:id="237" w:name="_Toc16978"/>
    </w:p>
    <w:p>
      <w:pPr>
        <w:pStyle w:val="4"/>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本工程的施工合同通用条款按国家工商行政管理局和建设部颁布的：《建设工程施工合同（示范文本）》（GF-2017-0201）通用条款执行。</w:t>
      </w:r>
      <w:bookmarkEnd w:id="237"/>
    </w:p>
    <w:p>
      <w:pPr>
        <w:pStyle w:val="34"/>
        <w:ind w:left="63" w:right="63"/>
        <w:rPr>
          <w:rFonts w:hint="eastAsia" w:ascii="宋体" w:hAnsi="宋体" w:eastAsia="宋体" w:cs="宋体"/>
          <w:color w:val="auto"/>
          <w:sz w:val="21"/>
          <w:szCs w:val="21"/>
          <w:highlight w:val="none"/>
        </w:rPr>
        <w:sectPr>
          <w:footerReference r:id="rId10" w:type="default"/>
          <w:pgSz w:w="11906" w:h="16838"/>
          <w:pgMar w:top="1134" w:right="1134" w:bottom="1134" w:left="1418" w:header="851" w:footer="992" w:gutter="0"/>
          <w:pgNumType w:fmt="decimal"/>
          <w:cols w:space="720" w:num="1"/>
          <w:docGrid w:type="lines" w:linePitch="312" w:charSpace="0"/>
        </w:sectPr>
      </w:pPr>
    </w:p>
    <w:p>
      <w:pPr>
        <w:pStyle w:val="31"/>
        <w:spacing w:line="400" w:lineRule="atLeast"/>
        <w:jc w:val="center"/>
        <w:rPr>
          <w:rFonts w:hint="eastAsia" w:ascii="宋体" w:hAnsi="宋体" w:eastAsia="宋体" w:cs="宋体"/>
          <w:color w:val="auto"/>
          <w:sz w:val="21"/>
          <w:szCs w:val="21"/>
          <w:highlight w:val="none"/>
        </w:rPr>
      </w:pPr>
      <w:bookmarkStart w:id="238" w:name="_Toc20404"/>
      <w:bookmarkStart w:id="239" w:name="_Toc256000171"/>
      <w:r>
        <w:rPr>
          <w:rFonts w:hint="eastAsia" w:ascii="宋体" w:hAnsi="宋体" w:eastAsia="宋体" w:cs="宋体"/>
          <w:color w:val="auto"/>
          <w:sz w:val="21"/>
          <w:szCs w:val="21"/>
          <w:highlight w:val="none"/>
        </w:rPr>
        <w:t>第三部分 专用合同条款</w:t>
      </w:r>
      <w:bookmarkEnd w:id="238"/>
      <w:bookmarkEnd w:id="239"/>
    </w:p>
    <w:p>
      <w:pPr>
        <w:pStyle w:val="31"/>
        <w:spacing w:line="380" w:lineRule="exact"/>
        <w:rPr>
          <w:rFonts w:hint="eastAsia" w:ascii="宋体" w:hAnsi="宋体" w:eastAsia="宋体" w:cs="宋体"/>
          <w:color w:val="auto"/>
          <w:sz w:val="21"/>
          <w:szCs w:val="21"/>
          <w:highlight w:val="none"/>
        </w:rPr>
      </w:pPr>
      <w:bookmarkStart w:id="240" w:name="_Toc351203633"/>
      <w:bookmarkStart w:id="241" w:name="_Toc497747171"/>
      <w:bookmarkStart w:id="242" w:name="_Toc418752235"/>
      <w:bookmarkStart w:id="243" w:name="_Toc256000172"/>
      <w:bookmarkStart w:id="244" w:name="_Toc406522213"/>
      <w:bookmarkStart w:id="245" w:name="_Toc497746774"/>
      <w:bookmarkStart w:id="246" w:name="_Toc418751789"/>
      <w:bookmarkStart w:id="247" w:name="_Toc522201723"/>
      <w:bookmarkStart w:id="248" w:name="_Toc12553"/>
      <w:bookmarkStart w:id="249" w:name="_Toc484024116"/>
      <w:r>
        <w:rPr>
          <w:rFonts w:hint="eastAsia" w:ascii="宋体" w:hAnsi="宋体" w:eastAsia="宋体" w:cs="宋体"/>
          <w:color w:val="auto"/>
          <w:sz w:val="21"/>
          <w:szCs w:val="21"/>
          <w:highlight w:val="none"/>
        </w:rPr>
        <w:t>1</w:t>
      </w:r>
      <w:bookmarkStart w:id="250" w:name="_Toc292559361"/>
      <w:bookmarkStart w:id="251" w:name="_Toc292559866"/>
      <w:bookmarkStart w:id="252" w:name="_Toc296944495"/>
      <w:bookmarkStart w:id="253" w:name="_Toc297048342"/>
      <w:bookmarkStart w:id="254" w:name="_Toc296347155"/>
      <w:bookmarkStart w:id="255" w:name="_Toc296346657"/>
      <w:bookmarkStart w:id="256" w:name="_Toc297120456"/>
      <w:bookmarkStart w:id="257" w:name="_Toc296503156"/>
      <w:bookmarkStart w:id="258" w:name="_Toc296890984"/>
      <w:bookmarkStart w:id="259" w:name="_Toc296891196"/>
      <w:r>
        <w:rPr>
          <w:rFonts w:hint="eastAsia" w:ascii="宋体" w:hAnsi="宋体" w:eastAsia="宋体" w:cs="宋体"/>
          <w:color w:val="auto"/>
          <w:sz w:val="21"/>
          <w:szCs w:val="21"/>
          <w:highlight w:val="none"/>
        </w:rPr>
        <w:t>. 一般约定</w:t>
      </w:r>
      <w:bookmarkEnd w:id="240"/>
      <w:bookmarkEnd w:id="241"/>
      <w:bookmarkEnd w:id="242"/>
      <w:bookmarkEnd w:id="243"/>
      <w:bookmarkEnd w:id="244"/>
      <w:bookmarkEnd w:id="245"/>
      <w:bookmarkEnd w:id="246"/>
      <w:bookmarkEnd w:id="247"/>
      <w:bookmarkEnd w:id="248"/>
    </w:p>
    <w:bookmarkEnd w:id="250"/>
    <w:bookmarkEnd w:id="251"/>
    <w:bookmarkEnd w:id="252"/>
    <w:bookmarkEnd w:id="253"/>
    <w:bookmarkEnd w:id="254"/>
    <w:bookmarkEnd w:id="255"/>
    <w:bookmarkEnd w:id="256"/>
    <w:bookmarkEnd w:id="257"/>
    <w:bookmarkEnd w:id="258"/>
    <w:bookmarkEnd w:id="259"/>
    <w:p>
      <w:pPr>
        <w:pStyle w:val="31"/>
        <w:spacing w:line="380" w:lineRule="exact"/>
        <w:ind w:firstLine="422" w:firstLineChars="200"/>
        <w:rPr>
          <w:rFonts w:hint="eastAsia" w:ascii="宋体" w:hAnsi="宋体" w:eastAsia="宋体" w:cs="宋体"/>
          <w:color w:val="auto"/>
          <w:sz w:val="21"/>
          <w:szCs w:val="21"/>
          <w:highlight w:val="none"/>
        </w:rPr>
      </w:pPr>
      <w:bookmarkStart w:id="260" w:name="_Toc256000173"/>
      <w:bookmarkStart w:id="261" w:name="_Toc406522214"/>
      <w:bookmarkStart w:id="262" w:name="_Toc2420"/>
      <w:bookmarkStart w:id="263" w:name="_Toc418751790"/>
      <w:bookmarkStart w:id="264" w:name="_Toc497747172"/>
      <w:bookmarkStart w:id="265" w:name="_Toc418752236"/>
      <w:bookmarkStart w:id="266" w:name="_Toc522201724"/>
      <w:bookmarkStart w:id="267" w:name="_Toc497746775"/>
      <w:r>
        <w:rPr>
          <w:rFonts w:hint="eastAsia" w:ascii="宋体" w:hAnsi="宋体" w:eastAsia="宋体" w:cs="宋体"/>
          <w:color w:val="auto"/>
          <w:sz w:val="21"/>
          <w:szCs w:val="21"/>
          <w:highlight w:val="none"/>
        </w:rPr>
        <w:t>1.1 词语定义</w:t>
      </w:r>
      <w:bookmarkEnd w:id="260"/>
      <w:bookmarkEnd w:id="261"/>
      <w:bookmarkEnd w:id="262"/>
      <w:bookmarkEnd w:id="263"/>
      <w:bookmarkEnd w:id="264"/>
      <w:bookmarkEnd w:id="265"/>
      <w:bookmarkEnd w:id="266"/>
      <w:bookmarkEnd w:id="267"/>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1.1.1合同</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1.1.1.10其他合同文件包括：</w:t>
      </w:r>
      <w:r>
        <w:rPr>
          <w:rFonts w:hint="eastAsia" w:ascii="宋体" w:hAnsi="宋体" w:eastAsia="宋体" w:cs="宋体"/>
          <w:color w:val="auto"/>
          <w:sz w:val="21"/>
          <w:szCs w:val="21"/>
          <w:highlight w:val="none"/>
          <w:u w:val="single"/>
        </w:rPr>
        <w:t>（1）本合同协议书；（2）中标通知书；（3）投标书及其附件；（4）本合同专用条款及补充条款；（5）本合同通用条款；（6）标准、规范及有关技术文件；（7）图纸（含图纸修改通知单及图纸设计变更文件）；（8）工程量清单；（9）本工程预算控制价造价成果文件及其他合同文件</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 合同当事人及其他相关方</w:t>
      </w:r>
    </w:p>
    <w:p>
      <w:pPr>
        <w:pStyle w:val="38"/>
        <w:spacing w:line="38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1.1.2.4监理人：</w:t>
      </w:r>
      <w:r>
        <w:rPr>
          <w:rFonts w:hint="eastAsia" w:ascii="宋体" w:hAnsi="宋体" w:eastAsia="宋体" w:cs="宋体"/>
          <w:color w:val="auto"/>
          <w:sz w:val="21"/>
          <w:szCs w:val="21"/>
          <w:highlight w:val="none"/>
          <w:u w:val="single"/>
          <w:lang w:val="en-US" w:eastAsia="zh-CN"/>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1.1.2.5 设计人：</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资质类别和等级：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 工程和设备</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1.1.3.7 作为施工现场组成部分的其他场所包括：</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1.1.3.9 永久占地包括：</w:t>
      </w:r>
      <w:r>
        <w:rPr>
          <w:rFonts w:hint="eastAsia" w:ascii="宋体" w:hAnsi="宋体" w:eastAsia="宋体" w:cs="宋体"/>
          <w:color w:val="auto"/>
          <w:sz w:val="21"/>
          <w:szCs w:val="21"/>
          <w:highlight w:val="none"/>
          <w:u w:val="single"/>
        </w:rPr>
        <w:t xml:space="preserve">  为实施工程需永久占用的土地</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1.1.3.10 临时占地包括：</w:t>
      </w:r>
      <w:r>
        <w:rPr>
          <w:rFonts w:hint="eastAsia" w:ascii="宋体" w:hAnsi="宋体" w:eastAsia="宋体" w:cs="宋体"/>
          <w:color w:val="auto"/>
          <w:sz w:val="21"/>
          <w:szCs w:val="21"/>
          <w:highlight w:val="none"/>
          <w:u w:val="single"/>
        </w:rPr>
        <w:t xml:space="preserve"> 为实施工程需临时占用的土地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268" w:name="_Toc256000174"/>
      <w:bookmarkStart w:id="269" w:name="_Toc497747173"/>
      <w:bookmarkStart w:id="270" w:name="_Toc418751791"/>
      <w:bookmarkStart w:id="271" w:name="_Toc497746776"/>
      <w:bookmarkStart w:id="272" w:name="_Toc406522215"/>
      <w:bookmarkStart w:id="273" w:name="_Toc522201725"/>
      <w:bookmarkStart w:id="274" w:name="_Toc418752237"/>
      <w:bookmarkStart w:id="275" w:name="_Toc15717"/>
      <w:r>
        <w:rPr>
          <w:rFonts w:hint="eastAsia" w:ascii="宋体" w:hAnsi="宋体" w:eastAsia="宋体" w:cs="宋体"/>
          <w:color w:val="auto"/>
          <w:sz w:val="21"/>
          <w:szCs w:val="21"/>
          <w:highlight w:val="none"/>
        </w:rPr>
        <w:t>1.3法律</w:t>
      </w:r>
      <w:bookmarkEnd w:id="268"/>
      <w:bookmarkEnd w:id="269"/>
      <w:bookmarkEnd w:id="270"/>
      <w:bookmarkEnd w:id="271"/>
      <w:bookmarkEnd w:id="272"/>
      <w:bookmarkEnd w:id="273"/>
      <w:bookmarkEnd w:id="274"/>
      <w:bookmarkEnd w:id="275"/>
      <w:r>
        <w:rPr>
          <w:rFonts w:hint="eastAsia" w:ascii="宋体" w:hAnsi="宋体" w:eastAsia="宋体" w:cs="宋体"/>
          <w:color w:val="auto"/>
          <w:sz w:val="21"/>
          <w:szCs w:val="21"/>
          <w:highlight w:val="none"/>
        </w:rPr>
        <w:t xml:space="preserve"> </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适用于合同的其他规范性文件：</w:t>
      </w:r>
      <w:r>
        <w:rPr>
          <w:rFonts w:hint="eastAsia" w:ascii="宋体" w:hAnsi="宋体" w:eastAsia="宋体" w:cs="宋体"/>
          <w:color w:val="auto"/>
          <w:sz w:val="21"/>
          <w:szCs w:val="21"/>
          <w:highlight w:val="none"/>
          <w:u w:val="single"/>
        </w:rPr>
        <w:t>同通用条款</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276" w:name="_Toc522201726"/>
      <w:bookmarkStart w:id="277" w:name="_Toc256000175"/>
      <w:bookmarkStart w:id="278" w:name="_Toc406522216"/>
      <w:bookmarkStart w:id="279" w:name="_Toc4777"/>
      <w:bookmarkStart w:id="280" w:name="_Toc497747174"/>
      <w:bookmarkStart w:id="281" w:name="_Toc418752238"/>
      <w:bookmarkStart w:id="282" w:name="_Toc497746777"/>
      <w:bookmarkStart w:id="283" w:name="_Toc418751792"/>
      <w:r>
        <w:rPr>
          <w:rFonts w:hint="eastAsia" w:ascii="宋体" w:hAnsi="宋体" w:eastAsia="宋体" w:cs="宋体"/>
          <w:color w:val="auto"/>
          <w:sz w:val="21"/>
          <w:szCs w:val="21"/>
          <w:highlight w:val="none"/>
        </w:rPr>
        <w:t>1.4 标准和规范</w:t>
      </w:r>
      <w:bookmarkEnd w:id="276"/>
      <w:bookmarkEnd w:id="277"/>
      <w:bookmarkEnd w:id="278"/>
      <w:bookmarkEnd w:id="279"/>
      <w:bookmarkEnd w:id="280"/>
      <w:bookmarkEnd w:id="281"/>
      <w:bookmarkEnd w:id="282"/>
      <w:bookmarkEnd w:id="283"/>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1.4.1适用于工程的标准规范包括：</w:t>
      </w:r>
      <w:r>
        <w:rPr>
          <w:rFonts w:hint="eastAsia" w:ascii="宋体" w:hAnsi="宋体" w:eastAsia="宋体" w:cs="宋体"/>
          <w:color w:val="auto"/>
          <w:sz w:val="21"/>
          <w:szCs w:val="21"/>
          <w:highlight w:val="none"/>
          <w:u w:val="single"/>
        </w:rPr>
        <w:t>现行国家、地方、部门有关标准规范</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1.4.2 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发包人提供国外标准、规范的份数：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发包人提供国外标准、规范的名称：</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1.4.3发包人对工程的技术标准和功能要求的特殊要求：</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284" w:name="_Toc418752239"/>
      <w:bookmarkStart w:id="285" w:name="_Toc497746778"/>
      <w:bookmarkStart w:id="286" w:name="_Toc522201727"/>
      <w:bookmarkStart w:id="287" w:name="_Toc256000176"/>
      <w:bookmarkStart w:id="288" w:name="_Toc497747175"/>
      <w:bookmarkStart w:id="289" w:name="_Toc406522217"/>
      <w:bookmarkStart w:id="290" w:name="_Toc1411"/>
      <w:bookmarkStart w:id="291" w:name="_Toc418751793"/>
      <w:r>
        <w:rPr>
          <w:rFonts w:hint="eastAsia" w:ascii="宋体" w:hAnsi="宋体" w:eastAsia="宋体" w:cs="宋体"/>
          <w:color w:val="auto"/>
          <w:sz w:val="21"/>
          <w:szCs w:val="21"/>
          <w:highlight w:val="none"/>
        </w:rPr>
        <w:t>1.5 合同文件的优先顺序</w:t>
      </w:r>
      <w:bookmarkEnd w:id="284"/>
      <w:bookmarkEnd w:id="285"/>
      <w:bookmarkEnd w:id="286"/>
      <w:bookmarkEnd w:id="287"/>
      <w:bookmarkEnd w:id="288"/>
      <w:bookmarkEnd w:id="289"/>
      <w:bookmarkEnd w:id="290"/>
      <w:bookmarkEnd w:id="291"/>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合同文件组成及优先顺序为：</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（1）合同协议书；</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（2）中标通知书（如果有）；</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（3）投标函及其附录（如果有）；</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（4）专用合同条款及其附件；</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（5）通用合同条款；</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（6）技术标准和要求 ；</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（7）图纸（含图纸修改通知单及图纸设计变更文件）；</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（8）已标价工程量清单 ；</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（9）其他合同文件（包括本工程预算控制价造价成果文件、招标文件等文件）；</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建设工程工程量清单计价规范（GB5050-2013）》及其广西实施细则及《关于建筑业实施营业税改征增值税后广西壮族自治区建设工程计价依据调整的通知》（桂建标〔2016〕17号）、《建设工程工程量清单计算规范（</w:t>
      </w:r>
      <w:r>
        <w:rPr>
          <w:rFonts w:hint="eastAsia" w:ascii="宋体" w:hAnsi="宋体" w:eastAsia="宋体" w:cs="宋体"/>
          <w:color w:val="auto"/>
          <w:kern w:val="0"/>
          <w:sz w:val="21"/>
          <w:szCs w:val="21"/>
          <w:highlight w:val="none"/>
          <w:lang w:eastAsia="zh-CN"/>
        </w:rPr>
        <w:t>GB50854</w:t>
      </w:r>
      <w:r>
        <w:rPr>
          <w:rFonts w:hint="eastAsia" w:ascii="宋体" w:hAnsi="宋体" w:eastAsia="宋体" w:cs="宋体"/>
          <w:color w:val="auto"/>
          <w:kern w:val="0"/>
          <w:sz w:val="21"/>
          <w:szCs w:val="21"/>
          <w:highlight w:val="none"/>
        </w:rPr>
        <w:t>～50862-2013）》及其广西实施细则（修订本）。</w:t>
      </w:r>
    </w:p>
    <w:p>
      <w:pPr>
        <w:pStyle w:val="31"/>
        <w:spacing w:line="380" w:lineRule="exact"/>
        <w:ind w:firstLine="422" w:firstLineChars="200"/>
        <w:rPr>
          <w:rFonts w:hint="eastAsia" w:ascii="宋体" w:hAnsi="宋体" w:eastAsia="宋体" w:cs="宋体"/>
          <w:color w:val="auto"/>
          <w:kern w:val="0"/>
          <w:sz w:val="21"/>
          <w:szCs w:val="21"/>
          <w:highlight w:val="none"/>
        </w:rPr>
      </w:pPr>
      <w:bookmarkStart w:id="292" w:name="_Toc17204"/>
      <w:bookmarkStart w:id="293" w:name="_Toc256000177"/>
      <w:bookmarkStart w:id="294" w:name="_Toc406522218"/>
      <w:bookmarkStart w:id="295" w:name="_Toc418752240"/>
      <w:bookmarkStart w:id="296" w:name="_Toc497747176"/>
      <w:bookmarkStart w:id="297" w:name="_Toc418751794"/>
      <w:bookmarkStart w:id="298" w:name="_Toc497746779"/>
      <w:bookmarkStart w:id="299" w:name="_Toc522201728"/>
      <w:r>
        <w:rPr>
          <w:rFonts w:hint="eastAsia" w:ascii="宋体" w:hAnsi="宋体" w:eastAsia="宋体" w:cs="宋体"/>
          <w:color w:val="auto"/>
          <w:kern w:val="0"/>
          <w:sz w:val="21"/>
          <w:szCs w:val="21"/>
          <w:highlight w:val="none"/>
        </w:rPr>
        <w:t>说明：（6）、（7）、（8）、（9）填空内容分别限于技术标准和要求、图纸、已标价工程量清单或预算书、其他合同文件四者之一，其优先顺序可根据采取的不同合同方式由双方约定。</w:t>
      </w:r>
      <w:bookmarkEnd w:id="292"/>
      <w:bookmarkEnd w:id="293"/>
    </w:p>
    <w:p>
      <w:pPr>
        <w:pStyle w:val="31"/>
        <w:spacing w:line="380" w:lineRule="exact"/>
        <w:ind w:firstLine="422" w:firstLineChars="200"/>
        <w:rPr>
          <w:rFonts w:hint="eastAsia" w:ascii="宋体" w:hAnsi="宋体" w:eastAsia="宋体" w:cs="宋体"/>
          <w:color w:val="auto"/>
          <w:sz w:val="21"/>
          <w:szCs w:val="21"/>
          <w:highlight w:val="none"/>
        </w:rPr>
      </w:pPr>
      <w:bookmarkStart w:id="300" w:name="_Toc15573"/>
      <w:bookmarkStart w:id="301" w:name="_Toc256000178"/>
      <w:r>
        <w:rPr>
          <w:rFonts w:hint="eastAsia" w:ascii="宋体" w:hAnsi="宋体" w:eastAsia="宋体" w:cs="宋体"/>
          <w:color w:val="auto"/>
          <w:sz w:val="21"/>
          <w:szCs w:val="21"/>
          <w:highlight w:val="none"/>
        </w:rPr>
        <w:t>1.6 图纸和承包人文件</w:t>
      </w:r>
      <w:bookmarkEnd w:id="294"/>
      <w:bookmarkEnd w:id="295"/>
      <w:bookmarkEnd w:id="296"/>
      <w:bookmarkEnd w:id="297"/>
      <w:bookmarkEnd w:id="298"/>
      <w:bookmarkEnd w:id="299"/>
      <w:bookmarkEnd w:id="300"/>
      <w:bookmarkEnd w:id="301"/>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 图纸的提供</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发包人向承包人提供图纸的期限：</w:t>
      </w:r>
      <w:r>
        <w:rPr>
          <w:rFonts w:hint="eastAsia" w:ascii="宋体" w:hAnsi="宋体" w:eastAsia="宋体" w:cs="宋体"/>
          <w:color w:val="auto"/>
          <w:sz w:val="21"/>
          <w:szCs w:val="21"/>
          <w:highlight w:val="none"/>
          <w:u w:val="single"/>
        </w:rPr>
        <w:t>合同签订生效后7天内</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发包人向承包人提供图纸的数量：</w:t>
      </w:r>
      <w:r>
        <w:rPr>
          <w:rFonts w:hint="eastAsia" w:ascii="宋体" w:hAnsi="宋体" w:eastAsia="宋体" w:cs="宋体"/>
          <w:color w:val="auto"/>
          <w:sz w:val="21"/>
          <w:szCs w:val="21"/>
          <w:highlight w:val="none"/>
          <w:u w:val="single"/>
        </w:rPr>
        <w:t>贰份，上述图纸及技术资料，未经监理工程师和发包人同意，承包人不得提供给与本工程无关的第三方。承包人需要增加图纸套数的，承包人自行复制，复制费用由承包人承担。</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发包人向承包人提供图纸的内容：</w:t>
      </w:r>
      <w:r>
        <w:rPr>
          <w:rFonts w:hint="eastAsia" w:ascii="宋体" w:hAnsi="宋体" w:eastAsia="宋体" w:cs="宋体"/>
          <w:color w:val="auto"/>
          <w:kern w:val="0"/>
          <w:sz w:val="21"/>
          <w:szCs w:val="21"/>
          <w:highlight w:val="none"/>
          <w:u w:val="single"/>
        </w:rPr>
        <w:t>经备案的全套施工图纸和其他技术资料</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1.6.4 承包人文件</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需要由承包人提供的文件，包括：</w:t>
      </w:r>
      <w:r>
        <w:rPr>
          <w:rFonts w:hint="eastAsia" w:ascii="宋体" w:hAnsi="宋体" w:eastAsia="宋体" w:cs="宋体"/>
          <w:color w:val="auto"/>
          <w:sz w:val="21"/>
          <w:szCs w:val="21"/>
          <w:highlight w:val="none"/>
          <w:u w:val="single"/>
        </w:rPr>
        <w:t>1、施工组织设计；2、工程进度计划；3、管理人员名单、职称、职务、上岗证等；4、安全文明施工措施；5、质量保证体系；6、每月25日前提供当月施工统计报表和下月进度计划各一份交监理工程师及发包人；7</w:t>
      </w:r>
      <w:r>
        <w:rPr>
          <w:rFonts w:hint="eastAsia" w:ascii="宋体" w:hAnsi="宋体" w:eastAsia="宋体" w:cs="宋体"/>
          <w:color w:val="auto"/>
          <w:sz w:val="21"/>
          <w:szCs w:val="21"/>
          <w:highlight w:val="none"/>
          <w:u w:val="single"/>
          <w:lang w:val="zh-CN"/>
        </w:rPr>
        <w:t>、</w:t>
      </w:r>
      <w:r>
        <w:rPr>
          <w:rFonts w:hint="eastAsia" w:ascii="宋体" w:hAnsi="宋体" w:eastAsia="宋体" w:cs="宋体"/>
          <w:color w:val="auto"/>
          <w:sz w:val="21"/>
          <w:szCs w:val="21"/>
          <w:highlight w:val="none"/>
          <w:u w:val="single"/>
        </w:rPr>
        <w:t>施工图以外的大样图、加工图、标准图、以及建筑装饰深化设计图纸设计优化建议等。但设计成果文件需经原设计单位审核及认可。最终设计成果归发包人所有。</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承包人提供的文件的期限为：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开始施工前7天内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承包人提供的文件的数量为：</w:t>
      </w:r>
      <w:r>
        <w:rPr>
          <w:rFonts w:hint="eastAsia" w:ascii="宋体" w:hAnsi="宋体" w:eastAsia="宋体" w:cs="宋体"/>
          <w:color w:val="auto"/>
          <w:sz w:val="21"/>
          <w:szCs w:val="21"/>
          <w:highlight w:val="none"/>
          <w:u w:val="single"/>
        </w:rPr>
        <w:t xml:space="preserve">  6</w:t>
      </w:r>
      <w:r>
        <w:rPr>
          <w:rFonts w:hint="eastAsia" w:ascii="宋体" w:hAnsi="宋体" w:eastAsia="宋体" w:cs="宋体"/>
          <w:color w:val="auto"/>
          <w:kern w:val="0"/>
          <w:sz w:val="21"/>
          <w:szCs w:val="21"/>
          <w:highlight w:val="none"/>
          <w:u w:val="single"/>
        </w:rPr>
        <w:t>份</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承包人提供的文件的形式为：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纸质版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发包人审批承包人文件的期限：</w:t>
      </w:r>
      <w:r>
        <w:rPr>
          <w:rFonts w:hint="eastAsia" w:ascii="宋体" w:hAnsi="宋体" w:eastAsia="宋体" w:cs="宋体"/>
          <w:color w:val="auto"/>
          <w:sz w:val="21"/>
          <w:szCs w:val="21"/>
          <w:highlight w:val="none"/>
          <w:u w:val="single"/>
        </w:rPr>
        <w:t xml:space="preserve"> 收到承包人提供的文件后七天内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1.6.5 现场图纸准备</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关于现场图纸准备的约定：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302" w:name="_Toc418751795"/>
      <w:bookmarkStart w:id="303" w:name="_Toc256000179"/>
      <w:bookmarkStart w:id="304" w:name="_Toc6020"/>
      <w:bookmarkStart w:id="305" w:name="_Toc522201729"/>
      <w:bookmarkStart w:id="306" w:name="_Toc497746780"/>
      <w:bookmarkStart w:id="307" w:name="_Toc497747177"/>
      <w:bookmarkStart w:id="308" w:name="_Toc418752241"/>
      <w:bookmarkStart w:id="309" w:name="_Toc406522219"/>
      <w:r>
        <w:rPr>
          <w:rFonts w:hint="eastAsia" w:ascii="宋体" w:hAnsi="宋体" w:eastAsia="宋体" w:cs="宋体"/>
          <w:color w:val="auto"/>
          <w:sz w:val="21"/>
          <w:szCs w:val="21"/>
          <w:highlight w:val="none"/>
        </w:rPr>
        <w:t>1.7 联络</w:t>
      </w:r>
      <w:bookmarkEnd w:id="302"/>
      <w:bookmarkEnd w:id="303"/>
      <w:bookmarkEnd w:id="304"/>
      <w:bookmarkEnd w:id="305"/>
      <w:bookmarkEnd w:id="306"/>
      <w:bookmarkEnd w:id="307"/>
      <w:bookmarkEnd w:id="308"/>
      <w:bookmarkEnd w:id="309"/>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1.7.1发包人和承包人应当在</w:t>
      </w:r>
      <w:r>
        <w:rPr>
          <w:rFonts w:hint="eastAsia" w:ascii="宋体" w:hAnsi="宋体" w:eastAsia="宋体" w:cs="宋体"/>
          <w:color w:val="auto"/>
          <w:sz w:val="21"/>
          <w:szCs w:val="21"/>
          <w:highlight w:val="none"/>
          <w:u w:val="single"/>
        </w:rPr>
        <w:t xml:space="preserve">  7 </w:t>
      </w:r>
      <w:r>
        <w:rPr>
          <w:rFonts w:hint="eastAsia" w:ascii="宋体" w:hAnsi="宋体" w:eastAsia="宋体" w:cs="宋体"/>
          <w:color w:val="auto"/>
          <w:sz w:val="21"/>
          <w:szCs w:val="21"/>
          <w:highlight w:val="none"/>
        </w:rPr>
        <w:t>天内将与合同有关的通知、批准、证明、证书、指示、指令、要求、请求、同意、意见、确定和决定等书面函件送达对方当事人。</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1.7.2发包人接收文件的地点：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施工现场项目部</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监理人接收文件的地点：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监理人指定的接收人为：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310" w:name="_Toc418751796"/>
      <w:bookmarkStart w:id="311" w:name="_Toc406522220"/>
      <w:bookmarkStart w:id="312" w:name="_Toc497746781"/>
      <w:bookmarkStart w:id="313" w:name="_Toc256000180"/>
      <w:bookmarkStart w:id="314" w:name="_Toc522201730"/>
      <w:bookmarkStart w:id="315" w:name="_Toc20909"/>
      <w:bookmarkStart w:id="316" w:name="_Toc418752242"/>
      <w:bookmarkStart w:id="317" w:name="_Toc497747178"/>
      <w:r>
        <w:rPr>
          <w:rFonts w:hint="eastAsia" w:ascii="宋体" w:hAnsi="宋体" w:eastAsia="宋体" w:cs="宋体"/>
          <w:color w:val="auto"/>
          <w:sz w:val="21"/>
          <w:szCs w:val="21"/>
          <w:highlight w:val="none"/>
        </w:rPr>
        <w:t>1.10 交通运输</w:t>
      </w:r>
      <w:bookmarkEnd w:id="310"/>
      <w:bookmarkEnd w:id="311"/>
      <w:bookmarkEnd w:id="312"/>
      <w:bookmarkEnd w:id="313"/>
      <w:bookmarkEnd w:id="314"/>
      <w:bookmarkEnd w:id="315"/>
      <w:bookmarkEnd w:id="316"/>
      <w:bookmarkEnd w:id="317"/>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18" w:name="_Toc303539100"/>
      <w:bookmarkStart w:id="319" w:name="_Toc300934943"/>
      <w:bookmarkStart w:id="320" w:name="_Toc304295521"/>
      <w:bookmarkStart w:id="321" w:name="_Toc318581155"/>
      <w:bookmarkStart w:id="322" w:name="_Toc312677986"/>
      <w:r>
        <w:rPr>
          <w:rFonts w:hint="eastAsia" w:ascii="宋体" w:hAnsi="宋体" w:eastAsia="宋体" w:cs="宋体"/>
          <w:color w:val="auto"/>
          <w:sz w:val="21"/>
          <w:szCs w:val="21"/>
          <w:highlight w:val="none"/>
        </w:rPr>
        <w:t>.10.1 出入现场的权利</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关于出入现场的权利的约定：</w:t>
      </w:r>
      <w:r>
        <w:rPr>
          <w:rFonts w:hint="eastAsia" w:ascii="宋体" w:hAnsi="宋体" w:eastAsia="宋体" w:cs="宋体"/>
          <w:color w:val="auto"/>
          <w:sz w:val="21"/>
          <w:szCs w:val="21"/>
          <w:highlight w:val="none"/>
          <w:u w:val="single"/>
        </w:rPr>
        <w:t xml:space="preserve"> 除正常施工涉及的人员及车辆外，其他人员及车辆进出场内须经过发包人同意，且由承包人进行管理登记 </w:t>
      </w:r>
      <w:r>
        <w:rPr>
          <w:rFonts w:hint="eastAsia" w:ascii="宋体" w:hAnsi="宋体" w:eastAsia="宋体" w:cs="宋体"/>
          <w:color w:val="auto"/>
          <w:sz w:val="21"/>
          <w:szCs w:val="21"/>
          <w:highlight w:val="none"/>
        </w:rPr>
        <w:t>。</w:t>
      </w:r>
    </w:p>
    <w:bookmarkEnd w:id="318"/>
    <w:bookmarkEnd w:id="319"/>
    <w:bookmarkEnd w:id="320"/>
    <w:bookmarkEnd w:id="321"/>
    <w:bookmarkEnd w:id="322"/>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323" w:name="_Toc312677987"/>
      <w:bookmarkStart w:id="324" w:name="_Toc318581156"/>
      <w:bookmarkStart w:id="325" w:name="_Toc300934944"/>
      <w:bookmarkStart w:id="326" w:name="_Toc304295522"/>
      <w:bookmarkStart w:id="327" w:name="_Toc303539101"/>
      <w:r>
        <w:rPr>
          <w:rFonts w:hint="eastAsia" w:ascii="宋体" w:hAnsi="宋体" w:eastAsia="宋体" w:cs="宋体"/>
          <w:color w:val="auto"/>
          <w:sz w:val="21"/>
          <w:szCs w:val="21"/>
          <w:highlight w:val="none"/>
        </w:rPr>
        <w:t>.10.3 场内交通</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关于场外交通和场内交通的边界的约定：</w:t>
      </w:r>
      <w:r>
        <w:rPr>
          <w:rFonts w:hint="eastAsia" w:ascii="宋体" w:hAnsi="宋体" w:eastAsia="宋体" w:cs="宋体"/>
          <w:color w:val="auto"/>
          <w:sz w:val="21"/>
          <w:szCs w:val="21"/>
          <w:highlight w:val="none"/>
          <w:u w:val="single"/>
        </w:rPr>
        <w:t xml:space="preserve">  规划批复总平用地红线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关于发包人向承包人免费提供满足工程施工需要的场内道路和交通设施的约定：</w:t>
      </w:r>
      <w:r>
        <w:rPr>
          <w:rFonts w:hint="eastAsia" w:ascii="宋体" w:hAnsi="宋体" w:eastAsia="宋体" w:cs="宋体"/>
          <w:color w:val="auto"/>
          <w:sz w:val="21"/>
          <w:szCs w:val="21"/>
          <w:highlight w:val="none"/>
          <w:u w:val="single"/>
        </w:rPr>
        <w:t>承包人负责场内道路和交通设施的修建并承担相应费用</w:t>
      </w:r>
      <w:r>
        <w:rPr>
          <w:rFonts w:hint="eastAsia" w:ascii="宋体" w:hAnsi="宋体" w:eastAsia="宋体" w:cs="宋体"/>
          <w:color w:val="auto"/>
          <w:sz w:val="21"/>
          <w:szCs w:val="21"/>
          <w:highlight w:val="none"/>
        </w:rPr>
        <w:t>。</w:t>
      </w:r>
      <w:bookmarkEnd w:id="323"/>
      <w:bookmarkEnd w:id="324"/>
      <w:bookmarkEnd w:id="325"/>
      <w:bookmarkEnd w:id="326"/>
      <w:bookmarkEnd w:id="327"/>
      <w:r>
        <w:rPr>
          <w:rFonts w:hint="eastAsia" w:ascii="宋体" w:hAnsi="宋体" w:eastAsia="宋体" w:cs="宋体"/>
          <w:color w:val="auto"/>
          <w:sz w:val="21"/>
          <w:szCs w:val="21"/>
          <w:highlight w:val="none"/>
        </w:rPr>
        <w:t xml:space="preserve">  </w:t>
      </w:r>
      <w:bookmarkStart w:id="328" w:name="_Toc318581157"/>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1.10.4超大件和超重件的运输</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运输超大件或超重件所需的道路和桥梁临时加固改造费用和其他有关费用由</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rPr>
        <w:t>承担。</w:t>
      </w:r>
    </w:p>
    <w:bookmarkEnd w:id="328"/>
    <w:p>
      <w:pPr>
        <w:pStyle w:val="31"/>
        <w:spacing w:line="380" w:lineRule="exact"/>
        <w:ind w:firstLine="422" w:firstLineChars="200"/>
        <w:rPr>
          <w:rFonts w:hint="eastAsia" w:ascii="宋体" w:hAnsi="宋体" w:eastAsia="宋体" w:cs="宋体"/>
          <w:color w:val="auto"/>
          <w:sz w:val="21"/>
          <w:szCs w:val="21"/>
          <w:highlight w:val="none"/>
        </w:rPr>
      </w:pPr>
      <w:bookmarkStart w:id="329" w:name="_Toc418752243"/>
      <w:bookmarkStart w:id="330" w:name="_Toc406522221"/>
      <w:bookmarkStart w:id="331" w:name="_Toc418751797"/>
      <w:bookmarkStart w:id="332" w:name="_Toc497746782"/>
      <w:bookmarkStart w:id="333" w:name="_Toc8643"/>
      <w:bookmarkStart w:id="334" w:name="_Toc256000181"/>
      <w:bookmarkStart w:id="335" w:name="_Toc497747179"/>
      <w:bookmarkStart w:id="336" w:name="_Toc522201731"/>
      <w:r>
        <w:rPr>
          <w:rFonts w:hint="eastAsia" w:ascii="宋体" w:hAnsi="宋体" w:eastAsia="宋体" w:cs="宋体"/>
          <w:color w:val="auto"/>
          <w:sz w:val="21"/>
          <w:szCs w:val="21"/>
          <w:highlight w:val="none"/>
        </w:rPr>
        <w:t>1.11 知识产权</w:t>
      </w:r>
      <w:bookmarkEnd w:id="329"/>
      <w:bookmarkEnd w:id="330"/>
      <w:bookmarkEnd w:id="331"/>
      <w:bookmarkEnd w:id="332"/>
      <w:bookmarkEnd w:id="333"/>
      <w:bookmarkEnd w:id="334"/>
      <w:bookmarkEnd w:id="335"/>
      <w:bookmarkEnd w:id="336"/>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highlight w:val="none"/>
          <w:u w:val="single"/>
        </w:rPr>
        <w:t>著作权属于发包人</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1.11.2 关于承包人为实施工程所编制文件的著作权的归属：</w:t>
      </w:r>
      <w:r>
        <w:rPr>
          <w:rFonts w:hint="eastAsia" w:ascii="宋体" w:hAnsi="宋体" w:eastAsia="宋体" w:cs="宋体"/>
          <w:color w:val="auto"/>
          <w:sz w:val="21"/>
          <w:szCs w:val="21"/>
          <w:highlight w:val="none"/>
          <w:u w:val="single"/>
        </w:rPr>
        <w:t>除署名以外著作权属于发包人</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关于承包人提供的上述文件的使用限制的要求：</w:t>
      </w:r>
      <w:r>
        <w:rPr>
          <w:rFonts w:hint="eastAsia" w:ascii="宋体" w:hAnsi="宋体" w:eastAsia="宋体" w:cs="宋体"/>
          <w:color w:val="auto"/>
          <w:sz w:val="21"/>
          <w:szCs w:val="21"/>
          <w:highlight w:val="none"/>
          <w:u w:val="single"/>
        </w:rPr>
        <w:t>未经发包人同意，承包人不得为了合同以外的目的而复制、使用上述文件或将之提供给任何第三方</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1.11.4 承包人在施工过程中所采用的专利、专有技术、技术秘密的使用费的承担方式：</w:t>
      </w:r>
      <w:r>
        <w:rPr>
          <w:rFonts w:hint="eastAsia" w:ascii="宋体" w:hAnsi="宋体" w:eastAsia="宋体" w:cs="宋体"/>
          <w:color w:val="auto"/>
          <w:sz w:val="21"/>
          <w:szCs w:val="21"/>
          <w:highlight w:val="none"/>
          <w:u w:val="single"/>
        </w:rPr>
        <w:t>由承包人承担</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1.13工程量清单错误的修正</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出现工程量清单错误时，是否调整合同价格：</w:t>
      </w:r>
      <w:r>
        <w:rPr>
          <w:rFonts w:hint="eastAsia" w:ascii="宋体" w:hAnsi="宋体" w:eastAsia="宋体" w:cs="宋体"/>
          <w:color w:val="auto"/>
          <w:sz w:val="21"/>
          <w:szCs w:val="21"/>
          <w:highlight w:val="none"/>
          <w:lang w:val="en-US" w:eastAsia="zh-CN"/>
        </w:rPr>
        <w:t>是，</w:t>
      </w:r>
      <w:r>
        <w:rPr>
          <w:rFonts w:hint="eastAsia" w:ascii="宋体" w:hAnsi="宋体" w:eastAsia="宋体" w:cs="宋体"/>
          <w:color w:val="auto"/>
          <w:sz w:val="21"/>
          <w:szCs w:val="21"/>
          <w:highlight w:val="none"/>
          <w:u w:val="single"/>
        </w:rPr>
        <w:t>按《建设工程工程量清单计价规范（GB5050-2013）》及其广西实施细则、《建设工程工程量清单计算规范（</w:t>
      </w:r>
      <w:r>
        <w:rPr>
          <w:rFonts w:hint="eastAsia" w:ascii="宋体" w:hAnsi="宋体" w:eastAsia="宋体" w:cs="宋体"/>
          <w:color w:val="auto"/>
          <w:sz w:val="21"/>
          <w:szCs w:val="21"/>
          <w:highlight w:val="none"/>
          <w:u w:val="single"/>
          <w:lang w:eastAsia="zh-CN"/>
        </w:rPr>
        <w:t>GB50854</w:t>
      </w:r>
      <w:r>
        <w:rPr>
          <w:rFonts w:hint="eastAsia" w:ascii="宋体" w:hAnsi="宋体" w:eastAsia="宋体" w:cs="宋体"/>
          <w:color w:val="auto"/>
          <w:sz w:val="21"/>
          <w:szCs w:val="21"/>
          <w:highlight w:val="none"/>
          <w:u w:val="single"/>
        </w:rPr>
        <w:t>～50862-2013）》及其广西实施细则（修订本）等规定。</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允许调整合同价格的工程量偏差范围： </w:t>
      </w:r>
      <w:r>
        <w:rPr>
          <w:rFonts w:hint="eastAsia" w:ascii="宋体" w:hAnsi="宋体" w:eastAsia="宋体" w:cs="宋体"/>
          <w:color w:val="auto"/>
          <w:sz w:val="21"/>
          <w:szCs w:val="21"/>
          <w:highlight w:val="none"/>
          <w:u w:val="single"/>
          <w:lang w:val="en-US" w:eastAsia="zh-CN"/>
        </w:rPr>
        <w:t>除严重不平衡报价外，分部分项工程量清单项目中工程量增减均不调整价格</w:t>
      </w:r>
      <w:r>
        <w:rPr>
          <w:rFonts w:hint="eastAsia" w:ascii="宋体" w:hAnsi="宋体" w:eastAsia="宋体" w:cs="宋体"/>
          <w:color w:val="auto"/>
          <w:sz w:val="21"/>
          <w:szCs w:val="21"/>
          <w:highlight w:val="none"/>
        </w:rPr>
        <w:t>。</w:t>
      </w:r>
    </w:p>
    <w:p>
      <w:pPr>
        <w:pStyle w:val="31"/>
        <w:spacing w:line="380" w:lineRule="exact"/>
        <w:rPr>
          <w:rFonts w:hint="eastAsia" w:ascii="宋体" w:hAnsi="宋体" w:eastAsia="宋体" w:cs="宋体"/>
          <w:color w:val="auto"/>
          <w:sz w:val="21"/>
          <w:szCs w:val="21"/>
          <w:highlight w:val="none"/>
        </w:rPr>
      </w:pPr>
      <w:bookmarkStart w:id="337" w:name="_Toc24129"/>
      <w:bookmarkStart w:id="338" w:name="_Toc522201732"/>
      <w:bookmarkStart w:id="339" w:name="_Toc418752244"/>
      <w:bookmarkStart w:id="340" w:name="_Toc406522222"/>
      <w:bookmarkStart w:id="341" w:name="_Toc256000182"/>
      <w:bookmarkStart w:id="342" w:name="_Toc497747180"/>
      <w:bookmarkStart w:id="343" w:name="_Toc497746783"/>
      <w:bookmarkStart w:id="344" w:name="_Toc418751798"/>
      <w:bookmarkStart w:id="345" w:name="_Toc351203634"/>
      <w:r>
        <w:rPr>
          <w:rFonts w:hint="eastAsia" w:ascii="宋体" w:hAnsi="宋体" w:eastAsia="宋体" w:cs="宋体"/>
          <w:color w:val="auto"/>
          <w:sz w:val="21"/>
          <w:szCs w:val="21"/>
          <w:highlight w:val="none"/>
        </w:rPr>
        <w:t>2</w:t>
      </w:r>
      <w:bookmarkStart w:id="346" w:name="_Toc296503157"/>
      <w:bookmarkStart w:id="347" w:name="_Toc292559867"/>
      <w:bookmarkStart w:id="348" w:name="_Toc296347156"/>
      <w:bookmarkStart w:id="349" w:name="_Toc292559362"/>
      <w:bookmarkStart w:id="350" w:name="_Toc296346658"/>
      <w:bookmarkStart w:id="351" w:name="_Toc297120457"/>
      <w:bookmarkStart w:id="352" w:name="_Toc296891197"/>
      <w:bookmarkStart w:id="353" w:name="_Toc296944496"/>
      <w:bookmarkStart w:id="354" w:name="_Toc297048343"/>
      <w:bookmarkStart w:id="355" w:name="_Toc296890985"/>
      <w:r>
        <w:rPr>
          <w:rFonts w:hint="eastAsia" w:ascii="宋体" w:hAnsi="宋体" w:eastAsia="宋体" w:cs="宋体"/>
          <w:color w:val="auto"/>
          <w:sz w:val="21"/>
          <w:szCs w:val="21"/>
          <w:highlight w:val="none"/>
        </w:rPr>
        <w:t>. 发包人</w:t>
      </w:r>
      <w:bookmarkEnd w:id="337"/>
      <w:bookmarkEnd w:id="338"/>
      <w:bookmarkEnd w:id="339"/>
      <w:bookmarkEnd w:id="340"/>
      <w:bookmarkEnd w:id="341"/>
      <w:bookmarkEnd w:id="342"/>
      <w:bookmarkEnd w:id="343"/>
      <w:bookmarkEnd w:id="344"/>
      <w:bookmarkEnd w:id="345"/>
    </w:p>
    <w:bookmarkEnd w:id="346"/>
    <w:bookmarkEnd w:id="347"/>
    <w:bookmarkEnd w:id="348"/>
    <w:bookmarkEnd w:id="349"/>
    <w:bookmarkEnd w:id="350"/>
    <w:bookmarkEnd w:id="351"/>
    <w:bookmarkEnd w:id="352"/>
    <w:bookmarkEnd w:id="353"/>
    <w:bookmarkEnd w:id="354"/>
    <w:bookmarkEnd w:id="355"/>
    <w:p>
      <w:pPr>
        <w:pStyle w:val="31"/>
        <w:spacing w:line="380" w:lineRule="exact"/>
        <w:ind w:firstLine="422" w:firstLineChars="200"/>
        <w:rPr>
          <w:rFonts w:hint="eastAsia" w:ascii="宋体" w:hAnsi="宋体" w:eastAsia="宋体" w:cs="宋体"/>
          <w:color w:val="auto"/>
          <w:sz w:val="21"/>
          <w:szCs w:val="21"/>
          <w:highlight w:val="none"/>
        </w:rPr>
      </w:pPr>
      <w:bookmarkStart w:id="356" w:name="_Toc497746784"/>
      <w:bookmarkStart w:id="357" w:name="_Toc418751799"/>
      <w:bookmarkStart w:id="358" w:name="_Toc256000183"/>
      <w:bookmarkStart w:id="359" w:name="_Toc497747181"/>
      <w:bookmarkStart w:id="360" w:name="_Toc26929"/>
      <w:bookmarkStart w:id="361" w:name="_Toc406522223"/>
      <w:bookmarkStart w:id="362" w:name="_Toc418752245"/>
      <w:bookmarkStart w:id="363" w:name="_Toc522201733"/>
      <w:r>
        <w:rPr>
          <w:rFonts w:hint="eastAsia" w:ascii="宋体" w:hAnsi="宋体" w:eastAsia="宋体" w:cs="宋体"/>
          <w:color w:val="auto"/>
          <w:sz w:val="21"/>
          <w:szCs w:val="21"/>
          <w:highlight w:val="none"/>
        </w:rPr>
        <w:t>2.2 发包人代表</w:t>
      </w:r>
      <w:bookmarkEnd w:id="356"/>
      <w:bookmarkEnd w:id="357"/>
      <w:bookmarkEnd w:id="358"/>
      <w:bookmarkEnd w:id="359"/>
      <w:bookmarkEnd w:id="360"/>
      <w:bookmarkEnd w:id="361"/>
      <w:bookmarkEnd w:id="362"/>
      <w:bookmarkEnd w:id="363"/>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发包人代表：</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发包人对发包人代表的授权范围如下：</w:t>
      </w:r>
      <w:r>
        <w:rPr>
          <w:rFonts w:hint="eastAsia" w:ascii="宋体" w:hAnsi="宋体" w:eastAsia="宋体" w:cs="宋体"/>
          <w:color w:val="auto"/>
          <w:sz w:val="21"/>
          <w:szCs w:val="21"/>
          <w:highlight w:val="none"/>
          <w:u w:val="single"/>
        </w:rPr>
        <w:t>对工程进度、质量进行监督、办理中间交工工程验收手续，负责现场签证，解决由发包人授权处理的事宜</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364" w:name="_Toc497747182"/>
      <w:bookmarkStart w:id="365" w:name="_Toc418751800"/>
      <w:bookmarkStart w:id="366" w:name="_Toc497746785"/>
      <w:bookmarkStart w:id="367" w:name="_Toc29460"/>
      <w:bookmarkStart w:id="368" w:name="_Toc406522224"/>
      <w:bookmarkStart w:id="369" w:name="_Toc522201734"/>
      <w:bookmarkStart w:id="370" w:name="_Toc256000184"/>
      <w:bookmarkStart w:id="371" w:name="_Toc418752246"/>
      <w:r>
        <w:rPr>
          <w:rFonts w:hint="eastAsia" w:ascii="宋体" w:hAnsi="宋体" w:eastAsia="宋体" w:cs="宋体"/>
          <w:color w:val="auto"/>
          <w:sz w:val="21"/>
          <w:szCs w:val="21"/>
          <w:highlight w:val="none"/>
        </w:rPr>
        <w:t>2.4 施工现场、施工条件和基础资料的提供</w:t>
      </w:r>
      <w:bookmarkEnd w:id="364"/>
      <w:bookmarkEnd w:id="365"/>
      <w:bookmarkEnd w:id="366"/>
      <w:bookmarkEnd w:id="367"/>
      <w:bookmarkEnd w:id="368"/>
      <w:bookmarkEnd w:id="369"/>
      <w:bookmarkEnd w:id="370"/>
      <w:bookmarkEnd w:id="371"/>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2.4.1 提供施工现场</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关于发包人移交施工现场的期限要求：</w:t>
      </w:r>
      <w:r>
        <w:rPr>
          <w:rFonts w:hint="eastAsia" w:ascii="宋体" w:hAnsi="宋体" w:eastAsia="宋体" w:cs="宋体"/>
          <w:color w:val="auto"/>
          <w:sz w:val="21"/>
          <w:szCs w:val="21"/>
          <w:highlight w:val="none"/>
          <w:u w:val="single"/>
        </w:rPr>
        <w:t xml:space="preserve"> 施工场地应当在监理人发出的开工通知中载明的开工日期前七天具备施工条件并移交给承包人，具体施工条件在施工合同中约定。发包人最迟应当在移交施工场地的同时向承包人提供施工场地内地下管线和地下设施等有关资料，并保证资料的真实、准确和完整</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2.4.2 提供施工条件</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关于发包人应负责提供施工所需要的条件，包括：</w:t>
      </w:r>
      <w:r>
        <w:rPr>
          <w:rFonts w:hint="eastAsia" w:ascii="宋体" w:hAnsi="宋体" w:eastAsia="宋体" w:cs="宋体"/>
          <w:color w:val="auto"/>
          <w:sz w:val="21"/>
          <w:szCs w:val="21"/>
          <w:highlight w:val="none"/>
          <w:u w:val="single"/>
        </w:rPr>
        <w:t>发包人可配合承包人办理开工所需手续及相关申请，费用由承包人自行解决，施工场地与公共道路的通道，由承包人负责实施，费用已包含在合同价中</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372" w:name="_Toc522201735"/>
      <w:bookmarkStart w:id="373" w:name="_Toc497746786"/>
      <w:bookmarkStart w:id="374" w:name="_Toc418751801"/>
      <w:bookmarkStart w:id="375" w:name="_Toc256000185"/>
      <w:bookmarkStart w:id="376" w:name="_Toc406522225"/>
      <w:bookmarkStart w:id="377" w:name="_Toc418752247"/>
      <w:bookmarkStart w:id="378" w:name="_Toc497747183"/>
      <w:bookmarkStart w:id="379" w:name="_Toc20872"/>
      <w:r>
        <w:rPr>
          <w:rFonts w:hint="eastAsia" w:ascii="宋体" w:hAnsi="宋体" w:eastAsia="宋体" w:cs="宋体"/>
          <w:color w:val="auto"/>
          <w:sz w:val="21"/>
          <w:szCs w:val="21"/>
          <w:highlight w:val="none"/>
        </w:rPr>
        <w:t>2.5 资金来源证明及支付担保</w:t>
      </w:r>
      <w:bookmarkEnd w:id="372"/>
      <w:bookmarkEnd w:id="373"/>
      <w:bookmarkEnd w:id="374"/>
      <w:bookmarkEnd w:id="375"/>
      <w:bookmarkEnd w:id="376"/>
      <w:bookmarkEnd w:id="377"/>
      <w:bookmarkEnd w:id="378"/>
      <w:bookmarkEnd w:id="379"/>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发包人提供资金来源证明的期限要求：</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发包人是否提供支付担保：</w:t>
      </w:r>
      <w:r>
        <w:rPr>
          <w:rFonts w:hint="eastAsia" w:ascii="宋体" w:hAnsi="宋体" w:eastAsia="宋体" w:cs="宋体"/>
          <w:color w:val="auto"/>
          <w:sz w:val="21"/>
          <w:szCs w:val="21"/>
          <w:highlight w:val="none"/>
          <w:u w:val="single"/>
        </w:rPr>
        <w:t xml:space="preserve">    否　　　   </w:t>
      </w:r>
      <w:r>
        <w:rPr>
          <w:rFonts w:hint="eastAsia" w:ascii="宋体" w:hAnsi="宋体" w:eastAsia="宋体" w:cs="宋体"/>
          <w:color w:val="auto"/>
          <w:sz w:val="21"/>
          <w:szCs w:val="21"/>
          <w:highlight w:val="none"/>
        </w:rPr>
        <w:t>。</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发包人提供支付担保的形式：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spacing w:line="380" w:lineRule="exact"/>
        <w:rPr>
          <w:rFonts w:hint="eastAsia" w:ascii="宋体" w:hAnsi="宋体" w:eastAsia="宋体" w:cs="宋体"/>
          <w:color w:val="auto"/>
          <w:sz w:val="21"/>
          <w:szCs w:val="21"/>
          <w:highlight w:val="none"/>
        </w:rPr>
      </w:pPr>
      <w:bookmarkStart w:id="380" w:name="_Toc418752248"/>
      <w:bookmarkStart w:id="381" w:name="_Toc3400"/>
      <w:bookmarkStart w:id="382" w:name="_Toc351203635"/>
      <w:bookmarkStart w:id="383" w:name="_Toc497746787"/>
      <w:bookmarkStart w:id="384" w:name="_Toc256000186"/>
      <w:bookmarkStart w:id="385" w:name="_Toc497747184"/>
      <w:bookmarkStart w:id="386" w:name="_Toc418751802"/>
      <w:bookmarkStart w:id="387" w:name="_Toc522201736"/>
      <w:bookmarkStart w:id="388" w:name="_Toc406522226"/>
      <w:r>
        <w:rPr>
          <w:rFonts w:hint="eastAsia" w:ascii="宋体" w:hAnsi="宋体" w:eastAsia="宋体" w:cs="宋体"/>
          <w:color w:val="auto"/>
          <w:sz w:val="21"/>
          <w:szCs w:val="21"/>
          <w:highlight w:val="none"/>
        </w:rPr>
        <w:t>3</w:t>
      </w:r>
      <w:bookmarkStart w:id="389" w:name="_Toc296503158"/>
      <w:bookmarkStart w:id="390" w:name="_Toc292559868"/>
      <w:bookmarkStart w:id="391" w:name="_Toc296346659"/>
      <w:bookmarkStart w:id="392" w:name="_Toc296347157"/>
      <w:bookmarkStart w:id="393" w:name="_Toc297048344"/>
      <w:bookmarkStart w:id="394" w:name="_Toc296891198"/>
      <w:bookmarkStart w:id="395" w:name="_Toc296944497"/>
      <w:bookmarkStart w:id="396" w:name="_Toc297120458"/>
      <w:bookmarkStart w:id="397" w:name="_Toc292559363"/>
      <w:bookmarkStart w:id="398" w:name="_Toc296890986"/>
      <w:r>
        <w:rPr>
          <w:rFonts w:hint="eastAsia" w:ascii="宋体" w:hAnsi="宋体" w:eastAsia="宋体" w:cs="宋体"/>
          <w:color w:val="auto"/>
          <w:sz w:val="21"/>
          <w:szCs w:val="21"/>
          <w:highlight w:val="none"/>
        </w:rPr>
        <w:t>. 承包人</w:t>
      </w:r>
      <w:bookmarkEnd w:id="380"/>
      <w:bookmarkEnd w:id="381"/>
      <w:bookmarkEnd w:id="382"/>
      <w:bookmarkEnd w:id="383"/>
      <w:bookmarkEnd w:id="384"/>
      <w:bookmarkEnd w:id="385"/>
      <w:bookmarkEnd w:id="386"/>
      <w:bookmarkEnd w:id="387"/>
      <w:bookmarkEnd w:id="388"/>
    </w:p>
    <w:bookmarkEnd w:id="389"/>
    <w:bookmarkEnd w:id="390"/>
    <w:bookmarkEnd w:id="391"/>
    <w:bookmarkEnd w:id="392"/>
    <w:bookmarkEnd w:id="393"/>
    <w:bookmarkEnd w:id="394"/>
    <w:bookmarkEnd w:id="395"/>
    <w:bookmarkEnd w:id="396"/>
    <w:bookmarkEnd w:id="397"/>
    <w:bookmarkEnd w:id="398"/>
    <w:p>
      <w:pPr>
        <w:pStyle w:val="31"/>
        <w:spacing w:line="380" w:lineRule="exact"/>
        <w:ind w:firstLine="422" w:firstLineChars="200"/>
        <w:rPr>
          <w:rFonts w:hint="eastAsia" w:ascii="宋体" w:hAnsi="宋体" w:eastAsia="宋体" w:cs="宋体"/>
          <w:color w:val="auto"/>
          <w:sz w:val="21"/>
          <w:szCs w:val="21"/>
          <w:highlight w:val="none"/>
        </w:rPr>
      </w:pPr>
      <w:bookmarkStart w:id="399" w:name="_Toc497746788"/>
      <w:bookmarkStart w:id="400" w:name="_Toc12900"/>
      <w:bookmarkStart w:id="401" w:name="_Toc522201737"/>
      <w:bookmarkStart w:id="402" w:name="_Toc418752249"/>
      <w:bookmarkStart w:id="403" w:name="_Toc497747185"/>
      <w:bookmarkStart w:id="404" w:name="_Toc256000187"/>
      <w:bookmarkStart w:id="405" w:name="_Toc418751803"/>
      <w:bookmarkStart w:id="406" w:name="_Toc406522227"/>
      <w:r>
        <w:rPr>
          <w:rFonts w:hint="eastAsia" w:ascii="宋体" w:hAnsi="宋体" w:eastAsia="宋体" w:cs="宋体"/>
          <w:color w:val="auto"/>
          <w:sz w:val="21"/>
          <w:szCs w:val="21"/>
          <w:highlight w:val="none"/>
        </w:rPr>
        <w:t>3.1 承包人的一般义务</w:t>
      </w:r>
      <w:bookmarkEnd w:id="399"/>
      <w:bookmarkEnd w:id="400"/>
      <w:bookmarkEnd w:id="401"/>
      <w:bookmarkEnd w:id="402"/>
      <w:bookmarkEnd w:id="403"/>
      <w:bookmarkEnd w:id="404"/>
      <w:bookmarkEnd w:id="405"/>
      <w:bookmarkEnd w:id="406"/>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（9）</w:t>
      </w:r>
      <w:r>
        <w:rPr>
          <w:rFonts w:hint="eastAsia" w:ascii="宋体" w:hAnsi="宋体" w:eastAsia="宋体" w:cs="宋体"/>
          <w:color w:val="auto"/>
          <w:sz w:val="21"/>
          <w:szCs w:val="21"/>
          <w:highlight w:val="none"/>
        </w:rPr>
        <w:t>承包人提交的竣工资料的内容：</w:t>
      </w:r>
      <w:r>
        <w:rPr>
          <w:rFonts w:hint="eastAsia" w:ascii="宋体" w:hAnsi="宋体" w:eastAsia="宋体" w:cs="宋体"/>
          <w:color w:val="auto"/>
          <w:sz w:val="21"/>
          <w:szCs w:val="21"/>
          <w:highlight w:val="none"/>
          <w:u w:val="single"/>
        </w:rPr>
        <w:t>工程具备竣工验收条件，承包人按工程竣工验收有关规定，向发包人提交符合《建设工程文件归档整理规范》内容装订成册的完整竣工资料及竣工验收报告、工程竣工图</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承包人需要提交的竣工资料套数：</w:t>
      </w:r>
      <w:r>
        <w:rPr>
          <w:rFonts w:hint="eastAsia" w:ascii="宋体" w:hAnsi="宋体" w:eastAsia="宋体" w:cs="宋体"/>
          <w:color w:val="auto"/>
          <w:sz w:val="21"/>
          <w:szCs w:val="21"/>
          <w:highlight w:val="none"/>
          <w:u w:val="single"/>
        </w:rPr>
        <w:t xml:space="preserve">  承包人向发包人提交竣工档案份数为一式四份；备案资料一式两份；建设工程质量监督档案一式两份  </w:t>
      </w:r>
      <w:r>
        <w:rPr>
          <w:rFonts w:hint="eastAsia" w:ascii="宋体" w:hAnsi="宋体" w:eastAsia="宋体" w:cs="宋体"/>
          <w:color w:val="auto"/>
          <w:sz w:val="21"/>
          <w:szCs w:val="21"/>
          <w:highlight w:val="none"/>
        </w:rPr>
        <w:t>。</w:t>
      </w:r>
    </w:p>
    <w:p>
      <w:pPr>
        <w:pStyle w:val="33"/>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承包人提交的竣工资料的费用承担：</w:t>
      </w:r>
      <w:r>
        <w:rPr>
          <w:rFonts w:hint="eastAsia" w:ascii="宋体" w:hAnsi="宋体" w:eastAsia="宋体" w:cs="宋体"/>
          <w:color w:val="auto"/>
          <w:sz w:val="21"/>
          <w:szCs w:val="21"/>
          <w:highlight w:val="none"/>
          <w:u w:val="single"/>
        </w:rPr>
        <w:t xml:space="preserve">  由承包人承担相关费用 </w:t>
      </w:r>
      <w:r>
        <w:rPr>
          <w:rFonts w:hint="eastAsia" w:ascii="宋体" w:hAnsi="宋体" w:eastAsia="宋体" w:cs="宋体"/>
          <w:color w:val="auto"/>
          <w:sz w:val="21"/>
          <w:szCs w:val="21"/>
          <w:highlight w:val="none"/>
        </w:rPr>
        <w:t>。</w:t>
      </w:r>
    </w:p>
    <w:p>
      <w:pPr>
        <w:pStyle w:val="33"/>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承包人提交的竣工资料移交时间：</w:t>
      </w:r>
      <w:r>
        <w:rPr>
          <w:rFonts w:hint="eastAsia" w:ascii="宋体" w:hAnsi="宋体" w:eastAsia="宋体" w:cs="宋体"/>
          <w:color w:val="auto"/>
          <w:sz w:val="21"/>
          <w:szCs w:val="21"/>
          <w:highlight w:val="none"/>
          <w:u w:val="single"/>
        </w:rPr>
        <w:t xml:space="preserve">  工程竣工验收合格后30天内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承包人提交的竣工资料形式要求：</w:t>
      </w:r>
      <w:r>
        <w:rPr>
          <w:rFonts w:hint="eastAsia" w:ascii="宋体" w:hAnsi="宋体" w:eastAsia="宋体" w:cs="宋体"/>
          <w:color w:val="auto"/>
          <w:sz w:val="21"/>
          <w:szCs w:val="21"/>
          <w:highlight w:val="none"/>
          <w:u w:val="single"/>
        </w:rPr>
        <w:t>竣工档案（竣工档案的内容：施工单位竣工验收文件、施工文件、竣工图（按城市建设档案馆要求整理，相关费用由承包人承担）、备案资料（应由承包人提供的部分按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住建局要求整理）、建设工程质量监督档案（应由承包人提供的部分按</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rPr>
        <w:t>建设工程质量监督管理站要求整理）</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（10）承包人应履行的其他义务：</w:t>
      </w:r>
      <w:r>
        <w:rPr>
          <w:rFonts w:hint="eastAsia" w:ascii="宋体" w:hAnsi="宋体" w:eastAsia="宋体" w:cs="宋体"/>
          <w:color w:val="auto"/>
          <w:sz w:val="21"/>
          <w:szCs w:val="21"/>
          <w:highlight w:val="none"/>
          <w:u w:val="single"/>
        </w:rPr>
        <w:t>①施工用水、用电按表计量，费用由承包人承担，由承包人指派专人配合发包人的计量工作，水费及电费按发包人要求进行交付；单位工程内其他单位用水、用电由承包人与相关用水、用电单位协商解决。②本工程在施工过程中如存在多个施工单位同时作业时，承包人必须顾全大局、相互协作、密切配合，严格服从发包人和监理单位的协调指挥；承包人须积极协调解决施工过程中存在的各类问题，处理好与相邻施工单位的施工接口关系，否则，发包人有权要求承包人整改或另行指定其他单位来完成相关配合工作，其发生的费用从承包人的工程进度款中扣除，且并不需要承包人同意。承包人应始终采取各种合理的预防措施，对于存在的问题及时反映，对于需要发包人协调解决的问题，要提前提出，否则，由此所造成的损失由承包人承担 。③承包人负责办理施工有关的交通特别通告证、有害污水、环卫、环保和噪音等审批手续，并承担费用，如因承包人未交纳相关费用，发包人有权从工程款中扣除用于支付相关费用并计入结算。承包人负责对施工场地内的化石、文物具有保护责任，</w:t>
      </w:r>
      <w:r>
        <w:rPr>
          <w:rFonts w:hint="eastAsia" w:ascii="宋体" w:hAnsi="宋体" w:eastAsia="宋体" w:cs="宋体"/>
          <w:color w:val="auto"/>
          <w:sz w:val="21"/>
          <w:szCs w:val="21"/>
          <w:highlight w:val="none"/>
          <w:u w:val="single"/>
          <w:lang w:val="en-US" w:eastAsia="zh-CN"/>
        </w:rPr>
        <w:t>采取的保护措施产生的费用由发包人</w:t>
      </w:r>
      <w:r>
        <w:rPr>
          <w:rFonts w:hint="eastAsia" w:ascii="宋体" w:hAnsi="宋体" w:eastAsia="宋体" w:cs="宋体"/>
          <w:color w:val="auto"/>
          <w:sz w:val="21"/>
          <w:szCs w:val="21"/>
          <w:highlight w:val="none"/>
          <w:u w:val="single"/>
        </w:rPr>
        <w:t>承担。承包人负责满足施工期间政府职能部门对工地消防设施有关要求，并承担相关费用。④承包人应负责协调解决本项目当地居民对工程施工的人为干扰，施工机械进出、材料运输如需通过村道及村民土地；承包人应当协调与施工现场周边农村及村民的关系，确保项目施工顺利进行</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如因施工原因造成损失，由承包人</w:t>
      </w:r>
      <w:r>
        <w:rPr>
          <w:rFonts w:hint="eastAsia" w:ascii="宋体" w:hAnsi="宋体" w:eastAsia="宋体" w:cs="宋体"/>
          <w:color w:val="auto"/>
          <w:sz w:val="21"/>
          <w:szCs w:val="21"/>
          <w:highlight w:val="none"/>
          <w:u w:val="single"/>
        </w:rPr>
        <w:t>承担相关费用，</w:t>
      </w:r>
      <w:r>
        <w:rPr>
          <w:rFonts w:hint="eastAsia" w:ascii="宋体" w:hAnsi="宋体" w:eastAsia="宋体" w:cs="宋体"/>
          <w:color w:val="auto"/>
          <w:sz w:val="21"/>
          <w:szCs w:val="21"/>
          <w:highlight w:val="none"/>
          <w:u w:val="single"/>
          <w:lang w:val="en-US" w:eastAsia="zh-CN"/>
        </w:rPr>
        <w:t>除此之外产生的费用，不由承包人承担</w:t>
      </w:r>
      <w:r>
        <w:rPr>
          <w:rFonts w:hint="eastAsia" w:ascii="宋体" w:hAnsi="宋体" w:eastAsia="宋体" w:cs="宋体"/>
          <w:color w:val="auto"/>
          <w:sz w:val="21"/>
          <w:szCs w:val="21"/>
          <w:highlight w:val="none"/>
          <w:u w:val="single"/>
        </w:rPr>
        <w:t>。⑤承包人应始终采取各种合理的预防措施，防止承包人员或其内部发生任何非法的、骚动的或无序的行为，以保持安定，保护现场及第三人的财产和人身安全。⑥为发包人和监理人在施工现场提供必要的办公室和办公桌椅等设备。⑦按建设行政主管部门有关规定配合发包人其他工程的施工等。⑧施工期间和施工完毕后，均应及时对施工场地和为其施工提供的公共道路进行保洁、维护以及维修，产生的垃圾和被破坏的场地，必须遵照监理人和发包人的指示进行清理、修复，并根据实际情况将场地恢复到原有状态，费用自理。⑨由于本工程施工现场为居民区，承包人应合理安排施工时间，确保做到不影响周边居民的正常生活，对居民的合理意见应积极整改，确保工程顺利进行。⑩配合发包人做好安全文明工程、领导检查、宣传等工作。以上相关费用均由承包人承担，并在投标报价清单中综合考虑，不再另计。⑪承包人在工程施工期间由于承包人原因引起的责任事故，全部由承包人承担经济责任和法律责任。⑫满足国家、行业、控制标准和验收规范，在质量管理过程中达到或超过质量标准，杜绝重大设备一般及以上质量事故，确保工程无永久性缺陷。</w:t>
      </w:r>
    </w:p>
    <w:p>
      <w:pPr>
        <w:pStyle w:val="31"/>
        <w:spacing w:line="380" w:lineRule="exact"/>
        <w:ind w:firstLine="422" w:firstLineChars="200"/>
        <w:rPr>
          <w:rFonts w:hint="eastAsia" w:ascii="宋体" w:hAnsi="宋体" w:eastAsia="宋体" w:cs="宋体"/>
          <w:color w:val="auto"/>
          <w:sz w:val="21"/>
          <w:szCs w:val="21"/>
          <w:highlight w:val="none"/>
        </w:rPr>
      </w:pPr>
      <w:bookmarkStart w:id="407" w:name="_Toc418752250"/>
      <w:bookmarkStart w:id="408" w:name="_Toc418518118"/>
      <w:bookmarkStart w:id="409" w:name="_Toc24807"/>
      <w:bookmarkStart w:id="410" w:name="_Toc389065274"/>
      <w:bookmarkStart w:id="411" w:name="_Toc418751804"/>
      <w:bookmarkStart w:id="412" w:name="_Toc418518354"/>
      <w:bookmarkStart w:id="413" w:name="_Toc418061319"/>
      <w:bookmarkStart w:id="414" w:name="_Toc256000188"/>
      <w:bookmarkStart w:id="415" w:name="_Toc497747186"/>
      <w:bookmarkStart w:id="416" w:name="_Toc373227708"/>
      <w:bookmarkStart w:id="417" w:name="_Toc403578942"/>
      <w:bookmarkStart w:id="418" w:name="_Toc497746789"/>
      <w:bookmarkStart w:id="419" w:name="_Toc373478355"/>
      <w:bookmarkStart w:id="420" w:name="_Toc522201738"/>
      <w:r>
        <w:rPr>
          <w:rFonts w:hint="eastAsia" w:ascii="宋体" w:hAnsi="宋体" w:eastAsia="宋体" w:cs="宋体"/>
          <w:color w:val="auto"/>
          <w:sz w:val="21"/>
          <w:szCs w:val="21"/>
          <w:highlight w:val="none"/>
        </w:rPr>
        <w:t>3.2 项目经理</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3.2.1 </w:t>
      </w:r>
      <w:r>
        <w:rPr>
          <w:rFonts w:hint="eastAsia" w:ascii="宋体" w:hAnsi="宋体" w:eastAsia="宋体" w:cs="宋体"/>
          <w:color w:val="auto"/>
          <w:sz w:val="21"/>
          <w:szCs w:val="21"/>
          <w:highlight w:val="none"/>
        </w:rPr>
        <w:t>项目经理：</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身份证号：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建造师执业资格等级：</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建造师注册证书号：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建造师执业印章号：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安全生产考核合格证书号：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承包人对项目经理的授权范围如下： </w:t>
      </w:r>
      <w:r>
        <w:rPr>
          <w:rFonts w:hint="eastAsia" w:ascii="宋体" w:hAnsi="宋体" w:eastAsia="宋体" w:cs="宋体"/>
          <w:color w:val="auto"/>
          <w:sz w:val="21"/>
          <w:szCs w:val="21"/>
          <w:highlight w:val="none"/>
          <w:u w:val="single"/>
        </w:rPr>
        <w:t>（1）对本工程的建设进行全面管理，行使合同约定的权利，履行合同约定的义务；（2）负责本工程的施工组织方案制定和施工组织设计；（3）负责本工程的劳动力组织和机械设备组织；（4）经发包人同意分包的专业工程，项目经理参与选择并使用具有相应资质的分包人； （5）合同约定由承包人采购的材料、工程设备，项目经理参与选择物资供应单位；（6）在授权范围内协调与项目有关的内、外部关系；（7）负责与发包人、监理人办理设计变更、现场签证等手续，及时办理本工程相关索赔；（8）负责签收发包人、监理人往来函件，承包人的要求、通知均应以书面形式由承包人项目经理签字并加盖承包人公司公章后递交发包人；（9）代表承包人接受监理工程师或发包人现场代表发出的指示和指令。但未经承包人盖章同意不得以承包人名义向外融资、 采购材料设备、 租用建筑周转材料、 雇佣劳动力、签订分包合同等从事一切为承包人设立义务或责任的行为</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关于项目经理每月在施工现场的时间要求：</w:t>
      </w:r>
      <w:r>
        <w:rPr>
          <w:rFonts w:hint="eastAsia" w:ascii="宋体" w:hAnsi="宋体" w:eastAsia="宋体" w:cs="宋体"/>
          <w:color w:val="auto"/>
          <w:sz w:val="21"/>
          <w:szCs w:val="21"/>
          <w:highlight w:val="none"/>
          <w:u w:val="single"/>
        </w:rPr>
        <w:t xml:space="preserve">  不少于22个工作日,若项目经理每月在岗时间少于22个工作日，发包人有权更换项目经理，由此造成的一切损失由承包人承担</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承包人未提交劳动合同，以及没有为项目经理缴纳社会保险证明的违约责任：</w:t>
      </w:r>
      <w:r>
        <w:rPr>
          <w:rFonts w:hint="eastAsia" w:ascii="宋体" w:hAnsi="宋体" w:eastAsia="宋体" w:cs="宋体"/>
          <w:color w:val="auto"/>
          <w:sz w:val="21"/>
          <w:szCs w:val="21"/>
          <w:highlight w:val="none"/>
          <w:u w:val="single"/>
        </w:rPr>
        <w:t>承包人不提交上述文件的，项目经理无权履行职责，发包人有权要求更换项目经理，由此增加的费用和延误的工期由承包人承担</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项目经理未经批准，擅自离开施工现场的违约责任：</w:t>
      </w:r>
      <w:r>
        <w:rPr>
          <w:rFonts w:hint="eastAsia" w:ascii="宋体" w:hAnsi="宋体" w:eastAsia="宋体" w:cs="宋体"/>
          <w:color w:val="auto"/>
          <w:sz w:val="21"/>
          <w:szCs w:val="21"/>
          <w:highlight w:val="none"/>
          <w:u w:val="single"/>
        </w:rPr>
        <w:t>项目经理每月在岗带班时间不得少于22天。未经发包人同意或正当理由，项目经理每月在岗带班时间少于22天的，少在岗带班一天，发包人有权处违约金 500元/日（人民币）</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3.2.3 承包人擅自更换项目经理的违约责任：</w:t>
      </w:r>
      <w:r>
        <w:rPr>
          <w:rFonts w:hint="eastAsia" w:ascii="宋体" w:hAnsi="宋体" w:eastAsia="宋体" w:cs="宋体"/>
          <w:color w:val="auto"/>
          <w:sz w:val="21"/>
          <w:szCs w:val="21"/>
          <w:highlight w:val="none"/>
          <w:u w:val="single"/>
        </w:rPr>
        <w:t>承包人项目经理必须与承包人投标时所承诺的人员一致，并在（开工日期）前到任。在监理人向承包人颁发（竣工证明材料名称）前，项目经理不得同时兼任其他任何项目的项目经理（符合桂建管﹝2013﹞17号和桂建管﹝2014﹞25号文除外）。未经发包人书面同意，承包人擅自更换项目经理的视为违约，违约金处10000元/人•次（人民币）</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3.2.4 承包人无正当理由拒绝更换项目经理的违约责任：</w:t>
      </w:r>
      <w:r>
        <w:rPr>
          <w:rFonts w:hint="eastAsia" w:ascii="宋体" w:hAnsi="宋体" w:eastAsia="宋体" w:cs="宋体"/>
          <w:color w:val="auto"/>
          <w:sz w:val="21"/>
          <w:szCs w:val="21"/>
          <w:highlight w:val="none"/>
          <w:u w:val="single"/>
        </w:rPr>
        <w:t>因承包人项目经理不称职，发包人要求调换而未及时调换的，视为承包人违约，必须向发包人交纳处罚金5000元/人•次（人民币）</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421" w:name="_Toc373478356"/>
      <w:bookmarkStart w:id="422" w:name="_Toc522201739"/>
      <w:bookmarkStart w:id="423" w:name="_Toc389065275"/>
      <w:bookmarkStart w:id="424" w:name="_Toc373227709"/>
      <w:bookmarkStart w:id="425" w:name="_Toc18179"/>
      <w:bookmarkStart w:id="426" w:name="_Toc418752251"/>
      <w:bookmarkStart w:id="427" w:name="_Toc418751805"/>
      <w:bookmarkStart w:id="428" w:name="_Toc418518355"/>
      <w:bookmarkStart w:id="429" w:name="_Toc418061320"/>
      <w:bookmarkStart w:id="430" w:name="_Toc256000189"/>
      <w:bookmarkStart w:id="431" w:name="_Toc497746790"/>
      <w:bookmarkStart w:id="432" w:name="_Toc418518119"/>
      <w:bookmarkStart w:id="433" w:name="_Toc403578943"/>
      <w:bookmarkStart w:id="434" w:name="_Toc497747187"/>
      <w:r>
        <w:rPr>
          <w:rFonts w:hint="eastAsia" w:ascii="宋体" w:hAnsi="宋体" w:eastAsia="宋体" w:cs="宋体"/>
          <w:color w:val="auto"/>
          <w:sz w:val="21"/>
          <w:szCs w:val="21"/>
          <w:highlight w:val="none"/>
        </w:rPr>
        <w:t>3.3 承包人人员</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3.3.1 承包人提交项目管理机构及施工现场管理人员安排报告（格式见合同附件6）的期限：</w:t>
      </w:r>
      <w:r>
        <w:rPr>
          <w:rFonts w:hint="eastAsia" w:ascii="宋体" w:hAnsi="宋体" w:eastAsia="宋体" w:cs="宋体"/>
          <w:color w:val="auto"/>
          <w:sz w:val="21"/>
          <w:szCs w:val="21"/>
          <w:highlight w:val="none"/>
          <w:u w:val="single"/>
        </w:rPr>
        <w:t>开工前7日内</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3.3.3 承包人无正当理由拒绝撤换主要施工管理人员的违约责任：</w:t>
      </w:r>
      <w:r>
        <w:rPr>
          <w:rFonts w:hint="eastAsia" w:ascii="宋体" w:hAnsi="宋体" w:eastAsia="宋体" w:cs="宋体"/>
          <w:color w:val="auto"/>
          <w:sz w:val="21"/>
          <w:szCs w:val="21"/>
          <w:highlight w:val="none"/>
          <w:u w:val="single"/>
        </w:rPr>
        <w:t>因承包人主要施工管理人员不称职，发包人要求调换而无正当理由拒绝撤换或未及时调换的，视为承包人违约，必须向发包人交纳处罚金，处罚标准：技术负责人3000元/人•次（人民币）；专业工程师1000元/人•次（人民币）</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3.3.4 承包人主要施工管理人员离开施工现场的批准要求：</w:t>
      </w:r>
      <w:r>
        <w:rPr>
          <w:rFonts w:hint="eastAsia" w:ascii="宋体" w:hAnsi="宋体" w:eastAsia="宋体" w:cs="宋体"/>
          <w:color w:val="auto"/>
          <w:sz w:val="21"/>
          <w:szCs w:val="21"/>
          <w:highlight w:val="none"/>
          <w:u w:val="single"/>
        </w:rPr>
        <w:t>经建设单位及监理单位批准同意后</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3.3.5 承包人擅自更换主要施工管理人员的违约责任：</w:t>
      </w:r>
      <w:r>
        <w:rPr>
          <w:rFonts w:hint="eastAsia" w:ascii="宋体" w:hAnsi="宋体" w:eastAsia="宋体" w:cs="宋体"/>
          <w:color w:val="auto"/>
          <w:sz w:val="21"/>
          <w:szCs w:val="21"/>
          <w:highlight w:val="none"/>
          <w:u w:val="single"/>
        </w:rPr>
        <w:t>项目技术负责人、专职安全员及其承诺的其它在场管理人员未经发包人书面同意不准擅自更换，擅自更换项目技术负责人处 3000元/人•次（人民币）违约金；擅自更换专职安全员处1000元/人•次（人民币）违约金；擅自更换其它在场管理人员处500元/人•次（人民币）违约金</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承包人主要施工管理人员擅自离开施工现场的违约责任：</w:t>
      </w:r>
      <w:r>
        <w:rPr>
          <w:rFonts w:hint="eastAsia" w:ascii="宋体" w:hAnsi="宋体" w:eastAsia="宋体" w:cs="宋体"/>
          <w:color w:val="auto"/>
          <w:sz w:val="21"/>
          <w:szCs w:val="21"/>
          <w:highlight w:val="none"/>
          <w:u w:val="single"/>
        </w:rPr>
        <w:t>未经发包人同意，项目技术负责人擅自离岗的，视为承包人违约，发包人有权处违约金500元/人•次（人民币）；未经发包人同意，专职安全员擅自离岗的，视为承包人违约，发包人有权处违约金500元/人•次（人民币）；其它在场管理人员擅自离岗的，视为承包人违约，发包人有权处违约金300元/人•次（人民币）</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435" w:name="_Toc418751806"/>
      <w:bookmarkStart w:id="436" w:name="_Toc389065276"/>
      <w:bookmarkStart w:id="437" w:name="_Toc418061321"/>
      <w:bookmarkStart w:id="438" w:name="_Toc522201740"/>
      <w:bookmarkStart w:id="439" w:name="_Toc373227710"/>
      <w:bookmarkStart w:id="440" w:name="_Toc418518356"/>
      <w:bookmarkStart w:id="441" w:name="_Toc256000190"/>
      <w:bookmarkStart w:id="442" w:name="_Toc497746791"/>
      <w:bookmarkStart w:id="443" w:name="_Toc373478357"/>
      <w:bookmarkStart w:id="444" w:name="_Toc403578944"/>
      <w:bookmarkStart w:id="445" w:name="_Toc418518120"/>
      <w:bookmarkStart w:id="446" w:name="_Toc497747188"/>
      <w:bookmarkStart w:id="447" w:name="_Toc7729"/>
      <w:bookmarkStart w:id="448" w:name="_Toc418752252"/>
      <w:r>
        <w:rPr>
          <w:rFonts w:hint="eastAsia" w:ascii="宋体" w:hAnsi="宋体" w:eastAsia="宋体" w:cs="宋体"/>
          <w:color w:val="auto"/>
          <w:sz w:val="21"/>
          <w:szCs w:val="21"/>
          <w:highlight w:val="none"/>
        </w:rPr>
        <w:t>3</w:t>
      </w:r>
      <w:bookmarkStart w:id="449" w:name="_Toc296944498"/>
      <w:bookmarkStart w:id="450" w:name="_Toc312677988"/>
      <w:bookmarkStart w:id="451" w:name="_Toc292559364"/>
      <w:bookmarkStart w:id="452" w:name="_Toc304295523"/>
      <w:bookmarkStart w:id="453" w:name="_Toc296890987"/>
      <w:bookmarkStart w:id="454" w:name="_Toc297216151"/>
      <w:bookmarkStart w:id="455" w:name="_Toc296346660"/>
      <w:bookmarkStart w:id="456" w:name="_Toc297120459"/>
      <w:bookmarkStart w:id="457" w:name="_Toc297048345"/>
      <w:bookmarkStart w:id="458" w:name="_Toc296347158"/>
      <w:bookmarkStart w:id="459" w:name="_Toc303539102"/>
      <w:bookmarkStart w:id="460" w:name="_Toc297123492"/>
      <w:bookmarkStart w:id="461" w:name="_Toc292559869"/>
      <w:bookmarkStart w:id="462" w:name="_Toc300934945"/>
      <w:bookmarkStart w:id="463" w:name="_Toc296891199"/>
      <w:bookmarkStart w:id="464" w:name="_Toc296503159"/>
      <w:r>
        <w:rPr>
          <w:rFonts w:hint="eastAsia" w:ascii="宋体" w:hAnsi="宋体" w:eastAsia="宋体" w:cs="宋体"/>
          <w:color w:val="auto"/>
          <w:sz w:val="21"/>
          <w:szCs w:val="21"/>
          <w:highlight w:val="none"/>
        </w:rPr>
        <w:t>.5 分包</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65" w:name="_Toc296346661"/>
      <w:bookmarkStart w:id="466" w:name="_Toc297216152"/>
      <w:bookmarkStart w:id="467" w:name="_Toc296347159"/>
      <w:bookmarkStart w:id="468" w:name="_Toc296503160"/>
      <w:bookmarkStart w:id="469" w:name="_Toc297120460"/>
      <w:bookmarkStart w:id="470" w:name="_Toc296891200"/>
      <w:bookmarkStart w:id="471" w:name="_Toc300934946"/>
      <w:bookmarkStart w:id="472" w:name="_Toc312677989"/>
      <w:bookmarkStart w:id="473" w:name="_Toc304295524"/>
      <w:bookmarkStart w:id="474" w:name="_Toc292559870"/>
      <w:bookmarkStart w:id="475" w:name="_Toc318581158"/>
      <w:bookmarkStart w:id="476" w:name="_Toc297048346"/>
      <w:bookmarkStart w:id="477" w:name="_Toc303539103"/>
      <w:bookmarkStart w:id="478" w:name="_Toc296890988"/>
      <w:bookmarkStart w:id="479" w:name="_Toc292559365"/>
      <w:bookmarkStart w:id="480" w:name="_Toc296944499"/>
      <w:bookmarkStart w:id="481" w:name="_Toc297123493"/>
      <w:r>
        <w:rPr>
          <w:rFonts w:hint="eastAsia" w:ascii="宋体" w:hAnsi="宋体" w:eastAsia="宋体" w:cs="宋体"/>
          <w:color w:val="auto"/>
          <w:sz w:val="21"/>
          <w:szCs w:val="21"/>
          <w:highlight w:val="none"/>
        </w:rPr>
        <w:t>.5.1 分包的一般约定</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禁止分包的工程包括：</w:t>
      </w:r>
      <w:r>
        <w:rPr>
          <w:rFonts w:hint="eastAsia" w:ascii="宋体" w:hAnsi="宋体" w:eastAsia="宋体" w:cs="宋体"/>
          <w:color w:val="auto"/>
          <w:sz w:val="21"/>
          <w:szCs w:val="21"/>
          <w:highlight w:val="none"/>
          <w:u w:val="single"/>
        </w:rPr>
        <w:t xml:space="preserve">除劳务工程外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主体结构、关键性工作的范围：</w:t>
      </w:r>
      <w:r>
        <w:rPr>
          <w:rFonts w:hint="eastAsia" w:ascii="宋体" w:hAnsi="宋体" w:eastAsia="宋体" w:cs="宋体"/>
          <w:color w:val="auto"/>
          <w:sz w:val="21"/>
          <w:szCs w:val="21"/>
          <w:highlight w:val="none"/>
          <w:u w:val="single"/>
        </w:rPr>
        <w:t xml:space="preserve">禁止分包  </w:t>
      </w:r>
      <w:r>
        <w:rPr>
          <w:rFonts w:hint="eastAsia" w:ascii="宋体" w:hAnsi="宋体" w:eastAsia="宋体" w:cs="宋体"/>
          <w:color w:val="auto"/>
          <w:sz w:val="21"/>
          <w:szCs w:val="21"/>
          <w:highlight w:val="none"/>
        </w:rPr>
        <w:t>。</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bookmarkStart w:id="482" w:name="_Toc318581159"/>
      <w:bookmarkStart w:id="483" w:name="_Toc312677990"/>
      <w:r>
        <w:rPr>
          <w:rFonts w:hint="eastAsia" w:ascii="宋体" w:hAnsi="宋体" w:eastAsia="宋体" w:cs="宋体"/>
          <w:color w:val="auto"/>
          <w:sz w:val="21"/>
          <w:szCs w:val="21"/>
          <w:highlight w:val="none"/>
        </w:rPr>
        <w:t>.5.2 分包的确定</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允许分包的专业工程包括：</w:t>
      </w:r>
      <w:r>
        <w:rPr>
          <w:rFonts w:hint="eastAsia" w:ascii="宋体" w:hAnsi="宋体" w:eastAsia="宋体" w:cs="宋体"/>
          <w:color w:val="auto"/>
          <w:sz w:val="21"/>
          <w:szCs w:val="21"/>
          <w:highlight w:val="none"/>
          <w:u w:val="single"/>
        </w:rPr>
        <w:t xml:space="preserve">劳务工程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其他关于分包的约定：</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1）除前款约定的分包内容外，经过发包人和监理人同意，承包人可以将其他非主体、非关键性工作分包给第三人，但分包人应当经过发包人和监理人审批。发包人和监理人有权拒绝承包人的分包请求和承包人选择的分包人。本项目分包人主要施工管理人员名单详见合同附件7。</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（2）在相关分包合同签订并报送有关建设行政主管部门备案后7天内，承包人应当将一份副本提交给监理人，承包人应保障分包工作不得再次分包。</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（3）未经承包人和监理人审批同意的分包工程和分包人，承包人有权拒绝验收分包工程和支付相应款项，由此引起的发包人费用增加和(或)延误的工期由发包人承担。</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3.5.4 分包合同价款 </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关于分包合同价款支付的约定：</w:t>
      </w:r>
      <w:r>
        <w:rPr>
          <w:rFonts w:hint="eastAsia" w:ascii="宋体" w:hAnsi="宋体" w:eastAsia="宋体" w:cs="宋体"/>
          <w:color w:val="auto"/>
          <w:sz w:val="21"/>
          <w:szCs w:val="21"/>
          <w:highlight w:val="none"/>
          <w:u w:val="single"/>
        </w:rPr>
        <w:t>分包工程价款由承包人与分包人（包括专业分包人）结算。发包人未经承包人同意不得以任何形式向分包人（包括专业分包人）支付相关分包合同项下的任何工程款项。因发包人未经承包人同意直接向分包人（包括专业分包人）支付相关分包合同项下的任何工程款项而影响承包人工作的，所造成的承包人费用增加和（或）延误的工期由发包人承担。</w:t>
      </w:r>
    </w:p>
    <w:bookmarkEnd w:id="482"/>
    <w:bookmarkEnd w:id="483"/>
    <w:p>
      <w:pPr>
        <w:pStyle w:val="31"/>
        <w:spacing w:line="380" w:lineRule="exact"/>
        <w:ind w:firstLine="422" w:firstLineChars="200"/>
        <w:rPr>
          <w:rFonts w:hint="eastAsia" w:ascii="宋体" w:hAnsi="宋体" w:eastAsia="宋体" w:cs="宋体"/>
          <w:color w:val="auto"/>
          <w:sz w:val="21"/>
          <w:szCs w:val="21"/>
          <w:highlight w:val="none"/>
        </w:rPr>
      </w:pPr>
      <w:bookmarkStart w:id="484" w:name="_Toc256000191"/>
      <w:bookmarkStart w:id="485" w:name="_Toc497746792"/>
      <w:bookmarkStart w:id="486" w:name="_Toc497747189"/>
      <w:bookmarkStart w:id="487" w:name="_Toc8402"/>
      <w:bookmarkStart w:id="488" w:name="_Toc418518121"/>
      <w:bookmarkStart w:id="489" w:name="_Toc418518357"/>
      <w:bookmarkStart w:id="490" w:name="_Toc418751807"/>
      <w:bookmarkStart w:id="491" w:name="_Toc418061322"/>
      <w:bookmarkStart w:id="492" w:name="_Toc373227711"/>
      <w:bookmarkStart w:id="493" w:name="_Toc418752253"/>
      <w:bookmarkStart w:id="494" w:name="_Toc522201741"/>
      <w:bookmarkStart w:id="495" w:name="_Toc373478358"/>
      <w:bookmarkStart w:id="496" w:name="_Toc389065277"/>
      <w:bookmarkStart w:id="497" w:name="_Toc403578945"/>
      <w:r>
        <w:rPr>
          <w:rFonts w:hint="eastAsia" w:ascii="宋体" w:hAnsi="宋体" w:eastAsia="宋体" w:cs="宋体"/>
          <w:color w:val="auto"/>
          <w:sz w:val="21"/>
          <w:szCs w:val="21"/>
          <w:highlight w:val="none"/>
        </w:rPr>
        <w:t>3.6 工程照管与成品、半成品保护</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承包人负责照管工程及工程相关的材料、工程设备的起始时间：</w:t>
      </w:r>
      <w:r>
        <w:rPr>
          <w:rFonts w:hint="eastAsia" w:ascii="宋体" w:hAnsi="宋体" w:eastAsia="宋体" w:cs="宋体"/>
          <w:color w:val="auto"/>
          <w:sz w:val="21"/>
          <w:szCs w:val="21"/>
          <w:highlight w:val="none"/>
          <w:u w:val="single"/>
        </w:rPr>
        <w:t>自发包人向承包人移交施工现场之日起，到颁发工程接收证书之日止</w:t>
      </w:r>
      <w:r>
        <w:rPr>
          <w:rFonts w:hint="eastAsia" w:ascii="宋体" w:hAnsi="宋体" w:eastAsia="宋体" w:cs="宋体"/>
          <w:color w:val="auto"/>
          <w:kern w:val="0"/>
          <w:sz w:val="21"/>
          <w:szCs w:val="21"/>
          <w:highlight w:val="none"/>
        </w:rPr>
        <w:t>。</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承包人负责照管工程及工程相关的材料、工程设备的范围：</w:t>
      </w:r>
      <w:r>
        <w:rPr>
          <w:rFonts w:hint="eastAsia" w:ascii="宋体" w:hAnsi="宋体" w:eastAsia="宋体" w:cs="宋体"/>
          <w:color w:val="auto"/>
          <w:sz w:val="21"/>
          <w:szCs w:val="21"/>
          <w:highlight w:val="none"/>
          <w:u w:val="single"/>
        </w:rPr>
        <w:t>除承包人自身承包范围内的材料、工程设备外，也有义务照管与本项目相关的由发包人另行发包的其他专业工程设备。并有义务避免因自身的原因造成对其他承包人的成品、半成品的损坏、污染</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498" w:name="_Toc389065278"/>
      <w:bookmarkStart w:id="499" w:name="_Toc373227712"/>
      <w:bookmarkStart w:id="500" w:name="_Toc373478359"/>
      <w:bookmarkStart w:id="501" w:name="_Toc497747190"/>
      <w:bookmarkStart w:id="502" w:name="_Toc497746793"/>
      <w:bookmarkStart w:id="503" w:name="_Toc418752254"/>
      <w:bookmarkStart w:id="504" w:name="_Toc418518358"/>
      <w:bookmarkStart w:id="505" w:name="_Toc403578946"/>
      <w:bookmarkStart w:id="506" w:name="_Toc522201742"/>
      <w:bookmarkStart w:id="507" w:name="_Toc418518122"/>
      <w:bookmarkStart w:id="508" w:name="_Toc418061323"/>
      <w:bookmarkStart w:id="509" w:name="_Toc418751808"/>
      <w:bookmarkStart w:id="510" w:name="_Toc256000192"/>
      <w:bookmarkStart w:id="511" w:name="_Toc21084"/>
      <w:r>
        <w:rPr>
          <w:rFonts w:hint="eastAsia" w:ascii="宋体" w:hAnsi="宋体" w:eastAsia="宋体" w:cs="宋体"/>
          <w:color w:val="auto"/>
          <w:sz w:val="21"/>
          <w:szCs w:val="21"/>
          <w:highlight w:val="none"/>
        </w:rPr>
        <w:t>3.7 履约</w:t>
      </w:r>
      <w:bookmarkEnd w:id="498"/>
      <w:bookmarkEnd w:id="499"/>
      <w:bookmarkEnd w:id="500"/>
      <w:bookmarkEnd w:id="501"/>
      <w:bookmarkEnd w:id="502"/>
      <w:bookmarkEnd w:id="503"/>
      <w:bookmarkEnd w:id="504"/>
      <w:bookmarkEnd w:id="505"/>
      <w:bookmarkEnd w:id="506"/>
      <w:bookmarkEnd w:id="507"/>
      <w:bookmarkEnd w:id="508"/>
      <w:bookmarkEnd w:id="509"/>
      <w:r>
        <w:rPr>
          <w:rFonts w:hint="eastAsia" w:ascii="宋体" w:hAnsi="宋体" w:eastAsia="宋体" w:cs="宋体"/>
          <w:color w:val="auto"/>
          <w:sz w:val="21"/>
          <w:szCs w:val="21"/>
          <w:highlight w:val="none"/>
        </w:rPr>
        <w:t>担保</w:t>
      </w:r>
      <w:bookmarkEnd w:id="510"/>
      <w:bookmarkEnd w:id="511"/>
    </w:p>
    <w:p>
      <w:pPr>
        <w:pStyle w:val="38"/>
        <w:spacing w:line="380" w:lineRule="exact"/>
        <w:rPr>
          <w:rFonts w:hint="eastAsia" w:ascii="宋体" w:hAnsi="宋体" w:eastAsia="宋体" w:cs="宋体"/>
          <w:color w:val="auto"/>
          <w:sz w:val="21"/>
          <w:szCs w:val="21"/>
          <w:highlight w:val="none"/>
        </w:rPr>
      </w:pPr>
      <w:bookmarkStart w:id="512" w:name="_Toc351203636"/>
      <w:bookmarkStart w:id="513" w:name="_Toc389065279"/>
      <w:bookmarkStart w:id="514" w:name="_Toc418061324"/>
      <w:bookmarkStart w:id="515" w:name="_Toc418752255"/>
      <w:bookmarkStart w:id="516" w:name="_Toc418751809"/>
      <w:bookmarkStart w:id="517" w:name="_Toc418518123"/>
      <w:bookmarkStart w:id="518" w:name="_Toc373478360"/>
      <w:bookmarkStart w:id="519" w:name="_Toc403578947"/>
      <w:bookmarkStart w:id="520" w:name="_Toc418518359"/>
      <w:bookmarkStart w:id="521" w:name="_Toc373227713"/>
      <w:r>
        <w:rPr>
          <w:rFonts w:hint="eastAsia" w:ascii="宋体" w:hAnsi="宋体" w:eastAsia="宋体" w:cs="宋体"/>
          <w:color w:val="auto"/>
          <w:sz w:val="21"/>
          <w:szCs w:val="21"/>
          <w:highlight w:val="none"/>
        </w:rPr>
        <w:t>承包人是否提供履约担保：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否</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承包人提供履约担保的形式、金额及期限的：</w:t>
      </w:r>
      <w:r>
        <w:rPr>
          <w:rFonts w:hint="eastAsia" w:ascii="宋体" w:hAnsi="宋体" w:eastAsia="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工程竣工验收合格并对验收发现的问题完成整改后的7个日历天内，</w:t>
      </w:r>
      <w:r>
        <w:rPr>
          <w:rFonts w:hint="eastAsia" w:ascii="宋体" w:hAnsi="宋体" w:eastAsia="宋体" w:cs="宋体"/>
          <w:color w:val="auto"/>
          <w:sz w:val="21"/>
          <w:szCs w:val="21"/>
          <w:highlight w:val="none"/>
        </w:rPr>
        <w:t>承包人可向发包人申请退还履约保证金。发包人应在收到申请之日起28个日历天内</w:t>
      </w:r>
      <w:r>
        <w:rPr>
          <w:rFonts w:hint="eastAsia" w:ascii="宋体" w:hAnsi="宋体" w:eastAsia="宋体" w:cs="宋体"/>
          <w:color w:val="auto"/>
          <w:kern w:val="0"/>
          <w:sz w:val="21"/>
          <w:szCs w:val="21"/>
          <w:highlight w:val="none"/>
        </w:rPr>
        <w:t>扣减承包人赔偿金和其他应从承包人扣回的款项后，</w:t>
      </w:r>
      <w:r>
        <w:rPr>
          <w:rFonts w:hint="eastAsia" w:ascii="宋体" w:hAnsi="宋体" w:eastAsia="宋体" w:cs="宋体"/>
          <w:color w:val="auto"/>
          <w:sz w:val="21"/>
          <w:szCs w:val="21"/>
          <w:highlight w:val="none"/>
        </w:rPr>
        <w:t>将履约保证金退还给承包人（无息）。</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签订合同前承包人必须按市财建（2018）73号文规定将农民工工资保障金存入帐户。工程竣工验收结算经审定后，按照规定程序，将农民工工资保障金没有使用或剩余的金额退还给承包人。</w:t>
      </w:r>
    </w:p>
    <w:p>
      <w:pPr>
        <w:pStyle w:val="31"/>
        <w:spacing w:line="380" w:lineRule="exact"/>
        <w:rPr>
          <w:rFonts w:hint="eastAsia" w:ascii="宋体" w:hAnsi="宋体" w:eastAsia="宋体" w:cs="宋体"/>
          <w:color w:val="auto"/>
          <w:sz w:val="21"/>
          <w:szCs w:val="21"/>
          <w:highlight w:val="none"/>
        </w:rPr>
      </w:pPr>
      <w:bookmarkStart w:id="522" w:name="_Toc497747191"/>
      <w:bookmarkStart w:id="523" w:name="_Toc497746794"/>
      <w:bookmarkStart w:id="524" w:name="_Toc23464"/>
      <w:bookmarkStart w:id="525" w:name="_Toc522201743"/>
      <w:bookmarkStart w:id="526" w:name="_Toc256000193"/>
      <w:r>
        <w:rPr>
          <w:rFonts w:hint="eastAsia" w:ascii="宋体" w:hAnsi="宋体" w:eastAsia="宋体" w:cs="宋体"/>
          <w:color w:val="auto"/>
          <w:sz w:val="21"/>
          <w:szCs w:val="21"/>
          <w:highlight w:val="none"/>
        </w:rPr>
        <w:t>4</w:t>
      </w:r>
      <w:bookmarkStart w:id="527" w:name="_Toc296503162"/>
      <w:bookmarkStart w:id="528" w:name="_Toc267251413"/>
      <w:bookmarkStart w:id="529" w:name="_Toc296890990"/>
      <w:bookmarkStart w:id="530" w:name="_Toc296944501"/>
      <w:bookmarkStart w:id="531" w:name="_Toc292559366"/>
      <w:bookmarkStart w:id="532" w:name="_Toc297048348"/>
      <w:bookmarkStart w:id="533" w:name="_Toc296346663"/>
      <w:bookmarkStart w:id="534" w:name="_Toc296347161"/>
      <w:bookmarkStart w:id="535" w:name="_Toc296891202"/>
      <w:bookmarkStart w:id="536" w:name="_Toc292559871"/>
      <w:bookmarkStart w:id="537" w:name="_Toc297120462"/>
      <w:r>
        <w:rPr>
          <w:rFonts w:hint="eastAsia" w:ascii="宋体" w:hAnsi="宋体" w:eastAsia="宋体" w:cs="宋体"/>
          <w:color w:val="auto"/>
          <w:sz w:val="21"/>
          <w:szCs w:val="21"/>
          <w:highlight w:val="none"/>
        </w:rPr>
        <w:t>. 监</w:t>
      </w:r>
      <w:bookmarkEnd w:id="527"/>
      <w:bookmarkEnd w:id="528"/>
      <w:bookmarkEnd w:id="529"/>
      <w:bookmarkEnd w:id="530"/>
      <w:bookmarkEnd w:id="531"/>
      <w:bookmarkEnd w:id="532"/>
      <w:bookmarkEnd w:id="533"/>
      <w:bookmarkEnd w:id="534"/>
      <w:bookmarkEnd w:id="535"/>
      <w:bookmarkEnd w:id="536"/>
      <w:bookmarkEnd w:id="537"/>
      <w:r>
        <w:rPr>
          <w:rFonts w:hint="eastAsia" w:ascii="宋体" w:hAnsi="宋体" w:eastAsia="宋体" w:cs="宋体"/>
          <w:color w:val="auto"/>
          <w:sz w:val="21"/>
          <w:szCs w:val="21"/>
          <w:highlight w:val="none"/>
        </w:rPr>
        <w:t>理人</w:t>
      </w:r>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pPr>
        <w:pStyle w:val="31"/>
        <w:spacing w:line="380" w:lineRule="exact"/>
        <w:ind w:firstLine="422" w:firstLineChars="200"/>
        <w:rPr>
          <w:rFonts w:hint="eastAsia" w:ascii="宋体" w:hAnsi="宋体" w:eastAsia="宋体" w:cs="宋体"/>
          <w:color w:val="auto"/>
          <w:sz w:val="21"/>
          <w:szCs w:val="21"/>
          <w:highlight w:val="none"/>
          <w:lang w:val="en-US" w:eastAsia="zh-CN"/>
        </w:rPr>
      </w:pPr>
      <w:bookmarkStart w:id="538" w:name="_Toc497746795"/>
      <w:bookmarkStart w:id="539" w:name="_Toc403578948"/>
      <w:bookmarkStart w:id="540" w:name="_Toc522201744"/>
      <w:bookmarkStart w:id="541" w:name="_Toc418751810"/>
      <w:bookmarkStart w:id="542" w:name="_Toc389065280"/>
      <w:bookmarkStart w:id="543" w:name="_Toc256000194"/>
      <w:bookmarkStart w:id="544" w:name="_Toc418518124"/>
      <w:bookmarkStart w:id="545" w:name="_Toc373478361"/>
      <w:bookmarkStart w:id="546" w:name="_Toc418752256"/>
      <w:bookmarkStart w:id="547" w:name="_Toc497747192"/>
      <w:bookmarkStart w:id="548" w:name="_Toc418061325"/>
      <w:bookmarkStart w:id="549" w:name="_Toc373227714"/>
      <w:bookmarkStart w:id="550" w:name="_Toc418518360"/>
      <w:bookmarkStart w:id="551" w:name="_Toc18295"/>
      <w:r>
        <w:rPr>
          <w:rFonts w:hint="eastAsia" w:ascii="宋体" w:hAnsi="宋体" w:eastAsia="宋体" w:cs="宋体"/>
          <w:color w:val="auto"/>
          <w:sz w:val="21"/>
          <w:szCs w:val="21"/>
          <w:highlight w:val="none"/>
        </w:rPr>
        <w:t>4.1 监理人的一般规定</w:t>
      </w:r>
      <w:bookmarkEnd w:id="538"/>
      <w:bookmarkEnd w:id="539"/>
      <w:bookmarkEnd w:id="540"/>
      <w:bookmarkEnd w:id="541"/>
      <w:bookmarkEnd w:id="542"/>
      <w:bookmarkEnd w:id="543"/>
      <w:bookmarkEnd w:id="544"/>
      <w:bookmarkEnd w:id="545"/>
      <w:bookmarkEnd w:id="546"/>
      <w:bookmarkEnd w:id="547"/>
      <w:bookmarkEnd w:id="548"/>
      <w:bookmarkEnd w:id="549"/>
      <w:bookmarkEnd w:id="550"/>
      <w:r>
        <w:rPr>
          <w:rFonts w:hint="eastAsia" w:ascii="宋体" w:hAnsi="宋体" w:eastAsia="宋体" w:cs="宋体"/>
          <w:color w:val="auto"/>
          <w:sz w:val="21"/>
          <w:szCs w:val="21"/>
          <w:highlight w:val="none"/>
          <w:lang w:val="en-US" w:eastAsia="zh-CN"/>
        </w:rPr>
        <w:t>(如有监理人）</w:t>
      </w:r>
      <w:bookmarkEnd w:id="551"/>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关于监理人的监理内容：</w:t>
      </w:r>
      <w:r>
        <w:rPr>
          <w:rFonts w:hint="eastAsia" w:ascii="宋体" w:hAnsi="宋体" w:eastAsia="宋体" w:cs="宋体"/>
          <w:color w:val="auto"/>
          <w:sz w:val="21"/>
          <w:szCs w:val="21"/>
          <w:highlight w:val="none"/>
          <w:u w:val="single"/>
        </w:rPr>
        <w:t xml:space="preserve"> 检查施工承包人工程质量，安全生产管理制度及组织机构人员资格；审查施工承包人员提交的施工进度计划及工程施工范围内所有内容。</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关于监理人的监理权限：</w:t>
      </w:r>
      <w:r>
        <w:rPr>
          <w:rFonts w:hint="eastAsia" w:ascii="宋体" w:hAnsi="宋体" w:eastAsia="宋体" w:cs="宋体"/>
          <w:color w:val="auto"/>
          <w:sz w:val="21"/>
          <w:szCs w:val="21"/>
          <w:highlight w:val="none"/>
          <w:u w:val="single"/>
        </w:rPr>
        <w:t>代表发包人对工程施工相关事项进行检查、查验、审核、验收，并签发相关指示，但监理人无权修改合同，且无权减轻或免除合同约定的承包人的任何责任与义务: 1、在发出施工进度计划和施工方案说明以及有关能引起工程费用实际增加（减少）或延长工期的指令前，应得到发包人的书面批准。2、监理工程师在向承包人发出有关技术规范的重大变更或有关变更合同条款的任何指令前均应获得发包人书面批准。3、工程实际竣工日期提前或超过工程承包合同规定的竣工期限的签证之前应得到发包人的书面批准。4、签证单监理只有证明权，无确认权。5、工程内容和材料变更确认应得到发包人的书面批准。不管通用合同条款如何约定，监理人履行须经发包人批准行使的权利时，应当向承包人出示其行使该权利已经取得发包人批准的文件或者其他合法有效的证明 。</w:t>
      </w:r>
      <w:r>
        <w:rPr>
          <w:rFonts w:hint="eastAsia" w:ascii="宋体" w:hAnsi="宋体" w:eastAsia="宋体" w:cs="宋体"/>
          <w:color w:val="auto"/>
          <w:sz w:val="21"/>
          <w:szCs w:val="21"/>
          <w:highlight w:val="none"/>
        </w:rPr>
        <w:t xml:space="preserve">  </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关于监理人在施工现场的办公场所、生活场所的提供和费用承担的约定：</w:t>
      </w:r>
      <w:r>
        <w:rPr>
          <w:rFonts w:hint="eastAsia" w:ascii="宋体" w:hAnsi="宋体" w:eastAsia="宋体" w:cs="宋体"/>
          <w:color w:val="auto"/>
          <w:sz w:val="21"/>
          <w:szCs w:val="21"/>
          <w:highlight w:val="none"/>
          <w:u w:val="single"/>
        </w:rPr>
        <w:t>由承包人为发包人、监理单位免费提供三间办公室并承担相关费用</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552" w:name="_Toc522201745"/>
      <w:bookmarkStart w:id="553" w:name="_Toc418518125"/>
      <w:bookmarkStart w:id="554" w:name="_Toc418518361"/>
      <w:bookmarkStart w:id="555" w:name="_Toc256000195"/>
      <w:bookmarkStart w:id="556" w:name="_Toc497747193"/>
      <w:bookmarkStart w:id="557" w:name="_Toc418752257"/>
      <w:bookmarkStart w:id="558" w:name="_Toc373227715"/>
      <w:bookmarkStart w:id="559" w:name="_Toc389065281"/>
      <w:bookmarkStart w:id="560" w:name="_Toc497746796"/>
      <w:bookmarkStart w:id="561" w:name="_Toc418061326"/>
      <w:bookmarkStart w:id="562" w:name="_Toc373478362"/>
      <w:bookmarkStart w:id="563" w:name="_Toc418751811"/>
      <w:bookmarkStart w:id="564" w:name="_Toc403578949"/>
      <w:bookmarkStart w:id="565" w:name="_Toc2209"/>
      <w:r>
        <w:rPr>
          <w:rFonts w:hint="eastAsia" w:ascii="宋体" w:hAnsi="宋体" w:eastAsia="宋体" w:cs="宋体"/>
          <w:color w:val="auto"/>
          <w:sz w:val="21"/>
          <w:szCs w:val="21"/>
          <w:highlight w:val="none"/>
        </w:rPr>
        <w:t>4.2 监理人员</w:t>
      </w:r>
      <w:bookmarkEnd w:id="552"/>
      <w:bookmarkEnd w:id="553"/>
      <w:bookmarkEnd w:id="554"/>
      <w:bookmarkEnd w:id="555"/>
      <w:bookmarkEnd w:id="556"/>
      <w:bookmarkEnd w:id="557"/>
      <w:bookmarkEnd w:id="558"/>
      <w:bookmarkEnd w:id="559"/>
      <w:bookmarkEnd w:id="560"/>
      <w:bookmarkEnd w:id="561"/>
      <w:bookmarkEnd w:id="562"/>
      <w:bookmarkEnd w:id="563"/>
      <w:bookmarkEnd w:id="564"/>
      <w:r>
        <w:rPr>
          <w:rFonts w:hint="eastAsia" w:ascii="宋体" w:hAnsi="宋体" w:eastAsia="宋体" w:cs="宋体"/>
          <w:color w:val="auto"/>
          <w:sz w:val="21"/>
          <w:szCs w:val="21"/>
          <w:highlight w:val="none"/>
          <w:lang w:val="en-US" w:eastAsia="zh-CN"/>
        </w:rPr>
        <w:t>(如有监理人）</w:t>
      </w:r>
      <w:bookmarkEnd w:id="565"/>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总监理工程师：</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监理工程师执业资格证书号：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联系电话：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电子信箱：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3"/>
        <w:spacing w:line="380" w:lineRule="exact"/>
        <w:ind w:firstLine="420" w:firstLineChars="200"/>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rPr>
        <w:t>通信地址：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关于监理人的其他约定：</w:t>
      </w:r>
      <w:r>
        <w:rPr>
          <w:rFonts w:hint="eastAsia" w:ascii="宋体" w:hAnsi="宋体" w:eastAsia="宋体" w:cs="宋体"/>
          <w:color w:val="auto"/>
          <w:sz w:val="21"/>
          <w:szCs w:val="21"/>
          <w:highlight w:val="none"/>
          <w:u w:val="single"/>
        </w:rPr>
        <w:t xml:space="preserve"> 见监理合同</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566" w:name="_Toc418061327"/>
      <w:bookmarkStart w:id="567" w:name="_Toc389065282"/>
      <w:bookmarkStart w:id="568" w:name="_Toc403578950"/>
      <w:bookmarkStart w:id="569" w:name="_Toc418518362"/>
      <w:bookmarkStart w:id="570" w:name="_Toc373227716"/>
      <w:bookmarkStart w:id="571" w:name="_Toc418752258"/>
      <w:bookmarkStart w:id="572" w:name="_Toc522201746"/>
      <w:bookmarkStart w:id="573" w:name="_Toc497746797"/>
      <w:bookmarkStart w:id="574" w:name="_Toc256000196"/>
      <w:bookmarkStart w:id="575" w:name="_Toc497747194"/>
      <w:bookmarkStart w:id="576" w:name="_Toc373478363"/>
      <w:bookmarkStart w:id="577" w:name="_Toc9296"/>
      <w:bookmarkStart w:id="578" w:name="_Toc418751812"/>
      <w:bookmarkStart w:id="579" w:name="_Toc418518126"/>
      <w:r>
        <w:rPr>
          <w:rFonts w:hint="eastAsia" w:ascii="宋体" w:hAnsi="宋体" w:eastAsia="宋体" w:cs="宋体"/>
          <w:color w:val="auto"/>
          <w:sz w:val="21"/>
          <w:szCs w:val="21"/>
          <w:highlight w:val="none"/>
        </w:rPr>
        <w:t>4.4 商定或确定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pPr>
        <w:pStyle w:val="33"/>
        <w:spacing w:line="380" w:lineRule="exact"/>
        <w:ind w:firstLine="420" w:firstLineChars="200"/>
        <w:rPr>
          <w:rFonts w:hint="eastAsia" w:ascii="宋体" w:hAnsi="宋体" w:eastAsia="宋体" w:cs="宋体"/>
          <w:color w:val="auto"/>
          <w:sz w:val="21"/>
          <w:szCs w:val="21"/>
          <w:highlight w:val="none"/>
        </w:rPr>
      </w:pPr>
      <w:bookmarkStart w:id="580" w:name="_Toc267251418"/>
      <w:r>
        <w:rPr>
          <w:rFonts w:hint="eastAsia" w:ascii="宋体" w:hAnsi="宋体" w:eastAsia="宋体" w:cs="宋体"/>
          <w:color w:val="auto"/>
          <w:sz w:val="21"/>
          <w:szCs w:val="21"/>
          <w:highlight w:val="none"/>
        </w:rPr>
        <w:t>在发包人和承包人不能通过协商达成一致意见时，发包人授权监理人对以下事项进行确定：</w:t>
      </w:r>
      <w:r>
        <w:rPr>
          <w:rFonts w:hint="eastAsia" w:ascii="宋体" w:hAnsi="宋体" w:eastAsia="宋体" w:cs="宋体"/>
          <w:color w:val="auto"/>
          <w:kern w:val="0"/>
          <w:sz w:val="21"/>
          <w:szCs w:val="21"/>
          <w:highlight w:val="none"/>
          <w:u w:val="single"/>
        </w:rPr>
        <w:t>无</w:t>
      </w:r>
      <w:r>
        <w:rPr>
          <w:rFonts w:hint="eastAsia" w:ascii="宋体" w:hAnsi="宋体" w:eastAsia="宋体" w:cs="宋体"/>
          <w:color w:val="auto"/>
          <w:sz w:val="21"/>
          <w:szCs w:val="21"/>
          <w:highlight w:val="none"/>
        </w:rPr>
        <w:t>；</w:t>
      </w:r>
    </w:p>
    <w:p>
      <w:pPr>
        <w:pStyle w:val="31"/>
        <w:spacing w:line="380" w:lineRule="exact"/>
        <w:rPr>
          <w:rFonts w:hint="eastAsia" w:ascii="宋体" w:hAnsi="宋体" w:eastAsia="宋体" w:cs="宋体"/>
          <w:color w:val="auto"/>
          <w:sz w:val="21"/>
          <w:szCs w:val="21"/>
          <w:highlight w:val="none"/>
        </w:rPr>
      </w:pPr>
      <w:bookmarkStart w:id="581" w:name="_Toc373478364"/>
      <w:bookmarkStart w:id="582" w:name="_Toc418518127"/>
      <w:bookmarkStart w:id="583" w:name="_Toc373227717"/>
      <w:bookmarkStart w:id="584" w:name="_Toc522201747"/>
      <w:bookmarkStart w:id="585" w:name="_Toc389065283"/>
      <w:bookmarkStart w:id="586" w:name="_Toc418752259"/>
      <w:bookmarkStart w:id="587" w:name="_Toc497746798"/>
      <w:bookmarkStart w:id="588" w:name="_Toc497747195"/>
      <w:bookmarkStart w:id="589" w:name="_Toc403578951"/>
      <w:bookmarkStart w:id="590" w:name="_Toc418061328"/>
      <w:bookmarkStart w:id="591" w:name="_Toc11502"/>
      <w:bookmarkStart w:id="592" w:name="_Toc418518363"/>
      <w:bookmarkStart w:id="593" w:name="_Toc256000197"/>
      <w:bookmarkStart w:id="594" w:name="_Toc418751813"/>
      <w:bookmarkStart w:id="595" w:name="_Toc351203637"/>
      <w:r>
        <w:rPr>
          <w:rFonts w:hint="eastAsia" w:ascii="宋体" w:hAnsi="宋体" w:eastAsia="宋体" w:cs="宋体"/>
          <w:color w:val="auto"/>
          <w:sz w:val="21"/>
          <w:szCs w:val="21"/>
          <w:highlight w:val="none"/>
        </w:rPr>
        <w:t>5</w:t>
      </w:r>
      <w:bookmarkEnd w:id="580"/>
      <w:bookmarkStart w:id="596" w:name="_Toc297120463"/>
      <w:bookmarkStart w:id="597" w:name="_Toc292559367"/>
      <w:bookmarkStart w:id="598" w:name="_Toc292559872"/>
      <w:bookmarkStart w:id="599" w:name="_Toc296347162"/>
      <w:bookmarkStart w:id="600" w:name="_Toc296890991"/>
      <w:bookmarkStart w:id="601" w:name="_Toc296944502"/>
      <w:bookmarkStart w:id="602" w:name="_Toc296503163"/>
      <w:bookmarkStart w:id="603" w:name="_Toc296346664"/>
      <w:bookmarkStart w:id="604" w:name="_Toc296891203"/>
      <w:bookmarkStart w:id="605" w:name="_Toc297048349"/>
      <w:r>
        <w:rPr>
          <w:rFonts w:hint="eastAsia" w:ascii="宋体" w:hAnsi="宋体" w:eastAsia="宋体" w:cs="宋体"/>
          <w:color w:val="auto"/>
          <w:sz w:val="21"/>
          <w:szCs w:val="21"/>
          <w:highlight w:val="none"/>
        </w:rPr>
        <w:t>. 工程质量</w:t>
      </w:r>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pPr>
        <w:pStyle w:val="31"/>
        <w:spacing w:line="380" w:lineRule="exact"/>
        <w:ind w:firstLine="422" w:firstLineChars="200"/>
        <w:rPr>
          <w:rFonts w:hint="eastAsia" w:ascii="宋体" w:hAnsi="宋体" w:eastAsia="宋体" w:cs="宋体"/>
          <w:color w:val="auto"/>
          <w:sz w:val="21"/>
          <w:szCs w:val="21"/>
          <w:highlight w:val="none"/>
        </w:rPr>
      </w:pPr>
      <w:bookmarkStart w:id="606" w:name="_Toc21637"/>
      <w:bookmarkStart w:id="607" w:name="_Toc418518128"/>
      <w:bookmarkStart w:id="608" w:name="_Toc497746799"/>
      <w:bookmarkStart w:id="609" w:name="_Toc389065284"/>
      <w:bookmarkStart w:id="610" w:name="_Toc418061329"/>
      <w:bookmarkStart w:id="611" w:name="_Toc256000198"/>
      <w:bookmarkStart w:id="612" w:name="_Toc418518364"/>
      <w:bookmarkStart w:id="613" w:name="_Toc418751814"/>
      <w:bookmarkStart w:id="614" w:name="_Toc373227718"/>
      <w:bookmarkStart w:id="615" w:name="_Toc497747196"/>
      <w:bookmarkStart w:id="616" w:name="_Toc403578952"/>
      <w:bookmarkStart w:id="617" w:name="_Toc522201748"/>
      <w:bookmarkStart w:id="618" w:name="_Toc373478365"/>
      <w:bookmarkStart w:id="619" w:name="_Toc418752260"/>
      <w:r>
        <w:rPr>
          <w:rFonts w:hint="eastAsia" w:ascii="宋体" w:hAnsi="宋体" w:eastAsia="宋体" w:cs="宋体"/>
          <w:color w:val="auto"/>
          <w:sz w:val="21"/>
          <w:szCs w:val="21"/>
          <w:highlight w:val="none"/>
        </w:rPr>
        <w:t>5.1 质量要求</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5</w:t>
      </w:r>
      <w:bookmarkStart w:id="620" w:name="_Toc318581164"/>
      <w:bookmarkStart w:id="621" w:name="_Toc297123496"/>
      <w:bookmarkStart w:id="622" w:name="_Toc303539106"/>
      <w:bookmarkStart w:id="623" w:name="_Toc297216155"/>
      <w:bookmarkStart w:id="624" w:name="_Toc312677997"/>
      <w:bookmarkStart w:id="625" w:name="_Toc300934949"/>
      <w:bookmarkStart w:id="626" w:name="_Toc304295527"/>
      <w:r>
        <w:rPr>
          <w:rFonts w:hint="eastAsia" w:ascii="宋体" w:hAnsi="宋体" w:eastAsia="宋体" w:cs="宋体"/>
          <w:color w:val="auto"/>
          <w:sz w:val="21"/>
          <w:szCs w:val="21"/>
          <w:highlight w:val="none"/>
        </w:rPr>
        <w:t>.1.1 特殊质量标准和要求：</w:t>
      </w:r>
      <w:r>
        <w:rPr>
          <w:rFonts w:hint="eastAsia" w:ascii="宋体" w:hAnsi="宋体" w:eastAsia="宋体" w:cs="宋体"/>
          <w:color w:val="auto"/>
          <w:sz w:val="21"/>
          <w:szCs w:val="21"/>
          <w:highlight w:val="none"/>
          <w:u w:val="single"/>
        </w:rPr>
        <w:t xml:space="preserve"> 工程质量达到国家验收合格标准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关于工程奖项的约定：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5.3 隐蔽工程检查</w:t>
      </w:r>
    </w:p>
    <w:p>
      <w:pPr>
        <w:pStyle w:val="33"/>
        <w:spacing w:line="38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5.3.2承包人提前通知监理人隐蔽工程检查的期限的约定：</w:t>
      </w:r>
      <w:r>
        <w:rPr>
          <w:rFonts w:hint="eastAsia" w:ascii="宋体" w:hAnsi="宋体" w:eastAsia="宋体" w:cs="宋体"/>
          <w:color w:val="auto"/>
          <w:kern w:val="0"/>
          <w:sz w:val="21"/>
          <w:szCs w:val="21"/>
          <w:highlight w:val="none"/>
          <w:u w:val="single"/>
        </w:rPr>
        <w:t>任何部位的隐蔽工程需要覆盖或隐蔽前，承包人均应提前 48 小时通知发包人、监理工程师和质量监督站进行中间验收并拍照，没有发包人、监理工程师和质量监督站的批准，均不得隐蔽或验收。对相关单位所提出涉及工程质量、安全管理等存在问题时，必须进行整改，承包人应在监理人及相关人员指示的时间内修正返工后，由监理人及相关人员重新检查。否则发包人按规定有权进行经济处罚</w:t>
      </w:r>
      <w:r>
        <w:rPr>
          <w:rFonts w:hint="eastAsia" w:ascii="宋体" w:hAnsi="宋体" w:eastAsia="宋体" w:cs="宋体"/>
          <w:bCs/>
          <w:color w:val="auto"/>
          <w:sz w:val="21"/>
          <w:szCs w:val="21"/>
          <w:highlight w:val="none"/>
          <w:u w:val="singl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监理人不能按时进行检查时，应提前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31"/>
        <w:spacing w:line="380" w:lineRule="exact"/>
        <w:rPr>
          <w:rFonts w:hint="eastAsia" w:ascii="宋体" w:hAnsi="宋体" w:eastAsia="宋体" w:cs="宋体"/>
          <w:color w:val="auto"/>
          <w:sz w:val="21"/>
          <w:szCs w:val="21"/>
          <w:highlight w:val="none"/>
        </w:rPr>
      </w:pPr>
      <w:bookmarkStart w:id="627" w:name="_Toc256000199"/>
      <w:bookmarkStart w:id="628" w:name="_Toc373227719"/>
      <w:bookmarkStart w:id="629" w:name="_Toc351203638"/>
      <w:bookmarkStart w:id="630" w:name="_Toc373478366"/>
      <w:bookmarkStart w:id="631" w:name="_Toc418752261"/>
      <w:bookmarkStart w:id="632" w:name="_Toc497747197"/>
      <w:bookmarkStart w:id="633" w:name="_Toc403578953"/>
      <w:bookmarkStart w:id="634" w:name="_Toc497746800"/>
      <w:bookmarkStart w:id="635" w:name="_Toc418518365"/>
      <w:bookmarkStart w:id="636" w:name="_Toc418061330"/>
      <w:bookmarkStart w:id="637" w:name="_Toc418751815"/>
      <w:bookmarkStart w:id="638" w:name="_Toc23581"/>
      <w:bookmarkStart w:id="639" w:name="_Toc418518129"/>
      <w:bookmarkStart w:id="640" w:name="_Toc389065285"/>
      <w:bookmarkStart w:id="641" w:name="_Toc522201749"/>
      <w:r>
        <w:rPr>
          <w:rFonts w:hint="eastAsia" w:ascii="宋体" w:hAnsi="宋体" w:eastAsia="宋体" w:cs="宋体"/>
          <w:color w:val="auto"/>
          <w:sz w:val="21"/>
          <w:szCs w:val="21"/>
          <w:highlight w:val="none"/>
        </w:rPr>
        <w:t>6. 安全文明施工与环境保护</w:t>
      </w:r>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p>
    <w:p>
      <w:pPr>
        <w:pStyle w:val="31"/>
        <w:spacing w:line="380" w:lineRule="exact"/>
        <w:ind w:firstLine="422" w:firstLineChars="200"/>
        <w:rPr>
          <w:rFonts w:hint="eastAsia" w:ascii="宋体" w:hAnsi="宋体" w:eastAsia="宋体" w:cs="宋体"/>
          <w:color w:val="auto"/>
          <w:sz w:val="21"/>
          <w:szCs w:val="21"/>
          <w:highlight w:val="none"/>
        </w:rPr>
      </w:pPr>
      <w:bookmarkStart w:id="642" w:name="_Toc256000200"/>
      <w:bookmarkStart w:id="643" w:name="_Toc403578954"/>
      <w:bookmarkStart w:id="644" w:name="_Toc522201750"/>
      <w:bookmarkStart w:id="645" w:name="_Toc16942"/>
      <w:bookmarkStart w:id="646" w:name="_Toc389065286"/>
      <w:bookmarkStart w:id="647" w:name="_Toc418752262"/>
      <w:bookmarkStart w:id="648" w:name="_Toc418518130"/>
      <w:bookmarkStart w:id="649" w:name="_Toc497746801"/>
      <w:bookmarkStart w:id="650" w:name="_Toc418751816"/>
      <w:bookmarkStart w:id="651" w:name="_Toc418061331"/>
      <w:bookmarkStart w:id="652" w:name="_Toc373227720"/>
      <w:bookmarkStart w:id="653" w:name="_Toc497747198"/>
      <w:bookmarkStart w:id="654" w:name="_Toc418518366"/>
      <w:bookmarkStart w:id="655" w:name="_Toc373478367"/>
      <w:r>
        <w:rPr>
          <w:rFonts w:hint="eastAsia" w:ascii="宋体" w:hAnsi="宋体" w:eastAsia="宋体" w:cs="宋体"/>
          <w:color w:val="auto"/>
          <w:sz w:val="21"/>
          <w:szCs w:val="21"/>
          <w:highlight w:val="none"/>
        </w:rPr>
        <w:t>6.1 安全文明施工</w:t>
      </w:r>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6.1.1 项目安全生产的达标目标及相应事项的约定：</w:t>
      </w:r>
      <w:r>
        <w:rPr>
          <w:rFonts w:hint="eastAsia" w:ascii="宋体" w:hAnsi="宋体" w:eastAsia="宋体" w:cs="宋体"/>
          <w:color w:val="auto"/>
          <w:sz w:val="21"/>
          <w:szCs w:val="21"/>
          <w:highlight w:val="none"/>
          <w:u w:val="single"/>
        </w:rPr>
        <w:t xml:space="preserve"> 按照国家及地方安全文明施工的有关规定执行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关于安全文明施工奖项的约定：</w:t>
      </w:r>
      <w:r>
        <w:rPr>
          <w:rFonts w:hint="eastAsia" w:ascii="宋体" w:hAnsi="宋体" w:eastAsia="宋体" w:cs="宋体"/>
          <w:color w:val="auto"/>
          <w:sz w:val="21"/>
          <w:szCs w:val="21"/>
          <w:highlight w:val="none"/>
          <w:u w:val="single"/>
        </w:rPr>
        <w:t xml:space="preserve">  承包人应当负责统一管理施工场地的治安保卫事项，履行合同工程的治安保卫职责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6.1.4 关于治安保卫的特别约定：</w:t>
      </w:r>
      <w:r>
        <w:rPr>
          <w:rFonts w:hint="eastAsia" w:ascii="宋体" w:hAnsi="宋体" w:eastAsia="宋体" w:cs="宋体"/>
          <w:color w:val="auto"/>
          <w:sz w:val="21"/>
          <w:szCs w:val="21"/>
          <w:highlight w:val="none"/>
          <w:u w:val="single"/>
        </w:rPr>
        <w:t>承包人应承担施工安全保卫工作及非夜间施工照明的责任，承包人应采取一切合理的预防措施，防止人员伤亡、财产损失事故，</w:t>
      </w:r>
      <w:r>
        <w:rPr>
          <w:rFonts w:hint="eastAsia" w:ascii="宋体" w:hAnsi="宋体" w:eastAsia="宋体" w:cs="宋体"/>
          <w:color w:val="auto"/>
          <w:sz w:val="21"/>
          <w:szCs w:val="21"/>
          <w:highlight w:val="none"/>
          <w:u w:val="single"/>
          <w:lang w:val="en-US" w:eastAsia="zh-CN"/>
        </w:rPr>
        <w:t>由承包人造成损失的，</w:t>
      </w:r>
      <w:r>
        <w:rPr>
          <w:rFonts w:hint="eastAsia" w:ascii="宋体" w:hAnsi="宋体" w:eastAsia="宋体" w:cs="宋体"/>
          <w:color w:val="auto"/>
          <w:sz w:val="21"/>
          <w:szCs w:val="21"/>
          <w:highlight w:val="none"/>
          <w:u w:val="single"/>
        </w:rPr>
        <w:t>费用由承包人承担。承包人生活设施及施工场应自费配备消防设备，防止火灾发生</w:t>
      </w:r>
      <w:r>
        <w:rPr>
          <w:rFonts w:hint="eastAsia" w:ascii="宋体" w:hAnsi="宋体" w:eastAsia="宋体" w:cs="宋体"/>
          <w:color w:val="auto"/>
          <w:sz w:val="21"/>
          <w:szCs w:val="21"/>
          <w:highlight w:val="none"/>
        </w:rPr>
        <w:t>。</w:t>
      </w:r>
    </w:p>
    <w:p>
      <w:pPr>
        <w:pStyle w:val="34"/>
        <w:rPr>
          <w:rFonts w:hint="eastAsia" w:ascii="宋体" w:hAnsi="宋体" w:eastAsia="宋体" w:cs="宋体"/>
          <w:color w:val="auto"/>
          <w:sz w:val="21"/>
          <w:szCs w:val="21"/>
          <w:highlight w:val="none"/>
        </w:rPr>
      </w:pP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关于编制施工场地治安管理计划的约定：</w:t>
      </w:r>
      <w:r>
        <w:rPr>
          <w:rFonts w:hint="eastAsia" w:ascii="宋体" w:hAnsi="宋体" w:eastAsia="宋体" w:cs="宋体"/>
          <w:color w:val="auto"/>
          <w:sz w:val="21"/>
          <w:szCs w:val="21"/>
          <w:highlight w:val="none"/>
          <w:u w:val="single"/>
        </w:rPr>
        <w:t xml:space="preserve">  开工前7天内承包人编制施工场地治安管理计划和突发治安事件紧急预案</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6.1.5 文明施工</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合同当事人对文明施工的要求：</w:t>
      </w:r>
      <w:r>
        <w:rPr>
          <w:rFonts w:hint="eastAsia" w:ascii="宋体" w:hAnsi="宋体" w:eastAsia="宋体" w:cs="宋体"/>
          <w:color w:val="auto"/>
          <w:sz w:val="21"/>
          <w:szCs w:val="21"/>
          <w:highlight w:val="none"/>
          <w:u w:val="single"/>
        </w:rPr>
        <w:t>按照国家及地方安全文明施工的有关规定执行</w:t>
      </w:r>
      <w:r>
        <w:rPr>
          <w:rFonts w:hint="eastAsia" w:ascii="宋体" w:hAnsi="宋体" w:eastAsia="宋体" w:cs="宋体"/>
          <w:color w:val="auto"/>
          <w:sz w:val="21"/>
          <w:szCs w:val="21"/>
          <w:highlight w:val="none"/>
        </w:rPr>
        <w:t>。</w:t>
      </w:r>
    </w:p>
    <w:p>
      <w:pPr>
        <w:keepNext w:val="0"/>
        <w:keepLines w:val="0"/>
        <w:pageBreakBefore w:val="0"/>
        <w:widowControl w:val="0"/>
        <w:kinsoku/>
        <w:wordWrap/>
        <w:overflowPunct/>
        <w:topLinePunct w:val="0"/>
        <w:autoSpaceDE w:val="0"/>
        <w:autoSpaceDN w:val="0"/>
        <w:bidi w:val="0"/>
        <w:adjustRightInd w:val="0"/>
        <w:snapToGrid/>
        <w:spacing w:line="360" w:lineRule="auto"/>
        <w:ind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6.1.6 关于安全文明施工费支付比例和支付期限的约定：</w:t>
      </w:r>
      <w:r>
        <w:rPr>
          <w:rFonts w:hint="eastAsia" w:ascii="宋体" w:hAnsi="宋体" w:eastAsia="宋体" w:cs="宋体"/>
          <w:color w:val="auto"/>
          <w:kern w:val="0"/>
          <w:sz w:val="21"/>
          <w:szCs w:val="21"/>
          <w:highlight w:val="none"/>
          <w:u w:val="single"/>
        </w:rPr>
        <w:t>专款专用</w:t>
      </w:r>
      <w:r>
        <w:rPr>
          <w:rFonts w:hint="eastAsia" w:ascii="宋体" w:hAnsi="宋体" w:eastAsia="宋体" w:cs="宋体"/>
          <w:color w:val="auto"/>
          <w:kern w:val="0"/>
          <w:sz w:val="21"/>
          <w:szCs w:val="21"/>
          <w:highlight w:val="none"/>
        </w:rPr>
        <w:t>。具体按《广西壮族自治区建筑工程安全防护、文明施工措施费及管理细则》（桂建质〔2006〕22号）和</w:t>
      </w:r>
      <w:r>
        <w:rPr>
          <w:rFonts w:hint="eastAsia" w:ascii="宋体" w:hAnsi="宋体" w:eastAsia="宋体" w:cs="宋体"/>
          <w:color w:val="auto"/>
          <w:sz w:val="21"/>
          <w:szCs w:val="21"/>
          <w:highlight w:val="none"/>
          <w:u w:val="single"/>
        </w:rPr>
        <w:t>桂林市建规[2007]131号文及市建规[2008]224号文</w:t>
      </w:r>
      <w:r>
        <w:rPr>
          <w:rFonts w:hint="eastAsia" w:ascii="宋体" w:hAnsi="宋体" w:eastAsia="宋体" w:cs="宋体"/>
          <w:color w:val="auto"/>
          <w:kern w:val="0"/>
          <w:sz w:val="21"/>
          <w:szCs w:val="21"/>
          <w:highlight w:val="none"/>
        </w:rPr>
        <w:t>相关规定执行。</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（3）支付约定：</w:t>
      </w:r>
      <w:r>
        <w:rPr>
          <w:rFonts w:hint="eastAsia" w:ascii="宋体" w:hAnsi="宋体" w:eastAsia="宋体" w:cs="宋体"/>
          <w:color w:val="auto"/>
          <w:sz w:val="21"/>
          <w:szCs w:val="21"/>
          <w:highlight w:val="none"/>
          <w:u w:val="single"/>
        </w:rPr>
        <w:t>具体按《广西壮族自治区建筑工程安全防护、文明施工措施费及管理细则》（桂建质〔2006〕22号）和桂林市建规[2007]131号文及市建规[2008]224号文相关规定执行。。</w:t>
      </w:r>
      <w:r>
        <w:rPr>
          <w:rFonts w:hint="eastAsia" w:ascii="宋体" w:hAnsi="宋体" w:eastAsia="宋体" w:cs="宋体"/>
          <w:color w:val="auto"/>
          <w:sz w:val="21"/>
          <w:szCs w:val="21"/>
          <w:highlight w:val="none"/>
        </w:rPr>
        <w:t xml:space="preserve">  </w:t>
      </w:r>
    </w:p>
    <w:p>
      <w:pPr>
        <w:pStyle w:val="38"/>
        <w:spacing w:line="380" w:lineRule="exact"/>
        <w:rPr>
          <w:rFonts w:hint="eastAsia" w:ascii="宋体" w:hAnsi="宋体" w:eastAsia="宋体" w:cs="宋体"/>
          <w:color w:val="auto"/>
          <w:sz w:val="21"/>
          <w:szCs w:val="21"/>
          <w:highlight w:val="none"/>
          <w:u w:val="single"/>
        </w:rPr>
      </w:pPr>
      <w:bookmarkStart w:id="656" w:name="_Toc389065287"/>
      <w:bookmarkStart w:id="657" w:name="_Toc418518131"/>
      <w:bookmarkStart w:id="658" w:name="_Toc418751817"/>
      <w:bookmarkStart w:id="659" w:name="_Toc497747199"/>
      <w:bookmarkStart w:id="660" w:name="_Toc418752263"/>
      <w:bookmarkStart w:id="661" w:name="_Toc497746802"/>
      <w:bookmarkStart w:id="662" w:name="_Toc418518367"/>
      <w:bookmarkStart w:id="663" w:name="_Toc418061332"/>
      <w:bookmarkStart w:id="664" w:name="_Toc373478368"/>
      <w:bookmarkStart w:id="665" w:name="_Toc403578955"/>
      <w:bookmarkStart w:id="666" w:name="_Toc373227721"/>
      <w:r>
        <w:rPr>
          <w:rFonts w:hint="eastAsia" w:ascii="宋体" w:hAnsi="宋体" w:eastAsia="宋体" w:cs="宋体"/>
          <w:color w:val="auto"/>
          <w:sz w:val="21"/>
          <w:szCs w:val="21"/>
          <w:highlight w:val="none"/>
        </w:rPr>
        <w:t>6.2职业健康</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6.2.3 扬尘防治：严格执行市住建【2016】71号《关于进一步加强全市建筑工地扬尘治理工作的通知》的相关规定。关于扬尘防治费支付比例和支付期限的约定为：</w:t>
      </w:r>
      <w:r>
        <w:rPr>
          <w:rFonts w:hint="eastAsia" w:ascii="宋体" w:hAnsi="宋体" w:eastAsia="宋体" w:cs="宋体"/>
          <w:color w:val="auto"/>
          <w:sz w:val="21"/>
          <w:szCs w:val="21"/>
          <w:highlight w:val="none"/>
          <w:u w:val="single"/>
        </w:rPr>
        <w:t>市住建〔2016〕34号文规定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6.3 环境保护</w:t>
      </w:r>
      <w:bookmarkEnd w:id="656"/>
      <w:bookmarkEnd w:id="657"/>
      <w:bookmarkEnd w:id="658"/>
      <w:bookmarkEnd w:id="659"/>
      <w:bookmarkEnd w:id="660"/>
      <w:bookmarkEnd w:id="661"/>
      <w:bookmarkEnd w:id="662"/>
      <w:bookmarkEnd w:id="663"/>
      <w:bookmarkEnd w:id="664"/>
      <w:bookmarkEnd w:id="665"/>
      <w:bookmarkEnd w:id="666"/>
      <w:r>
        <w:rPr>
          <w:rFonts w:hint="eastAsia" w:ascii="宋体" w:hAnsi="宋体" w:eastAsia="宋体" w:cs="宋体"/>
          <w:color w:val="auto"/>
          <w:sz w:val="21"/>
          <w:szCs w:val="21"/>
          <w:highlight w:val="none"/>
        </w:rPr>
        <w:t>因施工需要，经发包人批准，由承包人办理有关施工场地交通、环卫和施工噪音管理等手续，费用由承包人负责。</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经过城市道路的施工车辆，必须按交警、城管、运输等部门相关规定执行。由于施工车辆造成的道路、环境等污染，其责任和费用均由承包人承担。</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环保工作的约定：</w:t>
      </w:r>
      <w:r>
        <w:rPr>
          <w:rFonts w:hint="eastAsia" w:ascii="宋体" w:hAnsi="宋体" w:eastAsia="宋体" w:cs="宋体"/>
          <w:color w:val="auto"/>
          <w:sz w:val="21"/>
          <w:szCs w:val="21"/>
          <w:highlight w:val="none"/>
          <w:u w:val="single"/>
        </w:rPr>
        <w:t>承包人</w:t>
      </w:r>
      <w:r>
        <w:rPr>
          <w:rFonts w:hint="eastAsia" w:ascii="宋体" w:hAnsi="宋体" w:eastAsia="宋体" w:cs="宋体"/>
          <w:color w:val="auto"/>
          <w:sz w:val="21"/>
          <w:szCs w:val="21"/>
          <w:highlight w:val="none"/>
          <w:u w:val="single"/>
          <w:lang w:eastAsia="zh-CN"/>
        </w:rPr>
        <w:t>协助发包人</w:t>
      </w:r>
      <w:r>
        <w:rPr>
          <w:rFonts w:hint="eastAsia" w:ascii="宋体" w:hAnsi="宋体" w:eastAsia="宋体" w:cs="宋体"/>
          <w:color w:val="auto"/>
          <w:sz w:val="21"/>
          <w:szCs w:val="21"/>
          <w:highlight w:val="none"/>
          <w:u w:val="single"/>
        </w:rPr>
        <w:t>办理有关环保报批手续，并承担相应的费用。在施工期间对环境主要影响是机械声和废水、废渣、尘埃，对此承包人应采取相应的防治措施和严格管理，严格控制污染物排放，污染物排放前必须处理，达到排污标准后再排放。严禁把污染物直接排入江中。控制标准：《地面环境质量标准》GB3838-88Ⅱ。施工完毕后，承包人应及时将被破坏的场地，遵照监理工程师的指示进行清理、修正，并根据实际情况将场地恢复到原有状态，费用自理。</w:t>
      </w:r>
    </w:p>
    <w:bookmarkEnd w:id="620"/>
    <w:bookmarkEnd w:id="621"/>
    <w:bookmarkEnd w:id="622"/>
    <w:bookmarkEnd w:id="623"/>
    <w:bookmarkEnd w:id="624"/>
    <w:bookmarkEnd w:id="625"/>
    <w:bookmarkEnd w:id="626"/>
    <w:p>
      <w:pPr>
        <w:pStyle w:val="31"/>
        <w:spacing w:line="380" w:lineRule="exact"/>
        <w:rPr>
          <w:rFonts w:hint="eastAsia" w:ascii="宋体" w:hAnsi="宋体" w:eastAsia="宋体" w:cs="宋体"/>
          <w:color w:val="auto"/>
          <w:sz w:val="21"/>
          <w:szCs w:val="21"/>
          <w:highlight w:val="none"/>
        </w:rPr>
      </w:pPr>
      <w:bookmarkStart w:id="667" w:name="_Toc403578956"/>
      <w:bookmarkStart w:id="668" w:name="_Toc373478369"/>
      <w:bookmarkStart w:id="669" w:name="_Toc418751818"/>
      <w:bookmarkStart w:id="670" w:name="_Toc29091"/>
      <w:bookmarkStart w:id="671" w:name="_Toc418518132"/>
      <w:bookmarkStart w:id="672" w:name="_Toc522201751"/>
      <w:bookmarkStart w:id="673" w:name="_Toc256000201"/>
      <w:bookmarkStart w:id="674" w:name="_Toc351203639"/>
      <w:bookmarkStart w:id="675" w:name="_Toc418518368"/>
      <w:bookmarkStart w:id="676" w:name="_Toc418752264"/>
      <w:bookmarkStart w:id="677" w:name="_Toc373227722"/>
      <w:bookmarkStart w:id="678" w:name="_Toc389065288"/>
      <w:bookmarkStart w:id="679" w:name="_Toc497746803"/>
      <w:bookmarkStart w:id="680" w:name="_Toc418061333"/>
      <w:bookmarkStart w:id="681" w:name="_Toc497747200"/>
      <w:r>
        <w:rPr>
          <w:rFonts w:hint="eastAsia" w:ascii="宋体" w:hAnsi="宋体" w:eastAsia="宋体" w:cs="宋体"/>
          <w:color w:val="auto"/>
          <w:sz w:val="21"/>
          <w:szCs w:val="21"/>
          <w:highlight w:val="none"/>
        </w:rPr>
        <w:t>7. 工期和进度</w:t>
      </w:r>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p>
    <w:p>
      <w:pPr>
        <w:pStyle w:val="31"/>
        <w:spacing w:line="380" w:lineRule="exact"/>
        <w:ind w:firstLine="422" w:firstLineChars="200"/>
        <w:rPr>
          <w:rFonts w:hint="eastAsia" w:ascii="宋体" w:hAnsi="宋体" w:eastAsia="宋体" w:cs="宋体"/>
          <w:color w:val="auto"/>
          <w:sz w:val="21"/>
          <w:szCs w:val="21"/>
          <w:highlight w:val="none"/>
        </w:rPr>
      </w:pPr>
      <w:bookmarkStart w:id="682" w:name="_Toc256000202"/>
      <w:bookmarkStart w:id="683" w:name="_Toc497747201"/>
      <w:bookmarkStart w:id="684" w:name="_Toc522201752"/>
      <w:bookmarkStart w:id="685" w:name="_Toc389065289"/>
      <w:bookmarkStart w:id="686" w:name="_Toc30142"/>
      <w:bookmarkStart w:id="687" w:name="_Toc418752265"/>
      <w:bookmarkStart w:id="688" w:name="_Toc373478370"/>
      <w:bookmarkStart w:id="689" w:name="_Toc418518369"/>
      <w:bookmarkStart w:id="690" w:name="_Toc403578957"/>
      <w:bookmarkStart w:id="691" w:name="_Toc497746804"/>
      <w:bookmarkStart w:id="692" w:name="_Toc373227723"/>
      <w:bookmarkStart w:id="693" w:name="_Toc418751819"/>
      <w:bookmarkStart w:id="694" w:name="_Toc418061334"/>
      <w:bookmarkStart w:id="695" w:name="_Toc418518133"/>
      <w:r>
        <w:rPr>
          <w:rFonts w:hint="eastAsia" w:ascii="宋体" w:hAnsi="宋体" w:eastAsia="宋体" w:cs="宋体"/>
          <w:color w:val="auto"/>
          <w:sz w:val="21"/>
          <w:szCs w:val="21"/>
          <w:highlight w:val="none"/>
        </w:rPr>
        <w:t>7.1 施工组织设计</w:t>
      </w:r>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7.1.1 合同当事人约定的施工组织设计应包括的其他内容：</w:t>
      </w:r>
      <w:r>
        <w:rPr>
          <w:rFonts w:hint="eastAsia" w:ascii="宋体" w:hAnsi="宋体" w:eastAsia="宋体" w:cs="宋体"/>
          <w:color w:val="auto"/>
          <w:sz w:val="21"/>
          <w:szCs w:val="21"/>
          <w:highlight w:val="none"/>
          <w:u w:val="single"/>
        </w:rPr>
        <w:t>(1)管理人员名单，含职称、职务并附相关人员岗位证书等复印件；（2）施工进度计划包括总进度计划、分阶段和分项进度计划、设备材料人员进场计划；施工方案说明包括分部、分项工程或工程部位的名称及施工顺序和方法；（3）国家及地方有关规定应当提交的内容。</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7.1.2 </w:t>
      </w:r>
      <w:r>
        <w:rPr>
          <w:rFonts w:hint="eastAsia" w:ascii="宋体" w:hAnsi="宋体" w:eastAsia="宋体" w:cs="宋体"/>
          <w:color w:val="auto"/>
          <w:kern w:val="0"/>
          <w:sz w:val="21"/>
          <w:szCs w:val="21"/>
          <w:highlight w:val="none"/>
        </w:rPr>
        <w:t>施工组织设计的提交和修改</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承包人提交详细施工组织设计的期限的约定：</w:t>
      </w:r>
      <w:r>
        <w:rPr>
          <w:rFonts w:hint="eastAsia" w:ascii="宋体" w:hAnsi="宋体" w:eastAsia="宋体" w:cs="宋体"/>
          <w:color w:val="auto"/>
          <w:sz w:val="21"/>
          <w:szCs w:val="21"/>
          <w:highlight w:val="none"/>
          <w:u w:val="single"/>
        </w:rPr>
        <w:t xml:space="preserve">  合同签订后14天内，最迟不得晚于开工通知载明的开工日期前7天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发包人和监理人在收到详细的施工组织设计后确认或提出修改意见的期限：</w:t>
      </w:r>
      <w:r>
        <w:rPr>
          <w:rFonts w:hint="eastAsia" w:ascii="宋体" w:hAnsi="宋体" w:eastAsia="宋体" w:cs="宋体"/>
          <w:color w:val="auto"/>
          <w:sz w:val="21"/>
          <w:szCs w:val="21"/>
          <w:highlight w:val="none"/>
          <w:u w:val="single"/>
        </w:rPr>
        <w:t>收到施工组织设计后7天内确认或提出修改意见。</w:t>
      </w:r>
    </w:p>
    <w:p>
      <w:pPr>
        <w:pStyle w:val="31"/>
        <w:spacing w:line="380" w:lineRule="exact"/>
        <w:ind w:firstLine="422" w:firstLineChars="200"/>
        <w:rPr>
          <w:rFonts w:hint="eastAsia" w:ascii="宋体" w:hAnsi="宋体" w:eastAsia="宋体" w:cs="宋体"/>
          <w:color w:val="auto"/>
          <w:sz w:val="21"/>
          <w:szCs w:val="21"/>
          <w:highlight w:val="none"/>
        </w:rPr>
      </w:pPr>
      <w:bookmarkStart w:id="696" w:name="_Toc497747202"/>
      <w:bookmarkStart w:id="697" w:name="_Toc418061335"/>
      <w:bookmarkStart w:id="698" w:name="_Toc418518134"/>
      <w:bookmarkStart w:id="699" w:name="_Toc373227724"/>
      <w:bookmarkStart w:id="700" w:name="_Toc389065290"/>
      <w:bookmarkStart w:id="701" w:name="_Toc418518370"/>
      <w:bookmarkStart w:id="702" w:name="_Toc418751820"/>
      <w:bookmarkStart w:id="703" w:name="_Toc19372"/>
      <w:bookmarkStart w:id="704" w:name="_Toc418752266"/>
      <w:bookmarkStart w:id="705" w:name="_Toc256000203"/>
      <w:bookmarkStart w:id="706" w:name="_Toc373478371"/>
      <w:bookmarkStart w:id="707" w:name="_Toc497746805"/>
      <w:bookmarkStart w:id="708" w:name="_Toc403578958"/>
      <w:bookmarkStart w:id="709" w:name="_Toc522201753"/>
      <w:r>
        <w:rPr>
          <w:rFonts w:hint="eastAsia" w:ascii="宋体" w:hAnsi="宋体" w:eastAsia="宋体" w:cs="宋体"/>
          <w:color w:val="auto"/>
          <w:sz w:val="21"/>
          <w:szCs w:val="21"/>
          <w:highlight w:val="none"/>
        </w:rPr>
        <w:t>7</w:t>
      </w:r>
      <w:bookmarkStart w:id="710" w:name="_Toc300934966"/>
      <w:bookmarkStart w:id="711" w:name="_Toc312678005"/>
      <w:bookmarkStart w:id="712" w:name="_Toc304295541"/>
      <w:bookmarkStart w:id="713" w:name="_Toc297216173"/>
      <w:bookmarkStart w:id="714" w:name="_Toc303539123"/>
      <w:bookmarkStart w:id="715" w:name="_Toc297123514"/>
      <w:bookmarkStart w:id="716" w:name="_Toc312677479"/>
      <w:r>
        <w:rPr>
          <w:rFonts w:hint="eastAsia" w:ascii="宋体" w:hAnsi="宋体" w:eastAsia="宋体" w:cs="宋体"/>
          <w:color w:val="auto"/>
          <w:sz w:val="21"/>
          <w:szCs w:val="21"/>
          <w:highlight w:val="none"/>
        </w:rPr>
        <w:t>.2 施工进度计划</w:t>
      </w:r>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7.2.2 施工进度计划的修订</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（1）发包人和监理人在收到修订的施工进度计划后确认或提出修改意见的期限：</w:t>
      </w:r>
      <w:r>
        <w:rPr>
          <w:rFonts w:hint="eastAsia" w:ascii="宋体" w:hAnsi="宋体" w:eastAsia="宋体" w:cs="宋体"/>
          <w:color w:val="auto"/>
          <w:sz w:val="21"/>
          <w:szCs w:val="21"/>
          <w:highlight w:val="none"/>
          <w:u w:val="single"/>
        </w:rPr>
        <w:t>自监理人收到承包人报送的相关进度计划后 7天内。</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（2）承包人编制分阶段或分项施工进度计划和施工方案说明的内容：</w:t>
      </w:r>
      <w:r>
        <w:rPr>
          <w:rFonts w:hint="eastAsia" w:ascii="宋体" w:hAnsi="宋体" w:eastAsia="宋体" w:cs="宋体"/>
          <w:color w:val="auto"/>
          <w:sz w:val="21"/>
          <w:szCs w:val="21"/>
          <w:highlight w:val="none"/>
          <w:u w:val="single"/>
        </w:rPr>
        <w:t>包含但不限于月进度计划、原地面测量方案、不良地基处理方案等。</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承包人报送分阶段或分项施工进度计划和施工方案说明的期限： </w:t>
      </w:r>
      <w:r>
        <w:rPr>
          <w:rFonts w:hint="eastAsia" w:ascii="宋体" w:hAnsi="宋体" w:eastAsia="宋体" w:cs="宋体"/>
          <w:color w:val="auto"/>
          <w:sz w:val="21"/>
          <w:szCs w:val="21"/>
          <w:highlight w:val="none"/>
          <w:u w:val="single"/>
        </w:rPr>
        <w:t>月进度计划于上月 30 日前提交，分项施工进度计划和施工方案说明应不迟于该分项工程施工前14 天提交。</w:t>
      </w:r>
    </w:p>
    <w:p>
      <w:pPr>
        <w:pStyle w:val="31"/>
        <w:spacing w:line="380" w:lineRule="exact"/>
        <w:ind w:firstLine="422" w:firstLineChars="200"/>
        <w:rPr>
          <w:rFonts w:hint="eastAsia" w:ascii="宋体" w:hAnsi="宋体" w:eastAsia="宋体" w:cs="宋体"/>
          <w:color w:val="auto"/>
          <w:sz w:val="21"/>
          <w:szCs w:val="21"/>
          <w:highlight w:val="none"/>
        </w:rPr>
      </w:pPr>
      <w:bookmarkStart w:id="717" w:name="_Toc389065291"/>
      <w:bookmarkStart w:id="718" w:name="_Toc418518371"/>
      <w:bookmarkStart w:id="719" w:name="_Toc256000204"/>
      <w:bookmarkStart w:id="720" w:name="_Toc418518135"/>
      <w:bookmarkStart w:id="721" w:name="_Toc497747203"/>
      <w:bookmarkStart w:id="722" w:name="_Toc522201754"/>
      <w:bookmarkStart w:id="723" w:name="_Toc403578959"/>
      <w:bookmarkStart w:id="724" w:name="_Toc373478372"/>
      <w:bookmarkStart w:id="725" w:name="_Toc497746806"/>
      <w:bookmarkStart w:id="726" w:name="_Toc418752267"/>
      <w:bookmarkStart w:id="727" w:name="_Toc418061336"/>
      <w:bookmarkStart w:id="728" w:name="_Toc418751821"/>
      <w:bookmarkStart w:id="729" w:name="_Toc5649"/>
      <w:bookmarkStart w:id="730" w:name="_Toc373227725"/>
      <w:r>
        <w:rPr>
          <w:rFonts w:hint="eastAsia" w:ascii="宋体" w:hAnsi="宋体" w:eastAsia="宋体" w:cs="宋体"/>
          <w:color w:val="auto"/>
          <w:sz w:val="21"/>
          <w:szCs w:val="21"/>
          <w:highlight w:val="none"/>
        </w:rPr>
        <w:t>7.3 开工</w:t>
      </w:r>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7.3.1 开工准备</w:t>
      </w:r>
    </w:p>
    <w:p>
      <w:pPr>
        <w:pStyle w:val="33"/>
        <w:spacing w:line="380" w:lineRule="exact"/>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关于承包人提交</w:t>
      </w:r>
      <w:r>
        <w:rPr>
          <w:rFonts w:hint="eastAsia" w:ascii="宋体" w:hAnsi="宋体" w:eastAsia="宋体" w:cs="宋体"/>
          <w:color w:val="auto"/>
          <w:kern w:val="0"/>
          <w:sz w:val="21"/>
          <w:szCs w:val="21"/>
          <w:highlight w:val="none"/>
        </w:rPr>
        <w:t>工程开工报审表的期限：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3"/>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关于发包人应完成的其他开工准备工作及期限：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关于承包人应完成的其他开工准备工作及期限：</w:t>
      </w:r>
      <w:r>
        <w:rPr>
          <w:rFonts w:hint="eastAsia" w:ascii="宋体" w:hAnsi="宋体" w:eastAsia="宋体" w:cs="宋体"/>
          <w:color w:val="auto"/>
          <w:sz w:val="21"/>
          <w:szCs w:val="21"/>
          <w:highlight w:val="none"/>
          <w:u w:val="single"/>
        </w:rPr>
        <w:t xml:space="preserve">   7天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7.3.2 开工通知</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因发包人原因造成监理人未能在计划开工日期之日起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天内发出开工通知的，承包人有权提出价格调整要求，或者解除合同。</w:t>
      </w:r>
    </w:p>
    <w:bookmarkEnd w:id="710"/>
    <w:bookmarkEnd w:id="711"/>
    <w:bookmarkEnd w:id="712"/>
    <w:bookmarkEnd w:id="713"/>
    <w:bookmarkEnd w:id="714"/>
    <w:bookmarkEnd w:id="715"/>
    <w:bookmarkEnd w:id="716"/>
    <w:p>
      <w:pPr>
        <w:pStyle w:val="31"/>
        <w:spacing w:line="380" w:lineRule="exact"/>
        <w:ind w:firstLine="422" w:firstLineChars="200"/>
        <w:rPr>
          <w:rFonts w:hint="eastAsia" w:ascii="宋体" w:hAnsi="宋体" w:eastAsia="宋体" w:cs="宋体"/>
          <w:color w:val="auto"/>
          <w:sz w:val="21"/>
          <w:szCs w:val="21"/>
          <w:highlight w:val="none"/>
        </w:rPr>
      </w:pPr>
      <w:bookmarkStart w:id="731" w:name="_Toc418751822"/>
      <w:bookmarkStart w:id="732" w:name="_Toc373478373"/>
      <w:bookmarkStart w:id="733" w:name="_Toc373227726"/>
      <w:bookmarkStart w:id="734" w:name="_Toc14722"/>
      <w:bookmarkStart w:id="735" w:name="_Toc418752268"/>
      <w:bookmarkStart w:id="736" w:name="_Toc418518136"/>
      <w:bookmarkStart w:id="737" w:name="_Toc497746807"/>
      <w:bookmarkStart w:id="738" w:name="_Toc256000205"/>
      <w:bookmarkStart w:id="739" w:name="_Toc418518372"/>
      <w:bookmarkStart w:id="740" w:name="_Toc522201755"/>
      <w:bookmarkStart w:id="741" w:name="_Toc389065292"/>
      <w:bookmarkStart w:id="742" w:name="_Toc403578960"/>
      <w:bookmarkStart w:id="743" w:name="_Toc497747204"/>
      <w:bookmarkStart w:id="744" w:name="_Toc418061337"/>
      <w:r>
        <w:rPr>
          <w:rFonts w:hint="eastAsia" w:ascii="宋体" w:hAnsi="宋体" w:eastAsia="宋体" w:cs="宋体"/>
          <w:color w:val="auto"/>
          <w:sz w:val="21"/>
          <w:szCs w:val="21"/>
          <w:highlight w:val="none"/>
        </w:rPr>
        <w:t>7.4 测量放线</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7.4.1发包人通过监理人向承包人提供测量基准点、基准线和水准点及其书面资料的期限：</w:t>
      </w:r>
      <w:r>
        <w:rPr>
          <w:rFonts w:hint="eastAsia" w:ascii="宋体" w:hAnsi="宋体" w:eastAsia="宋体" w:cs="宋体"/>
          <w:color w:val="auto"/>
          <w:sz w:val="21"/>
          <w:szCs w:val="21"/>
          <w:highlight w:val="none"/>
          <w:u w:val="single"/>
        </w:rPr>
        <w:t>开工通知载明的开工日前 7 天，承包人进入工地后进行现场书面交桩。水准点、座标控制点交验完毕，即由承包人负责保护，此后由于破坏或失准带来的重新测量、放点费用及由此造成的其他损失均由承包人负担； 承包人应于开工通知后七天内现场校验，并根据国家测绘基准、测绘系统和工程测量技术规范，按上述基准点（线）以及合同工程精度要求，测设施工控制网，三方做好签认工作；承包人应于开工前3天，并在工程竣工后将施工控制网点移交发包人 。</w:t>
      </w:r>
    </w:p>
    <w:p>
      <w:pPr>
        <w:pStyle w:val="31"/>
        <w:spacing w:line="380" w:lineRule="exact"/>
        <w:ind w:firstLine="422" w:firstLineChars="200"/>
        <w:rPr>
          <w:rFonts w:hint="eastAsia" w:ascii="宋体" w:hAnsi="宋体" w:eastAsia="宋体" w:cs="宋体"/>
          <w:color w:val="auto"/>
          <w:sz w:val="21"/>
          <w:szCs w:val="21"/>
          <w:highlight w:val="none"/>
        </w:rPr>
      </w:pPr>
      <w:bookmarkStart w:id="745" w:name="_Toc389065293"/>
      <w:bookmarkStart w:id="746" w:name="_Toc20928"/>
      <w:bookmarkStart w:id="747" w:name="_Toc256000206"/>
      <w:bookmarkStart w:id="748" w:name="_Toc373227727"/>
      <w:bookmarkStart w:id="749" w:name="_Toc403578961"/>
      <w:bookmarkStart w:id="750" w:name="_Toc522201756"/>
      <w:bookmarkStart w:id="751" w:name="_Toc373478374"/>
      <w:bookmarkStart w:id="752" w:name="_Toc418751823"/>
      <w:bookmarkStart w:id="753" w:name="_Toc418752269"/>
      <w:bookmarkStart w:id="754" w:name="_Toc418518137"/>
      <w:bookmarkStart w:id="755" w:name="_Toc497747205"/>
      <w:bookmarkStart w:id="756" w:name="_Toc418518373"/>
      <w:bookmarkStart w:id="757" w:name="_Toc497746808"/>
      <w:bookmarkStart w:id="758" w:name="_Toc418061338"/>
      <w:r>
        <w:rPr>
          <w:rFonts w:hint="eastAsia" w:ascii="宋体" w:hAnsi="宋体" w:eastAsia="宋体" w:cs="宋体"/>
          <w:color w:val="auto"/>
          <w:sz w:val="21"/>
          <w:szCs w:val="21"/>
          <w:highlight w:val="none"/>
        </w:rPr>
        <w:t>7</w:t>
      </w:r>
      <w:bookmarkStart w:id="759" w:name="_Toc297216175"/>
      <w:bookmarkStart w:id="760" w:name="_Toc304295546"/>
      <w:bookmarkStart w:id="761" w:name="_Toc303539125"/>
      <w:bookmarkStart w:id="762" w:name="_Toc312677484"/>
      <w:bookmarkStart w:id="763" w:name="_Toc300934968"/>
      <w:bookmarkStart w:id="764" w:name="_Toc297123516"/>
      <w:bookmarkStart w:id="765" w:name="_Toc312678010"/>
      <w:r>
        <w:rPr>
          <w:rFonts w:hint="eastAsia" w:ascii="宋体" w:hAnsi="宋体" w:eastAsia="宋体" w:cs="宋体"/>
          <w:color w:val="auto"/>
          <w:sz w:val="21"/>
          <w:szCs w:val="21"/>
          <w:highlight w:val="none"/>
        </w:rPr>
        <w:t>.5 工期延误</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p>
    <w:bookmarkEnd w:id="759"/>
    <w:bookmarkEnd w:id="760"/>
    <w:bookmarkEnd w:id="761"/>
    <w:bookmarkEnd w:id="762"/>
    <w:bookmarkEnd w:id="763"/>
    <w:bookmarkEnd w:id="764"/>
    <w:bookmarkEnd w:id="765"/>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7.5.1 因发包人原因导致工期延误</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（7）因发包人原因导致工期延误的其他情形：</w:t>
      </w:r>
      <w:r>
        <w:rPr>
          <w:rFonts w:hint="eastAsia" w:ascii="宋体" w:hAnsi="宋体" w:eastAsia="宋体" w:cs="宋体"/>
          <w:color w:val="auto"/>
          <w:sz w:val="21"/>
          <w:szCs w:val="21"/>
          <w:highlight w:val="none"/>
          <w:u w:val="single"/>
          <w:lang w:eastAsia="zh-CN"/>
        </w:rPr>
        <w:t>按通用条款执行</w:t>
      </w:r>
      <w:r>
        <w:rPr>
          <w:rFonts w:hint="eastAsia" w:ascii="宋体" w:hAnsi="宋体" w:eastAsia="宋体" w:cs="宋体"/>
          <w:color w:val="auto"/>
          <w:sz w:val="21"/>
          <w:szCs w:val="21"/>
          <w:highlight w:val="none"/>
          <w:u w:val="singl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bookmarkStart w:id="766" w:name="_Toc318581169"/>
      <w:bookmarkStart w:id="767" w:name="_Toc312677486"/>
      <w:bookmarkStart w:id="768" w:name="_Toc312678012"/>
      <w:bookmarkStart w:id="769" w:name="_Toc300934970"/>
      <w:bookmarkStart w:id="770" w:name="_Toc297123518"/>
      <w:bookmarkStart w:id="771" w:name="_Toc304295548"/>
      <w:bookmarkStart w:id="772" w:name="_Toc297216177"/>
      <w:bookmarkStart w:id="773" w:name="_Toc303539127"/>
      <w:r>
        <w:rPr>
          <w:rFonts w:hint="eastAsia" w:ascii="宋体" w:hAnsi="宋体" w:eastAsia="宋体" w:cs="宋体"/>
          <w:color w:val="auto"/>
          <w:sz w:val="21"/>
          <w:szCs w:val="21"/>
          <w:highlight w:val="none"/>
        </w:rPr>
        <w:t>.5.2 因承包人原因导致工期延误</w:t>
      </w:r>
    </w:p>
    <w:bookmarkEnd w:id="766"/>
    <w:bookmarkEnd w:id="767"/>
    <w:bookmarkEnd w:id="768"/>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双方约定经监理工程师确认，工期相应顺延的情况：</w:t>
      </w:r>
      <w:r>
        <w:rPr>
          <w:rFonts w:hint="eastAsia" w:ascii="宋体" w:hAnsi="宋体" w:eastAsia="宋体" w:cs="宋体"/>
          <w:color w:val="auto"/>
          <w:sz w:val="21"/>
          <w:szCs w:val="21"/>
          <w:highlight w:val="none"/>
          <w:u w:val="single"/>
        </w:rPr>
        <w:t xml:space="preserve">  非承包人原因导致的工期延误，合同工期相应顺延</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w:t>
      </w:r>
      <w:bookmarkStart w:id="774" w:name="_Toc312678013"/>
      <w:bookmarkStart w:id="775" w:name="_Toc318581170"/>
      <w:bookmarkStart w:id="776" w:name="_Toc312677487"/>
      <w:r>
        <w:rPr>
          <w:rFonts w:hint="eastAsia" w:ascii="宋体" w:hAnsi="宋体" w:eastAsia="宋体" w:cs="宋体"/>
          <w:color w:val="auto"/>
          <w:sz w:val="21"/>
          <w:szCs w:val="21"/>
          <w:highlight w:val="none"/>
        </w:rPr>
        <w:t>承包人原因造成工期延误，逾期竣工违约金的计算方法为：</w:t>
      </w:r>
      <w:r>
        <w:rPr>
          <w:rFonts w:hint="eastAsia" w:ascii="宋体" w:hAnsi="宋体" w:eastAsia="宋体" w:cs="宋体"/>
          <w:color w:val="auto"/>
          <w:sz w:val="21"/>
          <w:szCs w:val="21"/>
          <w:highlight w:val="none"/>
          <w:u w:val="single"/>
        </w:rPr>
        <w:t xml:space="preserve">非上述原因，承包人不能按合同约定的时间竣工，承包人应承担违约责任，并应向发包人支付误期赔偿费（每天赔偿金额为合同价款扣除社会保险费、发包人材料价款、暂估专业工程、暂列金额后的的万分之四），误期时间从规定竣工日期起直到全部工程或相应部分工程竣工验收各方签章日期之间的天数（扣除发包人批准顺延的工期）。发包人可从应向承包人支付的任何金额中扣除此项赔款费或其他方式收回此款，此赔偿款的支付并不能解除承包人应完成工程的责任或合同规定的其他责任。如非承包人原因造成工期延误则承包人须在规定的时间内提出书面意见，逾期则视为承包人自行放弃。由于承包人原因造成本工程延期三个月的，除按上述标准赔偿给发包人外，发包人有权中止合同，并依法追究承包人的违约责任，由此造成的一切损失均由责任人负责。 </w:t>
      </w:r>
    </w:p>
    <w:bookmarkEnd w:id="769"/>
    <w:bookmarkEnd w:id="770"/>
    <w:bookmarkEnd w:id="771"/>
    <w:bookmarkEnd w:id="772"/>
    <w:bookmarkEnd w:id="773"/>
    <w:bookmarkEnd w:id="774"/>
    <w:bookmarkEnd w:id="775"/>
    <w:bookmarkEnd w:id="776"/>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因承包人原因造成工期延误，逾</w:t>
      </w:r>
      <w:bookmarkStart w:id="777" w:name="_Toc318581171"/>
      <w:bookmarkStart w:id="778" w:name="_Toc312678014"/>
      <w:r>
        <w:rPr>
          <w:rFonts w:hint="eastAsia" w:ascii="宋体" w:hAnsi="宋体" w:eastAsia="宋体" w:cs="宋体"/>
          <w:color w:val="auto"/>
          <w:sz w:val="21"/>
          <w:szCs w:val="21"/>
          <w:highlight w:val="none"/>
        </w:rPr>
        <w:t>期竣工违约金的上限：</w:t>
      </w:r>
      <w:r>
        <w:rPr>
          <w:rFonts w:hint="eastAsia" w:ascii="宋体" w:hAnsi="宋体" w:eastAsia="宋体" w:cs="宋体"/>
          <w:color w:val="auto"/>
          <w:sz w:val="21"/>
          <w:szCs w:val="21"/>
          <w:highlight w:val="none"/>
          <w:u w:val="single"/>
          <w:lang w:eastAsia="zh-CN"/>
        </w:rPr>
        <w:t>结算</w:t>
      </w:r>
      <w:r>
        <w:rPr>
          <w:rFonts w:hint="eastAsia" w:ascii="宋体" w:hAnsi="宋体" w:eastAsia="宋体" w:cs="宋体"/>
          <w:color w:val="auto"/>
          <w:sz w:val="21"/>
          <w:szCs w:val="21"/>
          <w:highlight w:val="none"/>
          <w:u w:val="single"/>
        </w:rPr>
        <w:t>价扣除社会保险费、发包人材料价款、暂估专业工程、暂列金额后的3%</w:t>
      </w:r>
      <w:r>
        <w:rPr>
          <w:rFonts w:hint="eastAsia" w:ascii="宋体" w:hAnsi="宋体" w:eastAsia="宋体" w:cs="宋体"/>
          <w:color w:val="auto"/>
          <w:sz w:val="21"/>
          <w:szCs w:val="21"/>
          <w:highlight w:val="none"/>
        </w:rPr>
        <w:t>。</w:t>
      </w:r>
    </w:p>
    <w:bookmarkEnd w:id="777"/>
    <w:bookmarkEnd w:id="778"/>
    <w:p>
      <w:pPr>
        <w:pStyle w:val="31"/>
        <w:spacing w:line="380" w:lineRule="exact"/>
        <w:ind w:firstLine="422" w:firstLineChars="200"/>
        <w:rPr>
          <w:rFonts w:hint="eastAsia" w:ascii="宋体" w:hAnsi="宋体" w:eastAsia="宋体" w:cs="宋体"/>
          <w:color w:val="auto"/>
          <w:sz w:val="21"/>
          <w:szCs w:val="21"/>
          <w:highlight w:val="none"/>
        </w:rPr>
      </w:pPr>
      <w:bookmarkStart w:id="779" w:name="_Toc418518138"/>
      <w:bookmarkStart w:id="780" w:name="_Toc373227728"/>
      <w:bookmarkStart w:id="781" w:name="_Toc418752270"/>
      <w:bookmarkStart w:id="782" w:name="_Toc497747206"/>
      <w:bookmarkStart w:id="783" w:name="_Toc389065294"/>
      <w:bookmarkStart w:id="784" w:name="_Toc497746809"/>
      <w:bookmarkStart w:id="785" w:name="_Toc8708"/>
      <w:bookmarkStart w:id="786" w:name="_Toc403578962"/>
      <w:bookmarkStart w:id="787" w:name="_Toc418061339"/>
      <w:bookmarkStart w:id="788" w:name="_Toc418751824"/>
      <w:bookmarkStart w:id="789" w:name="_Toc256000207"/>
      <w:bookmarkStart w:id="790" w:name="_Toc522201757"/>
      <w:bookmarkStart w:id="791" w:name="_Toc373478375"/>
      <w:bookmarkStart w:id="792" w:name="_Toc418518374"/>
      <w:r>
        <w:rPr>
          <w:rFonts w:hint="eastAsia" w:ascii="宋体" w:hAnsi="宋体" w:eastAsia="宋体" w:cs="宋体"/>
          <w:color w:val="auto"/>
          <w:sz w:val="21"/>
          <w:szCs w:val="21"/>
          <w:highlight w:val="none"/>
        </w:rPr>
        <w:t>7</w:t>
      </w:r>
      <w:bookmarkStart w:id="793" w:name="_Toc297216178"/>
      <w:bookmarkStart w:id="794" w:name="_Toc297123519"/>
      <w:bookmarkStart w:id="795" w:name="_Toc300934971"/>
      <w:bookmarkStart w:id="796" w:name="_Toc303539128"/>
      <w:bookmarkStart w:id="797" w:name="_Toc312678015"/>
      <w:bookmarkStart w:id="798" w:name="_Toc304295549"/>
      <w:r>
        <w:rPr>
          <w:rFonts w:hint="eastAsia" w:ascii="宋体" w:hAnsi="宋体" w:eastAsia="宋体" w:cs="宋体"/>
          <w:color w:val="auto"/>
          <w:sz w:val="21"/>
          <w:szCs w:val="21"/>
          <w:highlight w:val="none"/>
        </w:rPr>
        <w:t>.6 不</w:t>
      </w:r>
      <w:bookmarkEnd w:id="793"/>
      <w:bookmarkEnd w:id="794"/>
      <w:bookmarkEnd w:id="795"/>
      <w:bookmarkEnd w:id="796"/>
      <w:bookmarkEnd w:id="797"/>
      <w:bookmarkEnd w:id="798"/>
      <w:r>
        <w:rPr>
          <w:rFonts w:hint="eastAsia" w:ascii="宋体" w:hAnsi="宋体" w:eastAsia="宋体" w:cs="宋体"/>
          <w:color w:val="auto"/>
          <w:sz w:val="21"/>
          <w:szCs w:val="21"/>
          <w:highlight w:val="none"/>
        </w:rPr>
        <w:t>利物质条件</w:t>
      </w:r>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p>
    <w:p>
      <w:pPr>
        <w:pStyle w:val="33"/>
        <w:spacing w:line="380" w:lineRule="exact"/>
        <w:ind w:firstLine="420" w:firstLineChars="200"/>
        <w:jc w:val="left"/>
        <w:rPr>
          <w:rFonts w:hint="eastAsia" w:ascii="宋体" w:hAnsi="宋体" w:eastAsia="宋体" w:cs="宋体"/>
          <w:color w:val="auto"/>
          <w:sz w:val="21"/>
          <w:szCs w:val="21"/>
          <w:highlight w:val="none"/>
          <w:u w:val="single"/>
        </w:rPr>
      </w:pPr>
      <w:bookmarkStart w:id="799" w:name="_Toc300934972"/>
      <w:bookmarkStart w:id="800" w:name="_Toc297123520"/>
      <w:bookmarkStart w:id="801" w:name="_Toc303539129"/>
      <w:bookmarkStart w:id="802" w:name="_Toc312678016"/>
      <w:bookmarkStart w:id="803" w:name="_Toc304295550"/>
      <w:bookmarkStart w:id="804" w:name="_Toc318581172"/>
      <w:bookmarkStart w:id="805" w:name="_Toc297216179"/>
      <w:r>
        <w:rPr>
          <w:rFonts w:hint="eastAsia" w:ascii="宋体" w:hAnsi="宋体" w:eastAsia="宋体" w:cs="宋体"/>
          <w:color w:val="auto"/>
          <w:sz w:val="21"/>
          <w:szCs w:val="21"/>
          <w:highlight w:val="none"/>
        </w:rPr>
        <w:t>不利物质条件的其他情形和有关约定：</w:t>
      </w:r>
      <w:r>
        <w:rPr>
          <w:rFonts w:hint="eastAsia" w:ascii="宋体" w:hAnsi="宋体" w:eastAsia="宋体" w:cs="宋体"/>
          <w:color w:val="auto"/>
          <w:sz w:val="21"/>
          <w:szCs w:val="21"/>
          <w:highlight w:val="none"/>
          <w:u w:val="single"/>
        </w:rPr>
        <w:t xml:space="preserve">  一周内非承包人原因，停水、停电、停气造成停工连续超过8小时；重大设计变更和工程量增加；发包人手续不全致使施工不能正常进行；发包人未能按约定时间支付工程款致使施工不能正常进行的；非承包人原因的政府及发包人有关的停工通知，以上不利物质条件延误工期的相应延长工期，因发包人原因给承包人造成损失的由发包人相应赔偿承包人，属政府和环境等原因的，双方协商处理</w:t>
      </w:r>
      <w:r>
        <w:rPr>
          <w:rFonts w:hint="eastAsia" w:ascii="宋体" w:hAnsi="宋体" w:eastAsia="宋体" w:cs="宋体"/>
          <w:color w:val="auto"/>
          <w:sz w:val="21"/>
          <w:szCs w:val="21"/>
          <w:highlight w:val="none"/>
        </w:rPr>
        <w:t>。</w:t>
      </w:r>
    </w:p>
    <w:bookmarkEnd w:id="799"/>
    <w:bookmarkEnd w:id="800"/>
    <w:bookmarkEnd w:id="801"/>
    <w:bookmarkEnd w:id="802"/>
    <w:bookmarkEnd w:id="803"/>
    <w:bookmarkEnd w:id="804"/>
    <w:bookmarkEnd w:id="805"/>
    <w:p>
      <w:pPr>
        <w:pStyle w:val="31"/>
        <w:spacing w:line="380" w:lineRule="exact"/>
        <w:ind w:firstLine="422" w:firstLineChars="200"/>
        <w:rPr>
          <w:rFonts w:hint="eastAsia" w:ascii="宋体" w:hAnsi="宋体" w:eastAsia="宋体" w:cs="宋体"/>
          <w:color w:val="auto"/>
          <w:sz w:val="21"/>
          <w:szCs w:val="21"/>
          <w:highlight w:val="none"/>
        </w:rPr>
      </w:pPr>
      <w:bookmarkStart w:id="806" w:name="_Toc497747207"/>
      <w:bookmarkStart w:id="807" w:name="_Toc373227729"/>
      <w:bookmarkStart w:id="808" w:name="_Toc418061340"/>
      <w:bookmarkStart w:id="809" w:name="_Toc522201758"/>
      <w:bookmarkStart w:id="810" w:name="_Toc497746810"/>
      <w:bookmarkStart w:id="811" w:name="_Toc17453"/>
      <w:bookmarkStart w:id="812" w:name="_Toc418751825"/>
      <w:bookmarkStart w:id="813" w:name="_Toc418752271"/>
      <w:bookmarkStart w:id="814" w:name="_Toc418518139"/>
      <w:bookmarkStart w:id="815" w:name="_Toc418518375"/>
      <w:bookmarkStart w:id="816" w:name="_Toc373478376"/>
      <w:bookmarkStart w:id="817" w:name="_Toc403578963"/>
      <w:bookmarkStart w:id="818" w:name="_Toc389065295"/>
      <w:bookmarkStart w:id="819" w:name="_Toc256000208"/>
      <w:r>
        <w:rPr>
          <w:rFonts w:hint="eastAsia" w:ascii="宋体" w:hAnsi="宋体" w:eastAsia="宋体" w:cs="宋体"/>
          <w:color w:val="auto"/>
          <w:sz w:val="21"/>
          <w:szCs w:val="21"/>
          <w:highlight w:val="none"/>
        </w:rPr>
        <w:t>7</w:t>
      </w:r>
      <w:bookmarkStart w:id="820" w:name="_Toc297216180"/>
      <w:bookmarkStart w:id="821" w:name="_Toc312678017"/>
      <w:bookmarkStart w:id="822" w:name="_Toc300934973"/>
      <w:bookmarkStart w:id="823" w:name="_Toc297123521"/>
      <w:bookmarkStart w:id="824" w:name="_Toc304295551"/>
      <w:bookmarkStart w:id="825" w:name="_Toc303539130"/>
      <w:r>
        <w:rPr>
          <w:rFonts w:hint="eastAsia" w:ascii="宋体" w:hAnsi="宋体" w:eastAsia="宋体" w:cs="宋体"/>
          <w:color w:val="auto"/>
          <w:sz w:val="21"/>
          <w:szCs w:val="21"/>
          <w:highlight w:val="none"/>
        </w:rPr>
        <w:t>.7 异常恶劣的气候条件</w:t>
      </w:r>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p>
    <w:bookmarkEnd w:id="820"/>
    <w:bookmarkEnd w:id="821"/>
    <w:bookmarkEnd w:id="822"/>
    <w:bookmarkEnd w:id="823"/>
    <w:bookmarkEnd w:id="824"/>
    <w:bookmarkEnd w:id="825"/>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发包人和承包人同意以下情形视为异常恶劣的气候条件：</w:t>
      </w:r>
    </w:p>
    <w:p>
      <w:pPr>
        <w:pStyle w:val="33"/>
        <w:spacing w:line="380" w:lineRule="exact"/>
        <w:ind w:firstLine="420" w:firstLineChars="200"/>
        <w:rPr>
          <w:rFonts w:hint="eastAsia" w:ascii="宋体" w:hAnsi="宋体" w:eastAsia="宋体" w:cs="宋体"/>
          <w:color w:val="auto"/>
          <w:sz w:val="21"/>
          <w:szCs w:val="21"/>
          <w:highlight w:val="none"/>
          <w:u w:val="single"/>
        </w:rPr>
      </w:pPr>
      <w:bookmarkStart w:id="826" w:name="_Toc418752272"/>
      <w:bookmarkStart w:id="827" w:name="_Toc418751826"/>
      <w:bookmarkStart w:id="828" w:name="_Toc497747208"/>
      <w:bookmarkStart w:id="829" w:name="_Toc373478377"/>
      <w:bookmarkStart w:id="830" w:name="_Toc497746811"/>
      <w:bookmarkStart w:id="831" w:name="_Toc373227730"/>
      <w:bookmarkStart w:id="832" w:name="_Toc418061341"/>
      <w:bookmarkStart w:id="833" w:name="_Toc418518376"/>
      <w:bookmarkStart w:id="834" w:name="_Toc418518140"/>
      <w:bookmarkStart w:id="835" w:name="_Toc403578964"/>
      <w:bookmarkStart w:id="836" w:name="_Toc389065296"/>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10级以上持续1天的大风；</w:t>
      </w:r>
    </w:p>
    <w:p>
      <w:pPr>
        <w:pStyle w:val="33"/>
        <w:numPr>
          <w:ilvl w:val="0"/>
          <w:numId w:val="9"/>
        </w:numPr>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暴雨级以上持续2天的大雨；</w:t>
      </w:r>
    </w:p>
    <w:p>
      <w:pPr>
        <w:pStyle w:val="33"/>
        <w:numPr>
          <w:ilvl w:val="0"/>
          <w:numId w:val="9"/>
        </w:numPr>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当地6级以上的破坏性地震；</w:t>
      </w:r>
    </w:p>
    <w:p>
      <w:pPr>
        <w:pStyle w:val="33"/>
        <w:numPr>
          <w:ilvl w:val="0"/>
          <w:numId w:val="9"/>
        </w:numPr>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50年以上未发生过的持续2天的高温天气；</w:t>
      </w:r>
    </w:p>
    <w:p>
      <w:pPr>
        <w:pStyle w:val="33"/>
        <w:numPr>
          <w:ilvl w:val="0"/>
          <w:numId w:val="9"/>
        </w:numPr>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50年以上未发生的持续2天的低温天气。</w:t>
      </w:r>
    </w:p>
    <w:p>
      <w:pPr>
        <w:pStyle w:val="33"/>
        <w:spacing w:line="380" w:lineRule="exact"/>
        <w:ind w:firstLine="630" w:firstLineChars="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施工场地受淹超过发包人提供设计图纸指明的设计洪水位以及因天气原因无法施工并经监理确认引起延误的情况。承包人有权要求发包人延长工期, 但对上述几种情形，对工程施工造成影响和灾害的，需提供政府相关部门对不可抗力认定的证明材料为依据。</w:t>
      </w:r>
    </w:p>
    <w:p>
      <w:pPr>
        <w:pStyle w:val="33"/>
        <w:spacing w:line="380" w:lineRule="exact"/>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7.8暂停施工</w:t>
      </w:r>
    </w:p>
    <w:p>
      <w:pPr>
        <w:pStyle w:val="38"/>
        <w:spacing w:line="38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7.8.2承包人原因引起的暂停施工</w:t>
      </w:r>
    </w:p>
    <w:p>
      <w:pPr>
        <w:pStyle w:val="33"/>
        <w:spacing w:line="38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承包人承担暂停施工责任的其他情形：</w:t>
      </w:r>
      <w:r>
        <w:rPr>
          <w:rFonts w:hint="eastAsia" w:ascii="宋体" w:hAnsi="宋体" w:eastAsia="宋体" w:cs="宋体"/>
          <w:color w:val="auto"/>
          <w:sz w:val="21"/>
          <w:szCs w:val="21"/>
          <w:highlight w:val="none"/>
          <w:u w:val="single"/>
        </w:rPr>
        <w:t>（1）监理工程师为保证工程质量和施工安全所指令的暂停施工；（2）因质量安全隐患或事故，被建设行政主管部门及安全生产监督责令暂停施工或自行暂停施工；（3）因承包人违反规范或任何工程质量不合格而进行返工、重建、修建的工期；（4）未按设计要求进行施工、或因施工组织方案不可行导致发包人未能按时审批而影响开工的；（5）工程验收不合格发现存在质量问题或技术问题需要修改的；（6）承包人与发包人未能在约定时间内达成一致而暂停施工；（7）工程质量未达到等级标准要求，发包人要求承包人返工的；（8）承包人因农忙时期而暂停施工；综述其工期不予顺延，责任自负。</w:t>
      </w:r>
    </w:p>
    <w:p>
      <w:pPr>
        <w:pStyle w:val="38"/>
        <w:spacing w:line="38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因承包人责任暂停施工延误施工时机而导致遭遇不利条件物质条件和异常恶劣的气候条件、不可抗力造成的工期延误和费用增加由承包人承担。</w:t>
      </w:r>
    </w:p>
    <w:p>
      <w:pPr>
        <w:pStyle w:val="38"/>
        <w:spacing w:line="380" w:lineRule="exact"/>
        <w:ind w:firstLine="0" w:firstLineChars="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7.8.5暂停施工后的复工</w:t>
      </w:r>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监理人发出复工通知后，监理人应和承包人一起对受到暂停施工影响的工程、材料和工程设备进行检查。承包人负责修复在暂停施工期间发生在工程、材料和工程设备上的任何损蚀、缺陷或损失，修复费用由承担暂停施工责任的责任人承担。</w:t>
      </w:r>
    </w:p>
    <w:p>
      <w:pPr>
        <w:pStyle w:val="31"/>
        <w:spacing w:line="380" w:lineRule="exact"/>
        <w:ind w:firstLine="422" w:firstLineChars="200"/>
        <w:rPr>
          <w:rFonts w:hint="eastAsia" w:ascii="宋体" w:hAnsi="宋体" w:eastAsia="宋体" w:cs="宋体"/>
          <w:color w:val="auto"/>
          <w:sz w:val="21"/>
          <w:szCs w:val="21"/>
          <w:highlight w:val="none"/>
        </w:rPr>
      </w:pPr>
      <w:bookmarkStart w:id="837" w:name="_Toc19207"/>
      <w:bookmarkStart w:id="838" w:name="_Toc522201759"/>
      <w:bookmarkStart w:id="839" w:name="_Toc256000209"/>
      <w:r>
        <w:rPr>
          <w:rFonts w:hint="eastAsia" w:ascii="宋体" w:hAnsi="宋体" w:eastAsia="宋体" w:cs="宋体"/>
          <w:color w:val="auto"/>
          <w:sz w:val="21"/>
          <w:szCs w:val="21"/>
          <w:highlight w:val="none"/>
        </w:rPr>
        <w:t>7.9 提前竣工</w:t>
      </w:r>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7.9.2提前竣工的奖励：</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numPr>
          <w:ilvl w:val="0"/>
          <w:numId w:val="10"/>
        </w:numPr>
        <w:spacing w:line="380" w:lineRule="exact"/>
        <w:rPr>
          <w:rFonts w:hint="eastAsia" w:ascii="宋体" w:hAnsi="宋体" w:eastAsia="宋体" w:cs="宋体"/>
          <w:color w:val="auto"/>
          <w:sz w:val="21"/>
          <w:szCs w:val="21"/>
          <w:highlight w:val="none"/>
        </w:rPr>
      </w:pPr>
      <w:bookmarkStart w:id="840" w:name="_Toc373227731"/>
      <w:bookmarkStart w:id="841" w:name="_Toc418061342"/>
      <w:bookmarkStart w:id="842" w:name="_Toc497746812"/>
      <w:bookmarkStart w:id="843" w:name="_Toc15338"/>
      <w:bookmarkStart w:id="844" w:name="_Toc373478378"/>
      <w:bookmarkStart w:id="845" w:name="_Toc418518141"/>
      <w:bookmarkStart w:id="846" w:name="_Toc403578965"/>
      <w:bookmarkStart w:id="847" w:name="_Toc418752273"/>
      <w:bookmarkStart w:id="848" w:name="_Toc418751827"/>
      <w:bookmarkStart w:id="849" w:name="_Toc389065297"/>
      <w:bookmarkStart w:id="850" w:name="_Toc497747209"/>
      <w:bookmarkStart w:id="851" w:name="_Toc351203640"/>
      <w:bookmarkStart w:id="852" w:name="_Toc418518377"/>
      <w:bookmarkStart w:id="853" w:name="_Toc522201760"/>
      <w:bookmarkStart w:id="854" w:name="_Toc256000210"/>
      <w:r>
        <w:rPr>
          <w:rFonts w:hint="eastAsia" w:ascii="宋体" w:hAnsi="宋体" w:eastAsia="宋体" w:cs="宋体"/>
          <w:color w:val="auto"/>
          <w:sz w:val="21"/>
          <w:szCs w:val="21"/>
          <w:highlight w:val="none"/>
        </w:rPr>
        <w:t>材料与设备</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p>
    <w:p>
      <w:pPr>
        <w:pStyle w:val="38"/>
        <w:spacing w:line="38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承包人采购材料和设备的约定：</w:t>
      </w:r>
    </w:p>
    <w:bookmarkEnd w:id="596"/>
    <w:bookmarkEnd w:id="597"/>
    <w:bookmarkEnd w:id="598"/>
    <w:bookmarkEnd w:id="599"/>
    <w:bookmarkEnd w:id="600"/>
    <w:bookmarkEnd w:id="601"/>
    <w:bookmarkEnd w:id="602"/>
    <w:bookmarkEnd w:id="603"/>
    <w:bookmarkEnd w:id="604"/>
    <w:bookmarkEnd w:id="605"/>
    <w:p>
      <w:pPr>
        <w:pStyle w:val="31"/>
        <w:spacing w:line="380" w:lineRule="exact"/>
        <w:ind w:firstLine="422" w:firstLineChars="200"/>
        <w:rPr>
          <w:rFonts w:hint="eastAsia" w:ascii="宋体" w:hAnsi="宋体" w:eastAsia="宋体" w:cs="宋体"/>
          <w:color w:val="auto"/>
          <w:sz w:val="21"/>
          <w:szCs w:val="21"/>
          <w:highlight w:val="none"/>
        </w:rPr>
      </w:pPr>
      <w:bookmarkStart w:id="855" w:name="_Toc497747210"/>
      <w:bookmarkStart w:id="856" w:name="_Toc12443"/>
      <w:bookmarkStart w:id="857" w:name="_Toc418518378"/>
      <w:bookmarkStart w:id="858" w:name="_Toc522201761"/>
      <w:bookmarkStart w:id="859" w:name="_Toc418061343"/>
      <w:bookmarkStart w:id="860" w:name="_Toc373227732"/>
      <w:bookmarkStart w:id="861" w:name="_Toc403578966"/>
      <w:bookmarkStart w:id="862" w:name="_Toc497746813"/>
      <w:bookmarkStart w:id="863" w:name="_Toc373478379"/>
      <w:bookmarkStart w:id="864" w:name="_Toc418518142"/>
      <w:bookmarkStart w:id="865" w:name="_Toc418752274"/>
      <w:bookmarkStart w:id="866" w:name="_Toc389065298"/>
      <w:bookmarkStart w:id="867" w:name="_Toc418751828"/>
      <w:bookmarkStart w:id="868" w:name="_Toc256000211"/>
      <w:r>
        <w:rPr>
          <w:rFonts w:hint="eastAsia" w:ascii="宋体" w:hAnsi="宋体" w:eastAsia="宋体" w:cs="宋体"/>
          <w:color w:val="auto"/>
          <w:sz w:val="21"/>
          <w:szCs w:val="21"/>
          <w:highlight w:val="none"/>
        </w:rPr>
        <w:t>8.2 承包人采购材料与工程设备</w:t>
      </w:r>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除已标价工程量清单《发包人提供主要材料和工程设备一览表》（表-21）中明确的材料、工程设备外，由承包人负责材料和工程设备的采购、运输和保管。《</w:t>
      </w:r>
      <w:r>
        <w:rPr>
          <w:rFonts w:hint="eastAsia" w:ascii="宋体" w:hAnsi="宋体" w:eastAsia="宋体" w:cs="宋体"/>
          <w:color w:val="auto"/>
          <w:sz w:val="21"/>
          <w:szCs w:val="21"/>
          <w:highlight w:val="none"/>
        </w:rPr>
        <w:t>承包人提供主要材料和工程设备一览表》</w:t>
      </w:r>
      <w:r>
        <w:rPr>
          <w:rFonts w:hint="eastAsia" w:ascii="宋体" w:hAnsi="宋体" w:eastAsia="宋体" w:cs="宋体"/>
          <w:color w:val="auto"/>
          <w:kern w:val="0"/>
          <w:sz w:val="21"/>
          <w:szCs w:val="21"/>
          <w:highlight w:val="none"/>
        </w:rPr>
        <w:t>（表-22）见已标价工程量清单。</w:t>
      </w:r>
    </w:p>
    <w:p>
      <w:pPr>
        <w:pStyle w:val="31"/>
        <w:spacing w:line="380" w:lineRule="exact"/>
        <w:ind w:firstLine="422" w:firstLineChars="200"/>
        <w:rPr>
          <w:rFonts w:hint="eastAsia" w:ascii="宋体" w:hAnsi="宋体" w:eastAsia="宋体" w:cs="宋体"/>
          <w:color w:val="auto"/>
          <w:sz w:val="21"/>
          <w:szCs w:val="21"/>
          <w:highlight w:val="none"/>
        </w:rPr>
      </w:pPr>
      <w:bookmarkStart w:id="869" w:name="_Toc13675"/>
      <w:bookmarkStart w:id="870" w:name="_Toc497746814"/>
      <w:bookmarkStart w:id="871" w:name="_Toc389065299"/>
      <w:bookmarkStart w:id="872" w:name="_Toc373478380"/>
      <w:bookmarkStart w:id="873" w:name="_Toc418518143"/>
      <w:bookmarkStart w:id="874" w:name="_Toc373227733"/>
      <w:bookmarkStart w:id="875" w:name="_Toc418061344"/>
      <w:bookmarkStart w:id="876" w:name="_Toc403578967"/>
      <w:bookmarkStart w:id="877" w:name="_Toc497747211"/>
      <w:bookmarkStart w:id="878" w:name="_Toc256000212"/>
      <w:bookmarkStart w:id="879" w:name="_Toc418752275"/>
      <w:bookmarkStart w:id="880" w:name="_Toc418751829"/>
      <w:bookmarkStart w:id="881" w:name="_Toc522201762"/>
      <w:bookmarkStart w:id="882" w:name="_Toc418518379"/>
      <w:r>
        <w:rPr>
          <w:rFonts w:hint="eastAsia" w:ascii="宋体" w:hAnsi="宋体" w:eastAsia="宋体" w:cs="宋体"/>
          <w:color w:val="auto"/>
          <w:sz w:val="21"/>
          <w:szCs w:val="21"/>
          <w:highlight w:val="none"/>
        </w:rPr>
        <w:t>8</w:t>
      </w:r>
      <w:bookmarkStart w:id="883" w:name="_Toc292559372"/>
      <w:bookmarkStart w:id="884" w:name="_Toc296890995"/>
      <w:bookmarkStart w:id="885" w:name="_Toc303539136"/>
      <w:bookmarkStart w:id="886" w:name="_Toc292559877"/>
      <w:bookmarkStart w:id="887" w:name="_Toc297216186"/>
      <w:bookmarkStart w:id="888" w:name="_Toc312677493"/>
      <w:bookmarkStart w:id="889" w:name="_Toc297048353"/>
      <w:bookmarkStart w:id="890" w:name="_Toc297123527"/>
      <w:bookmarkStart w:id="891" w:name="_Toc296503167"/>
      <w:bookmarkStart w:id="892" w:name="_Toc296891207"/>
      <w:bookmarkStart w:id="893" w:name="_Toc296346668"/>
      <w:bookmarkStart w:id="894" w:name="_Toc296347166"/>
      <w:bookmarkStart w:id="895" w:name="_Toc304295556"/>
      <w:bookmarkStart w:id="896" w:name="_Toc312678019"/>
      <w:bookmarkStart w:id="897" w:name="_Toc300934979"/>
      <w:bookmarkStart w:id="898" w:name="_Toc297120467"/>
      <w:bookmarkStart w:id="899" w:name="_Toc296944506"/>
      <w:bookmarkStart w:id="900" w:name="_Toc280868654"/>
      <w:bookmarkStart w:id="901" w:name="_Toc267251424"/>
      <w:bookmarkStart w:id="902" w:name="_Toc280868656"/>
      <w:bookmarkStart w:id="903" w:name="_Toc280868655"/>
      <w:r>
        <w:rPr>
          <w:rFonts w:hint="eastAsia" w:ascii="宋体" w:hAnsi="宋体" w:eastAsia="宋体" w:cs="宋体"/>
          <w:color w:val="auto"/>
          <w:sz w:val="21"/>
          <w:szCs w:val="21"/>
          <w:highlight w:val="none"/>
        </w:rPr>
        <w:t>.4 材料与工程设备的保管与使用</w:t>
      </w:r>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p>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bookmarkStart w:id="904" w:name="_Toc292559878"/>
      <w:bookmarkStart w:id="905" w:name="_Toc292559373"/>
      <w:bookmarkStart w:id="906" w:name="_Toc304295557"/>
      <w:bookmarkStart w:id="907" w:name="_Toc297216187"/>
      <w:bookmarkStart w:id="908" w:name="_Toc303539137"/>
      <w:bookmarkStart w:id="909" w:name="_Toc296503168"/>
      <w:bookmarkStart w:id="910" w:name="_Toc296890996"/>
      <w:bookmarkStart w:id="911" w:name="_Toc296944507"/>
      <w:bookmarkStart w:id="912" w:name="_Toc296891208"/>
      <w:bookmarkStart w:id="913" w:name="_Toc312677494"/>
      <w:bookmarkStart w:id="914" w:name="_Toc297123528"/>
      <w:bookmarkStart w:id="915" w:name="_Toc296346669"/>
      <w:bookmarkStart w:id="916" w:name="_Toc297120468"/>
      <w:bookmarkStart w:id="917" w:name="_Toc318581173"/>
      <w:bookmarkStart w:id="918" w:name="_Toc297048354"/>
      <w:bookmarkStart w:id="919" w:name="_Toc312678020"/>
      <w:bookmarkStart w:id="920" w:name="_Toc300934980"/>
      <w:bookmarkStart w:id="921" w:name="_Toc296347167"/>
      <w:r>
        <w:rPr>
          <w:rFonts w:hint="eastAsia" w:ascii="宋体" w:hAnsi="宋体" w:eastAsia="宋体" w:cs="宋体"/>
          <w:color w:val="auto"/>
          <w:sz w:val="21"/>
          <w:szCs w:val="21"/>
          <w:highlight w:val="none"/>
        </w:rPr>
        <w:t>.4.1发包人供应的材料设备的保管费用的承担：</w:t>
      </w:r>
      <w:r>
        <w:rPr>
          <w:rFonts w:hint="eastAsia" w:ascii="宋体" w:hAnsi="宋体" w:eastAsia="宋体" w:cs="宋体"/>
          <w:color w:val="auto"/>
          <w:sz w:val="21"/>
          <w:szCs w:val="21"/>
          <w:highlight w:val="none"/>
          <w:u w:val="single"/>
        </w:rPr>
        <w:t>发包人供应的材料和设备经三方验收合格后，保管费用由承包人承担</w:t>
      </w:r>
      <w:r>
        <w:rPr>
          <w:rFonts w:hint="eastAsia" w:ascii="宋体" w:hAnsi="宋体" w:eastAsia="宋体" w:cs="宋体"/>
          <w:color w:val="auto"/>
          <w:sz w:val="21"/>
          <w:szCs w:val="21"/>
          <w:highlight w:val="none"/>
        </w:rPr>
        <w:t>。</w:t>
      </w:r>
    </w:p>
    <w:bookmarkEnd w:id="904"/>
    <w:bookmarkEnd w:id="905"/>
    <w:p>
      <w:pPr>
        <w:pStyle w:val="31"/>
        <w:spacing w:line="380" w:lineRule="exact"/>
        <w:ind w:firstLine="422" w:firstLineChars="200"/>
        <w:rPr>
          <w:rFonts w:hint="eastAsia" w:ascii="宋体" w:hAnsi="宋体" w:eastAsia="宋体" w:cs="宋体"/>
          <w:color w:val="auto"/>
          <w:sz w:val="21"/>
          <w:szCs w:val="21"/>
          <w:highlight w:val="none"/>
        </w:rPr>
      </w:pPr>
      <w:bookmarkStart w:id="922" w:name="_Toc4994"/>
      <w:bookmarkStart w:id="923" w:name="_Toc418061345"/>
      <w:bookmarkStart w:id="924" w:name="_Toc389065300"/>
      <w:bookmarkStart w:id="925" w:name="_Toc418751830"/>
      <w:bookmarkStart w:id="926" w:name="_Toc522201763"/>
      <w:bookmarkStart w:id="927" w:name="_Toc418752276"/>
      <w:bookmarkStart w:id="928" w:name="_Toc418518380"/>
      <w:bookmarkStart w:id="929" w:name="_Toc497746815"/>
      <w:bookmarkStart w:id="930" w:name="_Toc497747212"/>
      <w:bookmarkStart w:id="931" w:name="_Toc256000213"/>
      <w:bookmarkStart w:id="932" w:name="_Toc418518144"/>
      <w:bookmarkStart w:id="933" w:name="_Toc403578968"/>
      <w:bookmarkStart w:id="934" w:name="_Toc373478381"/>
      <w:bookmarkStart w:id="935" w:name="_Toc373227734"/>
      <w:r>
        <w:rPr>
          <w:rFonts w:hint="eastAsia" w:ascii="宋体" w:hAnsi="宋体" w:eastAsia="宋体" w:cs="宋体"/>
          <w:color w:val="auto"/>
          <w:sz w:val="21"/>
          <w:szCs w:val="21"/>
          <w:highlight w:val="none"/>
        </w:rPr>
        <w:t>8.6 样品</w:t>
      </w:r>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8.6.1 样品的报送与封存</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需要承包人报送样品的材料或工程设备，样品的种类、名称、规格、数量要求：</w:t>
      </w:r>
      <w:r>
        <w:rPr>
          <w:rFonts w:hint="eastAsia" w:ascii="宋体" w:hAnsi="宋体" w:eastAsia="宋体" w:cs="宋体"/>
          <w:color w:val="auto"/>
          <w:sz w:val="21"/>
          <w:szCs w:val="21"/>
          <w:highlight w:val="none"/>
          <w:u w:val="single"/>
        </w:rPr>
        <w:t>主要材料涉及品种、款式、颜色等方面内容的，承包人在进货前需将货物样品报送监理或发包人现场办公室，待设计及发包人确认样品，并封存样品后，承包人方可订货。除上述材料外招标文件和招标工程量清单中对材料、设备有档次或质量要求的，按招标文件和招标工程量清单确定；其他由合同各方协商确定。</w:t>
      </w:r>
    </w:p>
    <w:p>
      <w:pPr>
        <w:pStyle w:val="31"/>
        <w:spacing w:line="380" w:lineRule="exact"/>
        <w:ind w:firstLine="422" w:firstLineChars="200"/>
        <w:rPr>
          <w:rFonts w:hint="eastAsia" w:ascii="宋体" w:hAnsi="宋体" w:eastAsia="宋体" w:cs="宋体"/>
          <w:color w:val="auto"/>
          <w:sz w:val="21"/>
          <w:szCs w:val="21"/>
          <w:highlight w:val="none"/>
        </w:rPr>
      </w:pPr>
      <w:bookmarkStart w:id="936" w:name="_Toc418518145"/>
      <w:bookmarkStart w:id="937" w:name="_Toc418752277"/>
      <w:bookmarkStart w:id="938" w:name="_Toc13340"/>
      <w:bookmarkStart w:id="939" w:name="_Toc418518381"/>
      <w:bookmarkStart w:id="940" w:name="_Toc497746816"/>
      <w:bookmarkStart w:id="941" w:name="_Toc403578969"/>
      <w:bookmarkStart w:id="942" w:name="_Toc418751831"/>
      <w:bookmarkStart w:id="943" w:name="_Toc256000214"/>
      <w:bookmarkStart w:id="944" w:name="_Toc373227735"/>
      <w:bookmarkStart w:id="945" w:name="_Toc418061346"/>
      <w:bookmarkStart w:id="946" w:name="_Toc522201764"/>
      <w:bookmarkStart w:id="947" w:name="_Toc389065301"/>
      <w:bookmarkStart w:id="948" w:name="_Toc373478382"/>
      <w:bookmarkStart w:id="949" w:name="_Toc497747213"/>
      <w:r>
        <w:rPr>
          <w:rFonts w:hint="eastAsia" w:ascii="宋体" w:hAnsi="宋体" w:eastAsia="宋体" w:cs="宋体"/>
          <w:color w:val="auto"/>
          <w:sz w:val="21"/>
          <w:szCs w:val="21"/>
          <w:highlight w:val="none"/>
        </w:rPr>
        <w:t>8.8 施工设备和临时设施</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8.8.1 承包人提供的施工设备和临时设施</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除专用合同条款另有约定的其他独立承包人和监理人指示的他人提供条件外，承包人运入施工场地的所有施工设备以及在施工场地建设的临时设施仅限于用于合同工程。承包人用于本工程的主要机械设备清单见合同附件5。</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关于修建临时设施费用承担的约定：</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①承包人的临时用地（含项目部驻地等）租用费（含拆迁补偿）、临时用地的环保、恢复、临时用地的青苗补偿及地面附着物拆除等费用均由承包人负责，以上费用在投标报价中综合考虑。 </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②承包人负责合同实施期间其合同段内临时交通道路和交通设施的修建、维修、养护和交通管理工作，并承担一切费用。 </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 xml:space="preserve">③承包人修建的临时道路和交通设施，应免费提供给发包人、监理工程师和其他合同段的承包人使用，如共同使用的路基损坏严重，发包人或监理工程师将负责通知有关承包人共同出资修复，若使用频率相差悬殊，则按比例分摊。 </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④承包人在发包人拟开发区域内已经搭设的施工现场办公等临时设施，一旦发包人因开发需要，通知承包人搬迁、拆除的，承包人应无条件在规定期限内搬迁、拆除，发包人不另行支付搬迁、拆除等费用。承包人自行解决民工住宿问题，并承担因此而增加的交通费用、工人生产降效等相关费用。</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8.8.2 发包人提供的施工设备和临时设施</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发包人提供的施工设备和临时设施的运行、维护、拆除、清运费用的承担人：</w:t>
      </w:r>
      <w:r>
        <w:rPr>
          <w:rFonts w:hint="eastAsia" w:ascii="宋体" w:hAnsi="宋体" w:eastAsia="宋体" w:cs="宋体"/>
          <w:color w:val="auto"/>
          <w:sz w:val="21"/>
          <w:szCs w:val="21"/>
          <w:highlight w:val="none"/>
          <w:u w:val="single"/>
        </w:rPr>
        <w:t xml:space="preserve">  承包人  </w:t>
      </w:r>
      <w:r>
        <w:rPr>
          <w:rFonts w:hint="eastAsia" w:ascii="宋体" w:hAnsi="宋体" w:eastAsia="宋体" w:cs="宋体"/>
          <w:color w:val="auto"/>
          <w:sz w:val="21"/>
          <w:szCs w:val="21"/>
          <w:highlight w:val="none"/>
        </w:rPr>
        <w:t>。</w:t>
      </w:r>
    </w:p>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p>
      <w:pPr>
        <w:pStyle w:val="31"/>
        <w:spacing w:line="380" w:lineRule="exact"/>
        <w:rPr>
          <w:rFonts w:hint="eastAsia" w:ascii="宋体" w:hAnsi="宋体" w:eastAsia="宋体" w:cs="宋体"/>
          <w:color w:val="auto"/>
          <w:sz w:val="21"/>
          <w:szCs w:val="21"/>
          <w:highlight w:val="none"/>
        </w:rPr>
      </w:pPr>
      <w:bookmarkStart w:id="950" w:name="_Toc256000215"/>
      <w:bookmarkStart w:id="951" w:name="_Toc403578970"/>
      <w:bookmarkStart w:id="952" w:name="_Toc497747214"/>
      <w:bookmarkStart w:id="953" w:name="_Toc497746817"/>
      <w:bookmarkStart w:id="954" w:name="_Toc522201765"/>
      <w:bookmarkStart w:id="955" w:name="_Toc418518146"/>
      <w:bookmarkStart w:id="956" w:name="_Toc389065302"/>
      <w:bookmarkStart w:id="957" w:name="_Toc373227736"/>
      <w:bookmarkStart w:id="958" w:name="_Toc418752278"/>
      <w:bookmarkStart w:id="959" w:name="_Toc24671"/>
      <w:bookmarkStart w:id="960" w:name="_Toc351203641"/>
      <w:bookmarkStart w:id="961" w:name="_Toc418518382"/>
      <w:bookmarkStart w:id="962" w:name="_Toc373478383"/>
      <w:bookmarkStart w:id="963" w:name="_Toc418061347"/>
      <w:bookmarkStart w:id="964" w:name="_Toc418751832"/>
      <w:r>
        <w:rPr>
          <w:rFonts w:hint="eastAsia" w:ascii="宋体" w:hAnsi="宋体" w:eastAsia="宋体" w:cs="宋体"/>
          <w:color w:val="auto"/>
          <w:sz w:val="21"/>
          <w:szCs w:val="21"/>
          <w:highlight w:val="none"/>
        </w:rPr>
        <w:t>9</w:t>
      </w:r>
      <w:bookmarkEnd w:id="901"/>
      <w:bookmarkEnd w:id="902"/>
      <w:bookmarkEnd w:id="903"/>
      <w:bookmarkStart w:id="965" w:name="_Toc297216192"/>
      <w:bookmarkStart w:id="966" w:name="_Toc300934982"/>
      <w:bookmarkStart w:id="967" w:name="_Toc312678021"/>
      <w:bookmarkStart w:id="968" w:name="_Toc297123533"/>
      <w:bookmarkStart w:id="969" w:name="_Toc304295559"/>
      <w:bookmarkStart w:id="970" w:name="_Toc312677495"/>
      <w:bookmarkStart w:id="971" w:name="_Toc303539139"/>
      <w:bookmarkStart w:id="972" w:name="_Toc296944512"/>
      <w:bookmarkStart w:id="973" w:name="_Toc296347172"/>
      <w:bookmarkStart w:id="974" w:name="_Toc267251428"/>
      <w:bookmarkStart w:id="975" w:name="_Toc296891213"/>
      <w:bookmarkStart w:id="976" w:name="_Toc292559883"/>
      <w:bookmarkStart w:id="977" w:name="_Toc292559378"/>
      <w:bookmarkStart w:id="978" w:name="_Toc297048359"/>
      <w:bookmarkStart w:id="979" w:name="_Toc296891001"/>
      <w:bookmarkStart w:id="980" w:name="_Toc296346674"/>
      <w:bookmarkStart w:id="981" w:name="_Toc296503173"/>
      <w:bookmarkStart w:id="982" w:name="_Toc267251427"/>
      <w:bookmarkStart w:id="983" w:name="_Toc297120473"/>
      <w:r>
        <w:rPr>
          <w:rFonts w:hint="eastAsia" w:ascii="宋体" w:hAnsi="宋体" w:eastAsia="宋体" w:cs="宋体"/>
          <w:color w:val="auto"/>
          <w:sz w:val="21"/>
          <w:szCs w:val="21"/>
          <w:highlight w:val="none"/>
        </w:rPr>
        <w:t>. 试验与检验</w:t>
      </w:r>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p>
    <w:bookmarkEnd w:id="965"/>
    <w:bookmarkEnd w:id="966"/>
    <w:bookmarkEnd w:id="967"/>
    <w:bookmarkEnd w:id="968"/>
    <w:bookmarkEnd w:id="969"/>
    <w:bookmarkEnd w:id="970"/>
    <w:bookmarkEnd w:id="971"/>
    <w:p>
      <w:pPr>
        <w:pStyle w:val="31"/>
        <w:spacing w:line="380" w:lineRule="exact"/>
        <w:ind w:firstLine="422" w:firstLineChars="200"/>
        <w:rPr>
          <w:rFonts w:hint="eastAsia" w:ascii="宋体" w:hAnsi="宋体" w:eastAsia="宋体" w:cs="宋体"/>
          <w:color w:val="auto"/>
          <w:sz w:val="21"/>
          <w:szCs w:val="21"/>
          <w:highlight w:val="none"/>
        </w:rPr>
      </w:pPr>
      <w:bookmarkStart w:id="984" w:name="_Toc373478384"/>
      <w:bookmarkStart w:id="985" w:name="_Toc497747215"/>
      <w:bookmarkStart w:id="986" w:name="_Toc522201766"/>
      <w:bookmarkStart w:id="987" w:name="_Toc418518383"/>
      <w:bookmarkStart w:id="988" w:name="_Toc418061348"/>
      <w:bookmarkStart w:id="989" w:name="_Toc418752279"/>
      <w:bookmarkStart w:id="990" w:name="_Toc373227737"/>
      <w:bookmarkStart w:id="991" w:name="_Toc389065303"/>
      <w:bookmarkStart w:id="992" w:name="_Toc418751833"/>
      <w:bookmarkStart w:id="993" w:name="_Toc497746818"/>
      <w:bookmarkStart w:id="994" w:name="_Toc13651"/>
      <w:bookmarkStart w:id="995" w:name="_Toc403578971"/>
      <w:bookmarkStart w:id="996" w:name="_Toc256000216"/>
      <w:bookmarkStart w:id="997" w:name="_Toc418518147"/>
      <w:r>
        <w:rPr>
          <w:rFonts w:hint="eastAsia" w:ascii="宋体" w:hAnsi="宋体" w:eastAsia="宋体" w:cs="宋体"/>
          <w:color w:val="auto"/>
          <w:sz w:val="21"/>
          <w:szCs w:val="21"/>
          <w:highlight w:val="none"/>
        </w:rPr>
        <w:t>9</w:t>
      </w:r>
      <w:bookmarkStart w:id="998" w:name="_Toc303539140"/>
      <w:bookmarkStart w:id="999" w:name="_Toc312677496"/>
      <w:bookmarkStart w:id="1000" w:name="_Toc297216193"/>
      <w:bookmarkStart w:id="1001" w:name="_Toc312678022"/>
      <w:bookmarkStart w:id="1002" w:name="_Toc300934983"/>
      <w:bookmarkStart w:id="1003" w:name="_Toc304295560"/>
      <w:bookmarkStart w:id="1004" w:name="_Toc297123534"/>
      <w:r>
        <w:rPr>
          <w:rFonts w:hint="eastAsia" w:ascii="宋体" w:hAnsi="宋体" w:eastAsia="宋体" w:cs="宋体"/>
          <w:color w:val="auto"/>
          <w:sz w:val="21"/>
          <w:szCs w:val="21"/>
          <w:highlight w:val="none"/>
        </w:rPr>
        <w:t>.1 试验设备与试验人员</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p>
    <w:bookmarkEnd w:id="998"/>
    <w:bookmarkEnd w:id="999"/>
    <w:bookmarkEnd w:id="1000"/>
    <w:bookmarkEnd w:id="1001"/>
    <w:bookmarkEnd w:id="1002"/>
    <w:bookmarkEnd w:id="1003"/>
    <w:bookmarkEnd w:id="1004"/>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bookmarkStart w:id="1005" w:name="_Toc300934984"/>
      <w:bookmarkStart w:id="1006" w:name="_Toc297216194"/>
      <w:bookmarkStart w:id="1007" w:name="_Toc297123535"/>
      <w:bookmarkStart w:id="1008" w:name="_Toc312678023"/>
      <w:bookmarkStart w:id="1009" w:name="_Toc304295561"/>
      <w:bookmarkStart w:id="1010" w:name="_Toc303539141"/>
      <w:bookmarkStart w:id="1011" w:name="_Toc312677497"/>
      <w:bookmarkStart w:id="1012" w:name="_Toc318581174"/>
      <w:r>
        <w:rPr>
          <w:rFonts w:hint="eastAsia" w:ascii="宋体" w:hAnsi="宋体" w:eastAsia="宋体" w:cs="宋体"/>
          <w:color w:val="auto"/>
          <w:sz w:val="21"/>
          <w:szCs w:val="21"/>
          <w:highlight w:val="none"/>
        </w:rPr>
        <w:t>.1.2 试验设备</w:t>
      </w:r>
    </w:p>
    <w:bookmarkEnd w:id="1005"/>
    <w:bookmarkEnd w:id="1006"/>
    <w:bookmarkEnd w:id="1007"/>
    <w:bookmarkEnd w:id="1008"/>
    <w:bookmarkEnd w:id="1009"/>
    <w:bookmarkEnd w:id="1010"/>
    <w:bookmarkEnd w:id="1011"/>
    <w:p>
      <w:pPr>
        <w:pStyle w:val="33"/>
        <w:spacing w:line="380" w:lineRule="exact"/>
        <w:ind w:firstLine="420" w:firstLineChars="200"/>
        <w:jc w:val="left"/>
        <w:rPr>
          <w:rFonts w:hint="eastAsia" w:ascii="宋体" w:hAnsi="宋体" w:eastAsia="宋体" w:cs="宋体"/>
          <w:color w:val="auto"/>
          <w:sz w:val="21"/>
          <w:szCs w:val="21"/>
          <w:highlight w:val="none"/>
        </w:rPr>
      </w:pPr>
      <w:bookmarkStart w:id="1013" w:name="_Toc303539142"/>
      <w:bookmarkStart w:id="1014" w:name="_Toc297123536"/>
      <w:bookmarkStart w:id="1015" w:name="_Toc300934985"/>
      <w:bookmarkStart w:id="1016" w:name="_Toc312678024"/>
      <w:bookmarkStart w:id="1017" w:name="_Toc312677498"/>
      <w:bookmarkStart w:id="1018" w:name="_Toc304295562"/>
      <w:bookmarkStart w:id="1019" w:name="_Toc297216195"/>
      <w:r>
        <w:rPr>
          <w:rFonts w:hint="eastAsia" w:ascii="宋体" w:hAnsi="宋体" w:eastAsia="宋体" w:cs="宋体"/>
          <w:color w:val="auto"/>
          <w:sz w:val="21"/>
          <w:szCs w:val="21"/>
          <w:highlight w:val="none"/>
        </w:rPr>
        <w:t>施工现场需要配置的试验场所：</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 xml:space="preserve">。 </w:t>
      </w:r>
    </w:p>
    <w:p>
      <w:pPr>
        <w:pStyle w:val="33"/>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施工现场需要配备的试验设备：</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施工现场需要具备的其他试验条件：</w:t>
      </w:r>
      <w:r>
        <w:rPr>
          <w:rFonts w:hint="eastAsia" w:ascii="宋体" w:hAnsi="宋体" w:eastAsia="宋体" w:cs="宋体"/>
          <w:color w:val="auto"/>
          <w:sz w:val="21"/>
          <w:szCs w:val="21"/>
          <w:highlight w:val="none"/>
          <w:u w:val="single"/>
        </w:rPr>
        <w:t xml:space="preserve"> 由承包人承担，所需费用包含在投标报价中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020" w:name="_Toc418518148"/>
      <w:bookmarkStart w:id="1021" w:name="_Toc373478385"/>
      <w:bookmarkStart w:id="1022" w:name="_Toc497746819"/>
      <w:bookmarkStart w:id="1023" w:name="_Toc418518384"/>
      <w:bookmarkStart w:id="1024" w:name="_Toc497747216"/>
      <w:bookmarkStart w:id="1025" w:name="_Toc403578972"/>
      <w:bookmarkStart w:id="1026" w:name="_Toc389065304"/>
      <w:bookmarkStart w:id="1027" w:name="_Toc522201767"/>
      <w:bookmarkStart w:id="1028" w:name="_Toc418752280"/>
      <w:bookmarkStart w:id="1029" w:name="_Toc256000217"/>
      <w:bookmarkStart w:id="1030" w:name="_Toc418751834"/>
      <w:bookmarkStart w:id="1031" w:name="_Toc373227738"/>
      <w:bookmarkStart w:id="1032" w:name="_Toc23915"/>
      <w:bookmarkStart w:id="1033" w:name="_Toc418061349"/>
      <w:r>
        <w:rPr>
          <w:rFonts w:hint="eastAsia" w:ascii="宋体" w:hAnsi="宋体" w:eastAsia="宋体" w:cs="宋体"/>
          <w:color w:val="auto"/>
          <w:sz w:val="21"/>
          <w:szCs w:val="21"/>
          <w:highlight w:val="none"/>
        </w:rPr>
        <w:t>9.4 现场工艺试验</w:t>
      </w:r>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现场工艺试验的有关约定：</w:t>
      </w:r>
      <w:r>
        <w:rPr>
          <w:rFonts w:hint="eastAsia" w:ascii="宋体" w:hAnsi="宋体" w:eastAsia="宋体" w:cs="宋体"/>
          <w:color w:val="auto"/>
          <w:sz w:val="21"/>
          <w:szCs w:val="21"/>
          <w:highlight w:val="none"/>
          <w:u w:val="single"/>
        </w:rPr>
        <w:t xml:space="preserve">  按通用条款执行</w:t>
      </w:r>
      <w:r>
        <w:rPr>
          <w:rFonts w:hint="eastAsia" w:ascii="宋体" w:hAnsi="宋体" w:eastAsia="宋体" w:cs="宋体"/>
          <w:color w:val="auto"/>
          <w:sz w:val="21"/>
          <w:szCs w:val="21"/>
          <w:highlight w:val="none"/>
        </w:rPr>
        <w:t>。</w:t>
      </w:r>
      <w:bookmarkStart w:id="1034" w:name="_Toc406522259"/>
      <w:bookmarkStart w:id="1035" w:name="_Toc406420990"/>
      <w:bookmarkStart w:id="1036" w:name="_Toc395382541"/>
      <w:bookmarkStart w:id="1037" w:name="OLE_LINK1"/>
    </w:p>
    <w:p>
      <w:pPr>
        <w:pStyle w:val="33"/>
        <w:spacing w:line="380" w:lineRule="exact"/>
        <w:ind w:firstLine="422" w:firstLineChars="200"/>
        <w:jc w:val="lef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9.5 检验费用</w:t>
      </w:r>
      <w:bookmarkEnd w:id="1034"/>
      <w:bookmarkEnd w:id="1035"/>
      <w:bookmarkEnd w:id="1036"/>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根据《建设工程质量检测管理办法》（建设部令第141号）以及</w:t>
      </w:r>
      <w:r>
        <w:rPr>
          <w:rFonts w:hint="eastAsia" w:ascii="宋体" w:hAnsi="宋体" w:eastAsia="宋体" w:cs="宋体"/>
          <w:bCs/>
          <w:color w:val="auto"/>
          <w:sz w:val="21"/>
          <w:szCs w:val="21"/>
          <w:highlight w:val="none"/>
        </w:rPr>
        <w:t>《广西壮族自治区建设工程质量检测管理规定》（桂建管〔2013〕11号）</w:t>
      </w:r>
      <w:r>
        <w:rPr>
          <w:rFonts w:hint="eastAsia" w:ascii="宋体" w:hAnsi="宋体" w:eastAsia="宋体" w:cs="宋体"/>
          <w:color w:val="auto"/>
          <w:sz w:val="21"/>
          <w:szCs w:val="21"/>
          <w:highlight w:val="none"/>
        </w:rPr>
        <w:t>规定，工程质量检测业务由发包人委托有相应资质的检测机构检测。费用从发包人的项目建设经费中支出并直接支付给检测机构，不计入合同价款内。</w:t>
      </w:r>
      <w:bookmarkEnd w:id="1037"/>
    </w:p>
    <w:bookmarkEnd w:id="1012"/>
    <w:bookmarkEnd w:id="1013"/>
    <w:bookmarkEnd w:id="1014"/>
    <w:bookmarkEnd w:id="1015"/>
    <w:bookmarkEnd w:id="1016"/>
    <w:bookmarkEnd w:id="1017"/>
    <w:bookmarkEnd w:id="1018"/>
    <w:bookmarkEnd w:id="1019"/>
    <w:p>
      <w:pPr>
        <w:pStyle w:val="31"/>
        <w:spacing w:line="380" w:lineRule="exact"/>
        <w:rPr>
          <w:rFonts w:hint="eastAsia" w:ascii="宋体" w:hAnsi="宋体" w:eastAsia="宋体" w:cs="宋体"/>
          <w:color w:val="auto"/>
          <w:sz w:val="21"/>
          <w:szCs w:val="21"/>
          <w:highlight w:val="none"/>
        </w:rPr>
      </w:pPr>
      <w:bookmarkStart w:id="1038" w:name="_Toc497747218"/>
      <w:bookmarkStart w:id="1039" w:name="_Toc497746821"/>
      <w:bookmarkStart w:id="1040" w:name="_Toc418752282"/>
      <w:bookmarkStart w:id="1041" w:name="_Toc522201768"/>
      <w:bookmarkStart w:id="1042" w:name="_Toc373478386"/>
      <w:bookmarkStart w:id="1043" w:name="_Toc403578974"/>
      <w:bookmarkStart w:id="1044" w:name="_Toc418061351"/>
      <w:bookmarkStart w:id="1045" w:name="_Toc389065305"/>
      <w:bookmarkStart w:id="1046" w:name="_Toc418751836"/>
      <w:bookmarkStart w:id="1047" w:name="_Toc418518150"/>
      <w:bookmarkStart w:id="1048" w:name="_Toc418518386"/>
      <w:bookmarkStart w:id="1049" w:name="_Toc5053"/>
      <w:bookmarkStart w:id="1050" w:name="_Toc373227739"/>
      <w:bookmarkStart w:id="1051" w:name="_Toc256000218"/>
      <w:bookmarkStart w:id="1052" w:name="_Toc351203642"/>
      <w:r>
        <w:rPr>
          <w:rFonts w:hint="eastAsia" w:ascii="宋体" w:hAnsi="宋体" w:eastAsia="宋体" w:cs="宋体"/>
          <w:color w:val="auto"/>
          <w:sz w:val="21"/>
          <w:szCs w:val="21"/>
          <w:highlight w:val="none"/>
        </w:rPr>
        <w:t>1</w:t>
      </w:r>
      <w:bookmarkEnd w:id="972"/>
      <w:bookmarkEnd w:id="973"/>
      <w:bookmarkEnd w:id="974"/>
      <w:bookmarkEnd w:id="975"/>
      <w:bookmarkEnd w:id="976"/>
      <w:bookmarkEnd w:id="977"/>
      <w:bookmarkEnd w:id="978"/>
      <w:bookmarkEnd w:id="979"/>
      <w:bookmarkEnd w:id="980"/>
      <w:bookmarkEnd w:id="981"/>
      <w:bookmarkEnd w:id="982"/>
      <w:bookmarkEnd w:id="983"/>
      <w:bookmarkStart w:id="1053" w:name="_Toc296503193"/>
      <w:bookmarkStart w:id="1054" w:name="_Toc292559398"/>
      <w:bookmarkStart w:id="1055" w:name="_Toc303539146"/>
      <w:bookmarkStart w:id="1056" w:name="_Toc296891021"/>
      <w:bookmarkStart w:id="1057" w:name="_Toc304295566"/>
      <w:bookmarkStart w:id="1058" w:name="_Toc292559903"/>
      <w:bookmarkStart w:id="1059" w:name="_Toc297048379"/>
      <w:bookmarkStart w:id="1060" w:name="_Toc296347192"/>
      <w:bookmarkStart w:id="1061" w:name="_Toc297120493"/>
      <w:bookmarkStart w:id="1062" w:name="_Toc296346694"/>
      <w:bookmarkStart w:id="1063" w:name="_Toc297216199"/>
      <w:bookmarkStart w:id="1064" w:name="_Toc300934989"/>
      <w:bookmarkStart w:id="1065" w:name="_Toc297123540"/>
      <w:bookmarkStart w:id="1066" w:name="_Toc296944532"/>
      <w:bookmarkStart w:id="1067" w:name="_Toc296891233"/>
      <w:bookmarkStart w:id="1068" w:name="_Toc312677499"/>
      <w:bookmarkStart w:id="1069" w:name="_Toc312678025"/>
      <w:bookmarkStart w:id="1070" w:name="_Toc267251435"/>
      <w:bookmarkStart w:id="1071" w:name="_Toc267251440"/>
      <w:bookmarkStart w:id="1072" w:name="_Toc267251437"/>
      <w:bookmarkStart w:id="1073" w:name="_Toc267251439"/>
      <w:bookmarkStart w:id="1074" w:name="_Toc267251433"/>
      <w:bookmarkStart w:id="1075" w:name="_Toc267251441"/>
      <w:bookmarkStart w:id="1076" w:name="_Toc267251442"/>
      <w:r>
        <w:rPr>
          <w:rFonts w:hint="eastAsia" w:ascii="宋体" w:hAnsi="宋体" w:eastAsia="宋体" w:cs="宋体"/>
          <w:color w:val="auto"/>
          <w:sz w:val="21"/>
          <w:szCs w:val="21"/>
          <w:highlight w:val="none"/>
        </w:rPr>
        <w:t>0. 变更</w:t>
      </w:r>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p>
    <w:bookmarkEnd w:id="1068"/>
    <w:bookmarkEnd w:id="1069"/>
    <w:p>
      <w:pPr>
        <w:pStyle w:val="31"/>
        <w:spacing w:line="380" w:lineRule="exact"/>
        <w:ind w:firstLine="422" w:firstLineChars="200"/>
        <w:rPr>
          <w:rFonts w:hint="eastAsia" w:ascii="宋体" w:hAnsi="宋体" w:eastAsia="宋体" w:cs="宋体"/>
          <w:color w:val="auto"/>
          <w:sz w:val="21"/>
          <w:szCs w:val="21"/>
          <w:highlight w:val="none"/>
        </w:rPr>
      </w:pPr>
      <w:bookmarkStart w:id="1077" w:name="_Toc256000219"/>
      <w:bookmarkStart w:id="1078" w:name="_Toc497747219"/>
      <w:bookmarkStart w:id="1079" w:name="_Toc418518387"/>
      <w:bookmarkStart w:id="1080" w:name="_Toc373478387"/>
      <w:bookmarkStart w:id="1081" w:name="_Toc389065306"/>
      <w:bookmarkStart w:id="1082" w:name="_Toc522201769"/>
      <w:bookmarkStart w:id="1083" w:name="_Toc373227740"/>
      <w:bookmarkStart w:id="1084" w:name="_Toc403578975"/>
      <w:bookmarkStart w:id="1085" w:name="_Toc418751837"/>
      <w:bookmarkStart w:id="1086" w:name="_Toc418752283"/>
      <w:bookmarkStart w:id="1087" w:name="_Toc418061352"/>
      <w:bookmarkStart w:id="1088" w:name="_Toc15016"/>
      <w:bookmarkStart w:id="1089" w:name="_Toc418518151"/>
      <w:bookmarkStart w:id="1090" w:name="_Toc497746822"/>
      <w:r>
        <w:rPr>
          <w:rFonts w:hint="eastAsia" w:ascii="宋体" w:hAnsi="宋体" w:eastAsia="宋体" w:cs="宋体"/>
          <w:color w:val="auto"/>
          <w:sz w:val="21"/>
          <w:szCs w:val="21"/>
          <w:highlight w:val="none"/>
        </w:rPr>
        <w:t>1</w:t>
      </w:r>
      <w:bookmarkStart w:id="1091" w:name="_Toc296347193"/>
      <w:bookmarkStart w:id="1092" w:name="_Toc297216200"/>
      <w:bookmarkStart w:id="1093" w:name="_Toc296944533"/>
      <w:bookmarkStart w:id="1094" w:name="_Toc312678026"/>
      <w:bookmarkStart w:id="1095" w:name="_Toc292559904"/>
      <w:bookmarkStart w:id="1096" w:name="_Toc296503194"/>
      <w:bookmarkStart w:id="1097" w:name="_Toc296891022"/>
      <w:bookmarkStart w:id="1098" w:name="_Toc303539147"/>
      <w:bookmarkStart w:id="1099" w:name="_Toc304295567"/>
      <w:bookmarkStart w:id="1100" w:name="_Toc292559399"/>
      <w:bookmarkStart w:id="1101" w:name="_Toc297123541"/>
      <w:bookmarkStart w:id="1102" w:name="_Toc297048380"/>
      <w:bookmarkStart w:id="1103" w:name="_Toc297120494"/>
      <w:bookmarkStart w:id="1104" w:name="_Toc296346695"/>
      <w:bookmarkStart w:id="1105" w:name="_Toc312677500"/>
      <w:bookmarkStart w:id="1106" w:name="_Toc296891234"/>
      <w:bookmarkStart w:id="1107" w:name="_Toc300934990"/>
      <w:r>
        <w:rPr>
          <w:rFonts w:hint="eastAsia" w:ascii="宋体" w:hAnsi="宋体" w:eastAsia="宋体" w:cs="宋体"/>
          <w:color w:val="auto"/>
          <w:sz w:val="21"/>
          <w:szCs w:val="21"/>
          <w:highlight w:val="none"/>
        </w:rPr>
        <w:t>0.1 变更的范围</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关于变更的范围的约定：</w:t>
      </w:r>
      <w:r>
        <w:rPr>
          <w:rFonts w:hint="eastAsia" w:ascii="宋体" w:hAnsi="宋体" w:eastAsia="宋体" w:cs="宋体"/>
          <w:color w:val="auto"/>
          <w:sz w:val="21"/>
          <w:szCs w:val="21"/>
          <w:highlight w:val="none"/>
          <w:u w:val="single"/>
        </w:rPr>
        <w:t>施工期间因不可预见因素或发包人要求所发生的工程量增减（由变更、签证产生），其工程量按实际发生并经监理工程师及发包人签证认可，工程变更综合单价按专用条款第10.4点规定执行</w:t>
      </w:r>
      <w:r>
        <w:rPr>
          <w:rFonts w:hint="eastAsia" w:ascii="宋体" w:hAnsi="宋体" w:eastAsia="宋体" w:cs="宋体"/>
          <w:color w:val="auto"/>
          <w:sz w:val="21"/>
          <w:szCs w:val="21"/>
          <w:highlight w:val="none"/>
        </w:rPr>
        <w:t>。</w:t>
      </w:r>
      <w:bookmarkStart w:id="1108" w:name="_Toc389065307"/>
      <w:bookmarkStart w:id="1109" w:name="_Toc395382544"/>
      <w:bookmarkStart w:id="1110" w:name="_Toc373227741"/>
      <w:bookmarkStart w:id="1111" w:name="_Toc406522262"/>
      <w:bookmarkStart w:id="1112" w:name="_Toc373478388"/>
    </w:p>
    <w:p>
      <w:pPr>
        <w:pStyle w:val="31"/>
        <w:spacing w:line="380" w:lineRule="exact"/>
        <w:ind w:firstLine="422" w:firstLineChars="200"/>
        <w:rPr>
          <w:rFonts w:hint="eastAsia" w:ascii="宋体" w:hAnsi="宋体" w:eastAsia="宋体" w:cs="宋体"/>
          <w:color w:val="auto"/>
          <w:sz w:val="21"/>
          <w:szCs w:val="21"/>
          <w:highlight w:val="none"/>
        </w:rPr>
      </w:pPr>
      <w:bookmarkStart w:id="1113" w:name="_Toc256000220"/>
      <w:bookmarkStart w:id="1114" w:name="_Toc10031"/>
      <w:r>
        <w:rPr>
          <w:rFonts w:hint="eastAsia" w:ascii="宋体" w:hAnsi="宋体" w:eastAsia="宋体" w:cs="宋体"/>
          <w:color w:val="auto"/>
          <w:sz w:val="21"/>
          <w:szCs w:val="21"/>
          <w:highlight w:val="none"/>
        </w:rPr>
        <w:t>10.3 变更程序</w:t>
      </w:r>
      <w:bookmarkEnd w:id="1108"/>
      <w:bookmarkEnd w:id="1109"/>
      <w:bookmarkEnd w:id="1110"/>
      <w:bookmarkEnd w:id="1111"/>
      <w:bookmarkEnd w:id="1112"/>
      <w:bookmarkEnd w:id="1113"/>
      <w:bookmarkEnd w:id="1114"/>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10.3.1 国有投资项目：</w:t>
      </w:r>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⑴设计变更和工程签证，按各市政府或相关部门的规定办理。属不可抗力（自然灾害、突发事件等）造成变更的，按特事特办原则予以办理。</w:t>
      </w:r>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⑵发包人在实施项目过程中，若发生单价变动，由发包人、监理单位、承包人及其他相关单位共同商定并签字确认。</w:t>
      </w:r>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⑶ 当合同规定的合同价款调整情况发生后，承包人未在规定时间内通知发包人，或者未在规定时间内提出调整报告，发包人可以根据有关资料，决定是否调整和调整的金额，并书面通知承包人。</w:t>
      </w:r>
    </w:p>
    <w:p>
      <w:pPr>
        <w:pStyle w:val="33"/>
        <w:spacing w:line="380" w:lineRule="exact"/>
        <w:ind w:firstLine="411" w:firstLineChars="19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10.3.2 非国有投资项目：同通用条款。</w:t>
      </w:r>
    </w:p>
    <w:p>
      <w:pPr>
        <w:pStyle w:val="31"/>
        <w:spacing w:line="380" w:lineRule="exact"/>
        <w:ind w:firstLine="422" w:firstLineChars="200"/>
        <w:rPr>
          <w:rFonts w:hint="eastAsia" w:ascii="宋体" w:hAnsi="宋体" w:eastAsia="宋体" w:cs="宋体"/>
          <w:color w:val="auto"/>
          <w:sz w:val="21"/>
          <w:szCs w:val="21"/>
          <w:highlight w:val="none"/>
        </w:rPr>
      </w:pPr>
      <w:bookmarkStart w:id="1115" w:name="_Toc418518153"/>
      <w:bookmarkStart w:id="1116" w:name="_Toc418751839"/>
      <w:bookmarkStart w:id="1117" w:name="_Toc373478389"/>
      <w:bookmarkStart w:id="1118" w:name="_Toc418061354"/>
      <w:bookmarkStart w:id="1119" w:name="_Toc497747221"/>
      <w:bookmarkStart w:id="1120" w:name="_Toc373227742"/>
      <w:bookmarkStart w:id="1121" w:name="_Toc389065308"/>
      <w:bookmarkStart w:id="1122" w:name="_Toc16629"/>
      <w:bookmarkStart w:id="1123" w:name="_Toc522201770"/>
      <w:bookmarkStart w:id="1124" w:name="_Toc256000221"/>
      <w:bookmarkStart w:id="1125" w:name="_Toc497746824"/>
      <w:bookmarkStart w:id="1126" w:name="_Toc403578977"/>
      <w:bookmarkStart w:id="1127" w:name="_Toc418518389"/>
      <w:bookmarkStart w:id="1128" w:name="_Toc418752285"/>
      <w:r>
        <w:rPr>
          <w:rFonts w:hint="eastAsia" w:ascii="宋体" w:hAnsi="宋体" w:eastAsia="宋体" w:cs="宋体"/>
          <w:color w:val="auto"/>
          <w:sz w:val="21"/>
          <w:szCs w:val="21"/>
          <w:highlight w:val="none"/>
        </w:rPr>
        <w:t>10.4 变更估价</w:t>
      </w:r>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p>
    <w:p>
      <w:pPr>
        <w:pStyle w:val="33"/>
        <w:keepNext w:val="0"/>
        <w:keepLines w:val="0"/>
        <w:pageBreakBefore w:val="0"/>
        <w:widowControl w:val="0"/>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10.4.1 变更估价原则</w:t>
      </w:r>
    </w:p>
    <w:p>
      <w:pPr>
        <w:keepNext w:val="0"/>
        <w:keepLines w:val="0"/>
        <w:pageBreakBefore w:val="0"/>
        <w:widowControl w:val="0"/>
        <w:tabs>
          <w:tab w:val="left" w:pos="1766"/>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29" w:name="_Toc3075"/>
      <w:r>
        <w:rPr>
          <w:rFonts w:hint="eastAsia" w:ascii="宋体" w:hAnsi="宋体" w:eastAsia="宋体" w:cs="宋体"/>
          <w:b w:val="0"/>
          <w:bCs w:val="0"/>
          <w:color w:val="auto"/>
          <w:sz w:val="21"/>
          <w:szCs w:val="21"/>
          <w:highlight w:val="none"/>
        </w:rPr>
        <w:t xml:space="preserve">关于变更估价的约定: </w:t>
      </w:r>
      <w:bookmarkStart w:id="1130" w:name="_Toc522201771"/>
      <w:bookmarkStart w:id="1131" w:name="_Toc373478390"/>
      <w:bookmarkStart w:id="1132" w:name="_Toc418518390"/>
      <w:bookmarkStart w:id="1133" w:name="_Toc373227743"/>
      <w:bookmarkStart w:id="1134" w:name="_Toc256000222"/>
      <w:bookmarkStart w:id="1135" w:name="_Toc389065309"/>
      <w:bookmarkStart w:id="1136" w:name="_Toc418518154"/>
      <w:bookmarkStart w:id="1137" w:name="_Toc418752286"/>
      <w:bookmarkStart w:id="1138" w:name="_Toc403578978"/>
      <w:bookmarkStart w:id="1139" w:name="_Toc497746825"/>
      <w:bookmarkStart w:id="1140" w:name="_Toc418751840"/>
      <w:bookmarkStart w:id="1141" w:name="_Toc497747222"/>
      <w:bookmarkStart w:id="1142" w:name="_Toc418061355"/>
      <w:r>
        <w:rPr>
          <w:rFonts w:hint="eastAsia" w:ascii="宋体" w:hAnsi="宋体" w:eastAsia="宋体" w:cs="宋体"/>
          <w:b w:val="0"/>
          <w:bCs w:val="0"/>
          <w:color w:val="auto"/>
          <w:sz w:val="21"/>
          <w:szCs w:val="21"/>
          <w:highlight w:val="none"/>
        </w:rPr>
        <w:t>因发包人要求的设计变更、相关签证和工程量清单错误引起的工程项目及工程量任何变化的（本工程的工程量以实际完成计算），其变更合同价款按下列方法进行：</w:t>
      </w:r>
      <w:bookmarkEnd w:id="1129"/>
    </w:p>
    <w:p>
      <w:pPr>
        <w:keepNext w:val="0"/>
        <w:keepLines w:val="0"/>
        <w:pageBreakBefore w:val="0"/>
        <w:widowControl w:val="0"/>
        <w:tabs>
          <w:tab w:val="left" w:pos="1966"/>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43" w:name="_Toc32363"/>
      <w:r>
        <w:rPr>
          <w:rFonts w:hint="eastAsia" w:ascii="宋体" w:hAnsi="宋体" w:eastAsia="宋体" w:cs="宋体"/>
          <w:b w:val="0"/>
          <w:bCs w:val="0"/>
          <w:color w:val="auto"/>
          <w:sz w:val="21"/>
          <w:szCs w:val="21"/>
          <w:highlight w:val="none"/>
        </w:rPr>
        <w:t>（1）合同中已有相同清单项目的，按合同该清单项目价格进行计算；</w:t>
      </w:r>
      <w:bookmarkEnd w:id="1143"/>
    </w:p>
    <w:p>
      <w:pPr>
        <w:keepNext w:val="0"/>
        <w:keepLines w:val="0"/>
        <w:pageBreakBefore w:val="0"/>
        <w:widowControl w:val="0"/>
        <w:tabs>
          <w:tab w:val="left" w:pos="2441"/>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44" w:name="_Toc5741"/>
      <w:r>
        <w:rPr>
          <w:rFonts w:hint="eastAsia" w:ascii="宋体" w:hAnsi="宋体" w:eastAsia="宋体" w:cs="宋体"/>
          <w:b w:val="0"/>
          <w:bCs w:val="0"/>
          <w:color w:val="auto"/>
          <w:sz w:val="21"/>
          <w:szCs w:val="21"/>
          <w:highlight w:val="none"/>
        </w:rPr>
        <w:t>（2）合同中只有类似清单项目的，参照该类似清单项目价格进行计算；</w:t>
      </w:r>
      <w:bookmarkEnd w:id="1144"/>
    </w:p>
    <w:p>
      <w:pPr>
        <w:keepNext w:val="0"/>
        <w:keepLines w:val="0"/>
        <w:pageBreakBefore w:val="0"/>
        <w:widowControl w:val="0"/>
        <w:tabs>
          <w:tab w:val="left" w:pos="791"/>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45" w:name="_Toc741"/>
      <w:r>
        <w:rPr>
          <w:rFonts w:hint="eastAsia" w:ascii="宋体" w:hAnsi="宋体" w:eastAsia="宋体" w:cs="宋体"/>
          <w:b w:val="0"/>
          <w:bCs w:val="0"/>
          <w:color w:val="auto"/>
          <w:sz w:val="21"/>
          <w:szCs w:val="21"/>
          <w:highlight w:val="none"/>
        </w:rPr>
        <w:t>（3）合同中没有适用或类似清单项目的价格计算方法：有定额的套用定额，并按照本工程编制招标控制价的依据及相关文件规定计算，并乘以下浮系数（中标报价÷评审预算控制价）计算，其中材料价格按评审期的《桂林市建设工程造价信息》(兴安县)相应价格信息进行计算；《桂林市建设工程造价信息》(兴安县)评审期没有相应价格信息的参照《桂林市建设工程造价信息》桂林市评审期相应价格信息或按市场询价计算；无定额可套的，根据市场价格协商确定综合价格；</w:t>
      </w:r>
      <w:bookmarkEnd w:id="1145"/>
    </w:p>
    <w:p>
      <w:pPr>
        <w:keepNext w:val="0"/>
        <w:keepLines w:val="0"/>
        <w:pageBreakBefore w:val="0"/>
        <w:widowControl w:val="0"/>
        <w:tabs>
          <w:tab w:val="left" w:pos="1741"/>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46" w:name="_Toc22894"/>
      <w:r>
        <w:rPr>
          <w:rFonts w:hint="eastAsia" w:ascii="宋体" w:hAnsi="宋体" w:eastAsia="宋体" w:cs="宋体"/>
          <w:b w:val="0"/>
          <w:bCs w:val="0"/>
          <w:color w:val="auto"/>
          <w:sz w:val="21"/>
          <w:szCs w:val="21"/>
          <w:highlight w:val="none"/>
        </w:rPr>
        <w:t>（4）若发包人和监理人认为有关的工作不能以实物工程量的方法计算及估值时，则按以下的方法计算：若工程量清单中有计日工价目表，则以计日工价目表中相应的项目计价；若计日工作价目表中无类似项目，则按三方协商的价格估值。附带条件为，承包人须提交每天用于该项工作的时间的记录、相关工人的姓名及经发包人、监理人复核的所用物料的清单。上述数据须于该项工作执行后的一星期内提交给发包人及监理人。</w:t>
      </w:r>
      <w:bookmarkEnd w:id="1146"/>
    </w:p>
    <w:p>
      <w:pPr>
        <w:keepNext w:val="0"/>
        <w:keepLines w:val="0"/>
        <w:pageBreakBefore w:val="0"/>
        <w:widowControl w:val="0"/>
        <w:tabs>
          <w:tab w:val="left" w:pos="1941"/>
        </w:tabs>
        <w:kinsoku/>
        <w:wordWrap/>
        <w:overflowPunct/>
        <w:topLinePunct w:val="0"/>
        <w:autoSpaceDE/>
        <w:autoSpaceDN/>
        <w:bidi w:val="0"/>
        <w:adjustRightInd/>
        <w:snapToGrid/>
        <w:spacing w:line="380" w:lineRule="exact"/>
        <w:ind w:firstLine="420" w:firstLineChars="200"/>
        <w:jc w:val="left"/>
        <w:textAlignment w:val="auto"/>
        <w:rPr>
          <w:rFonts w:hint="eastAsia" w:ascii="宋体" w:hAnsi="宋体" w:eastAsia="宋体" w:cs="宋体"/>
          <w:b w:val="0"/>
          <w:bCs w:val="0"/>
          <w:color w:val="auto"/>
          <w:sz w:val="21"/>
          <w:szCs w:val="21"/>
          <w:highlight w:val="none"/>
        </w:rPr>
      </w:pPr>
      <w:bookmarkStart w:id="1147" w:name="_Toc5552"/>
      <w:r>
        <w:rPr>
          <w:rFonts w:hint="eastAsia" w:ascii="宋体" w:hAnsi="宋体" w:eastAsia="宋体" w:cs="宋体"/>
          <w:b w:val="0"/>
          <w:bCs w:val="0"/>
          <w:color w:val="auto"/>
          <w:sz w:val="21"/>
          <w:szCs w:val="21"/>
          <w:highlight w:val="none"/>
        </w:rPr>
        <w:t>（5）暂定价调整方法为：暂定材料价格部分仅调整合同实施期间材料市场价与暂定价之间的材差并计相应的规费和增值税，投标书中相应的综合单价不再调整。专业工程暂估价的确定方法：由承包人申报单价，发包人组织监理人、造价审核机构共同询价确定。如发包人认为材料暂估价及专业工程暂估价需要进行市场询价的，应以询价小组（询价小组由发包人、承包人、监理人组成）调查确认的单价为准。</w:t>
      </w:r>
      <w:bookmarkEnd w:id="1147"/>
    </w:p>
    <w:p>
      <w:pPr>
        <w:pStyle w:val="31"/>
        <w:spacing w:line="380" w:lineRule="exact"/>
        <w:ind w:firstLine="420" w:firstLineChars="200"/>
        <w:rPr>
          <w:rFonts w:hint="eastAsia" w:ascii="宋体" w:hAnsi="宋体" w:eastAsia="宋体" w:cs="宋体"/>
          <w:b w:val="0"/>
          <w:bCs w:val="0"/>
          <w:color w:val="auto"/>
          <w:sz w:val="21"/>
          <w:szCs w:val="21"/>
          <w:highlight w:val="none"/>
        </w:rPr>
      </w:pPr>
      <w:bookmarkStart w:id="1148" w:name="_Toc9798"/>
      <w:r>
        <w:rPr>
          <w:rFonts w:hint="eastAsia" w:ascii="宋体" w:hAnsi="宋体" w:eastAsia="宋体" w:cs="宋体"/>
          <w:b w:val="0"/>
          <w:bCs w:val="0"/>
          <w:color w:val="auto"/>
          <w:sz w:val="21"/>
          <w:szCs w:val="21"/>
          <w:highlight w:val="none"/>
        </w:rPr>
        <w:t>（6）无约定的参照我区现行《建设工程工程量清单计价规范》及配套定额相关规定执行。</w:t>
      </w:r>
      <w:bookmarkEnd w:id="1148"/>
    </w:p>
    <w:p>
      <w:pPr>
        <w:pStyle w:val="31"/>
        <w:spacing w:line="380" w:lineRule="exact"/>
        <w:ind w:firstLine="420" w:firstLineChars="200"/>
        <w:rPr>
          <w:rFonts w:hint="eastAsia" w:ascii="宋体" w:hAnsi="宋体" w:eastAsia="宋体" w:cs="宋体"/>
          <w:b w:val="0"/>
          <w:bCs w:val="0"/>
          <w:color w:val="auto"/>
          <w:sz w:val="21"/>
          <w:szCs w:val="21"/>
          <w:highlight w:val="none"/>
        </w:rPr>
      </w:pPr>
      <w:bookmarkStart w:id="1149" w:name="_Toc21925"/>
      <w:r>
        <w:rPr>
          <w:rFonts w:hint="eastAsia" w:ascii="宋体" w:hAnsi="宋体" w:eastAsia="宋体" w:cs="宋体"/>
          <w:b w:val="0"/>
          <w:bCs w:val="0"/>
          <w:color w:val="auto"/>
          <w:sz w:val="21"/>
          <w:szCs w:val="21"/>
          <w:highlight w:val="none"/>
        </w:rPr>
        <w:t>（7）本工程最终结算以审计部门投资审计中心审核后并经发包人及承包人双方确认的金额为准。</w:t>
      </w:r>
      <w:bookmarkEnd w:id="1149"/>
    </w:p>
    <w:p>
      <w:pPr>
        <w:pStyle w:val="31"/>
        <w:spacing w:line="380" w:lineRule="exact"/>
        <w:ind w:firstLine="422" w:firstLineChars="200"/>
        <w:rPr>
          <w:rFonts w:hint="eastAsia" w:ascii="宋体" w:hAnsi="宋体" w:eastAsia="宋体" w:cs="宋体"/>
          <w:color w:val="auto"/>
          <w:sz w:val="21"/>
          <w:szCs w:val="21"/>
          <w:highlight w:val="none"/>
        </w:rPr>
      </w:pPr>
      <w:bookmarkStart w:id="1150" w:name="_Toc20630"/>
      <w:r>
        <w:rPr>
          <w:rFonts w:hint="eastAsia" w:ascii="宋体" w:hAnsi="宋体" w:eastAsia="宋体" w:cs="宋体"/>
          <w:color w:val="auto"/>
          <w:sz w:val="21"/>
          <w:szCs w:val="21"/>
          <w:highlight w:val="none"/>
        </w:rPr>
        <w:t>1</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Start w:id="1151" w:name="_Toc297048383"/>
      <w:bookmarkStart w:id="1152" w:name="_Toc296891237"/>
      <w:bookmarkStart w:id="1153" w:name="_Toc297120497"/>
      <w:bookmarkStart w:id="1154" w:name="_Toc297216203"/>
      <w:bookmarkStart w:id="1155" w:name="_Toc296503197"/>
      <w:bookmarkStart w:id="1156" w:name="_Toc296891025"/>
      <w:bookmarkStart w:id="1157" w:name="_Toc296347196"/>
      <w:bookmarkStart w:id="1158" w:name="_Toc296944536"/>
      <w:bookmarkStart w:id="1159" w:name="_Toc303539150"/>
      <w:bookmarkStart w:id="1160" w:name="_Toc300934993"/>
      <w:bookmarkStart w:id="1161" w:name="_Toc296346698"/>
      <w:bookmarkStart w:id="1162" w:name="_Toc297123544"/>
      <w:bookmarkStart w:id="1163" w:name="_Toc292559402"/>
      <w:bookmarkStart w:id="1164" w:name="_Toc292559907"/>
      <w:bookmarkStart w:id="1165" w:name="_Toc312677503"/>
      <w:bookmarkStart w:id="1166" w:name="_Toc312678029"/>
      <w:bookmarkStart w:id="1167" w:name="_Toc304295570"/>
      <w:r>
        <w:rPr>
          <w:rFonts w:hint="eastAsia" w:ascii="宋体" w:hAnsi="宋体" w:eastAsia="宋体" w:cs="宋体"/>
          <w:color w:val="auto"/>
          <w:sz w:val="21"/>
          <w:szCs w:val="21"/>
          <w:highlight w:val="none"/>
        </w:rPr>
        <w:t>0.5 承</w:t>
      </w:r>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Start w:id="1168" w:name="_Toc297048389"/>
      <w:bookmarkStart w:id="1169" w:name="_Toc297120503"/>
      <w:bookmarkStart w:id="1170" w:name="_Toc292559913"/>
      <w:bookmarkStart w:id="1171" w:name="_Toc297216204"/>
      <w:bookmarkStart w:id="1172" w:name="_Toc296891243"/>
      <w:bookmarkStart w:id="1173" w:name="_Toc296891031"/>
      <w:bookmarkStart w:id="1174" w:name="_Toc303539151"/>
      <w:bookmarkStart w:id="1175" w:name="_Toc297123545"/>
      <w:bookmarkStart w:id="1176" w:name="_Toc296347202"/>
      <w:bookmarkStart w:id="1177" w:name="_Toc296944542"/>
      <w:bookmarkStart w:id="1178" w:name="_Toc300934994"/>
      <w:bookmarkStart w:id="1179" w:name="_Toc296346704"/>
      <w:bookmarkStart w:id="1180" w:name="_Toc296503203"/>
      <w:bookmarkStart w:id="1181" w:name="_Toc292559408"/>
      <w:r>
        <w:rPr>
          <w:rFonts w:hint="eastAsia" w:ascii="宋体" w:hAnsi="宋体" w:eastAsia="宋体" w:cs="宋体"/>
          <w:color w:val="auto"/>
          <w:sz w:val="21"/>
          <w:szCs w:val="21"/>
          <w:highlight w:val="none"/>
        </w:rPr>
        <w:t>包人的合理化建议</w:t>
      </w:r>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50"/>
    </w:p>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监理人审查承包人合理化建议的期限：</w:t>
      </w:r>
      <w:r>
        <w:rPr>
          <w:rFonts w:hint="eastAsia" w:ascii="宋体" w:hAnsi="宋体" w:eastAsia="宋体" w:cs="宋体"/>
          <w:color w:val="auto"/>
          <w:sz w:val="21"/>
          <w:szCs w:val="21"/>
          <w:highlight w:val="none"/>
          <w:u w:val="single"/>
        </w:rPr>
        <w:t>监理人应在收到承包人提交的合理化建议后7天内审查完毕并报送发包人，发现其中存在技术上的缺陷，应通知承包人修改</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发包人审批承包人合理化建议的期限：</w:t>
      </w:r>
      <w:r>
        <w:rPr>
          <w:rFonts w:hint="eastAsia" w:ascii="宋体" w:hAnsi="宋体" w:eastAsia="宋体" w:cs="宋体"/>
          <w:color w:val="auto"/>
          <w:sz w:val="21"/>
          <w:szCs w:val="21"/>
          <w:highlight w:val="none"/>
          <w:u w:val="single"/>
        </w:rPr>
        <w:t>发包人应在收到监理人报送的合理化建议后7天内审批完毕</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w:t>
      </w:r>
      <w:bookmarkStart w:id="1182" w:name="_Toc312677504"/>
      <w:bookmarkStart w:id="1183" w:name="_Toc296347203"/>
      <w:bookmarkStart w:id="1184" w:name="_Toc292559914"/>
      <w:bookmarkStart w:id="1185" w:name="_Toc297120504"/>
      <w:bookmarkStart w:id="1186" w:name="_Toc312678030"/>
      <w:bookmarkStart w:id="1187" w:name="_Toc296891032"/>
      <w:bookmarkStart w:id="1188" w:name="_Toc296944543"/>
      <w:bookmarkStart w:id="1189" w:name="_Toc296503204"/>
      <w:bookmarkStart w:id="1190" w:name="_Toc297048390"/>
      <w:bookmarkStart w:id="1191" w:name="_Toc318581175"/>
      <w:bookmarkStart w:id="1192" w:name="_Toc297216205"/>
      <w:bookmarkStart w:id="1193" w:name="_Toc304295571"/>
      <w:bookmarkStart w:id="1194" w:name="_Toc292559409"/>
      <w:bookmarkStart w:id="1195" w:name="_Toc303539152"/>
      <w:bookmarkStart w:id="1196" w:name="_Toc296891244"/>
      <w:bookmarkStart w:id="1197" w:name="_Toc297123546"/>
      <w:bookmarkStart w:id="1198" w:name="_Toc296346705"/>
      <w:bookmarkStart w:id="1199" w:name="_Toc300934995"/>
      <w:r>
        <w:rPr>
          <w:rFonts w:hint="eastAsia" w:ascii="宋体" w:hAnsi="宋体" w:eastAsia="宋体" w:cs="宋体"/>
          <w:color w:val="auto"/>
          <w:sz w:val="21"/>
          <w:szCs w:val="21"/>
          <w:highlight w:val="none"/>
        </w:rPr>
        <w:t>包人提出的合理化建议降低了合同价格或者提高了工程经济效益的奖励的方法和金额为：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p>
      <w:pPr>
        <w:pStyle w:val="31"/>
        <w:spacing w:line="380" w:lineRule="exact"/>
        <w:ind w:firstLine="422" w:firstLineChars="200"/>
        <w:rPr>
          <w:rFonts w:hint="eastAsia" w:ascii="宋体" w:hAnsi="宋体" w:eastAsia="宋体" w:cs="宋体"/>
          <w:color w:val="auto"/>
          <w:sz w:val="21"/>
          <w:szCs w:val="21"/>
          <w:highlight w:val="none"/>
        </w:rPr>
      </w:pPr>
      <w:bookmarkStart w:id="1200" w:name="_Toc497747223"/>
      <w:bookmarkStart w:id="1201" w:name="_Toc373227744"/>
      <w:bookmarkStart w:id="1202" w:name="_Toc256000223"/>
      <w:bookmarkStart w:id="1203" w:name="_Toc497746826"/>
      <w:bookmarkStart w:id="1204" w:name="_Toc418751841"/>
      <w:bookmarkStart w:id="1205" w:name="_Toc9373"/>
      <w:bookmarkStart w:id="1206" w:name="_Toc389065310"/>
      <w:bookmarkStart w:id="1207" w:name="_Toc403578979"/>
      <w:bookmarkStart w:id="1208" w:name="_Toc418518155"/>
      <w:bookmarkStart w:id="1209" w:name="_Toc418518391"/>
      <w:bookmarkStart w:id="1210" w:name="_Toc418752287"/>
      <w:bookmarkStart w:id="1211" w:name="_Toc418061356"/>
      <w:bookmarkStart w:id="1212" w:name="_Toc373478391"/>
      <w:bookmarkStart w:id="1213" w:name="_Toc522201772"/>
      <w:r>
        <w:rPr>
          <w:rFonts w:hint="eastAsia" w:ascii="宋体" w:hAnsi="宋体" w:eastAsia="宋体" w:cs="宋体"/>
          <w:color w:val="auto"/>
          <w:sz w:val="21"/>
          <w:szCs w:val="21"/>
          <w:highlight w:val="none"/>
        </w:rPr>
        <w:t>1</w:t>
      </w:r>
      <w:bookmarkStart w:id="1214" w:name="_Toc304295574"/>
      <w:bookmarkStart w:id="1215" w:name="_Toc296944538"/>
      <w:bookmarkStart w:id="1216" w:name="_Toc303539154"/>
      <w:bookmarkStart w:id="1217" w:name="_Toc296503199"/>
      <w:bookmarkStart w:id="1218" w:name="_Toc312677507"/>
      <w:bookmarkStart w:id="1219" w:name="_Toc312678033"/>
      <w:bookmarkStart w:id="1220" w:name="_Toc297216207"/>
      <w:bookmarkStart w:id="1221" w:name="_Toc300934997"/>
      <w:bookmarkStart w:id="1222" w:name="_Toc296347198"/>
      <w:bookmarkStart w:id="1223" w:name="_Toc296891027"/>
      <w:bookmarkStart w:id="1224" w:name="_Toc297120499"/>
      <w:bookmarkStart w:id="1225" w:name="_Toc297123548"/>
      <w:bookmarkStart w:id="1226" w:name="_Toc292559404"/>
      <w:bookmarkStart w:id="1227" w:name="_Toc296891239"/>
      <w:bookmarkStart w:id="1228" w:name="_Toc292559909"/>
      <w:bookmarkStart w:id="1229" w:name="_Toc297048385"/>
      <w:bookmarkStart w:id="1230" w:name="_Toc296346700"/>
      <w:r>
        <w:rPr>
          <w:rFonts w:hint="eastAsia" w:ascii="宋体" w:hAnsi="宋体" w:eastAsia="宋体" w:cs="宋体"/>
          <w:color w:val="auto"/>
          <w:sz w:val="21"/>
          <w:szCs w:val="21"/>
          <w:highlight w:val="none"/>
        </w:rPr>
        <w:t>0.7 暂估价</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p>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暂</w:t>
      </w:r>
      <w:bookmarkStart w:id="1231" w:name="_Toc312678034"/>
      <w:bookmarkStart w:id="1232" w:name="_Toc318581176"/>
      <w:bookmarkStart w:id="1233" w:name="_Toc312677508"/>
      <w:r>
        <w:rPr>
          <w:rFonts w:hint="eastAsia" w:ascii="宋体" w:hAnsi="宋体" w:eastAsia="宋体" w:cs="宋体"/>
          <w:color w:val="auto"/>
          <w:kern w:val="0"/>
          <w:sz w:val="21"/>
          <w:szCs w:val="21"/>
          <w:highlight w:val="none"/>
        </w:rPr>
        <w:t>估价材料和工程设备的明细详见已标价工程量清单《</w:t>
      </w:r>
      <w:r>
        <w:rPr>
          <w:rFonts w:hint="eastAsia" w:ascii="宋体" w:hAnsi="宋体" w:eastAsia="宋体" w:cs="宋体"/>
          <w:color w:val="auto"/>
          <w:sz w:val="21"/>
          <w:szCs w:val="21"/>
          <w:highlight w:val="none"/>
        </w:rPr>
        <w:t>材料（工程设备）暂估价格及调整表》</w:t>
      </w:r>
      <w:r>
        <w:rPr>
          <w:rFonts w:hint="eastAsia" w:ascii="宋体" w:hAnsi="宋体" w:eastAsia="宋体" w:cs="宋体"/>
          <w:color w:val="auto"/>
          <w:kern w:val="0"/>
          <w:sz w:val="21"/>
          <w:szCs w:val="21"/>
          <w:highlight w:val="none"/>
        </w:rPr>
        <w:t>（表12-2）和《</w:t>
      </w:r>
      <w:r>
        <w:rPr>
          <w:rFonts w:hint="eastAsia" w:ascii="宋体" w:hAnsi="宋体" w:eastAsia="宋体" w:cs="宋体"/>
          <w:color w:val="auto"/>
          <w:sz w:val="21"/>
          <w:szCs w:val="21"/>
          <w:highlight w:val="none"/>
        </w:rPr>
        <w:t>专业工程暂估价表》（</w:t>
      </w:r>
      <w:r>
        <w:rPr>
          <w:rFonts w:hint="eastAsia" w:ascii="宋体" w:hAnsi="宋体" w:eastAsia="宋体" w:cs="宋体"/>
          <w:color w:val="auto"/>
          <w:kern w:val="0"/>
          <w:sz w:val="21"/>
          <w:szCs w:val="21"/>
          <w:highlight w:val="none"/>
        </w:rPr>
        <w:t>表12-3）。</w:t>
      </w:r>
    </w:p>
    <w:bookmarkEnd w:id="1231"/>
    <w:bookmarkEnd w:id="1232"/>
    <w:bookmarkEnd w:id="1233"/>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Start w:id="1234" w:name="_Toc312677509"/>
      <w:bookmarkStart w:id="1235" w:name="_Toc318581177"/>
      <w:bookmarkStart w:id="1236" w:name="_Toc312678035"/>
      <w:r>
        <w:rPr>
          <w:rFonts w:hint="eastAsia" w:ascii="宋体" w:hAnsi="宋体" w:eastAsia="宋体" w:cs="宋体"/>
          <w:color w:val="auto"/>
          <w:sz w:val="21"/>
          <w:szCs w:val="21"/>
          <w:highlight w:val="none"/>
        </w:rPr>
        <w:t>0.7.1 依法必须招标的暂估价项目</w:t>
      </w:r>
    </w:p>
    <w:bookmarkEnd w:id="1234"/>
    <w:bookmarkEnd w:id="1235"/>
    <w:bookmarkEnd w:id="1236"/>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对于依法必须招标的暂估价项目的确认和批准采取第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种方式确定。</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10.7.2 不属于依法必须招标的暂估价项目</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对于不属于依法必须招标的暂估价项目的确认和批准采取第</w:t>
      </w:r>
      <w:r>
        <w:rPr>
          <w:rFonts w:hint="eastAsia" w:ascii="宋体" w:hAnsi="宋体" w:eastAsia="宋体" w:cs="宋体"/>
          <w:color w:val="auto"/>
          <w:sz w:val="21"/>
          <w:szCs w:val="21"/>
          <w:highlight w:val="none"/>
          <w:u w:val="single"/>
        </w:rPr>
        <w:t xml:space="preserve"> 1 </w:t>
      </w:r>
      <w:r>
        <w:rPr>
          <w:rFonts w:hint="eastAsia" w:ascii="宋体" w:hAnsi="宋体" w:eastAsia="宋体" w:cs="宋体"/>
          <w:color w:val="auto"/>
          <w:sz w:val="21"/>
          <w:szCs w:val="21"/>
          <w:highlight w:val="none"/>
        </w:rPr>
        <w:t xml:space="preserve"> 种方式确定。</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kern w:val="0"/>
          <w:sz w:val="21"/>
          <w:szCs w:val="21"/>
          <w:highlight w:val="none"/>
        </w:rPr>
        <w:t>承包人直接实施的暂估价项目</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承包人直接实施的暂估价项目的约定：</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237" w:name="_Toc373478392"/>
      <w:bookmarkStart w:id="1238" w:name="_Toc418518156"/>
      <w:bookmarkStart w:id="1239" w:name="_Toc418061357"/>
      <w:bookmarkStart w:id="1240" w:name="_Toc497746827"/>
      <w:bookmarkStart w:id="1241" w:name="_Toc389065311"/>
      <w:bookmarkStart w:id="1242" w:name="_Toc403578980"/>
      <w:bookmarkStart w:id="1243" w:name="_Toc418752288"/>
      <w:bookmarkStart w:id="1244" w:name="_Toc256000224"/>
      <w:bookmarkStart w:id="1245" w:name="_Toc418751842"/>
      <w:bookmarkStart w:id="1246" w:name="_Toc373227745"/>
      <w:bookmarkStart w:id="1247" w:name="_Toc497747224"/>
      <w:bookmarkStart w:id="1248" w:name="_Toc418518392"/>
      <w:bookmarkStart w:id="1249" w:name="_Toc12436"/>
      <w:bookmarkStart w:id="1250" w:name="_Toc522201773"/>
      <w:r>
        <w:rPr>
          <w:rFonts w:hint="eastAsia" w:ascii="宋体" w:hAnsi="宋体" w:eastAsia="宋体" w:cs="宋体"/>
          <w:color w:val="auto"/>
          <w:sz w:val="21"/>
          <w:szCs w:val="21"/>
          <w:highlight w:val="none"/>
        </w:rPr>
        <w:t>10.8 暂列金额</w:t>
      </w:r>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p>
    <w:p>
      <w:pPr>
        <w:pStyle w:val="33"/>
        <w:autoSpaceDE w:val="0"/>
        <w:autoSpaceDN w:val="0"/>
        <w:adjustRightInd w:val="0"/>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合同当事人关于暂列金额使用的约定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如有</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u w:val="single"/>
        </w:rPr>
        <w:t xml:space="preserve">（1）已签约合同价中的暂列金额由发包人掌握使用。（2）发包人按照规定所作支付后，暂列金额如有余额归发包人 </w:t>
      </w:r>
      <w:r>
        <w:rPr>
          <w:rFonts w:hint="eastAsia" w:ascii="宋体" w:hAnsi="宋体" w:eastAsia="宋体" w:cs="宋体"/>
          <w:color w:val="auto"/>
          <w:kern w:val="0"/>
          <w:sz w:val="21"/>
          <w:szCs w:val="21"/>
          <w:highlight w:val="none"/>
        </w:rPr>
        <w:t>。</w:t>
      </w:r>
    </w:p>
    <w:p>
      <w:pPr>
        <w:pStyle w:val="31"/>
        <w:spacing w:line="380" w:lineRule="exact"/>
        <w:rPr>
          <w:rFonts w:hint="eastAsia" w:ascii="宋体" w:hAnsi="宋体" w:eastAsia="宋体" w:cs="宋体"/>
          <w:color w:val="auto"/>
          <w:sz w:val="21"/>
          <w:szCs w:val="21"/>
          <w:highlight w:val="none"/>
        </w:rPr>
      </w:pPr>
      <w:bookmarkStart w:id="1251" w:name="_Toc418751843"/>
      <w:bookmarkStart w:id="1252" w:name="_Toc497747225"/>
      <w:bookmarkStart w:id="1253" w:name="_Toc256000225"/>
      <w:bookmarkStart w:id="1254" w:name="_Toc403578981"/>
      <w:bookmarkStart w:id="1255" w:name="_Toc418061358"/>
      <w:bookmarkStart w:id="1256" w:name="_Toc373478393"/>
      <w:bookmarkStart w:id="1257" w:name="_Toc497746828"/>
      <w:bookmarkStart w:id="1258" w:name="_Toc418518393"/>
      <w:bookmarkStart w:id="1259" w:name="_Toc522201774"/>
      <w:bookmarkStart w:id="1260" w:name="_Toc10279"/>
      <w:bookmarkStart w:id="1261" w:name="_Toc389065312"/>
      <w:bookmarkStart w:id="1262" w:name="_Toc373227746"/>
      <w:bookmarkStart w:id="1263" w:name="_Toc418752289"/>
      <w:bookmarkStart w:id="1264" w:name="_Toc351203643"/>
      <w:bookmarkStart w:id="1265" w:name="_Toc418518157"/>
      <w:r>
        <w:rPr>
          <w:rFonts w:hint="eastAsia" w:ascii="宋体" w:hAnsi="宋体" w:eastAsia="宋体" w:cs="宋体"/>
          <w:color w:val="auto"/>
          <w:sz w:val="21"/>
          <w:szCs w:val="21"/>
          <w:highlight w:val="none"/>
        </w:rPr>
        <w:t>11. 价格调整</w:t>
      </w:r>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p>
    <w:p>
      <w:pPr>
        <w:pStyle w:val="31"/>
        <w:spacing w:line="380" w:lineRule="exact"/>
        <w:ind w:firstLine="422" w:firstLineChars="200"/>
        <w:rPr>
          <w:rFonts w:hint="eastAsia" w:ascii="宋体" w:hAnsi="宋体" w:eastAsia="宋体" w:cs="宋体"/>
          <w:color w:val="auto"/>
          <w:sz w:val="21"/>
          <w:szCs w:val="21"/>
          <w:highlight w:val="none"/>
        </w:rPr>
      </w:pPr>
      <w:bookmarkStart w:id="1266" w:name="_Toc418518158"/>
      <w:bookmarkStart w:id="1267" w:name="_Toc403578982"/>
      <w:bookmarkStart w:id="1268" w:name="_Toc373227747"/>
      <w:bookmarkStart w:id="1269" w:name="_Toc373478394"/>
      <w:bookmarkStart w:id="1270" w:name="_Toc418518394"/>
      <w:bookmarkStart w:id="1271" w:name="_Toc389065313"/>
      <w:bookmarkStart w:id="1272" w:name="_Toc181"/>
      <w:bookmarkStart w:id="1273" w:name="_Toc522201775"/>
      <w:bookmarkStart w:id="1274" w:name="_Toc418061359"/>
      <w:bookmarkStart w:id="1275" w:name="_Toc497747226"/>
      <w:bookmarkStart w:id="1276" w:name="_Toc418752290"/>
      <w:bookmarkStart w:id="1277" w:name="_Toc418751844"/>
      <w:bookmarkStart w:id="1278" w:name="_Toc256000226"/>
      <w:bookmarkStart w:id="1279" w:name="_Toc497746829"/>
      <w:bookmarkStart w:id="1280" w:name="_Toc297123550"/>
      <w:bookmarkStart w:id="1281" w:name="_Toc296346702"/>
      <w:bookmarkStart w:id="1282" w:name="_Toc292559406"/>
      <w:bookmarkStart w:id="1283" w:name="_Toc297120501"/>
      <w:bookmarkStart w:id="1284" w:name="_Toc296347200"/>
      <w:bookmarkStart w:id="1285" w:name="_Toc292559911"/>
      <w:bookmarkStart w:id="1286" w:name="_Toc297048387"/>
      <w:bookmarkStart w:id="1287" w:name="_Toc296891241"/>
      <w:bookmarkStart w:id="1288" w:name="_Toc296503201"/>
      <w:bookmarkStart w:id="1289" w:name="_Toc296944540"/>
      <w:bookmarkStart w:id="1290" w:name="_Toc297216209"/>
      <w:bookmarkStart w:id="1291" w:name="_Toc296891029"/>
      <w:bookmarkStart w:id="1292" w:name="_Toc300935000"/>
      <w:bookmarkStart w:id="1293" w:name="_Toc312678039"/>
      <w:bookmarkStart w:id="1294" w:name="_Toc303539157"/>
      <w:bookmarkStart w:id="1295" w:name="_Toc304295577"/>
      <w:r>
        <w:rPr>
          <w:rFonts w:hint="eastAsia" w:ascii="宋体" w:hAnsi="宋体" w:eastAsia="宋体" w:cs="宋体"/>
          <w:color w:val="auto"/>
          <w:sz w:val="21"/>
          <w:szCs w:val="21"/>
          <w:highlight w:val="none"/>
        </w:rPr>
        <w:t>11.1 市场价格波动引起的调整</w:t>
      </w:r>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p>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市场价格波动是否调整合同价格的约定：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eastAsia="zh-CN"/>
        </w:rPr>
        <w:t>不</w:t>
      </w:r>
      <w:r>
        <w:rPr>
          <w:rFonts w:hint="eastAsia" w:ascii="宋体" w:hAnsi="宋体" w:eastAsia="宋体" w:cs="宋体"/>
          <w:color w:val="auto"/>
          <w:sz w:val="21"/>
          <w:szCs w:val="21"/>
          <w:highlight w:val="none"/>
          <w:u w:val="single"/>
        </w:rPr>
        <w:t xml:space="preserve">调整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因市场价格波动调整合同价格，采用以下第</w:t>
      </w:r>
      <w:r>
        <w:rPr>
          <w:rFonts w:hint="eastAsia" w:ascii="宋体" w:hAnsi="宋体" w:eastAsia="宋体" w:cs="宋体"/>
          <w:color w:val="auto"/>
          <w:sz w:val="21"/>
          <w:szCs w:val="21"/>
          <w:highlight w:val="none"/>
          <w:u w:val="single"/>
          <w:lang w:val="en-US" w:eastAsia="zh-CN"/>
        </w:rPr>
        <w:t xml:space="preserve"> /  </w:t>
      </w:r>
      <w:r>
        <w:rPr>
          <w:rFonts w:hint="eastAsia" w:ascii="宋体" w:hAnsi="宋体" w:eastAsia="宋体" w:cs="宋体"/>
          <w:color w:val="auto"/>
          <w:sz w:val="21"/>
          <w:szCs w:val="21"/>
          <w:highlight w:val="none"/>
        </w:rPr>
        <w:t>种方式对合同价格进行调整：</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第1种方式：采用价格指数进行价格调整。</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关于各可调因子、定值和变值权重，以及基本价格指数及其来源的约定：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第2种方式：采用造价信息进行价格调整。</w:t>
      </w:r>
    </w:p>
    <w:p>
      <w:pPr>
        <w:pStyle w:val="33"/>
        <w:spacing w:line="380" w:lineRule="exact"/>
        <w:ind w:firstLine="315" w:firstLineChars="15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（1）关于基准价格的约定：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投</w:t>
      </w:r>
      <w:r>
        <w:rPr>
          <w:rFonts w:hint="eastAsia" w:ascii="宋体" w:hAnsi="宋体" w:eastAsia="宋体" w:cs="宋体"/>
          <w:color w:val="auto"/>
          <w:kern w:val="0"/>
          <w:sz w:val="21"/>
          <w:szCs w:val="21"/>
          <w:highlight w:val="none"/>
        </w:rPr>
        <w:t>标人应根据施工期间材料可能由于市场价格上涨（或下跌）因素自行考虑由此引起的风险并计入投标报价中，投标人应对自己的报价承担风险，除本合同约定的钢筋、水泥、商品混凝土、沥青混凝土、碎石、砂、片石、沥青、管材、石材、土方（含购土与弃土）等项材料价格可做调整外，其余材料价格不作调整。</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①承包人在已标价工程量清单或预算书中载明的材料单价低于基准价格的，合同履行期间材料单价涨幅以基准价格为基础超过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%时，或材料单价跌幅以已标价工程量清单或预算书中载明材料单价为基础超过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%时，材料单价涨幅以已标价工程量清单或预算书中载明材料单价为基础超过</w:t>
      </w:r>
      <w:r>
        <w:rPr>
          <w:rFonts w:hint="eastAsia" w:ascii="宋体" w:hAnsi="宋体" w:eastAsia="宋体" w:cs="宋体"/>
          <w:color w:val="auto"/>
          <w:kern w:val="0"/>
          <w:sz w:val="21"/>
          <w:szCs w:val="21"/>
          <w:highlight w:val="none"/>
          <w:lang w:eastAsia="zh-CN"/>
        </w:rPr>
        <w:t>5</w:t>
      </w:r>
      <w:r>
        <w:rPr>
          <w:rFonts w:hint="eastAsia" w:ascii="宋体" w:hAnsi="宋体" w:eastAsia="宋体" w:cs="宋体"/>
          <w:color w:val="auto"/>
          <w:kern w:val="0"/>
          <w:sz w:val="21"/>
          <w:szCs w:val="21"/>
          <w:highlight w:val="none"/>
        </w:rPr>
        <w:t>%时，其超过部分据实调整。</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%时，其超过部分据实调整。</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④除专用合同约定的钢筋、水泥、商品混凝土、沥青混凝土、碎石、砂、片石、沥青、管材、石材、土方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等项材料外，其余材料价格不做调整。调整方法：钢筋、水泥、商品混凝土、沥青混凝土、碎石、砂、片石、沥青、管材、石材、土方</w:t>
      </w:r>
      <w:r>
        <w:rPr>
          <w:rFonts w:hint="eastAsia" w:ascii="宋体" w:hAnsi="宋体" w:eastAsia="宋体" w:cs="宋体"/>
          <w:color w:val="auto"/>
          <w:kern w:val="0"/>
          <w:sz w:val="21"/>
          <w:szCs w:val="21"/>
          <w:highlight w:val="none"/>
        </w:rPr>
        <w:t>（含购土与弃土）</w:t>
      </w:r>
      <w:r>
        <w:rPr>
          <w:rFonts w:hint="eastAsia" w:ascii="宋体" w:hAnsi="宋体" w:eastAsia="宋体" w:cs="宋体"/>
          <w:color w:val="auto"/>
          <w:sz w:val="21"/>
          <w:szCs w:val="21"/>
          <w:highlight w:val="none"/>
        </w:rPr>
        <w:t>价格超过部分×中标下浮系数（中标人的投标报价÷预算价），该部分费用列入税前独立费。</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在工程施工期间，国家及地区如有新的人工费调整政策文件出台，可按国家及地区相关文件进行人工费调差。</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第3种方式：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bookmarkEnd w:id="1070"/>
    <w:bookmarkEnd w:id="1071"/>
    <w:bookmarkEnd w:id="1072"/>
    <w:bookmarkEnd w:id="1073"/>
    <w:bookmarkEnd w:id="1074"/>
    <w:bookmarkEnd w:id="1075"/>
    <w:p>
      <w:pPr>
        <w:pStyle w:val="31"/>
        <w:spacing w:line="380" w:lineRule="exact"/>
        <w:rPr>
          <w:rFonts w:hint="eastAsia" w:ascii="宋体" w:hAnsi="宋体" w:eastAsia="宋体" w:cs="宋体"/>
          <w:color w:val="auto"/>
          <w:sz w:val="21"/>
          <w:szCs w:val="21"/>
          <w:highlight w:val="none"/>
        </w:rPr>
      </w:pPr>
      <w:bookmarkStart w:id="1296" w:name="_Toc296346706"/>
      <w:bookmarkStart w:id="1297" w:name="_Toc296347204"/>
      <w:bookmarkStart w:id="1298" w:name="_Toc296503205"/>
      <w:bookmarkStart w:id="1299" w:name="_Toc292559915"/>
      <w:bookmarkStart w:id="1300" w:name="_Toc296891245"/>
      <w:bookmarkStart w:id="1301" w:name="_Toc292559410"/>
      <w:bookmarkStart w:id="1302" w:name="_Toc297048391"/>
      <w:bookmarkStart w:id="1303" w:name="_Toc296944544"/>
      <w:bookmarkStart w:id="1304" w:name="_Toc296891033"/>
      <w:bookmarkStart w:id="1305" w:name="_Toc297120505"/>
      <w:bookmarkStart w:id="1306" w:name="_Toc418752291"/>
      <w:bookmarkStart w:id="1307" w:name="_Toc418061360"/>
      <w:bookmarkStart w:id="1308" w:name="_Toc497747227"/>
      <w:bookmarkStart w:id="1309" w:name="_Toc418518395"/>
      <w:bookmarkStart w:id="1310" w:name="_Toc17450"/>
      <w:bookmarkStart w:id="1311" w:name="_Toc497746830"/>
      <w:bookmarkStart w:id="1312" w:name="_Toc418518159"/>
      <w:bookmarkStart w:id="1313" w:name="_Toc351203644"/>
      <w:bookmarkStart w:id="1314" w:name="_Toc373227748"/>
      <w:bookmarkStart w:id="1315" w:name="_Toc522201776"/>
      <w:bookmarkStart w:id="1316" w:name="_Toc418751845"/>
      <w:bookmarkStart w:id="1317" w:name="_Toc373478395"/>
      <w:bookmarkStart w:id="1318" w:name="_Toc403578983"/>
      <w:bookmarkStart w:id="1319" w:name="_Toc256000227"/>
      <w:bookmarkStart w:id="1320" w:name="_Toc297216211"/>
      <w:bookmarkStart w:id="1321" w:name="_Toc303539159"/>
      <w:bookmarkStart w:id="1322" w:name="_Toc297123552"/>
      <w:bookmarkStart w:id="1323" w:name="_Toc304295579"/>
      <w:bookmarkStart w:id="1324" w:name="_Toc312678040"/>
      <w:bookmarkStart w:id="1325" w:name="_Toc300935002"/>
      <w:r>
        <w:rPr>
          <w:rFonts w:hint="eastAsia" w:ascii="宋体" w:hAnsi="宋体" w:eastAsia="宋体" w:cs="宋体"/>
          <w:color w:val="auto"/>
          <w:sz w:val="21"/>
          <w:szCs w:val="21"/>
          <w:highlight w:val="none"/>
        </w:rPr>
        <w:t xml:space="preserve">12. </w:t>
      </w:r>
      <w:bookmarkEnd w:id="1296"/>
      <w:bookmarkEnd w:id="1297"/>
      <w:bookmarkEnd w:id="1298"/>
      <w:bookmarkEnd w:id="1299"/>
      <w:bookmarkEnd w:id="1300"/>
      <w:bookmarkEnd w:id="1301"/>
      <w:bookmarkEnd w:id="1302"/>
      <w:bookmarkEnd w:id="1303"/>
      <w:bookmarkEnd w:id="1304"/>
      <w:bookmarkEnd w:id="1305"/>
      <w:r>
        <w:rPr>
          <w:rFonts w:hint="eastAsia" w:ascii="宋体" w:hAnsi="宋体" w:eastAsia="宋体" w:cs="宋体"/>
          <w:color w:val="auto"/>
          <w:sz w:val="21"/>
          <w:szCs w:val="21"/>
          <w:highlight w:val="none"/>
        </w:rPr>
        <w:t>合同价格、计量与支付</w:t>
      </w:r>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p>
    <w:bookmarkEnd w:id="1320"/>
    <w:bookmarkEnd w:id="1321"/>
    <w:bookmarkEnd w:id="1322"/>
    <w:bookmarkEnd w:id="1323"/>
    <w:bookmarkEnd w:id="1324"/>
    <w:bookmarkEnd w:id="1325"/>
    <w:p>
      <w:pPr>
        <w:pStyle w:val="31"/>
        <w:spacing w:line="380" w:lineRule="exact"/>
        <w:ind w:firstLine="422" w:firstLineChars="200"/>
        <w:rPr>
          <w:rFonts w:hint="eastAsia" w:ascii="宋体" w:hAnsi="宋体" w:eastAsia="宋体" w:cs="宋体"/>
          <w:color w:val="auto"/>
          <w:sz w:val="21"/>
          <w:szCs w:val="21"/>
          <w:highlight w:val="none"/>
        </w:rPr>
      </w:pPr>
      <w:bookmarkStart w:id="1326" w:name="_Toc292559916"/>
      <w:bookmarkStart w:id="1327" w:name="_Toc267251461"/>
      <w:bookmarkStart w:id="1328" w:name="_Toc292559411"/>
      <w:bookmarkStart w:id="1329" w:name="_Toc296891246"/>
      <w:bookmarkStart w:id="1330" w:name="_Toc296503206"/>
      <w:bookmarkStart w:id="1331" w:name="_Toc297120506"/>
      <w:bookmarkStart w:id="1332" w:name="_Toc296891034"/>
      <w:bookmarkStart w:id="1333" w:name="_Toc296347205"/>
      <w:bookmarkStart w:id="1334" w:name="_Toc296346707"/>
      <w:bookmarkStart w:id="1335" w:name="_Toc296944545"/>
      <w:bookmarkStart w:id="1336" w:name="_Toc297048392"/>
      <w:bookmarkStart w:id="1337" w:name="_Toc12705"/>
      <w:bookmarkStart w:id="1338" w:name="_Toc522201777"/>
      <w:bookmarkStart w:id="1339" w:name="_Toc418752292"/>
      <w:bookmarkStart w:id="1340" w:name="_Toc497746831"/>
      <w:bookmarkStart w:id="1341" w:name="_Toc418061361"/>
      <w:bookmarkStart w:id="1342" w:name="_Toc418751846"/>
      <w:bookmarkStart w:id="1343" w:name="_Toc373227749"/>
      <w:bookmarkStart w:id="1344" w:name="_Toc497747228"/>
      <w:bookmarkStart w:id="1345" w:name="_Toc403578984"/>
      <w:bookmarkStart w:id="1346" w:name="_Toc373478396"/>
      <w:bookmarkStart w:id="1347" w:name="_Toc256000228"/>
      <w:bookmarkStart w:id="1348" w:name="_Toc389065314"/>
      <w:bookmarkStart w:id="1349" w:name="_Toc418518396"/>
      <w:bookmarkStart w:id="1350" w:name="_Toc418518160"/>
      <w:bookmarkStart w:id="1351" w:name="_Toc297123553"/>
      <w:bookmarkStart w:id="1352" w:name="_Toc300935003"/>
      <w:bookmarkStart w:id="1353" w:name="_Toc297216212"/>
      <w:bookmarkStart w:id="1354" w:name="_Toc312678041"/>
      <w:bookmarkStart w:id="1355" w:name="_Toc303539160"/>
      <w:bookmarkStart w:id="1356" w:name="_Toc304295580"/>
      <w:r>
        <w:rPr>
          <w:rFonts w:hint="eastAsia" w:ascii="宋体" w:hAnsi="宋体" w:eastAsia="宋体" w:cs="宋体"/>
          <w:color w:val="auto"/>
          <w:sz w:val="21"/>
          <w:szCs w:val="21"/>
          <w:highlight w:val="none"/>
        </w:rPr>
        <w:t>12.1 合</w:t>
      </w:r>
      <w:bookmarkEnd w:id="1326"/>
      <w:bookmarkEnd w:id="1327"/>
      <w:bookmarkEnd w:id="1328"/>
      <w:r>
        <w:rPr>
          <w:rFonts w:hint="eastAsia" w:ascii="宋体" w:hAnsi="宋体" w:eastAsia="宋体" w:cs="宋体"/>
          <w:color w:val="auto"/>
          <w:sz w:val="21"/>
          <w:szCs w:val="21"/>
          <w:highlight w:val="none"/>
        </w:rPr>
        <w:t>同价</w:t>
      </w:r>
      <w:bookmarkEnd w:id="1329"/>
      <w:bookmarkEnd w:id="1330"/>
      <w:bookmarkEnd w:id="1331"/>
      <w:bookmarkEnd w:id="1332"/>
      <w:bookmarkEnd w:id="1333"/>
      <w:bookmarkEnd w:id="1334"/>
      <w:bookmarkEnd w:id="1335"/>
      <w:bookmarkEnd w:id="1336"/>
      <w:r>
        <w:rPr>
          <w:rFonts w:hint="eastAsia" w:ascii="宋体" w:hAnsi="宋体" w:eastAsia="宋体" w:cs="宋体"/>
          <w:color w:val="auto"/>
          <w:sz w:val="21"/>
          <w:szCs w:val="21"/>
          <w:highlight w:val="none"/>
        </w:rPr>
        <w:t>格形式</w:t>
      </w:r>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p>
    <w:bookmarkEnd w:id="1351"/>
    <w:bookmarkEnd w:id="1352"/>
    <w:bookmarkEnd w:id="1353"/>
    <w:bookmarkEnd w:id="1354"/>
    <w:bookmarkEnd w:id="1355"/>
    <w:bookmarkEnd w:id="1356"/>
    <w:p>
      <w:pPr>
        <w:pStyle w:val="33"/>
        <w:spacing w:line="380" w:lineRule="exact"/>
        <w:ind w:firstLine="420" w:firstLineChars="200"/>
        <w:jc w:val="left"/>
        <w:rPr>
          <w:rFonts w:hint="eastAsia" w:ascii="宋体" w:hAnsi="宋体" w:eastAsia="宋体" w:cs="宋体"/>
          <w:color w:val="auto"/>
          <w:sz w:val="21"/>
          <w:szCs w:val="21"/>
          <w:highlight w:val="none"/>
        </w:rPr>
      </w:pPr>
      <w:bookmarkStart w:id="1357" w:name="_Toc389065315"/>
      <w:bookmarkStart w:id="1358" w:name="_Toc373478397"/>
      <w:bookmarkStart w:id="1359" w:name="_Toc373227750"/>
      <w:bookmarkStart w:id="1360" w:name="_Toc312678042"/>
      <w:bookmarkStart w:id="1361" w:name="_Toc300935004"/>
      <w:bookmarkStart w:id="1362" w:name="_Toc303539161"/>
      <w:bookmarkStart w:id="1363" w:name="_Toc297216213"/>
      <w:bookmarkStart w:id="1364" w:name="_Toc304295581"/>
      <w:bookmarkStart w:id="1365" w:name="_Toc297123554"/>
      <w:bookmarkStart w:id="1366" w:name="_Toc296891035"/>
      <w:bookmarkStart w:id="1367" w:name="_Toc297120507"/>
      <w:bookmarkStart w:id="1368" w:name="_Toc296347206"/>
      <w:bookmarkStart w:id="1369" w:name="_Toc296944546"/>
      <w:bookmarkStart w:id="1370" w:name="_Toc292559917"/>
      <w:bookmarkStart w:id="1371" w:name="_Toc296503207"/>
      <w:bookmarkStart w:id="1372" w:name="_Toc292559412"/>
      <w:bookmarkStart w:id="1373" w:name="_Toc297048393"/>
      <w:bookmarkStart w:id="1374" w:name="_Toc296891247"/>
      <w:bookmarkStart w:id="1375" w:name="_Toc296346708"/>
      <w:r>
        <w:rPr>
          <w:rFonts w:hint="eastAsia" w:ascii="宋体" w:hAnsi="宋体" w:eastAsia="宋体" w:cs="宋体"/>
          <w:color w:val="auto"/>
          <w:sz w:val="21"/>
          <w:szCs w:val="21"/>
          <w:highlight w:val="none"/>
        </w:rPr>
        <w:t>（1）单价合同。</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本合同价款采用</w:t>
      </w:r>
      <w:r>
        <w:rPr>
          <w:rFonts w:hint="eastAsia" w:ascii="宋体" w:hAnsi="宋体" w:eastAsia="宋体" w:cs="宋体"/>
          <w:color w:val="auto"/>
          <w:sz w:val="21"/>
          <w:szCs w:val="21"/>
          <w:highlight w:val="none"/>
          <w:u w:val="single"/>
        </w:rPr>
        <w:t>固定综合单价</w:t>
      </w:r>
      <w:r>
        <w:rPr>
          <w:rFonts w:hint="eastAsia" w:ascii="宋体" w:hAnsi="宋体" w:eastAsia="宋体" w:cs="宋体"/>
          <w:color w:val="auto"/>
          <w:sz w:val="21"/>
          <w:szCs w:val="21"/>
          <w:highlight w:val="none"/>
          <w:u w:val="single"/>
          <w:lang w:eastAsia="zh-CN"/>
        </w:rPr>
        <w:t>，工程量按实计算的方式</w:t>
      </w:r>
      <w:r>
        <w:rPr>
          <w:rFonts w:hint="eastAsia" w:ascii="宋体" w:hAnsi="宋体" w:eastAsia="宋体" w:cs="宋体"/>
          <w:color w:val="auto"/>
          <w:sz w:val="21"/>
          <w:szCs w:val="21"/>
          <w:highlight w:val="none"/>
        </w:rPr>
        <w:t>确定。</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综合单价包含的风险范围：</w:t>
      </w:r>
      <w:r>
        <w:rPr>
          <w:rFonts w:hint="eastAsia" w:ascii="宋体" w:hAnsi="宋体" w:eastAsia="宋体" w:cs="宋体"/>
          <w:color w:val="auto"/>
          <w:sz w:val="21"/>
          <w:szCs w:val="21"/>
          <w:highlight w:val="none"/>
          <w:u w:val="single"/>
        </w:rPr>
        <w:t>除工程变更、政策性调整、风险以外因素。</w:t>
      </w:r>
    </w:p>
    <w:p>
      <w:pPr>
        <w:pStyle w:val="40"/>
        <w:spacing w:line="38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p>
    <w:p>
      <w:pPr>
        <w:pStyle w:val="40"/>
        <w:spacing w:line="38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①工程变更：按10.4.1变更估价原则的约定调整。</w:t>
      </w:r>
    </w:p>
    <w:p>
      <w:pPr>
        <w:pStyle w:val="40"/>
        <w:spacing w:line="38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②政策性调整：按自治区建设行政主管部门颁布的文件执行。</w:t>
      </w:r>
    </w:p>
    <w:p>
      <w:pPr>
        <w:pStyle w:val="40"/>
        <w:spacing w:line="380" w:lineRule="exact"/>
        <w:ind w:firstLine="441" w:firstLineChars="21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③材料、设备价格变动风险：按11.1的约定调整。</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④其它：</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总价包含的风险范围：</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风险范围以外合同价格的调整方法：</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（3）其他价格方式：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376" w:name="_Toc418752293"/>
      <w:bookmarkStart w:id="1377" w:name="_Toc418518397"/>
      <w:bookmarkStart w:id="1378" w:name="_Toc522201778"/>
      <w:bookmarkStart w:id="1379" w:name="_Toc418518161"/>
      <w:bookmarkStart w:id="1380" w:name="_Toc9258"/>
      <w:bookmarkStart w:id="1381" w:name="_Toc497746832"/>
      <w:bookmarkStart w:id="1382" w:name="_Toc497747229"/>
      <w:bookmarkStart w:id="1383" w:name="_Toc403578985"/>
      <w:bookmarkStart w:id="1384" w:name="_Toc418751847"/>
      <w:bookmarkStart w:id="1385" w:name="_Toc256000229"/>
      <w:bookmarkStart w:id="1386" w:name="_Toc418061362"/>
      <w:r>
        <w:rPr>
          <w:rFonts w:hint="eastAsia" w:ascii="宋体" w:hAnsi="宋体" w:eastAsia="宋体" w:cs="宋体"/>
          <w:color w:val="auto"/>
          <w:sz w:val="21"/>
          <w:szCs w:val="21"/>
          <w:highlight w:val="none"/>
        </w:rPr>
        <w:t>12.2 预付款</w:t>
      </w:r>
      <w:bookmarkEnd w:id="1357"/>
      <w:bookmarkEnd w:id="1358"/>
      <w:bookmarkEnd w:id="1359"/>
      <w:bookmarkEnd w:id="1376"/>
      <w:bookmarkEnd w:id="1377"/>
      <w:bookmarkEnd w:id="1378"/>
      <w:bookmarkEnd w:id="1379"/>
      <w:bookmarkEnd w:id="1380"/>
      <w:bookmarkEnd w:id="1381"/>
      <w:bookmarkEnd w:id="1382"/>
      <w:bookmarkEnd w:id="1383"/>
      <w:bookmarkEnd w:id="1384"/>
      <w:bookmarkEnd w:id="1385"/>
      <w:bookmarkEnd w:id="1386"/>
    </w:p>
    <w:bookmarkEnd w:id="1360"/>
    <w:bookmarkEnd w:id="1361"/>
    <w:bookmarkEnd w:id="1362"/>
    <w:bookmarkEnd w:id="1363"/>
    <w:bookmarkEnd w:id="1364"/>
    <w:bookmarkEnd w:id="1365"/>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12.2.1 预付款的支付</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预付款支付比例或金额：</w:t>
      </w:r>
      <w:r>
        <w:rPr>
          <w:rFonts w:hint="eastAsia" w:ascii="宋体" w:hAnsi="宋体" w:eastAsia="宋体" w:cs="宋体"/>
          <w:color w:val="auto"/>
          <w:sz w:val="21"/>
          <w:szCs w:val="21"/>
          <w:highlight w:val="none"/>
          <w:u w:val="single"/>
          <w:lang w:eastAsia="zh-CN"/>
        </w:rPr>
        <w:t>按合同价的</w:t>
      </w:r>
      <w:r>
        <w:rPr>
          <w:rFonts w:hint="eastAsia" w:ascii="宋体" w:hAnsi="宋体" w:cs="宋体"/>
          <w:color w:val="auto"/>
          <w:sz w:val="21"/>
          <w:szCs w:val="21"/>
          <w:highlight w:val="none"/>
          <w:u w:val="single"/>
          <w:lang w:val="en-US" w:eastAsia="zh-CN"/>
        </w:rPr>
        <w:t>30</w:t>
      </w:r>
      <w:r>
        <w:rPr>
          <w:rFonts w:hint="eastAsia" w:ascii="宋体" w:hAnsi="宋体" w:eastAsia="宋体" w:cs="宋体"/>
          <w:color w:val="auto"/>
          <w:sz w:val="21"/>
          <w:szCs w:val="21"/>
          <w:highlight w:val="none"/>
          <w:u w:val="single"/>
          <w:lang w:val="en-US" w:eastAsia="zh-CN"/>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预付款支付期限：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签订合同7个工作日内</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12.2.2 预付款担保</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承包人提交预付款担保的期限：</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预付款担保的形式为：</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预付款担保格式见合同附件9。</w:t>
      </w:r>
    </w:p>
    <w:bookmarkEnd w:id="1366"/>
    <w:bookmarkEnd w:id="1367"/>
    <w:bookmarkEnd w:id="1368"/>
    <w:bookmarkEnd w:id="1369"/>
    <w:bookmarkEnd w:id="1370"/>
    <w:bookmarkEnd w:id="1371"/>
    <w:bookmarkEnd w:id="1372"/>
    <w:bookmarkEnd w:id="1373"/>
    <w:bookmarkEnd w:id="1374"/>
    <w:bookmarkEnd w:id="1375"/>
    <w:p>
      <w:pPr>
        <w:pStyle w:val="31"/>
        <w:spacing w:line="380" w:lineRule="exact"/>
        <w:ind w:firstLine="422" w:firstLineChars="200"/>
        <w:rPr>
          <w:rFonts w:hint="eastAsia" w:ascii="宋体" w:hAnsi="宋体" w:eastAsia="宋体" w:cs="宋体"/>
          <w:color w:val="auto"/>
          <w:sz w:val="21"/>
          <w:szCs w:val="21"/>
          <w:highlight w:val="none"/>
        </w:rPr>
      </w:pPr>
      <w:bookmarkStart w:id="1387" w:name="_Toc497746833"/>
      <w:bookmarkStart w:id="1388" w:name="_Toc256000230"/>
      <w:bookmarkStart w:id="1389" w:name="_Toc418751848"/>
      <w:bookmarkStart w:id="1390" w:name="_Toc373478398"/>
      <w:bookmarkStart w:id="1391" w:name="_Toc418518162"/>
      <w:bookmarkStart w:id="1392" w:name="_Toc497747230"/>
      <w:bookmarkStart w:id="1393" w:name="_Toc418752294"/>
      <w:bookmarkStart w:id="1394" w:name="_Toc522201779"/>
      <w:bookmarkStart w:id="1395" w:name="_Toc418061363"/>
      <w:bookmarkStart w:id="1396" w:name="_Toc418518398"/>
      <w:bookmarkStart w:id="1397" w:name="_Toc373227751"/>
      <w:bookmarkStart w:id="1398" w:name="_Toc13428"/>
      <w:bookmarkStart w:id="1399" w:name="_Toc389065316"/>
      <w:bookmarkStart w:id="1400" w:name="_Toc403578986"/>
      <w:r>
        <w:rPr>
          <w:rFonts w:hint="eastAsia" w:ascii="宋体" w:hAnsi="宋体" w:eastAsia="宋体" w:cs="宋体"/>
          <w:color w:val="auto"/>
          <w:sz w:val="21"/>
          <w:szCs w:val="21"/>
          <w:highlight w:val="none"/>
        </w:rPr>
        <w:t>12.3 计量</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p>
    <w:p>
      <w:pPr>
        <w:pStyle w:val="33"/>
        <w:spacing w:line="380" w:lineRule="exact"/>
        <w:ind w:firstLine="420" w:firstLineChars="200"/>
        <w:jc w:val="left"/>
        <w:rPr>
          <w:rFonts w:hint="eastAsia" w:ascii="宋体" w:hAnsi="宋体" w:eastAsia="宋体" w:cs="宋体"/>
          <w:color w:val="auto"/>
          <w:sz w:val="21"/>
          <w:szCs w:val="21"/>
          <w:highlight w:val="none"/>
        </w:rPr>
      </w:pPr>
      <w:bookmarkStart w:id="1401" w:name="_Toc418751849"/>
      <w:bookmarkStart w:id="1402" w:name="_Toc418518399"/>
      <w:bookmarkStart w:id="1403" w:name="_Toc418518163"/>
      <w:bookmarkStart w:id="1404" w:name="_Toc497746834"/>
      <w:bookmarkStart w:id="1405" w:name="_Toc373478399"/>
      <w:bookmarkStart w:id="1406" w:name="_Toc403578987"/>
      <w:bookmarkStart w:id="1407" w:name="_Toc418752295"/>
      <w:bookmarkStart w:id="1408" w:name="_Toc389065317"/>
      <w:bookmarkStart w:id="1409" w:name="_Toc497747231"/>
      <w:bookmarkStart w:id="1410" w:name="_Toc418061364"/>
      <w:bookmarkStart w:id="1411" w:name="_Toc373227752"/>
      <w:r>
        <w:rPr>
          <w:rFonts w:hint="eastAsia" w:ascii="宋体" w:hAnsi="宋体" w:eastAsia="宋体" w:cs="宋体"/>
          <w:color w:val="auto"/>
          <w:sz w:val="21"/>
          <w:szCs w:val="21"/>
          <w:highlight w:val="none"/>
        </w:rPr>
        <w:t xml:space="preserve">12.3.1 计量原则 </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工程量计算规则：</w:t>
      </w:r>
      <w:r>
        <w:rPr>
          <w:rFonts w:hint="eastAsia" w:ascii="宋体" w:hAnsi="宋体" w:eastAsia="宋体" w:cs="宋体"/>
          <w:color w:val="auto"/>
          <w:sz w:val="21"/>
          <w:szCs w:val="21"/>
          <w:highlight w:val="none"/>
          <w:u w:val="single"/>
        </w:rPr>
        <w:t>工程的计量均以《建设工程工程量清单计价规范》 （GB50500－2013）和及其广西壮族自治区实施细则、《建设工程工程量清单计算规范》 （GB50854～50862－2013）及其广西实施细则（修订本）、本工程补充项目清单为准。</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12.3.2 计量周期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关于计量周期的约定：</w:t>
      </w:r>
      <w:r>
        <w:rPr>
          <w:rFonts w:hint="eastAsia" w:ascii="宋体" w:hAnsi="宋体" w:eastAsia="宋体" w:cs="宋体"/>
          <w:color w:val="auto"/>
          <w:sz w:val="21"/>
          <w:szCs w:val="21"/>
          <w:highlight w:val="none"/>
          <w:u w:val="single"/>
        </w:rPr>
        <w:t>承包人每月25日前向监理人报送上月20日至本月19日完成的工程量报告，并附具进度款申请单、已完成工程量报表和有关资料。</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12.3.3 单价合同的计量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关于单价合同计量的约定：</w:t>
      </w:r>
      <w:r>
        <w:rPr>
          <w:rFonts w:hint="eastAsia" w:ascii="宋体" w:hAnsi="宋体" w:eastAsia="宋体" w:cs="宋体"/>
          <w:color w:val="auto"/>
          <w:sz w:val="21"/>
          <w:szCs w:val="21"/>
          <w:highlight w:val="none"/>
          <w:u w:val="single"/>
        </w:rPr>
        <w:t xml:space="preserve"> (1) 工程量清单所列的工程量，不能作为承包人按合同履行其责任依据，实际施工中发生的工程量增加或减少并不影响承包人履行合同的责任，工程结算以完成的实际工程量为准。(2) 除另有规定外，工程师应按照合同通过计量来核实确定已完成的工程量和价款，承包人应得到该价款扣除保留金后的金额。当工程师要对已完工的工程量进行计量时，应适时地通知承包人参加</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12.3.4 总价合同的计量 </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关于总价合同计量的约定：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12.3.5 总价合同采用支付分解表计量支付的，是否适用第 12.3.4 项〔总价合同的计量〕约定进行计量：</w:t>
      </w:r>
      <w:r>
        <w:rPr>
          <w:rFonts w:hint="eastAsia" w:ascii="宋体" w:hAnsi="宋体" w:eastAsia="宋体" w:cs="宋体"/>
          <w:color w:val="auto"/>
          <w:sz w:val="21"/>
          <w:szCs w:val="21"/>
          <w:highlight w:val="none"/>
          <w:u w:val="single"/>
        </w:rPr>
        <w:t xml:space="preserve">无 </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12.3.6 其他价格形式合同的计量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其他价格形式的计量方式和程序：</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 工程进度款支付</w:t>
      </w:r>
      <w:bookmarkEnd w:id="1401"/>
      <w:bookmarkEnd w:id="1402"/>
      <w:bookmarkEnd w:id="1403"/>
      <w:bookmarkEnd w:id="1404"/>
      <w:bookmarkEnd w:id="1405"/>
      <w:bookmarkEnd w:id="1406"/>
      <w:bookmarkEnd w:id="1407"/>
      <w:bookmarkEnd w:id="1408"/>
      <w:bookmarkEnd w:id="1409"/>
      <w:bookmarkEnd w:id="1410"/>
      <w:bookmarkEnd w:id="1411"/>
    </w:p>
    <w:p>
      <w:pPr>
        <w:pStyle w:val="33"/>
        <w:spacing w:line="380" w:lineRule="exact"/>
        <w:ind w:firstLine="420" w:firstLineChars="200"/>
        <w:jc w:val="left"/>
        <w:rPr>
          <w:rFonts w:hint="eastAsia" w:ascii="宋体" w:hAnsi="宋体" w:eastAsia="宋体" w:cs="宋体"/>
          <w:color w:val="auto"/>
          <w:sz w:val="21"/>
          <w:szCs w:val="21"/>
          <w:highlight w:val="none"/>
        </w:rPr>
      </w:pPr>
      <w:bookmarkStart w:id="1412" w:name="_Toc296944550"/>
      <w:bookmarkStart w:id="1413" w:name="_Toc296891251"/>
      <w:bookmarkStart w:id="1414" w:name="_Toc297120511"/>
      <w:bookmarkStart w:id="1415" w:name="_Toc296346712"/>
      <w:bookmarkStart w:id="1416" w:name="_Toc303539163"/>
      <w:bookmarkStart w:id="1417" w:name="_Toc297123556"/>
      <w:bookmarkStart w:id="1418" w:name="_Toc292559921"/>
      <w:bookmarkStart w:id="1419" w:name="_Toc296347210"/>
      <w:bookmarkStart w:id="1420" w:name="_Toc292559416"/>
      <w:bookmarkStart w:id="1421" w:name="_Toc297216215"/>
      <w:bookmarkStart w:id="1422" w:name="_Toc296503211"/>
      <w:bookmarkStart w:id="1423" w:name="_Toc297048397"/>
      <w:bookmarkStart w:id="1424" w:name="_Toc296891039"/>
      <w:bookmarkStart w:id="1425" w:name="_Toc300935006"/>
      <w:r>
        <w:rPr>
          <w:rFonts w:hint="eastAsia" w:ascii="宋体" w:hAnsi="宋体" w:eastAsia="宋体" w:cs="宋体"/>
          <w:color w:val="auto"/>
          <w:sz w:val="21"/>
          <w:szCs w:val="21"/>
          <w:highlight w:val="none"/>
        </w:rPr>
        <w:t>12.4.1 付款周期</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关于付款周期的约定</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支付条件和支付时间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u w:val="single"/>
        </w:rPr>
        <w:t>工程</w:t>
      </w:r>
      <w:r>
        <w:rPr>
          <w:rFonts w:hint="eastAsia" w:ascii="宋体" w:hAnsi="宋体" w:eastAsia="宋体" w:cs="宋体"/>
          <w:color w:val="auto"/>
          <w:sz w:val="21"/>
          <w:szCs w:val="21"/>
          <w:highlight w:val="none"/>
          <w:u w:val="single"/>
          <w:lang w:eastAsia="zh-CN"/>
        </w:rPr>
        <w:t>进度</w:t>
      </w:r>
      <w:r>
        <w:rPr>
          <w:rFonts w:hint="eastAsia" w:ascii="宋体" w:hAnsi="宋体" w:eastAsia="宋体" w:cs="宋体"/>
          <w:color w:val="auto"/>
          <w:sz w:val="21"/>
          <w:szCs w:val="21"/>
          <w:highlight w:val="none"/>
          <w:u w:val="single"/>
        </w:rPr>
        <w:t>款按月</w:t>
      </w:r>
      <w:r>
        <w:rPr>
          <w:rFonts w:hint="eastAsia" w:ascii="宋体" w:hAnsi="宋体" w:eastAsia="宋体" w:cs="宋体"/>
          <w:color w:val="auto"/>
          <w:sz w:val="21"/>
          <w:szCs w:val="21"/>
          <w:highlight w:val="none"/>
          <w:u w:val="single"/>
          <w:lang w:eastAsia="zh-CN"/>
        </w:rPr>
        <w:t>以实际</w:t>
      </w:r>
      <w:r>
        <w:rPr>
          <w:rFonts w:hint="eastAsia" w:ascii="宋体" w:hAnsi="宋体" w:eastAsia="宋体" w:cs="宋体"/>
          <w:color w:val="auto"/>
          <w:sz w:val="21"/>
          <w:szCs w:val="21"/>
          <w:highlight w:val="none"/>
          <w:u w:val="single"/>
        </w:rPr>
        <w:t>施工完成额支付至70%；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工程竣工验收合格后，以合同价作为支付依据</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工程款支付（含预付款）至合同价的80%；</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工程验收结算审核后，工程款支付至结算总价的97%；</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发包人按工程价款结算总额的3%预留工程质量保修金，</w:t>
      </w:r>
      <w:r>
        <w:rPr>
          <w:rFonts w:hint="eastAsia" w:ascii="宋体" w:hAnsi="宋体" w:eastAsia="宋体" w:cs="宋体"/>
          <w:color w:val="auto"/>
          <w:sz w:val="21"/>
          <w:szCs w:val="21"/>
          <w:highlight w:val="none"/>
          <w:u w:val="single"/>
          <w:lang w:eastAsia="zh-CN"/>
        </w:rPr>
        <w:t>待工程质保期满后工程无缺陷将工程质量保修金一次付清</w:t>
      </w:r>
      <w:r>
        <w:rPr>
          <w:rFonts w:hint="eastAsia" w:ascii="宋体" w:hAnsi="宋体" w:eastAsia="宋体" w:cs="宋体"/>
          <w:color w:val="auto"/>
          <w:sz w:val="21"/>
          <w:szCs w:val="21"/>
          <w:highlight w:val="none"/>
          <w:lang w:eastAsia="zh-CN"/>
        </w:rPr>
        <w:t>。</w:t>
      </w:r>
    </w:p>
    <w:p>
      <w:pPr>
        <w:pStyle w:val="33"/>
        <w:keepNext w:val="0"/>
        <w:keepLines w:val="0"/>
        <w:pageBreakBefore w:val="0"/>
        <w:widowControl w:val="0"/>
        <w:kinsoku/>
        <w:wordWrap/>
        <w:overflowPunct/>
        <w:topLinePunct w:val="0"/>
        <w:autoSpaceDE/>
        <w:autoSpaceDN/>
        <w:bidi w:val="0"/>
        <w:adjustRightInd/>
        <w:snapToGrid/>
        <w:spacing w:line="380" w:lineRule="exact"/>
        <w:ind w:left="0" w:leftChars="0" w:firstLine="420" w:firstLineChars="200"/>
        <w:jc w:val="left"/>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每次付款前，承包人应按发包人的要求提供符合相关法律法规的增值税发票，如发票不符合要求，发包人有权拒收，承包人应承担因不合格发票产生的所有责任。</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12.4.2 进度付款申请单的编制</w:t>
      </w:r>
    </w:p>
    <w:p>
      <w:pPr>
        <w:pStyle w:val="33"/>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关于进度付款申请单编制的约定：</w:t>
      </w:r>
      <w:r>
        <w:rPr>
          <w:rFonts w:hint="eastAsia" w:ascii="宋体" w:hAnsi="宋体" w:eastAsia="宋体" w:cs="宋体"/>
          <w:bCs/>
          <w:color w:val="auto"/>
          <w:sz w:val="21"/>
          <w:szCs w:val="21"/>
          <w:highlight w:val="none"/>
          <w:u w:val="single"/>
        </w:rPr>
        <w:t>承包人应在每个计量周期到期后的7天内向发包人提交已完工程进度款支付申请一式四份，详细说明此周期自己认为有权得到的款额，包括分包人已完工程的价款，</w:t>
      </w:r>
      <w:r>
        <w:rPr>
          <w:rFonts w:hint="eastAsia" w:ascii="宋体" w:hAnsi="宋体" w:eastAsia="宋体" w:cs="宋体"/>
          <w:bCs/>
          <w:color w:val="auto"/>
          <w:sz w:val="21"/>
          <w:szCs w:val="21"/>
          <w:highlight w:val="none"/>
          <w:u w:val="single"/>
          <w:lang w:val="en-US" w:eastAsia="zh-CN"/>
        </w:rPr>
        <w:t>附</w:t>
      </w:r>
      <w:r>
        <w:rPr>
          <w:rFonts w:hint="eastAsia" w:ascii="宋体" w:hAnsi="宋体" w:eastAsia="宋体" w:cs="宋体"/>
          <w:bCs/>
          <w:color w:val="auto"/>
          <w:sz w:val="21"/>
          <w:szCs w:val="21"/>
          <w:highlight w:val="none"/>
          <w:u w:val="single"/>
        </w:rPr>
        <w:t>已完工程</w:t>
      </w:r>
      <w:r>
        <w:rPr>
          <w:rFonts w:hint="eastAsia" w:ascii="宋体" w:hAnsi="宋体" w:eastAsia="宋体" w:cs="宋体"/>
          <w:bCs/>
          <w:color w:val="auto"/>
          <w:sz w:val="21"/>
          <w:szCs w:val="21"/>
          <w:highlight w:val="none"/>
          <w:u w:val="single"/>
          <w:lang w:eastAsia="zh-CN"/>
        </w:rPr>
        <w:t>量清单</w:t>
      </w:r>
      <w:r>
        <w:rPr>
          <w:rFonts w:hint="eastAsia" w:ascii="宋体" w:hAnsi="宋体" w:eastAsia="宋体" w:cs="宋体"/>
          <w:bCs/>
          <w:color w:val="auto"/>
          <w:sz w:val="21"/>
          <w:szCs w:val="21"/>
          <w:highlight w:val="none"/>
          <w:u w:val="single"/>
        </w:rPr>
        <w:t>预算书</w:t>
      </w:r>
      <w:r>
        <w:rPr>
          <w:rFonts w:hint="eastAsia" w:ascii="宋体" w:hAnsi="宋体" w:eastAsia="宋体" w:cs="宋体"/>
          <w:bCs/>
          <w:color w:val="auto"/>
          <w:sz w:val="21"/>
          <w:szCs w:val="21"/>
          <w:highlight w:val="none"/>
          <w:u w:val="single"/>
          <w:lang w:eastAsia="zh-CN"/>
        </w:rPr>
        <w:t>，具体以发包人要求为准</w:t>
      </w:r>
      <w:r>
        <w:rPr>
          <w:rFonts w:hint="eastAsia" w:ascii="宋体" w:hAnsi="宋体" w:eastAsia="宋体" w:cs="宋体"/>
          <w:bCs/>
          <w:color w:val="auto"/>
          <w:sz w:val="21"/>
          <w:szCs w:val="21"/>
          <w:highlight w:val="none"/>
          <w:u w:val="singl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r>
        <w:rPr>
          <w:rFonts w:hint="eastAsia" w:ascii="宋体" w:hAnsi="宋体" w:eastAsia="宋体" w:cs="宋体"/>
          <w:color w:val="auto"/>
          <w:sz w:val="21"/>
          <w:szCs w:val="21"/>
          <w:highlight w:val="none"/>
        </w:rPr>
        <w:t>2.4.3 进度付款申请单的提交</w:t>
      </w:r>
    </w:p>
    <w:p>
      <w:pPr>
        <w:pStyle w:val="33"/>
        <w:spacing w:line="380" w:lineRule="exact"/>
        <w:ind w:firstLine="420" w:firstLineChars="200"/>
        <w:jc w:val="left"/>
        <w:rPr>
          <w:rFonts w:hint="eastAsia" w:ascii="宋体" w:hAnsi="宋体" w:eastAsia="宋体" w:cs="宋体"/>
          <w:bCs/>
          <w:color w:val="auto"/>
          <w:sz w:val="21"/>
          <w:szCs w:val="21"/>
          <w:highlight w:val="none"/>
          <w:u w:val="single"/>
        </w:rPr>
      </w:pPr>
      <w:r>
        <w:rPr>
          <w:rFonts w:hint="eastAsia" w:ascii="宋体" w:hAnsi="宋体" w:eastAsia="宋体" w:cs="宋体"/>
          <w:color w:val="auto"/>
          <w:sz w:val="21"/>
          <w:szCs w:val="21"/>
          <w:highlight w:val="none"/>
        </w:rPr>
        <w:t>（1）单价合同进度付款申请单提交的约定：</w:t>
      </w:r>
      <w:r>
        <w:rPr>
          <w:rFonts w:hint="eastAsia" w:ascii="宋体" w:hAnsi="宋体" w:eastAsia="宋体" w:cs="宋体"/>
          <w:bCs/>
          <w:color w:val="auto"/>
          <w:sz w:val="21"/>
          <w:szCs w:val="21"/>
          <w:highlight w:val="none"/>
          <w:u w:val="single"/>
        </w:rPr>
        <w:t>承包人应在每个计量周期到期后的3天内向发包人提交支付申请一式三份，承包人当月完成的产值不足合同价的1％时，不支付进度款，累计至下月一并支付。承包人应随投标文件提交不拖欠民工工资的承诺函和措施。具体支付手续按财政性资金支付程序有关规定办理</w:t>
      </w:r>
      <w:r>
        <w:rPr>
          <w:rFonts w:hint="eastAsia" w:ascii="宋体" w:hAnsi="宋体" w:eastAsia="宋体" w:cs="宋体"/>
          <w:bCs/>
          <w:color w:val="auto"/>
          <w:sz w:val="21"/>
          <w:szCs w:val="21"/>
          <w:highlight w:val="none"/>
          <w:u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（2）总价合同进度付款申请单提交的约定：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（3）其他价格形式合同进度付款申请单提交的约定：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12.4.4 进度款审核和支付</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（1）监理人审查并报送发包人的期限：</w:t>
      </w:r>
      <w:r>
        <w:rPr>
          <w:rFonts w:hint="eastAsia" w:ascii="宋体" w:hAnsi="宋体" w:eastAsia="宋体" w:cs="宋体"/>
          <w:color w:val="auto"/>
          <w:sz w:val="21"/>
          <w:szCs w:val="21"/>
          <w:highlight w:val="none"/>
          <w:u w:val="single"/>
        </w:rPr>
        <w:t>监理人收到承包人进度付款申请单以及相关资料后 7 天内完成审查并报送发包人</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发包人完成审批并签发进度款支付证书的期限：</w:t>
      </w:r>
      <w:r>
        <w:rPr>
          <w:rFonts w:hint="eastAsia" w:ascii="宋体" w:hAnsi="宋体" w:eastAsia="宋体" w:cs="宋体"/>
          <w:color w:val="auto"/>
          <w:sz w:val="21"/>
          <w:szCs w:val="21"/>
          <w:highlight w:val="none"/>
          <w:u w:val="single"/>
        </w:rPr>
        <w:t>收到后 7 天内完成审批并签发</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（2）发包人支付进度款的期限：</w:t>
      </w:r>
      <w:r>
        <w:rPr>
          <w:rFonts w:hint="eastAsia" w:ascii="宋体" w:hAnsi="宋体" w:eastAsia="宋体" w:cs="宋体"/>
          <w:color w:val="auto"/>
          <w:sz w:val="21"/>
          <w:szCs w:val="21"/>
          <w:highlight w:val="none"/>
          <w:u w:val="single"/>
        </w:rPr>
        <w:t xml:space="preserve">办理相关付款手续后的7天内 </w:t>
      </w:r>
      <w:r>
        <w:rPr>
          <w:rFonts w:hint="eastAsia" w:ascii="宋体" w:hAnsi="宋体" w:eastAsia="宋体" w:cs="宋体"/>
          <w:color w:val="auto"/>
          <w:sz w:val="21"/>
          <w:szCs w:val="21"/>
          <w:highlight w:val="none"/>
        </w:rPr>
        <w:t>。</w:t>
      </w:r>
    </w:p>
    <w:p>
      <w:pPr>
        <w:pStyle w:val="33"/>
        <w:spacing w:line="38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发包人逾期支付进度款的违约金的计算方式：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进度款支付方式：</w:t>
      </w:r>
      <w:r>
        <w:rPr>
          <w:rFonts w:hint="eastAsia" w:ascii="宋体" w:hAnsi="宋体" w:eastAsia="宋体" w:cs="宋体"/>
          <w:color w:val="auto"/>
          <w:sz w:val="21"/>
          <w:szCs w:val="21"/>
          <w:highlight w:val="none"/>
          <w:u w:val="single"/>
        </w:rPr>
        <w:t>银行转账</w:t>
      </w:r>
      <w:r>
        <w:rPr>
          <w:rFonts w:hint="eastAsia" w:ascii="宋体" w:hAnsi="宋体" w:eastAsia="宋体" w:cs="宋体"/>
          <w:color w:val="auto"/>
          <w:sz w:val="21"/>
          <w:szCs w:val="21"/>
          <w:highlight w:val="none"/>
        </w:rPr>
        <w:t>。</w:t>
      </w:r>
    </w:p>
    <w:p>
      <w:pPr>
        <w:pStyle w:val="33"/>
        <w:spacing w:line="380" w:lineRule="exact"/>
        <w:ind w:firstLine="525" w:firstLineChars="25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12.4.6 支付分解表的编制</w:t>
      </w:r>
    </w:p>
    <w:p>
      <w:pPr>
        <w:pStyle w:val="33"/>
        <w:spacing w:line="380" w:lineRule="exact"/>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2. 总价合同支付分解表的编制与审批：</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p>
      <w:pPr>
        <w:pStyle w:val="33"/>
        <w:spacing w:line="380" w:lineRule="exact"/>
        <w:ind w:firstLine="525" w:firstLineChars="2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3. 单价合同的总价项目支付分解表的编制与审批：</w:t>
      </w:r>
      <w:r>
        <w:rPr>
          <w:rFonts w:hint="eastAsia" w:ascii="宋体" w:hAnsi="宋体" w:eastAsia="宋体" w:cs="宋体"/>
          <w:color w:val="auto"/>
          <w:sz w:val="21"/>
          <w:szCs w:val="21"/>
          <w:highlight w:val="none"/>
          <w:u w:val="single"/>
        </w:rPr>
        <w:t>单价项目不采用支付分解表的方式计算，而按《建设工程工程量清单计价规范（GB50500-2013）广西壮族自治区实施细则（修订本）》的规定执行。</w:t>
      </w:r>
    </w:p>
    <w:bookmarkEnd w:id="1076"/>
    <w:p>
      <w:pPr>
        <w:pStyle w:val="31"/>
        <w:spacing w:line="380" w:lineRule="exact"/>
        <w:rPr>
          <w:rFonts w:hint="eastAsia" w:ascii="宋体" w:hAnsi="宋体" w:eastAsia="宋体" w:cs="宋体"/>
          <w:color w:val="auto"/>
          <w:sz w:val="21"/>
          <w:szCs w:val="21"/>
          <w:highlight w:val="none"/>
        </w:rPr>
      </w:pPr>
      <w:bookmarkStart w:id="1426" w:name="_Toc389065318"/>
      <w:bookmarkStart w:id="1427" w:name="_Toc497747232"/>
      <w:bookmarkStart w:id="1428" w:name="_Toc418752296"/>
      <w:bookmarkStart w:id="1429" w:name="_Toc418751850"/>
      <w:bookmarkStart w:id="1430" w:name="_Toc522201780"/>
      <w:bookmarkStart w:id="1431" w:name="_Toc497746835"/>
      <w:bookmarkStart w:id="1432" w:name="_Toc418061365"/>
      <w:bookmarkStart w:id="1433" w:name="_Toc16855"/>
      <w:bookmarkStart w:id="1434" w:name="_Toc403578988"/>
      <w:bookmarkStart w:id="1435" w:name="_Toc373227753"/>
      <w:bookmarkStart w:id="1436" w:name="_Toc351203645"/>
      <w:bookmarkStart w:id="1437" w:name="_Toc418518164"/>
      <w:bookmarkStart w:id="1438" w:name="_Toc373478400"/>
      <w:bookmarkStart w:id="1439" w:name="_Toc256000231"/>
      <w:bookmarkStart w:id="1440" w:name="_Toc418518400"/>
      <w:bookmarkStart w:id="1441" w:name="_Toc296346720"/>
      <w:bookmarkStart w:id="1442" w:name="_Toc296891047"/>
      <w:bookmarkStart w:id="1443" w:name="_Toc296503219"/>
      <w:bookmarkStart w:id="1444" w:name="_Toc296944558"/>
      <w:bookmarkStart w:id="1445" w:name="_Toc296891259"/>
      <w:bookmarkStart w:id="1446" w:name="_Toc297123564"/>
      <w:bookmarkStart w:id="1447" w:name="_Toc292559929"/>
      <w:bookmarkStart w:id="1448" w:name="_Toc292559424"/>
      <w:bookmarkStart w:id="1449" w:name="_Toc304295593"/>
      <w:bookmarkStart w:id="1450" w:name="_Toc297216223"/>
      <w:bookmarkStart w:id="1451" w:name="_Toc312678053"/>
      <w:bookmarkStart w:id="1452" w:name="_Toc303539172"/>
      <w:bookmarkStart w:id="1453" w:name="_Toc300935015"/>
      <w:bookmarkStart w:id="1454" w:name="_Toc296347218"/>
      <w:bookmarkStart w:id="1455" w:name="_Toc297048405"/>
      <w:bookmarkStart w:id="1456" w:name="_Toc297120519"/>
      <w:r>
        <w:rPr>
          <w:rFonts w:hint="eastAsia" w:ascii="宋体" w:hAnsi="宋体" w:eastAsia="宋体" w:cs="宋体"/>
          <w:color w:val="auto"/>
          <w:sz w:val="21"/>
          <w:szCs w:val="21"/>
          <w:highlight w:val="none"/>
        </w:rPr>
        <w:t>13. 验收和工程试车</w:t>
      </w:r>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p>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p>
      <w:pPr>
        <w:pStyle w:val="31"/>
        <w:spacing w:line="380" w:lineRule="exact"/>
        <w:ind w:firstLine="422" w:firstLineChars="200"/>
        <w:rPr>
          <w:rFonts w:hint="eastAsia" w:ascii="宋体" w:hAnsi="宋体" w:eastAsia="宋体" w:cs="宋体"/>
          <w:color w:val="auto"/>
          <w:sz w:val="21"/>
          <w:szCs w:val="21"/>
          <w:highlight w:val="none"/>
        </w:rPr>
      </w:pPr>
      <w:bookmarkStart w:id="1457" w:name="_Toc497746836"/>
      <w:bookmarkStart w:id="1458" w:name="_Toc403578989"/>
      <w:bookmarkStart w:id="1459" w:name="_Toc418061366"/>
      <w:bookmarkStart w:id="1460" w:name="_Toc373478401"/>
      <w:bookmarkStart w:id="1461" w:name="_Toc15640"/>
      <w:bookmarkStart w:id="1462" w:name="_Toc256000232"/>
      <w:bookmarkStart w:id="1463" w:name="_Toc497747233"/>
      <w:bookmarkStart w:id="1464" w:name="_Toc418751851"/>
      <w:bookmarkStart w:id="1465" w:name="_Toc389065319"/>
      <w:bookmarkStart w:id="1466" w:name="_Toc418752297"/>
      <w:bookmarkStart w:id="1467" w:name="_Toc418518165"/>
      <w:bookmarkStart w:id="1468" w:name="_Toc522201781"/>
      <w:bookmarkStart w:id="1469" w:name="_Toc373227754"/>
      <w:bookmarkStart w:id="1470" w:name="_Toc418518401"/>
      <w:r>
        <w:rPr>
          <w:rFonts w:hint="eastAsia" w:ascii="宋体" w:hAnsi="宋体" w:eastAsia="宋体" w:cs="宋体"/>
          <w:color w:val="auto"/>
          <w:sz w:val="21"/>
          <w:szCs w:val="21"/>
          <w:highlight w:val="none"/>
        </w:rPr>
        <w:t>13.1 分部分项工程验收</w:t>
      </w:r>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13.1.2监理人不能按时进行验收时，应提前</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小时提交书面延期要求。</w:t>
      </w:r>
    </w:p>
    <w:p>
      <w:pPr>
        <w:pStyle w:val="33"/>
        <w:spacing w:line="380" w:lineRule="exact"/>
        <w:ind w:firstLine="420" w:firstLineChars="200"/>
        <w:jc w:val="left"/>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关于延期最长不得超过：</w:t>
      </w:r>
      <w:r>
        <w:rPr>
          <w:rFonts w:hint="eastAsia" w:ascii="宋体" w:hAnsi="宋体" w:eastAsia="宋体" w:cs="宋体"/>
          <w:color w:val="auto"/>
          <w:sz w:val="21"/>
          <w:szCs w:val="21"/>
          <w:highlight w:val="none"/>
          <w:u w:val="single"/>
        </w:rPr>
        <w:t xml:space="preserve"> 48 </w:t>
      </w:r>
      <w:r>
        <w:rPr>
          <w:rFonts w:hint="eastAsia" w:ascii="宋体" w:hAnsi="宋体" w:eastAsia="宋体" w:cs="宋体"/>
          <w:color w:val="auto"/>
          <w:sz w:val="21"/>
          <w:szCs w:val="21"/>
          <w:highlight w:val="none"/>
        </w:rPr>
        <w:t>小时。</w:t>
      </w:r>
    </w:p>
    <w:p>
      <w:pPr>
        <w:pStyle w:val="31"/>
        <w:spacing w:line="380" w:lineRule="exact"/>
        <w:ind w:firstLine="422" w:firstLineChars="200"/>
        <w:rPr>
          <w:rFonts w:hint="eastAsia" w:ascii="宋体" w:hAnsi="宋体" w:eastAsia="宋体" w:cs="宋体"/>
          <w:color w:val="auto"/>
          <w:sz w:val="21"/>
          <w:szCs w:val="21"/>
          <w:highlight w:val="none"/>
        </w:rPr>
      </w:pPr>
      <w:bookmarkStart w:id="1471" w:name="_Toc256000233"/>
      <w:bookmarkStart w:id="1472" w:name="_Toc403578990"/>
      <w:bookmarkStart w:id="1473" w:name="_Toc522201782"/>
      <w:bookmarkStart w:id="1474" w:name="_Toc418061367"/>
      <w:bookmarkStart w:id="1475" w:name="_Toc1670"/>
      <w:bookmarkStart w:id="1476" w:name="_Toc497746837"/>
      <w:bookmarkStart w:id="1477" w:name="_Toc373478402"/>
      <w:bookmarkStart w:id="1478" w:name="_Toc418752298"/>
      <w:bookmarkStart w:id="1479" w:name="_Toc373227755"/>
      <w:bookmarkStart w:id="1480" w:name="_Toc389065320"/>
      <w:bookmarkStart w:id="1481" w:name="_Toc418751852"/>
      <w:bookmarkStart w:id="1482" w:name="_Toc497747234"/>
      <w:bookmarkStart w:id="1483" w:name="_Toc418518166"/>
      <w:bookmarkStart w:id="1484" w:name="_Toc418518402"/>
      <w:bookmarkStart w:id="1485" w:name="_Toc296503223"/>
      <w:bookmarkStart w:id="1486" w:name="_Toc303539173"/>
      <w:bookmarkStart w:id="1487" w:name="_Toc296346724"/>
      <w:bookmarkStart w:id="1488" w:name="_Toc292559428"/>
      <w:bookmarkStart w:id="1489" w:name="_Toc297216224"/>
      <w:bookmarkStart w:id="1490" w:name="_Toc300935016"/>
      <w:bookmarkStart w:id="1491" w:name="_Toc297048409"/>
      <w:bookmarkStart w:id="1492" w:name="_Toc304295596"/>
      <w:bookmarkStart w:id="1493" w:name="_Toc297120523"/>
      <w:bookmarkStart w:id="1494" w:name="_Toc296891051"/>
      <w:bookmarkStart w:id="1495" w:name="_Toc292559933"/>
      <w:bookmarkStart w:id="1496" w:name="_Toc312678056"/>
      <w:bookmarkStart w:id="1497" w:name="_Toc296347222"/>
      <w:bookmarkStart w:id="1498" w:name="_Toc297123565"/>
      <w:bookmarkStart w:id="1499" w:name="_Toc296944562"/>
      <w:bookmarkStart w:id="1500" w:name="_Toc296891263"/>
      <w:bookmarkStart w:id="1501" w:name="_Toc267251472"/>
      <w:bookmarkStart w:id="1502" w:name="_Toc267251474"/>
      <w:bookmarkStart w:id="1503" w:name="_Toc267251471"/>
      <w:bookmarkStart w:id="1504" w:name="_Toc267251476"/>
      <w:bookmarkStart w:id="1505" w:name="_Toc267251473"/>
      <w:bookmarkStart w:id="1506" w:name="_Toc267251470"/>
      <w:bookmarkStart w:id="1507" w:name="_Toc267251475"/>
      <w:r>
        <w:rPr>
          <w:rFonts w:hint="eastAsia" w:ascii="宋体" w:hAnsi="宋体" w:eastAsia="宋体" w:cs="宋体"/>
          <w:color w:val="auto"/>
          <w:sz w:val="21"/>
          <w:szCs w:val="21"/>
          <w:highlight w:val="none"/>
        </w:rPr>
        <w:t>13.2 竣工验收</w:t>
      </w:r>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p>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p>
      <w:pPr>
        <w:pStyle w:val="33"/>
        <w:spacing w:line="380" w:lineRule="exact"/>
        <w:ind w:firstLine="420" w:firstLineChars="200"/>
        <w:jc w:val="left"/>
        <w:rPr>
          <w:rFonts w:hint="eastAsia" w:ascii="宋体" w:hAnsi="宋体" w:eastAsia="宋体" w:cs="宋体"/>
          <w:color w:val="auto"/>
          <w:sz w:val="21"/>
          <w:szCs w:val="21"/>
          <w:highlight w:val="none"/>
        </w:rPr>
      </w:pPr>
      <w:bookmarkStart w:id="1508" w:name="_Toc280868704"/>
      <w:bookmarkStart w:id="1509" w:name="_Toc280868705"/>
      <w:bookmarkStart w:id="1510" w:name="_Toc280868706"/>
      <w:bookmarkStart w:id="1511" w:name="_Toc280868707"/>
      <w:bookmarkStart w:id="1512" w:name="_Toc280868708"/>
      <w:bookmarkStart w:id="1513" w:name="_Toc280868709"/>
      <w:r>
        <w:rPr>
          <w:rFonts w:hint="eastAsia" w:ascii="宋体" w:hAnsi="宋体" w:eastAsia="宋体" w:cs="宋体"/>
          <w:color w:val="auto"/>
          <w:sz w:val="21"/>
          <w:szCs w:val="21"/>
          <w:highlight w:val="none"/>
        </w:rPr>
        <w:t>13.2.1竣工验收条件</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（3）承包人负责整理和提交的竣工验收资料应当符合工程所在地建设行政主管部门和(或)城市建设档案管理机构有关施工资料的要求，具体内容包括：</w:t>
      </w:r>
      <w:r>
        <w:rPr>
          <w:rFonts w:hint="eastAsia" w:ascii="宋体" w:hAnsi="宋体" w:eastAsia="宋体" w:cs="宋体"/>
          <w:color w:val="auto"/>
          <w:sz w:val="21"/>
          <w:szCs w:val="21"/>
          <w:highlight w:val="none"/>
          <w:u w:val="single"/>
        </w:rPr>
        <w:t xml:space="preserve">  1、工程具备竣工验收条件，承包人按工期竣工验收有关规定，向发包人提交符合桂林市城建档案馆归档要求内容装订成册的完整竣工资料及竣工验收报告、工程竣工图。2、承包人所提交的竣工资料必须符合《建设工程归档整理规范》</w:t>
      </w:r>
      <w:r>
        <w:rPr>
          <w:rFonts w:hint="eastAsia" w:ascii="宋体" w:hAnsi="宋体" w:eastAsia="宋体" w:cs="宋体"/>
          <w:color w:val="auto"/>
          <w:sz w:val="21"/>
          <w:szCs w:val="21"/>
          <w:highlight w:val="none"/>
          <w:u w:val="single"/>
        </w:rPr>
        <w:t>要求</w:t>
      </w:r>
      <w:r>
        <w:rPr>
          <w:rFonts w:hint="eastAsia" w:ascii="宋体" w:hAnsi="宋体" w:eastAsia="宋体" w:cs="宋体"/>
          <w:color w:val="auto"/>
          <w:sz w:val="21"/>
          <w:szCs w:val="21"/>
          <w:highlight w:val="none"/>
        </w:rPr>
        <w:t>。</w:t>
      </w:r>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竣工验收资料的份数：</w:t>
      </w:r>
      <w:r>
        <w:rPr>
          <w:rFonts w:hint="eastAsia" w:ascii="宋体" w:hAnsi="宋体" w:eastAsia="宋体" w:cs="宋体"/>
          <w:color w:val="auto"/>
          <w:sz w:val="21"/>
          <w:szCs w:val="21"/>
          <w:highlight w:val="none"/>
          <w:u w:val="single"/>
        </w:rPr>
        <w:t>肆份，承包人承担竣工验收资料编制、立卷及至档案馆归档等一切费用</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承包人提供竣工图的约定：</w:t>
      </w:r>
      <w:r>
        <w:rPr>
          <w:rFonts w:hint="eastAsia" w:ascii="宋体" w:hAnsi="宋体" w:eastAsia="宋体" w:cs="宋体"/>
          <w:bCs/>
          <w:color w:val="auto"/>
          <w:sz w:val="21"/>
          <w:szCs w:val="21"/>
          <w:highlight w:val="none"/>
          <w:u w:val="single"/>
        </w:rPr>
        <w:t>竣工验收正式通过后15天，提供4套竣工图。</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13.2.2竣工验收程序</w:t>
      </w:r>
    </w:p>
    <w:bookmarkEnd w:id="1508"/>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关于竣工验收程序的约定</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u w:val="single"/>
        </w:rPr>
        <w:t>由承包人提出申请，经监理工程师（如有）及发承包人审查同意后，通知各质检及监督部门进行竣工验收。</w:t>
      </w:r>
      <w:r>
        <w:rPr>
          <w:rFonts w:hint="eastAsia" w:ascii="宋体" w:hAnsi="宋体" w:eastAsia="宋体" w:cs="宋体"/>
          <w:color w:val="auto"/>
          <w:sz w:val="21"/>
          <w:szCs w:val="21"/>
          <w:highlight w:val="none"/>
          <w:u w:val="single"/>
        </w:rPr>
        <w:t>本工程竣工验收合格后，双方应在验收报告上签字认可，本工程实际竣工日期以建设、设计、勘察、监理、施工五家单位验收小组正式验收签字日期为准。工程保修按合同附件3《工程质量保修书》有关规定执行。</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发包人不按照本项约定组织竣工验收、颁发工程接收证书的违约金的计算方法：</w:t>
      </w:r>
      <w:r>
        <w:rPr>
          <w:rFonts w:hint="eastAsia" w:ascii="宋体" w:hAnsi="宋体" w:eastAsia="宋体" w:cs="宋体"/>
          <w:color w:val="auto"/>
          <w:sz w:val="21"/>
          <w:szCs w:val="21"/>
          <w:highlight w:val="none"/>
          <w:u w:val="single"/>
        </w:rPr>
        <w:t xml:space="preserve"> 无  </w:t>
      </w:r>
      <w:r>
        <w:rPr>
          <w:rFonts w:hint="eastAsia" w:ascii="宋体" w:hAnsi="宋体" w:eastAsia="宋体" w:cs="宋体"/>
          <w:color w:val="auto"/>
          <w:sz w:val="21"/>
          <w:szCs w:val="21"/>
          <w:highlight w:val="none"/>
        </w:rPr>
        <w:t>。</w:t>
      </w:r>
    </w:p>
    <w:bookmarkEnd w:id="1509"/>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13.2.5移交、接收全部与部分工程</w:t>
      </w:r>
    </w:p>
    <w:bookmarkEnd w:id="1510"/>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承包人向发包人移交工程的期限：</w:t>
      </w:r>
      <w:r>
        <w:rPr>
          <w:rFonts w:hint="eastAsia" w:ascii="宋体" w:hAnsi="宋体" w:eastAsia="宋体" w:cs="宋体"/>
          <w:color w:val="auto"/>
          <w:sz w:val="21"/>
          <w:szCs w:val="21"/>
          <w:highlight w:val="none"/>
          <w:u w:val="single"/>
        </w:rPr>
        <w:t xml:space="preserve"> 竣工验收整改完毕三日内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发包人未按本合同约定接收全部或部分工程的，违约金的计算方法为：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款扣除社会保险费、发包人材料价款、暂估专业工程、暂列金额后的万分之四/天</w:t>
      </w:r>
      <w:r>
        <w:rPr>
          <w:rFonts w:hint="eastAsia" w:ascii="宋体" w:hAnsi="宋体" w:eastAsia="宋体" w:cs="宋体"/>
          <w:bCs/>
          <w:color w:val="auto"/>
          <w:sz w:val="21"/>
          <w:szCs w:val="21"/>
          <w:highlight w:val="none"/>
          <w:u w:val="single"/>
        </w:rPr>
        <w:t xml:space="preserve">支付违约金，最高限额为结算价的3% </w:t>
      </w:r>
      <w:r>
        <w:rPr>
          <w:rFonts w:hint="eastAsia" w:ascii="宋体" w:hAnsi="宋体" w:eastAsia="宋体" w:cs="宋体"/>
          <w:color w:val="auto"/>
          <w:sz w:val="21"/>
          <w:szCs w:val="21"/>
          <w:highlight w:val="none"/>
        </w:rPr>
        <w:t>。</w:t>
      </w:r>
    </w:p>
    <w:bookmarkEnd w:id="1511"/>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承包人未按时移交工程的，违约金的计算方法为：</w:t>
      </w:r>
      <w:r>
        <w:rPr>
          <w:rFonts w:hint="eastAsia" w:ascii="宋体" w:hAnsi="宋体" w:eastAsia="宋体" w:cs="宋体"/>
          <w:color w:val="auto"/>
          <w:sz w:val="21"/>
          <w:szCs w:val="21"/>
          <w:highlight w:val="none"/>
          <w:u w:val="single"/>
        </w:rPr>
        <w:t xml:space="preserve">  </w:t>
      </w:r>
      <w:r>
        <w:rPr>
          <w:rFonts w:hint="eastAsia" w:ascii="宋体" w:hAnsi="宋体" w:eastAsia="宋体" w:cs="宋体"/>
          <w:bCs/>
          <w:color w:val="auto"/>
          <w:sz w:val="21"/>
          <w:szCs w:val="21"/>
          <w:highlight w:val="none"/>
          <w:u w:val="single"/>
        </w:rPr>
        <w:t>每逾期一天</w:t>
      </w:r>
      <w:r>
        <w:rPr>
          <w:rFonts w:hint="eastAsia" w:ascii="宋体" w:hAnsi="宋体" w:eastAsia="宋体" w:cs="宋体"/>
          <w:color w:val="auto"/>
          <w:sz w:val="21"/>
          <w:szCs w:val="21"/>
          <w:highlight w:val="none"/>
          <w:u w:val="single"/>
        </w:rPr>
        <w:t>，按</w:t>
      </w:r>
      <w:r>
        <w:rPr>
          <w:rFonts w:hint="eastAsia" w:ascii="宋体" w:hAnsi="宋体" w:eastAsia="宋体" w:cs="宋体"/>
          <w:color w:val="auto"/>
          <w:sz w:val="21"/>
          <w:szCs w:val="21"/>
          <w:highlight w:val="none"/>
          <w:u w:val="single"/>
          <w:lang w:val="zh-CN"/>
        </w:rPr>
        <w:t>签约合同价</w:t>
      </w:r>
      <w:r>
        <w:rPr>
          <w:rFonts w:hint="eastAsia" w:ascii="宋体" w:hAnsi="宋体" w:eastAsia="宋体" w:cs="宋体"/>
          <w:color w:val="auto"/>
          <w:sz w:val="21"/>
          <w:szCs w:val="21"/>
          <w:highlight w:val="none"/>
          <w:u w:val="single"/>
        </w:rPr>
        <w:t xml:space="preserve">款扣除社会保险费、发包人材料价款、暂估专业工程、暂列金额后的万分之四/天支付违约金，最高限额为结算价的3%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514" w:name="_Toc418752299"/>
      <w:bookmarkStart w:id="1515" w:name="_Toc418061368"/>
      <w:bookmarkStart w:id="1516" w:name="_Toc373478403"/>
      <w:bookmarkStart w:id="1517" w:name="_Toc418518167"/>
      <w:bookmarkStart w:id="1518" w:name="_Toc403578991"/>
      <w:bookmarkStart w:id="1519" w:name="_Toc497746838"/>
      <w:bookmarkStart w:id="1520" w:name="_Toc256000234"/>
      <w:bookmarkStart w:id="1521" w:name="_Toc497747235"/>
      <w:bookmarkStart w:id="1522" w:name="_Toc418751853"/>
      <w:bookmarkStart w:id="1523" w:name="_Toc373227756"/>
      <w:bookmarkStart w:id="1524" w:name="_Toc522201783"/>
      <w:bookmarkStart w:id="1525" w:name="_Toc389065321"/>
      <w:bookmarkStart w:id="1526" w:name="_Toc18524"/>
      <w:bookmarkStart w:id="1527" w:name="_Toc418518403"/>
      <w:r>
        <w:rPr>
          <w:rFonts w:hint="eastAsia" w:ascii="宋体" w:hAnsi="宋体" w:eastAsia="宋体" w:cs="宋体"/>
          <w:color w:val="auto"/>
          <w:sz w:val="21"/>
          <w:szCs w:val="21"/>
          <w:highlight w:val="none"/>
        </w:rPr>
        <w:t>13.3 工程试车</w:t>
      </w:r>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p>
    <w:bookmarkEnd w:id="1512"/>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13.3.1 试车程序</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工程试车内容：</w:t>
      </w:r>
      <w:r>
        <w:rPr>
          <w:rFonts w:hint="eastAsia" w:ascii="宋体" w:hAnsi="宋体" w:eastAsia="宋体" w:cs="宋体"/>
          <w:color w:val="auto"/>
          <w:sz w:val="21"/>
          <w:szCs w:val="21"/>
          <w:highlight w:val="none"/>
          <w:u w:val="single"/>
        </w:rPr>
        <w:t xml:space="preserve">  为达到本工程的验收标准，工程范围内的设施和承包人安装的设备应进行试运行调试，费用由承包人自行负责并已包括在投标报价中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（1）单机无负荷试车费用由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（2）无负荷联动试车费用由</w:t>
      </w:r>
      <w:r>
        <w:rPr>
          <w:rFonts w:hint="eastAsia" w:ascii="宋体" w:hAnsi="宋体" w:eastAsia="宋体" w:cs="宋体"/>
          <w:color w:val="auto"/>
          <w:sz w:val="21"/>
          <w:szCs w:val="21"/>
          <w:highlight w:val="none"/>
          <w:u w:val="single"/>
        </w:rPr>
        <w:t xml:space="preserve">  承包人组织试运行，费用由承包人</w:t>
      </w:r>
      <w:r>
        <w:rPr>
          <w:rFonts w:hint="eastAsia" w:ascii="宋体" w:hAnsi="宋体" w:eastAsia="宋体" w:cs="宋体"/>
          <w:color w:val="auto"/>
          <w:kern w:val="0"/>
          <w:sz w:val="21"/>
          <w:szCs w:val="21"/>
          <w:highlight w:val="none"/>
        </w:rPr>
        <w:t>承担。</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13.3.3 投料试车</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关于投料试车相关事项的约定：</w:t>
      </w:r>
      <w:r>
        <w:rPr>
          <w:rFonts w:hint="eastAsia" w:ascii="宋体" w:hAnsi="宋体" w:eastAsia="宋体" w:cs="宋体"/>
          <w:color w:val="auto"/>
          <w:sz w:val="21"/>
          <w:szCs w:val="21"/>
          <w:highlight w:val="none"/>
          <w:u w:val="single"/>
        </w:rPr>
        <w:t xml:space="preserve"> 由承包人组织试运行，费用由承包人承担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528" w:name="_Toc373227757"/>
      <w:bookmarkStart w:id="1529" w:name="_Toc418518404"/>
      <w:bookmarkStart w:id="1530" w:name="_Toc31082"/>
      <w:bookmarkStart w:id="1531" w:name="_Toc389065322"/>
      <w:bookmarkStart w:id="1532" w:name="_Toc522201784"/>
      <w:bookmarkStart w:id="1533" w:name="_Toc373478404"/>
      <w:bookmarkStart w:id="1534" w:name="_Toc497746839"/>
      <w:bookmarkStart w:id="1535" w:name="_Toc256000235"/>
      <w:bookmarkStart w:id="1536" w:name="_Toc418061369"/>
      <w:bookmarkStart w:id="1537" w:name="_Toc403578992"/>
      <w:bookmarkStart w:id="1538" w:name="_Toc418751854"/>
      <w:bookmarkStart w:id="1539" w:name="_Toc418518168"/>
      <w:bookmarkStart w:id="1540" w:name="_Toc497747236"/>
      <w:bookmarkStart w:id="1541" w:name="_Toc418752300"/>
      <w:r>
        <w:rPr>
          <w:rFonts w:hint="eastAsia" w:ascii="宋体" w:hAnsi="宋体" w:eastAsia="宋体" w:cs="宋体"/>
          <w:color w:val="auto"/>
          <w:sz w:val="21"/>
          <w:szCs w:val="21"/>
          <w:highlight w:val="none"/>
        </w:rPr>
        <w:t>13.6 竣工退场</w:t>
      </w:r>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13.6.1 竣工退场</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承包人完成竣工退场的期限：</w:t>
      </w:r>
      <w:r>
        <w:rPr>
          <w:rFonts w:hint="eastAsia" w:ascii="宋体" w:hAnsi="宋体" w:eastAsia="宋体" w:cs="宋体"/>
          <w:color w:val="auto"/>
          <w:sz w:val="21"/>
          <w:szCs w:val="21"/>
          <w:highlight w:val="none"/>
          <w:u w:val="single"/>
        </w:rPr>
        <w:t>监理人颁发(出具)工程接收证书后，承包人负责按照通用合同条款本项约定的要求对施工场地进行清理并承担相关费用，直至监理人检验合格后七日内，如承包人到期后不退场，发包人有权安排其他人员进行清理，费用从承包人工程款中扣除。</w:t>
      </w:r>
    </w:p>
    <w:p>
      <w:pPr>
        <w:pStyle w:val="31"/>
        <w:spacing w:line="380" w:lineRule="exact"/>
        <w:rPr>
          <w:rFonts w:hint="eastAsia" w:ascii="宋体" w:hAnsi="宋体" w:eastAsia="宋体" w:cs="宋体"/>
          <w:color w:val="auto"/>
          <w:sz w:val="21"/>
          <w:szCs w:val="21"/>
          <w:highlight w:val="none"/>
        </w:rPr>
      </w:pPr>
      <w:bookmarkStart w:id="1542" w:name="_Toc497747237"/>
      <w:bookmarkStart w:id="1543" w:name="_Toc373227758"/>
      <w:bookmarkStart w:id="1544" w:name="_Toc418061370"/>
      <w:bookmarkStart w:id="1545" w:name="_Toc418518405"/>
      <w:bookmarkStart w:id="1546" w:name="_Toc351203646"/>
      <w:bookmarkStart w:id="1547" w:name="_Toc20411"/>
      <w:bookmarkStart w:id="1548" w:name="_Toc497746840"/>
      <w:bookmarkStart w:id="1549" w:name="_Toc418752301"/>
      <w:bookmarkStart w:id="1550" w:name="_Toc389065323"/>
      <w:bookmarkStart w:id="1551" w:name="_Toc418518169"/>
      <w:bookmarkStart w:id="1552" w:name="_Toc256000236"/>
      <w:bookmarkStart w:id="1553" w:name="_Toc418751855"/>
      <w:bookmarkStart w:id="1554" w:name="_Toc522201785"/>
      <w:bookmarkStart w:id="1555" w:name="_Toc403578993"/>
      <w:bookmarkStart w:id="1556" w:name="_Toc373478405"/>
      <w:r>
        <w:rPr>
          <w:rFonts w:hint="eastAsia" w:ascii="宋体" w:hAnsi="宋体" w:eastAsia="宋体" w:cs="宋体"/>
          <w:color w:val="auto"/>
          <w:sz w:val="21"/>
          <w:szCs w:val="21"/>
          <w:highlight w:val="none"/>
        </w:rPr>
        <w:t>14. 竣工结算</w:t>
      </w:r>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p>
    <w:p>
      <w:pPr>
        <w:pStyle w:val="31"/>
        <w:spacing w:line="380" w:lineRule="exact"/>
        <w:ind w:firstLine="422" w:firstLineChars="200"/>
        <w:rPr>
          <w:rFonts w:hint="eastAsia" w:ascii="宋体" w:hAnsi="宋体" w:eastAsia="宋体" w:cs="宋体"/>
          <w:color w:val="auto"/>
          <w:sz w:val="21"/>
          <w:szCs w:val="21"/>
          <w:highlight w:val="none"/>
        </w:rPr>
      </w:pPr>
      <w:bookmarkStart w:id="1557" w:name="_Toc497746841"/>
      <w:bookmarkStart w:id="1558" w:name="_Toc418752302"/>
      <w:bookmarkStart w:id="1559" w:name="_Toc403578994"/>
      <w:bookmarkStart w:id="1560" w:name="_Toc497747238"/>
      <w:bookmarkStart w:id="1561" w:name="_Toc522201786"/>
      <w:bookmarkStart w:id="1562" w:name="_Toc373227759"/>
      <w:bookmarkStart w:id="1563" w:name="_Toc418061371"/>
      <w:bookmarkStart w:id="1564" w:name="_Toc418518170"/>
      <w:bookmarkStart w:id="1565" w:name="_Toc389065324"/>
      <w:bookmarkStart w:id="1566" w:name="_Toc418751856"/>
      <w:bookmarkStart w:id="1567" w:name="_Toc26822"/>
      <w:bookmarkStart w:id="1568" w:name="_Toc373478406"/>
      <w:bookmarkStart w:id="1569" w:name="_Toc418518406"/>
      <w:bookmarkStart w:id="1570" w:name="_Toc256000237"/>
      <w:r>
        <w:rPr>
          <w:rFonts w:hint="eastAsia" w:ascii="宋体" w:hAnsi="宋体" w:eastAsia="宋体" w:cs="宋体"/>
          <w:color w:val="auto"/>
          <w:sz w:val="21"/>
          <w:szCs w:val="21"/>
          <w:highlight w:val="none"/>
        </w:rPr>
        <w:t>14.1 竣工结算申请</w:t>
      </w:r>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承包人提交竣工结算申请单的期限：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具备竣工收条件后28天内</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竣工结算申请单应包括的内容：</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竣工结算由承包人提交相关结算资料（主要包括合同、工程量计算书、结算书、变更设计通知单、签证单、竣工图）齐全后经监理初审、发包人审核后，</w:t>
      </w:r>
      <w:r>
        <w:rPr>
          <w:rFonts w:hint="eastAsia" w:ascii="宋体" w:hAnsi="宋体" w:eastAsia="宋体" w:cs="宋体"/>
          <w:color w:val="auto"/>
          <w:sz w:val="21"/>
          <w:szCs w:val="21"/>
          <w:highlight w:val="none"/>
          <w:u w:val="single"/>
        </w:rPr>
        <w:t>最终结算以</w:t>
      </w:r>
      <w:r>
        <w:rPr>
          <w:rFonts w:hint="eastAsia" w:ascii="宋体" w:hAnsi="宋体" w:eastAsia="宋体" w:cs="宋体"/>
          <w:color w:val="auto"/>
          <w:sz w:val="21"/>
          <w:szCs w:val="21"/>
          <w:highlight w:val="none"/>
          <w:u w:val="single"/>
          <w:lang w:val="en-US" w:eastAsia="zh-CN"/>
        </w:rPr>
        <w:t>兴安县</w:t>
      </w:r>
      <w:r>
        <w:rPr>
          <w:rFonts w:hint="eastAsia" w:ascii="宋体" w:hAnsi="宋体" w:eastAsia="宋体" w:cs="宋体"/>
          <w:color w:val="auto"/>
          <w:sz w:val="21"/>
          <w:szCs w:val="21"/>
          <w:highlight w:val="none"/>
          <w:u w:val="single"/>
          <w:lang w:eastAsia="zh-CN"/>
        </w:rPr>
        <w:t>财政局</w:t>
      </w:r>
      <w:r>
        <w:rPr>
          <w:rFonts w:hint="eastAsia" w:ascii="宋体" w:hAnsi="宋体" w:eastAsia="宋体" w:cs="宋体"/>
          <w:color w:val="auto"/>
          <w:sz w:val="21"/>
          <w:szCs w:val="21"/>
          <w:highlight w:val="none"/>
          <w:u w:val="single"/>
        </w:rPr>
        <w:t xml:space="preserve">或发包人委托的造价咨询机构审定并经发包人及承包人双方确认的金额为准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571" w:name="_Toc256000238"/>
      <w:bookmarkStart w:id="1572" w:name="_Toc418751857"/>
      <w:bookmarkStart w:id="1573" w:name="_Toc373478407"/>
      <w:bookmarkStart w:id="1574" w:name="_Toc418518171"/>
      <w:bookmarkStart w:id="1575" w:name="_Toc418518407"/>
      <w:bookmarkStart w:id="1576" w:name="_Toc497746842"/>
      <w:bookmarkStart w:id="1577" w:name="_Toc497747239"/>
      <w:bookmarkStart w:id="1578" w:name="_Toc522201787"/>
      <w:bookmarkStart w:id="1579" w:name="_Toc418061372"/>
      <w:bookmarkStart w:id="1580" w:name="_Toc418752303"/>
      <w:bookmarkStart w:id="1581" w:name="_Toc93"/>
      <w:bookmarkStart w:id="1582" w:name="_Toc373227760"/>
      <w:bookmarkStart w:id="1583" w:name="_Toc389065325"/>
      <w:bookmarkStart w:id="1584" w:name="_Toc403578995"/>
      <w:r>
        <w:rPr>
          <w:rFonts w:hint="eastAsia" w:ascii="宋体" w:hAnsi="宋体" w:eastAsia="宋体" w:cs="宋体"/>
          <w:color w:val="auto"/>
          <w:sz w:val="21"/>
          <w:szCs w:val="21"/>
          <w:highlight w:val="none"/>
        </w:rPr>
        <w:t>14.2 竣工结算审核</w:t>
      </w:r>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发包人审批竣工付款申请单的期限：</w:t>
      </w:r>
    </w:p>
    <w:tbl>
      <w:tblPr>
        <w:tblStyle w:val="19"/>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616"/>
        <w:gridCol w:w="5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3"/>
              <w:spacing w:line="380" w:lineRule="exact"/>
              <w:jc w:val="center"/>
              <w:rPr>
                <w:rFonts w:hint="eastAsia" w:ascii="宋体" w:hAnsi="宋体" w:eastAsia="宋体" w:cs="宋体"/>
                <w:bCs/>
                <w:color w:val="auto"/>
                <w:sz w:val="21"/>
                <w:szCs w:val="21"/>
                <w:highlight w:val="none"/>
              </w:rPr>
            </w:pPr>
          </w:p>
        </w:tc>
        <w:tc>
          <w:tcPr>
            <w:tcW w:w="2616" w:type="dxa"/>
            <w:vAlign w:val="center"/>
          </w:tcPr>
          <w:p>
            <w:pPr>
              <w:pStyle w:val="33"/>
              <w:spacing w:line="380" w:lineRule="exact"/>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工程竣工结算报告金额</w:t>
            </w:r>
          </w:p>
        </w:tc>
        <w:tc>
          <w:tcPr>
            <w:tcW w:w="5817"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发包人审查时间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616" w:type="dxa"/>
            <w:vAlign w:val="center"/>
          </w:tcPr>
          <w:p>
            <w:pPr>
              <w:pStyle w:val="33"/>
              <w:spacing w:line="380" w:lineRule="exact"/>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500万元以下</w:t>
            </w:r>
          </w:p>
        </w:tc>
        <w:tc>
          <w:tcPr>
            <w:tcW w:w="5817"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616" w:type="dxa"/>
            <w:vAlign w:val="center"/>
          </w:tcPr>
          <w:p>
            <w:pPr>
              <w:pStyle w:val="33"/>
              <w:spacing w:line="380" w:lineRule="exact"/>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500万元-2000万元</w:t>
            </w:r>
          </w:p>
        </w:tc>
        <w:tc>
          <w:tcPr>
            <w:tcW w:w="5817"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从接到竣工结算报告和完整的竣工结算资料之日起30天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w:t>
            </w:r>
          </w:p>
        </w:tc>
        <w:tc>
          <w:tcPr>
            <w:tcW w:w="2616" w:type="dxa"/>
            <w:vAlign w:val="center"/>
          </w:tcPr>
          <w:p>
            <w:pPr>
              <w:pStyle w:val="33"/>
              <w:spacing w:line="380" w:lineRule="exact"/>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2000万元-5000万元</w:t>
            </w:r>
          </w:p>
        </w:tc>
        <w:tc>
          <w:tcPr>
            <w:tcW w:w="5817"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从接到竣工结算报告和完整的竣工结算资料之日起45天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w:t>
            </w:r>
          </w:p>
        </w:tc>
        <w:tc>
          <w:tcPr>
            <w:tcW w:w="2616" w:type="dxa"/>
            <w:vAlign w:val="center"/>
          </w:tcPr>
          <w:p>
            <w:pPr>
              <w:pStyle w:val="33"/>
              <w:spacing w:line="380" w:lineRule="exact"/>
              <w:ind w:firstLine="27" w:firstLineChars="13"/>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5000万元以上</w:t>
            </w:r>
          </w:p>
        </w:tc>
        <w:tc>
          <w:tcPr>
            <w:tcW w:w="5817" w:type="dxa"/>
            <w:vAlign w:val="center"/>
          </w:tcPr>
          <w:p>
            <w:pPr>
              <w:pStyle w:val="33"/>
              <w:spacing w:line="380" w:lineRule="exact"/>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从接到竣工结算报告和完整的竣工结算资料之日起60天</w:t>
            </w:r>
          </w:p>
        </w:tc>
      </w:tr>
    </w:tbl>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因承包人提供的结算资料不完整而需要补充或承包人不按时对账耽误时间时，审查时间应相应顺延</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发包人完成竣工付款的期限：</w:t>
      </w:r>
      <w:r>
        <w:rPr>
          <w:rFonts w:hint="eastAsia" w:ascii="宋体" w:hAnsi="宋体" w:eastAsia="宋体" w:cs="宋体"/>
          <w:color w:val="auto"/>
          <w:sz w:val="21"/>
          <w:szCs w:val="21"/>
          <w:highlight w:val="none"/>
          <w:u w:val="single"/>
        </w:rPr>
        <w:t>结算审核报告出具后且审核完承包人的竣工付款申请单30天内</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关于竣工付款证书异议部分复核的方式和程序：</w:t>
      </w:r>
      <w:r>
        <w:rPr>
          <w:rFonts w:hint="eastAsia" w:ascii="宋体" w:hAnsi="宋体" w:eastAsia="宋体" w:cs="宋体"/>
          <w:color w:val="auto"/>
          <w:sz w:val="21"/>
          <w:szCs w:val="21"/>
          <w:highlight w:val="none"/>
          <w:u w:val="single"/>
        </w:rPr>
        <w:t>存在异议的部分，由承包人核对后对异议部分进行书面描叙，并交由发包人再次审定。</w:t>
      </w:r>
    </w:p>
    <w:p>
      <w:pPr>
        <w:pStyle w:val="31"/>
        <w:spacing w:line="380" w:lineRule="exact"/>
        <w:ind w:firstLine="422" w:firstLineChars="200"/>
        <w:rPr>
          <w:rFonts w:hint="eastAsia" w:ascii="宋体" w:hAnsi="宋体" w:eastAsia="宋体" w:cs="宋体"/>
          <w:color w:val="auto"/>
          <w:sz w:val="21"/>
          <w:szCs w:val="21"/>
          <w:highlight w:val="none"/>
        </w:rPr>
      </w:pPr>
      <w:bookmarkStart w:id="1585" w:name="_Toc418061373"/>
      <w:bookmarkStart w:id="1586" w:name="_Toc418752304"/>
      <w:bookmarkStart w:id="1587" w:name="_Toc497746843"/>
      <w:bookmarkStart w:id="1588" w:name="_Toc11621"/>
      <w:bookmarkStart w:id="1589" w:name="_Toc373227761"/>
      <w:bookmarkStart w:id="1590" w:name="_Toc403578996"/>
      <w:bookmarkStart w:id="1591" w:name="_Toc389065326"/>
      <w:bookmarkStart w:id="1592" w:name="_Toc497747240"/>
      <w:bookmarkStart w:id="1593" w:name="_Toc256000239"/>
      <w:bookmarkStart w:id="1594" w:name="_Toc418751858"/>
      <w:bookmarkStart w:id="1595" w:name="_Toc418518408"/>
      <w:bookmarkStart w:id="1596" w:name="_Toc373478408"/>
      <w:bookmarkStart w:id="1597" w:name="_Toc522201788"/>
      <w:bookmarkStart w:id="1598" w:name="_Toc418518172"/>
      <w:r>
        <w:rPr>
          <w:rFonts w:hint="eastAsia" w:ascii="宋体" w:hAnsi="宋体" w:eastAsia="宋体" w:cs="宋体"/>
          <w:color w:val="auto"/>
          <w:sz w:val="21"/>
          <w:szCs w:val="21"/>
          <w:highlight w:val="none"/>
        </w:rPr>
        <w:t>14.4 最终结清</w:t>
      </w:r>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14.4.1 最终结清申请单</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承包人提交最终结清申请单的份数：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一式四份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承包人提交最终结算申请单的期限：</w:t>
      </w:r>
      <w:r>
        <w:rPr>
          <w:rFonts w:hint="eastAsia" w:ascii="宋体" w:hAnsi="宋体" w:eastAsia="宋体" w:cs="宋体"/>
          <w:color w:val="auto"/>
          <w:kern w:val="0"/>
          <w:sz w:val="21"/>
          <w:szCs w:val="21"/>
          <w:highlight w:val="none"/>
          <w:u w:val="single"/>
        </w:rPr>
        <w:t>缺陷责任期终止证书签发后14天内向监理人提交4份竣工付款申请单及相关证明材料</w:t>
      </w:r>
      <w:r>
        <w:rPr>
          <w:rFonts w:hint="eastAsia" w:ascii="宋体" w:hAnsi="宋体" w:eastAsia="宋体" w:cs="宋体"/>
          <w:color w:val="auto"/>
          <w:sz w:val="21"/>
          <w:szCs w:val="21"/>
          <w:highlight w:val="none"/>
        </w:rPr>
        <w:t xml:space="preserve">。 </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14.4.2 最终结清证书和支付</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（1）发包人完成最终结清申请单的审批并颁发最终结清证书的期限：</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（2）发包人完成支付的期限：</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在颁发最终结清证书后的30天内 </w:t>
      </w:r>
      <w:r>
        <w:rPr>
          <w:rFonts w:hint="eastAsia" w:ascii="宋体" w:hAnsi="宋体" w:eastAsia="宋体" w:cs="宋体"/>
          <w:color w:val="auto"/>
          <w:sz w:val="21"/>
          <w:szCs w:val="21"/>
          <w:highlight w:val="none"/>
        </w:rPr>
        <w:t>。</w:t>
      </w:r>
    </w:p>
    <w:bookmarkEnd w:id="1501"/>
    <w:bookmarkEnd w:id="1502"/>
    <w:bookmarkEnd w:id="1503"/>
    <w:bookmarkEnd w:id="1504"/>
    <w:bookmarkEnd w:id="1505"/>
    <w:bookmarkEnd w:id="1506"/>
    <w:bookmarkEnd w:id="1507"/>
    <w:bookmarkEnd w:id="1513"/>
    <w:p>
      <w:pPr>
        <w:pStyle w:val="31"/>
        <w:spacing w:line="380" w:lineRule="exact"/>
        <w:rPr>
          <w:rFonts w:hint="eastAsia" w:ascii="宋体" w:hAnsi="宋体" w:eastAsia="宋体" w:cs="宋体"/>
          <w:color w:val="auto"/>
          <w:sz w:val="21"/>
          <w:szCs w:val="21"/>
          <w:highlight w:val="none"/>
        </w:rPr>
      </w:pPr>
      <w:bookmarkStart w:id="1599" w:name="_Toc418518173"/>
      <w:bookmarkStart w:id="1600" w:name="_Toc418752305"/>
      <w:bookmarkStart w:id="1601" w:name="_Toc418061374"/>
      <w:bookmarkStart w:id="1602" w:name="_Toc497746844"/>
      <w:bookmarkStart w:id="1603" w:name="_Toc14101"/>
      <w:bookmarkStart w:id="1604" w:name="_Toc522201789"/>
      <w:bookmarkStart w:id="1605" w:name="_Toc403578997"/>
      <w:bookmarkStart w:id="1606" w:name="_Toc373478409"/>
      <w:bookmarkStart w:id="1607" w:name="_Toc256000240"/>
      <w:bookmarkStart w:id="1608" w:name="_Toc373227762"/>
      <w:bookmarkStart w:id="1609" w:name="_Toc351203647"/>
      <w:bookmarkStart w:id="1610" w:name="_Toc418518409"/>
      <w:bookmarkStart w:id="1611" w:name="_Toc418751859"/>
      <w:bookmarkStart w:id="1612" w:name="_Toc497747241"/>
      <w:bookmarkStart w:id="1613" w:name="_Toc389065327"/>
      <w:bookmarkStart w:id="1614" w:name="_Toc267251483"/>
      <w:bookmarkStart w:id="1615" w:name="_Toc267251482"/>
      <w:bookmarkStart w:id="1616" w:name="_Toc267251484"/>
      <w:bookmarkStart w:id="1617" w:name="_Toc267251485"/>
      <w:bookmarkStart w:id="1618" w:name="_Toc267251488"/>
      <w:bookmarkStart w:id="1619" w:name="_Toc267251486"/>
      <w:bookmarkStart w:id="1620" w:name="_Toc267251489"/>
      <w:bookmarkStart w:id="1621" w:name="_Toc267251490"/>
      <w:bookmarkStart w:id="1622" w:name="_Toc267251493"/>
      <w:bookmarkStart w:id="1623" w:name="_Toc267251492"/>
      <w:bookmarkStart w:id="1624" w:name="_Toc267251499"/>
      <w:bookmarkStart w:id="1625" w:name="_Toc267251494"/>
      <w:bookmarkStart w:id="1626" w:name="_Toc267251496"/>
      <w:bookmarkStart w:id="1627" w:name="_Toc267251502"/>
      <w:bookmarkStart w:id="1628" w:name="_Toc267251503"/>
      <w:bookmarkStart w:id="1629" w:name="_Toc267251491"/>
      <w:bookmarkStart w:id="1630" w:name="_Toc267251498"/>
      <w:bookmarkStart w:id="1631" w:name="_Toc267251501"/>
      <w:bookmarkStart w:id="1632" w:name="_Toc267251495"/>
      <w:bookmarkStart w:id="1633" w:name="_Toc267251497"/>
      <w:bookmarkStart w:id="1634" w:name="_Toc267251506"/>
      <w:bookmarkStart w:id="1635" w:name="_Toc267251504"/>
      <w:bookmarkStart w:id="1636" w:name="_Toc267251507"/>
      <w:bookmarkStart w:id="1637" w:name="_Toc267251508"/>
      <w:bookmarkStart w:id="1638" w:name="_Toc267251509"/>
      <w:bookmarkStart w:id="1639" w:name="_Toc267251510"/>
      <w:bookmarkStart w:id="1640" w:name="_Toc267251511"/>
      <w:bookmarkStart w:id="1641" w:name="_Toc267251513"/>
      <w:bookmarkStart w:id="1642" w:name="_Toc267251514"/>
      <w:bookmarkStart w:id="1643" w:name="_Toc267251515"/>
      <w:r>
        <w:rPr>
          <w:rFonts w:hint="eastAsia" w:ascii="宋体" w:hAnsi="宋体" w:eastAsia="宋体" w:cs="宋体"/>
          <w:color w:val="auto"/>
          <w:sz w:val="21"/>
          <w:szCs w:val="21"/>
          <w:highlight w:val="none"/>
        </w:rPr>
        <w:t>15. 缺陷责任期与保修</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p>
    <w:p>
      <w:pPr>
        <w:pStyle w:val="31"/>
        <w:spacing w:line="380" w:lineRule="exact"/>
        <w:ind w:firstLine="422" w:firstLineChars="200"/>
        <w:rPr>
          <w:rFonts w:hint="eastAsia" w:ascii="宋体" w:hAnsi="宋体" w:eastAsia="宋体" w:cs="宋体"/>
          <w:color w:val="auto"/>
          <w:sz w:val="21"/>
          <w:szCs w:val="21"/>
          <w:highlight w:val="none"/>
        </w:rPr>
      </w:pPr>
      <w:bookmarkStart w:id="1644" w:name="_Toc497747242"/>
      <w:bookmarkStart w:id="1645" w:name="_Toc373227763"/>
      <w:bookmarkStart w:id="1646" w:name="_Toc25372"/>
      <w:bookmarkStart w:id="1647" w:name="_Toc403578998"/>
      <w:bookmarkStart w:id="1648" w:name="_Toc418061375"/>
      <w:bookmarkStart w:id="1649" w:name="_Toc418751860"/>
      <w:bookmarkStart w:id="1650" w:name="_Toc418518410"/>
      <w:bookmarkStart w:id="1651" w:name="_Toc389065328"/>
      <w:bookmarkStart w:id="1652" w:name="_Toc418518174"/>
      <w:bookmarkStart w:id="1653" w:name="_Toc522201790"/>
      <w:bookmarkStart w:id="1654" w:name="_Toc256000241"/>
      <w:bookmarkStart w:id="1655" w:name="_Toc497746845"/>
      <w:bookmarkStart w:id="1656" w:name="_Toc418752306"/>
      <w:bookmarkStart w:id="1657" w:name="_Toc373478410"/>
      <w:r>
        <w:rPr>
          <w:rFonts w:hint="eastAsia" w:ascii="宋体" w:hAnsi="宋体" w:eastAsia="宋体" w:cs="宋体"/>
          <w:color w:val="auto"/>
          <w:sz w:val="21"/>
          <w:szCs w:val="21"/>
          <w:highlight w:val="none"/>
        </w:rPr>
        <w:t>15.2 缺陷责任期</w:t>
      </w:r>
      <w:bookmarkEnd w:id="1614"/>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缺陷责任期的具体期限：</w:t>
      </w:r>
      <w:r>
        <w:rPr>
          <w:rFonts w:hint="eastAsia" w:ascii="宋体" w:hAnsi="宋体" w:eastAsia="宋体" w:cs="宋体"/>
          <w:color w:val="auto"/>
          <w:sz w:val="21"/>
          <w:szCs w:val="21"/>
          <w:highlight w:val="none"/>
          <w:u w:val="single"/>
        </w:rPr>
        <w:t>24个月，</w:t>
      </w:r>
      <w:r>
        <w:rPr>
          <w:rFonts w:hint="eastAsia" w:ascii="宋体" w:hAnsi="宋体" w:eastAsia="宋体" w:cs="宋体"/>
          <w:color w:val="auto"/>
          <w:kern w:val="0"/>
          <w:sz w:val="21"/>
          <w:szCs w:val="21"/>
          <w:highlight w:val="none"/>
          <w:u w:val="single"/>
        </w:rPr>
        <w:t>工程竣工验收合格，自交付使用之日起计算</w:t>
      </w:r>
      <w:r>
        <w:rPr>
          <w:rFonts w:hint="eastAsia" w:ascii="宋体" w:hAnsi="宋体" w:eastAsia="宋体" w:cs="宋体"/>
          <w:color w:val="auto"/>
          <w:sz w:val="21"/>
          <w:szCs w:val="21"/>
          <w:highlight w:val="none"/>
          <w:u w:val="single"/>
        </w:rPr>
        <w:t xml:space="preserve"> ，按照《建设工程质量管理条例》执行，</w:t>
      </w:r>
      <w:r>
        <w:rPr>
          <w:rFonts w:hint="eastAsia" w:ascii="宋体" w:hAnsi="宋体" w:eastAsia="宋体" w:cs="宋体"/>
          <w:bCs/>
          <w:color w:val="auto"/>
          <w:sz w:val="21"/>
          <w:szCs w:val="21"/>
          <w:highlight w:val="none"/>
          <w:u w:val="single"/>
        </w:rPr>
        <w:t xml:space="preserve">详见本合同附件3：《工程质量保修书》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658" w:name="_Toc373227764"/>
      <w:bookmarkStart w:id="1659" w:name="_Toc373478411"/>
      <w:bookmarkStart w:id="1660" w:name="_Toc418518411"/>
      <w:bookmarkStart w:id="1661" w:name="_Toc403578999"/>
      <w:bookmarkStart w:id="1662" w:name="_Toc256000242"/>
      <w:bookmarkStart w:id="1663" w:name="_Toc418751861"/>
      <w:bookmarkStart w:id="1664" w:name="_Toc497747243"/>
      <w:bookmarkStart w:id="1665" w:name="_Toc418518175"/>
      <w:bookmarkStart w:id="1666" w:name="_Toc418061376"/>
      <w:bookmarkStart w:id="1667" w:name="_Toc522201791"/>
      <w:bookmarkStart w:id="1668" w:name="_Toc20848"/>
      <w:bookmarkStart w:id="1669" w:name="_Toc418752307"/>
      <w:bookmarkStart w:id="1670" w:name="_Toc389065329"/>
      <w:bookmarkStart w:id="1671" w:name="_Toc497746846"/>
      <w:r>
        <w:rPr>
          <w:rFonts w:hint="eastAsia" w:ascii="宋体" w:hAnsi="宋体" w:eastAsia="宋体" w:cs="宋体"/>
          <w:color w:val="auto"/>
          <w:sz w:val="21"/>
          <w:szCs w:val="21"/>
          <w:highlight w:val="none"/>
        </w:rPr>
        <w:t>15.3 质量保证金</w:t>
      </w:r>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关于是否扣留质量保证金的约定：</w:t>
      </w:r>
      <w:r>
        <w:rPr>
          <w:rFonts w:hint="eastAsia" w:ascii="宋体" w:hAnsi="宋体" w:eastAsia="宋体" w:cs="宋体"/>
          <w:color w:val="auto"/>
          <w:kern w:val="0"/>
          <w:sz w:val="21"/>
          <w:szCs w:val="21"/>
          <w:highlight w:val="none"/>
          <w:u w:val="single"/>
        </w:rPr>
        <w:t>按工程价款结算总额的</w:t>
      </w:r>
      <w:r>
        <w:rPr>
          <w:rFonts w:hint="eastAsia" w:ascii="宋体" w:hAnsi="宋体" w:eastAsia="宋体" w:cs="宋体"/>
          <w:color w:val="auto"/>
          <w:kern w:val="0"/>
          <w:sz w:val="21"/>
          <w:szCs w:val="21"/>
          <w:highlight w:val="none"/>
          <w:u w:val="single"/>
          <w:lang w:val="en-US" w:eastAsia="zh-CN"/>
        </w:rPr>
        <w:t>3</w:t>
      </w:r>
      <w:r>
        <w:rPr>
          <w:rFonts w:hint="eastAsia" w:ascii="宋体" w:hAnsi="宋体" w:eastAsia="宋体" w:cs="宋体"/>
          <w:color w:val="auto"/>
          <w:kern w:val="0"/>
          <w:sz w:val="21"/>
          <w:szCs w:val="21"/>
          <w:highlight w:val="none"/>
          <w:u w:val="single"/>
        </w:rPr>
        <w:t xml:space="preserve">%作为质保金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15.3.1 承包人提供质量保证金的方式</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质量保证金采用以下第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（1）质量保证金保函，保证金额为：</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bCs/>
          <w:color w:val="auto"/>
          <w:sz w:val="21"/>
          <w:szCs w:val="21"/>
          <w:highlight w:val="none"/>
        </w:rPr>
        <w:t>发包人按工程价款结算总额的</w:t>
      </w:r>
      <w:r>
        <w:rPr>
          <w:rFonts w:hint="eastAsia" w:ascii="宋体" w:hAnsi="宋体" w:eastAsia="宋体" w:cs="宋体"/>
          <w:bCs/>
          <w:color w:val="auto"/>
          <w:sz w:val="21"/>
          <w:szCs w:val="21"/>
          <w:highlight w:val="none"/>
          <w:u w:val="single"/>
        </w:rPr>
        <w:t xml:space="preserve"> 3 </w:t>
      </w:r>
      <w:r>
        <w:rPr>
          <w:rFonts w:hint="eastAsia" w:ascii="宋体" w:hAnsi="宋体" w:eastAsia="宋体" w:cs="宋体"/>
          <w:bCs/>
          <w:color w:val="auto"/>
          <w:sz w:val="21"/>
          <w:szCs w:val="21"/>
          <w:highlight w:val="none"/>
        </w:rPr>
        <w:t>%预留工程</w:t>
      </w:r>
      <w:r>
        <w:rPr>
          <w:rFonts w:hint="eastAsia" w:ascii="宋体" w:hAnsi="宋体" w:eastAsia="宋体" w:cs="宋体"/>
          <w:bCs/>
          <w:color w:val="auto"/>
          <w:sz w:val="21"/>
          <w:szCs w:val="21"/>
          <w:highlight w:val="none"/>
          <w:lang w:eastAsia="zh-CN"/>
        </w:rPr>
        <w:t>质量保证金</w:t>
      </w:r>
      <w:r>
        <w:rPr>
          <w:rFonts w:hint="eastAsia" w:ascii="宋体" w:hAnsi="宋体" w:eastAsia="宋体" w:cs="宋体"/>
          <w:bCs/>
          <w:color w:val="auto"/>
          <w:sz w:val="21"/>
          <w:szCs w:val="21"/>
          <w:highlight w:val="none"/>
        </w:rPr>
        <w:t>，待缺陷责任期满后返还</w:t>
      </w:r>
      <w:r>
        <w:rPr>
          <w:rFonts w:hint="eastAsia" w:ascii="宋体" w:hAnsi="宋体" w:eastAsia="宋体" w:cs="宋体"/>
          <w:color w:val="auto"/>
          <w:kern w:val="0"/>
          <w:sz w:val="21"/>
          <w:szCs w:val="21"/>
          <w:highlight w:val="none"/>
        </w:rPr>
        <w:t>；</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（3）其他方式：</w:t>
      </w:r>
      <w:r>
        <w:rPr>
          <w:rFonts w:hint="eastAsia" w:ascii="宋体" w:hAnsi="宋体" w:eastAsia="宋体" w:cs="宋体"/>
          <w:bCs/>
          <w:color w:val="auto"/>
          <w:sz w:val="21"/>
          <w:szCs w:val="21"/>
          <w:highlight w:val="none"/>
          <w:u w:val="single"/>
        </w:rPr>
        <w:t xml:space="preserve">   /        </w:t>
      </w:r>
      <w:r>
        <w:rPr>
          <w:rFonts w:hint="eastAsia" w:ascii="宋体" w:hAnsi="宋体" w:eastAsia="宋体" w:cs="宋体"/>
          <w:bCs/>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15.3.2 质量保证金的扣留</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质量保证金的扣留采取以下第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（1）在支付工程进度款时逐次扣留，在此情形下，质量保证金的计算基数不包括预付款的支付、扣回以及价格调整的金额；</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（2）工程竣工结算时一次性扣留质量保证金；</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（3）其他扣留方式:</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关于质量保证金的补充约定：</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r>
        <w:rPr>
          <w:rFonts w:hint="eastAsia" w:ascii="宋体" w:hAnsi="宋体" w:eastAsia="宋体" w:cs="宋体"/>
          <w:color w:val="auto"/>
          <w:kern w:val="0"/>
          <w:sz w:val="21"/>
          <w:szCs w:val="21"/>
          <w:highlight w:val="none"/>
          <w:u w:val="single"/>
        </w:rPr>
        <w:t>发包人在工程缺陷责任期满后 14 天内将保修金一次性返回给承包人（无息）。质量保证金的返还，并不能免除承包人按照合同约定应承担的质量保修责任和应履行的质量保修义务。</w:t>
      </w:r>
    </w:p>
    <w:bookmarkEnd w:id="1615"/>
    <w:bookmarkEnd w:id="1616"/>
    <w:p>
      <w:pPr>
        <w:pStyle w:val="31"/>
        <w:spacing w:line="380" w:lineRule="exact"/>
        <w:ind w:firstLine="422" w:firstLineChars="200"/>
        <w:rPr>
          <w:rFonts w:hint="eastAsia" w:ascii="宋体" w:hAnsi="宋体" w:eastAsia="宋体" w:cs="宋体"/>
          <w:color w:val="auto"/>
          <w:sz w:val="21"/>
          <w:szCs w:val="21"/>
          <w:highlight w:val="none"/>
        </w:rPr>
      </w:pPr>
      <w:bookmarkStart w:id="1672" w:name="_Toc418061377"/>
      <w:bookmarkStart w:id="1673" w:name="_Toc497746847"/>
      <w:bookmarkStart w:id="1674" w:name="_Toc418752308"/>
      <w:bookmarkStart w:id="1675" w:name="_Toc522201792"/>
      <w:bookmarkStart w:id="1676" w:name="_Toc373478412"/>
      <w:bookmarkStart w:id="1677" w:name="_Toc1578"/>
      <w:bookmarkStart w:id="1678" w:name="_Toc418751862"/>
      <w:bookmarkStart w:id="1679" w:name="_Toc418518176"/>
      <w:bookmarkStart w:id="1680" w:name="_Toc497747244"/>
      <w:bookmarkStart w:id="1681" w:name="_Toc389065330"/>
      <w:bookmarkStart w:id="1682" w:name="_Toc256000243"/>
      <w:bookmarkStart w:id="1683" w:name="_Toc373227765"/>
      <w:bookmarkStart w:id="1684" w:name="_Toc403579000"/>
      <w:bookmarkStart w:id="1685" w:name="_Toc418518412"/>
      <w:r>
        <w:rPr>
          <w:rFonts w:hint="eastAsia" w:ascii="宋体" w:hAnsi="宋体" w:eastAsia="宋体" w:cs="宋体"/>
          <w:color w:val="auto"/>
          <w:sz w:val="21"/>
          <w:szCs w:val="21"/>
          <w:highlight w:val="none"/>
        </w:rPr>
        <w:t>15.4 保修</w:t>
      </w:r>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p>
    <w:bookmarkEnd w:id="1617"/>
    <w:p>
      <w:pPr>
        <w:pStyle w:val="33"/>
        <w:spacing w:line="380" w:lineRule="exact"/>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15.4.1 保修责任</w:t>
      </w:r>
    </w:p>
    <w:p>
      <w:pPr>
        <w:pStyle w:val="33"/>
        <w:spacing w:line="380" w:lineRule="exact"/>
        <w:ind w:firstLine="409" w:firstLineChars="195"/>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工程保修期为：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根据《建设工程质量管理条例》及有关规定，约定本工程的保修期详见《工程质量保修书》。</w:t>
      </w:r>
    </w:p>
    <w:p>
      <w:pPr>
        <w:pStyle w:val="33"/>
        <w:spacing w:line="380" w:lineRule="exact"/>
        <w:ind w:firstLine="409" w:firstLineChars="195"/>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工程保修书具体内容见合同附件3。</w:t>
      </w:r>
    </w:p>
    <w:p>
      <w:pPr>
        <w:pStyle w:val="33"/>
        <w:spacing w:line="380" w:lineRule="exact"/>
        <w:ind w:firstLine="409" w:firstLineChars="195"/>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15.4.3 修复通知</w:t>
      </w:r>
    </w:p>
    <w:p>
      <w:pPr>
        <w:pStyle w:val="33"/>
        <w:spacing w:line="380" w:lineRule="exact"/>
        <w:ind w:firstLine="409" w:firstLineChars="195"/>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承包人收到保修通知并到达工程现场的合理时间：</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 1、属于保修范围、内容的项目，承包人应当在接到保修通知之日起三天内派人保修。承包人不在约定期限内派人保修的，发包人有权直接安排维修，费用从工程保修金中扣除，不足部分发包人有权向承包人追索。2、发生紧急抢修事故的，承包人在接到事故通知后，应当立即到达事故现场抢修。3、对于涉及设备的质量问题，应当提出保修方案，及时更换设备，承包人实施保修。属于涉及结构安全的质量问题，应当按照《房屋建筑工程质量保修办法》的规定，立即向当地建设行政主管部门报告，采取安全防范措施；由原设计单位或者具有相应资质等级的设计单位提出保修方案，承包人实施保修。4、质量保修完成后，由发包人组织验收。5、保修费用由造成质量缺陷的责任方承担 。</w:t>
      </w:r>
    </w:p>
    <w:bookmarkEnd w:id="1618"/>
    <w:bookmarkEnd w:id="1619"/>
    <w:bookmarkEnd w:id="1620"/>
    <w:bookmarkEnd w:id="1621"/>
    <w:p>
      <w:pPr>
        <w:pStyle w:val="31"/>
        <w:spacing w:line="380" w:lineRule="exact"/>
        <w:rPr>
          <w:rFonts w:hint="eastAsia" w:ascii="宋体" w:hAnsi="宋体" w:eastAsia="宋体" w:cs="宋体"/>
          <w:color w:val="auto"/>
          <w:sz w:val="21"/>
          <w:szCs w:val="21"/>
          <w:highlight w:val="none"/>
        </w:rPr>
      </w:pPr>
      <w:bookmarkStart w:id="1686" w:name="_Toc389065331"/>
      <w:bookmarkStart w:id="1687" w:name="_Toc418061378"/>
      <w:bookmarkStart w:id="1688" w:name="_Toc418518177"/>
      <w:bookmarkStart w:id="1689" w:name="_Toc497746848"/>
      <w:bookmarkStart w:id="1690" w:name="_Toc351203648"/>
      <w:bookmarkStart w:id="1691" w:name="_Toc403579001"/>
      <w:bookmarkStart w:id="1692" w:name="_Toc373227766"/>
      <w:bookmarkStart w:id="1693" w:name="_Toc9227"/>
      <w:bookmarkStart w:id="1694" w:name="_Toc418518413"/>
      <w:bookmarkStart w:id="1695" w:name="_Toc497747245"/>
      <w:bookmarkStart w:id="1696" w:name="_Toc522201793"/>
      <w:bookmarkStart w:id="1697" w:name="_Toc373478413"/>
      <w:bookmarkStart w:id="1698" w:name="_Toc256000244"/>
      <w:bookmarkStart w:id="1699" w:name="_Toc418751863"/>
      <w:bookmarkStart w:id="1700" w:name="_Toc418752309"/>
      <w:bookmarkStart w:id="1701" w:name="_Toc280868717"/>
      <w:bookmarkStart w:id="1702" w:name="_Toc280868718"/>
      <w:r>
        <w:rPr>
          <w:rFonts w:hint="eastAsia" w:ascii="宋体" w:hAnsi="宋体" w:eastAsia="宋体" w:cs="宋体"/>
          <w:color w:val="auto"/>
          <w:sz w:val="21"/>
          <w:szCs w:val="21"/>
          <w:highlight w:val="none"/>
        </w:rPr>
        <w:t>16. 违约</w:t>
      </w:r>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p>
    <w:p>
      <w:pPr>
        <w:pStyle w:val="31"/>
        <w:spacing w:line="380" w:lineRule="exact"/>
        <w:ind w:firstLine="422" w:firstLineChars="200"/>
        <w:rPr>
          <w:rFonts w:hint="eastAsia" w:ascii="宋体" w:hAnsi="宋体" w:eastAsia="宋体" w:cs="宋体"/>
          <w:color w:val="auto"/>
          <w:sz w:val="21"/>
          <w:szCs w:val="21"/>
          <w:highlight w:val="none"/>
        </w:rPr>
      </w:pPr>
      <w:bookmarkStart w:id="1703" w:name="_Toc418751864"/>
      <w:bookmarkStart w:id="1704" w:name="_Toc418518178"/>
      <w:bookmarkStart w:id="1705" w:name="_Toc256000245"/>
      <w:bookmarkStart w:id="1706" w:name="_Toc418518414"/>
      <w:bookmarkStart w:id="1707" w:name="_Toc497747246"/>
      <w:bookmarkStart w:id="1708" w:name="_Toc497746849"/>
      <w:bookmarkStart w:id="1709" w:name="_Toc373478414"/>
      <w:bookmarkStart w:id="1710" w:name="_Toc389065332"/>
      <w:bookmarkStart w:id="1711" w:name="_Toc418061379"/>
      <w:bookmarkStart w:id="1712" w:name="_Toc403579002"/>
      <w:bookmarkStart w:id="1713" w:name="_Toc373227767"/>
      <w:bookmarkStart w:id="1714" w:name="_Toc522201794"/>
      <w:bookmarkStart w:id="1715" w:name="_Toc418752310"/>
      <w:bookmarkStart w:id="1716" w:name="_Toc9382"/>
      <w:r>
        <w:rPr>
          <w:rFonts w:hint="eastAsia" w:ascii="宋体" w:hAnsi="宋体" w:eastAsia="宋体" w:cs="宋体"/>
          <w:color w:val="auto"/>
          <w:sz w:val="21"/>
          <w:szCs w:val="21"/>
          <w:highlight w:val="none"/>
        </w:rPr>
        <w:t>16.1 发包人违约</w:t>
      </w:r>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16.1.1发包人违约的情形</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发包人违约的其他情形：</w:t>
      </w:r>
      <w:r>
        <w:rPr>
          <w:rFonts w:hint="eastAsia" w:ascii="宋体" w:hAnsi="宋体" w:eastAsia="宋体" w:cs="宋体"/>
          <w:color w:val="auto"/>
          <w:kern w:val="0"/>
          <w:sz w:val="21"/>
          <w:szCs w:val="21"/>
          <w:highlight w:val="none"/>
          <w:u w:val="single"/>
        </w:rPr>
        <w:t xml:space="preserve">    无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16.1.2 发包人违约的责任</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发包人违约责任的承担方式和计算方法：</w:t>
      </w:r>
    </w:p>
    <w:p>
      <w:pPr>
        <w:pStyle w:val="33"/>
        <w:spacing w:line="38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（1）因发包人原因未能在计划开工日期前7天内下达开工通知的违约责任：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（2）因发包人原因未能按合同约定支付合同价款的违约责任：</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（3）发包人违反第10.1款〔变更的范围〕第（2）项约定，自行实施被取消的工作或转由他人实施的违约责任：</w:t>
      </w:r>
      <w:r>
        <w:rPr>
          <w:rFonts w:hint="eastAsia" w:ascii="宋体" w:hAnsi="宋体" w:eastAsia="宋体" w:cs="宋体"/>
          <w:color w:val="auto"/>
          <w:kern w:val="0"/>
          <w:sz w:val="21"/>
          <w:szCs w:val="21"/>
          <w:highlight w:val="none"/>
          <w:u w:val="single"/>
        </w:rPr>
        <w:t xml:space="preserve">  按通用条款执行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kern w:val="0"/>
          <w:sz w:val="21"/>
          <w:szCs w:val="21"/>
          <w:highlight w:val="none"/>
          <w:u w:val="single"/>
        </w:rPr>
        <w:t>工期相应顺延</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（5）因发包人违反合同约定造成暂停施工的违约责任：</w:t>
      </w:r>
      <w:r>
        <w:rPr>
          <w:rFonts w:hint="eastAsia" w:ascii="宋体" w:hAnsi="宋体" w:eastAsia="宋体" w:cs="宋体"/>
          <w:color w:val="auto"/>
          <w:kern w:val="0"/>
          <w:sz w:val="21"/>
          <w:szCs w:val="21"/>
          <w:highlight w:val="none"/>
          <w:u w:val="single"/>
        </w:rPr>
        <w:t>按通用条款执行</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（6）发包人无正当理由没有在约定期限内发出复工指示，导致承包人无法复工的违约责任：</w:t>
      </w:r>
      <w:r>
        <w:rPr>
          <w:rFonts w:hint="eastAsia" w:ascii="宋体" w:hAnsi="宋体" w:eastAsia="宋体" w:cs="宋体"/>
          <w:color w:val="auto"/>
          <w:kern w:val="0"/>
          <w:sz w:val="21"/>
          <w:szCs w:val="21"/>
          <w:highlight w:val="none"/>
          <w:u w:val="single"/>
        </w:rPr>
        <w:t xml:space="preserve">   按通用条款执行</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（7）其他：</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16.1.3 因发包人违约解除合同</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承包人按16.1.1项〔发包人违约的情形〕约定暂停施工满</w:t>
      </w:r>
      <w:r>
        <w:rPr>
          <w:rFonts w:hint="eastAsia" w:ascii="宋体" w:hAnsi="宋体" w:eastAsia="宋体" w:cs="宋体"/>
          <w:color w:val="auto"/>
          <w:kern w:val="0"/>
          <w:sz w:val="21"/>
          <w:szCs w:val="21"/>
          <w:highlight w:val="none"/>
          <w:u w:val="single"/>
        </w:rPr>
        <w:t xml:space="preserve">  /  </w:t>
      </w:r>
      <w:r>
        <w:rPr>
          <w:rFonts w:hint="eastAsia" w:ascii="宋体" w:hAnsi="宋体" w:eastAsia="宋体" w:cs="宋体"/>
          <w:color w:val="auto"/>
          <w:kern w:val="0"/>
          <w:sz w:val="21"/>
          <w:szCs w:val="21"/>
          <w:highlight w:val="none"/>
        </w:rPr>
        <w:t>天后发包人仍不纠正其违约行为并致使合同目的不能实现的，承包人有权解除合同。</w:t>
      </w:r>
    </w:p>
    <w:p>
      <w:pPr>
        <w:pStyle w:val="31"/>
        <w:spacing w:line="380" w:lineRule="exact"/>
        <w:ind w:firstLine="422" w:firstLineChars="200"/>
        <w:rPr>
          <w:rFonts w:hint="eastAsia" w:ascii="宋体" w:hAnsi="宋体" w:eastAsia="宋体" w:cs="宋体"/>
          <w:color w:val="auto"/>
          <w:sz w:val="21"/>
          <w:szCs w:val="21"/>
          <w:highlight w:val="none"/>
        </w:rPr>
      </w:pPr>
      <w:bookmarkStart w:id="1717" w:name="_Toc418518415"/>
      <w:bookmarkStart w:id="1718" w:name="_Toc256000246"/>
      <w:bookmarkStart w:id="1719" w:name="_Toc389065333"/>
      <w:bookmarkStart w:id="1720" w:name="_Toc373478415"/>
      <w:bookmarkStart w:id="1721" w:name="_Toc497746850"/>
      <w:bookmarkStart w:id="1722" w:name="_Toc522201795"/>
      <w:bookmarkStart w:id="1723" w:name="_Toc403579003"/>
      <w:bookmarkStart w:id="1724" w:name="_Toc418061380"/>
      <w:bookmarkStart w:id="1725" w:name="_Toc418751865"/>
      <w:bookmarkStart w:id="1726" w:name="_Toc418752311"/>
      <w:bookmarkStart w:id="1727" w:name="_Toc497747247"/>
      <w:bookmarkStart w:id="1728" w:name="_Toc418518179"/>
      <w:bookmarkStart w:id="1729" w:name="_Toc373227768"/>
      <w:bookmarkStart w:id="1730" w:name="_Toc10444"/>
      <w:r>
        <w:rPr>
          <w:rFonts w:hint="eastAsia" w:ascii="宋体" w:hAnsi="宋体" w:eastAsia="宋体" w:cs="宋体"/>
          <w:color w:val="auto"/>
          <w:sz w:val="21"/>
          <w:szCs w:val="21"/>
          <w:highlight w:val="none"/>
        </w:rPr>
        <w:t>16.2 承包人违约</w:t>
      </w:r>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16.2.1 承包人违约的情形</w:t>
      </w:r>
    </w:p>
    <w:p>
      <w:pPr>
        <w:pStyle w:val="33"/>
        <w:spacing w:line="380" w:lineRule="exact"/>
        <w:ind w:firstLine="420" w:firstLineChars="20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rPr>
        <w:t>承包人违约的其他情形：</w:t>
      </w:r>
      <w:r>
        <w:rPr>
          <w:rFonts w:hint="eastAsia" w:ascii="宋体" w:hAnsi="宋体" w:eastAsia="宋体" w:cs="宋体"/>
          <w:color w:val="auto"/>
          <w:kern w:val="0"/>
          <w:sz w:val="21"/>
          <w:szCs w:val="21"/>
          <w:highlight w:val="none"/>
          <w:u w:val="single"/>
        </w:rPr>
        <w:t xml:space="preserve">按通用条款执行 </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16.2.2承包人违约的责任</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承包人违约责任的承担方式和计算方法：</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未按本合同通用条款第16.2.1（2）、（3）条内容完成的，承包人无条件返工处理，修复至工程质量要求并承担相关费用，并在发包人规定的时间内完成返工，否则发包人有权扣罚该分项工程10%的工程款作为处罚。</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（2）承包人有本合同通用条款第16.2.1（6）条情形的，或经监理人检验认为修复质量不合格而承包人拒绝再进行修补的，发包人将扣除承包人全部</w:t>
      </w:r>
      <w:r>
        <w:rPr>
          <w:rFonts w:hint="eastAsia" w:ascii="宋体" w:hAnsi="宋体" w:eastAsia="宋体" w:cs="宋体"/>
          <w:color w:val="auto"/>
          <w:kern w:val="0"/>
          <w:sz w:val="21"/>
          <w:szCs w:val="21"/>
          <w:highlight w:val="none"/>
          <w:lang w:eastAsia="zh-CN"/>
        </w:rPr>
        <w:t>质量保证金</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承包人有本专用合同条款3.2、3.3条违约责任的，发包人有权扣除承包人的违约金。违约金金额均在承包人的履约保证金及计量支付款内扣除。监理人预先下发含有罚款意向的指令，如承包人不及时采取措施纠正，则在指令下达后十五天下发罚款通知书（不再陈述罚款理由）。</w:t>
      </w:r>
      <w:r>
        <w:rPr>
          <w:rFonts w:hint="eastAsia" w:ascii="宋体" w:hAnsi="宋体" w:eastAsia="宋体" w:cs="宋体"/>
          <w:color w:val="auto"/>
          <w:sz w:val="21"/>
          <w:szCs w:val="21"/>
          <w:highlight w:val="none"/>
        </w:rPr>
        <w:t>承包人在合同期内，完成合同规定的全部工程，且质量合格，在本工程施工竣工验收后十五天内可申请返还全部或部分罚款，返还金额由监理人审核，发包人批准。罚款金额返还时不包括银行利息。</w:t>
      </w:r>
      <w:r>
        <w:rPr>
          <w:rFonts w:hint="eastAsia" w:ascii="宋体" w:hAnsi="宋体" w:eastAsia="宋体" w:cs="宋体"/>
          <w:color w:val="auto"/>
          <w:kern w:val="0"/>
          <w:sz w:val="21"/>
          <w:szCs w:val="21"/>
          <w:highlight w:val="none"/>
        </w:rPr>
        <w:t>承包人履约保证金被罚款后由发包人从最后一次计量支付时扣除相应金额补足履约保证金。</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16.2.3 因承包人违约解除合同</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关于承包人违约解除合同的特别约定：</w:t>
      </w:r>
      <w:r>
        <w:rPr>
          <w:rFonts w:hint="eastAsia" w:ascii="宋体" w:hAnsi="宋体" w:eastAsia="宋体" w:cs="宋体"/>
          <w:color w:val="auto"/>
          <w:kern w:val="0"/>
          <w:sz w:val="21"/>
          <w:szCs w:val="21"/>
          <w:highlight w:val="none"/>
          <w:u w:val="single"/>
        </w:rPr>
        <w:t>承包人有违反以下情况之一的，发包人有权解除合同，并没收其全部履约保证金</w:t>
      </w:r>
      <w:r>
        <w:rPr>
          <w:rFonts w:hint="eastAsia" w:ascii="宋体" w:hAnsi="宋体" w:eastAsia="宋体" w:cs="宋体"/>
          <w:color w:val="auto"/>
          <w:kern w:val="0"/>
          <w:sz w:val="21"/>
          <w:szCs w:val="21"/>
          <w:highlight w:val="none"/>
        </w:rPr>
        <w:t>。</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(1)承包人无正当理由不按开工通知的要求及时进场组织施工和不按签订协议书时商定的进度计划有效地开展施工准备，造成工期延误的；</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(2)承包人违反本合同通用条款第3.5条规定私自将合同或合同的任何部分或任何权利转让给其他人，或私自将工程或工程的一部分分包出去的；</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(3)未经监理人批准，承包人私自将已按投标文件承诺进入工地的工程设备、施工设备、临时工程或材料撤离工地的；</w:t>
      </w:r>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(4)由于承包人原因拒绝按合同进度计划及时完成合同规定的工程，而又未采取有效措施赶上进度，造成工期延误的；</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(5)承包人否认合同有效或拒绝履行合同规定的承包人义务，或由于法律、财务等原因导致承包人无法继续履行或实质上已停止履行合同的义务的；</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(6)合同签订之日起十五日内，承包人无法按合同规定及投标文件的承诺进场经监理工程师认可的全部人员和机械的。</w:t>
      </w:r>
    </w:p>
    <w:p>
      <w:pPr>
        <w:pStyle w:val="33"/>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发包人继续使用承包人在施工现场的材料、设备、临时工程、承包人文件和由承包人或以其名义编制的其他文件的费用承担方式：</w:t>
      </w:r>
      <w:r>
        <w:rPr>
          <w:rFonts w:hint="eastAsia" w:ascii="宋体" w:hAnsi="宋体" w:eastAsia="宋体" w:cs="宋体"/>
          <w:color w:val="auto"/>
          <w:kern w:val="0"/>
          <w:sz w:val="21"/>
          <w:szCs w:val="21"/>
          <w:highlight w:val="none"/>
          <w:u w:val="single"/>
        </w:rPr>
        <w:t xml:space="preserve">   协商决定   </w:t>
      </w:r>
      <w:r>
        <w:rPr>
          <w:rFonts w:hint="eastAsia" w:ascii="宋体" w:hAnsi="宋体" w:eastAsia="宋体" w:cs="宋体"/>
          <w:color w:val="auto"/>
          <w:kern w:val="0"/>
          <w:sz w:val="21"/>
          <w:szCs w:val="21"/>
          <w:highlight w:val="none"/>
        </w:rPr>
        <w:t>。</w:t>
      </w:r>
    </w:p>
    <w:p>
      <w:pPr>
        <w:pStyle w:val="31"/>
        <w:spacing w:line="380" w:lineRule="exact"/>
        <w:rPr>
          <w:rFonts w:hint="eastAsia" w:ascii="宋体" w:hAnsi="宋体" w:eastAsia="宋体" w:cs="宋体"/>
          <w:color w:val="auto"/>
          <w:sz w:val="21"/>
          <w:szCs w:val="21"/>
          <w:highlight w:val="none"/>
        </w:rPr>
      </w:pPr>
      <w:bookmarkStart w:id="1731" w:name="_Toc418518180"/>
      <w:bookmarkStart w:id="1732" w:name="_Toc418061381"/>
      <w:bookmarkStart w:id="1733" w:name="_Toc373227769"/>
      <w:bookmarkStart w:id="1734" w:name="_Toc497746851"/>
      <w:bookmarkStart w:id="1735" w:name="_Toc256000247"/>
      <w:bookmarkStart w:id="1736" w:name="_Toc351203649"/>
      <w:bookmarkStart w:id="1737" w:name="_Toc3171"/>
      <w:bookmarkStart w:id="1738" w:name="_Toc403579004"/>
      <w:bookmarkStart w:id="1739" w:name="_Toc389065334"/>
      <w:bookmarkStart w:id="1740" w:name="_Toc418518416"/>
      <w:bookmarkStart w:id="1741" w:name="_Toc418752312"/>
      <w:bookmarkStart w:id="1742" w:name="_Toc373478416"/>
      <w:bookmarkStart w:id="1743" w:name="_Toc418751866"/>
      <w:bookmarkStart w:id="1744" w:name="_Toc522201796"/>
      <w:bookmarkStart w:id="1745" w:name="_Toc497747248"/>
      <w:r>
        <w:rPr>
          <w:rFonts w:hint="eastAsia" w:ascii="宋体" w:hAnsi="宋体" w:eastAsia="宋体" w:cs="宋体"/>
          <w:color w:val="auto"/>
          <w:sz w:val="21"/>
          <w:szCs w:val="21"/>
          <w:highlight w:val="none"/>
        </w:rPr>
        <w:t>17. 不可抗力</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r>
        <w:rPr>
          <w:rFonts w:hint="eastAsia" w:ascii="宋体" w:hAnsi="宋体" w:eastAsia="宋体" w:cs="宋体"/>
          <w:color w:val="auto"/>
          <w:sz w:val="21"/>
          <w:szCs w:val="21"/>
          <w:highlight w:val="none"/>
        </w:rPr>
        <w:t xml:space="preserve"> </w:t>
      </w:r>
      <w:bookmarkEnd w:id="1701"/>
    </w:p>
    <w:p>
      <w:pPr>
        <w:pStyle w:val="31"/>
        <w:spacing w:line="380" w:lineRule="exact"/>
        <w:ind w:firstLine="422" w:firstLineChars="200"/>
        <w:rPr>
          <w:rFonts w:hint="eastAsia" w:ascii="宋体" w:hAnsi="宋体" w:eastAsia="宋体" w:cs="宋体"/>
          <w:color w:val="auto"/>
          <w:sz w:val="21"/>
          <w:szCs w:val="21"/>
          <w:highlight w:val="none"/>
        </w:rPr>
      </w:pPr>
      <w:bookmarkStart w:id="1746" w:name="_Toc522201797"/>
      <w:bookmarkStart w:id="1747" w:name="_Toc418518417"/>
      <w:bookmarkStart w:id="1748" w:name="_Toc403579005"/>
      <w:bookmarkStart w:id="1749" w:name="_Toc373478417"/>
      <w:bookmarkStart w:id="1750" w:name="_Toc389065335"/>
      <w:bookmarkStart w:id="1751" w:name="_Toc497747249"/>
      <w:bookmarkStart w:id="1752" w:name="_Toc373227770"/>
      <w:bookmarkStart w:id="1753" w:name="_Toc418061382"/>
      <w:bookmarkStart w:id="1754" w:name="_Toc418752313"/>
      <w:bookmarkStart w:id="1755" w:name="_Toc497746852"/>
      <w:bookmarkStart w:id="1756" w:name="_Toc19380"/>
      <w:bookmarkStart w:id="1757" w:name="_Toc418751867"/>
      <w:bookmarkStart w:id="1758" w:name="_Toc256000248"/>
      <w:bookmarkStart w:id="1759" w:name="_Toc418518181"/>
      <w:r>
        <w:rPr>
          <w:rFonts w:hint="eastAsia" w:ascii="宋体" w:hAnsi="宋体" w:eastAsia="宋体" w:cs="宋体"/>
          <w:color w:val="auto"/>
          <w:sz w:val="21"/>
          <w:szCs w:val="21"/>
          <w:highlight w:val="none"/>
        </w:rPr>
        <w:t>17.1 不可抗力的确认</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p>
    <w:p>
      <w:pPr>
        <w:pStyle w:val="33"/>
        <w:spacing w:line="380" w:lineRule="exact"/>
        <w:ind w:firstLine="420" w:firstLineChars="200"/>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除通用合同条款约定的不可抗力事件之外，视为不可抗力的其他情形：</w:t>
      </w:r>
      <w:r>
        <w:rPr>
          <w:rFonts w:hint="eastAsia" w:ascii="宋体" w:hAnsi="宋体" w:eastAsia="宋体" w:cs="宋体"/>
          <w:color w:val="auto"/>
          <w:kern w:val="0"/>
          <w:sz w:val="21"/>
          <w:szCs w:val="21"/>
          <w:highlight w:val="none"/>
          <w:u w:val="single"/>
        </w:rPr>
        <w:t>（1）、6级以上地震；（2）、10级以上持续1天的大风；（3）、暴雨级以上持续1天的大雨；（4）、50年以上未发生过，持续2天的高温天气；（5）、50年以上未发生过，持续2天的低温天气；（6）、50年以上未发生过 的洪水；（7）、战争、敌对行动（不论宣战与否）、入侵、外敌行动；（8）、暴乱、骚乱、叛乱、革命、暴动，或军事政变、篡夺政权、内战等；（9）、由于任何有危险性物质所引起的离子辐射或放射性污染；（10）、以音速飞行的飞机或其他飞行装置产生的压力波；（11）、对以上几种形式，应以造成灾害和影响施工为准</w:t>
      </w:r>
      <w:r>
        <w:rPr>
          <w:rFonts w:hint="eastAsia" w:ascii="宋体" w:hAnsi="宋体" w:eastAsia="宋体" w:cs="宋体"/>
          <w:color w:val="auto"/>
          <w:kern w:val="0"/>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760" w:name="_Toc418752314"/>
      <w:bookmarkStart w:id="1761" w:name="_Toc522201798"/>
      <w:bookmarkStart w:id="1762" w:name="_Toc256000249"/>
      <w:bookmarkStart w:id="1763" w:name="_Toc418518182"/>
      <w:bookmarkStart w:id="1764" w:name="_Toc418518418"/>
      <w:bookmarkStart w:id="1765" w:name="_Toc389065336"/>
      <w:bookmarkStart w:id="1766" w:name="_Toc497747250"/>
      <w:bookmarkStart w:id="1767" w:name="_Toc497746853"/>
      <w:bookmarkStart w:id="1768" w:name="_Toc24817"/>
      <w:bookmarkStart w:id="1769" w:name="_Toc373478418"/>
      <w:bookmarkStart w:id="1770" w:name="_Toc418751868"/>
      <w:bookmarkStart w:id="1771" w:name="_Toc403579006"/>
      <w:bookmarkStart w:id="1772" w:name="_Toc373227771"/>
      <w:bookmarkStart w:id="1773" w:name="_Toc418061383"/>
      <w:r>
        <w:rPr>
          <w:rFonts w:hint="eastAsia" w:ascii="宋体" w:hAnsi="宋体" w:eastAsia="宋体" w:cs="宋体"/>
          <w:color w:val="auto"/>
          <w:sz w:val="21"/>
          <w:szCs w:val="21"/>
          <w:highlight w:val="none"/>
        </w:rPr>
        <w:t>17.4 因不可抗力解除合同</w:t>
      </w:r>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合同解除后，发包人应在商定或确定发包人应支付款项后</w:t>
      </w:r>
      <w:r>
        <w:rPr>
          <w:rFonts w:hint="eastAsia" w:ascii="宋体" w:hAnsi="宋体" w:eastAsia="宋体" w:cs="宋体"/>
          <w:color w:val="auto"/>
          <w:sz w:val="21"/>
          <w:szCs w:val="21"/>
          <w:highlight w:val="none"/>
          <w:u w:val="single"/>
        </w:rPr>
        <w:t xml:space="preserve"> 30 </w:t>
      </w:r>
      <w:r>
        <w:rPr>
          <w:rFonts w:hint="eastAsia" w:ascii="宋体" w:hAnsi="宋体" w:eastAsia="宋体" w:cs="宋体"/>
          <w:color w:val="auto"/>
          <w:sz w:val="21"/>
          <w:szCs w:val="21"/>
          <w:highlight w:val="none"/>
        </w:rPr>
        <w:t>天内完成款项的支付。</w:t>
      </w:r>
    </w:p>
    <w:p>
      <w:pPr>
        <w:pStyle w:val="31"/>
        <w:spacing w:line="380" w:lineRule="exact"/>
        <w:rPr>
          <w:rFonts w:hint="eastAsia" w:ascii="宋体" w:hAnsi="宋体" w:eastAsia="宋体" w:cs="宋体"/>
          <w:color w:val="auto"/>
          <w:sz w:val="21"/>
          <w:szCs w:val="21"/>
          <w:highlight w:val="none"/>
        </w:rPr>
      </w:pPr>
      <w:bookmarkStart w:id="1774" w:name="_Toc418751869"/>
      <w:bookmarkStart w:id="1775" w:name="_Toc497747251"/>
      <w:bookmarkStart w:id="1776" w:name="_Toc418752315"/>
      <w:bookmarkStart w:id="1777" w:name="_Toc418061384"/>
      <w:bookmarkStart w:id="1778" w:name="_Toc418518183"/>
      <w:bookmarkStart w:id="1779" w:name="_Toc373227772"/>
      <w:bookmarkStart w:id="1780" w:name="_Toc389065337"/>
      <w:bookmarkStart w:id="1781" w:name="_Toc497746854"/>
      <w:bookmarkStart w:id="1782" w:name="_Toc522201799"/>
      <w:bookmarkStart w:id="1783" w:name="_Toc13149"/>
      <w:bookmarkStart w:id="1784" w:name="_Toc256000250"/>
      <w:bookmarkStart w:id="1785" w:name="_Toc351203650"/>
      <w:bookmarkStart w:id="1786" w:name="_Toc373478419"/>
      <w:bookmarkStart w:id="1787" w:name="_Toc418518419"/>
      <w:bookmarkStart w:id="1788" w:name="_Toc403579007"/>
      <w:r>
        <w:rPr>
          <w:rFonts w:hint="eastAsia" w:ascii="宋体" w:hAnsi="宋体" w:eastAsia="宋体" w:cs="宋体"/>
          <w:color w:val="auto"/>
          <w:sz w:val="21"/>
          <w:szCs w:val="21"/>
          <w:highlight w:val="none"/>
        </w:rPr>
        <w:t>18. 保险</w:t>
      </w:r>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p>
    <w:bookmarkEnd w:id="1702"/>
    <w:p>
      <w:pPr>
        <w:pStyle w:val="31"/>
        <w:spacing w:line="380" w:lineRule="exact"/>
        <w:ind w:firstLine="422" w:firstLineChars="200"/>
        <w:rPr>
          <w:rFonts w:hint="eastAsia" w:ascii="宋体" w:hAnsi="宋体" w:eastAsia="宋体" w:cs="宋体"/>
          <w:color w:val="auto"/>
          <w:sz w:val="21"/>
          <w:szCs w:val="21"/>
          <w:highlight w:val="none"/>
        </w:rPr>
      </w:pPr>
      <w:bookmarkStart w:id="1789" w:name="_Toc418752316"/>
      <w:bookmarkStart w:id="1790" w:name="_Toc8865"/>
      <w:bookmarkStart w:id="1791" w:name="_Toc389065338"/>
      <w:bookmarkStart w:id="1792" w:name="_Toc497746855"/>
      <w:bookmarkStart w:id="1793" w:name="_Toc497747252"/>
      <w:bookmarkStart w:id="1794" w:name="_Toc373227773"/>
      <w:bookmarkStart w:id="1795" w:name="_Toc403579008"/>
      <w:bookmarkStart w:id="1796" w:name="_Toc418518184"/>
      <w:bookmarkStart w:id="1797" w:name="_Toc256000251"/>
      <w:bookmarkStart w:id="1798" w:name="_Toc373478420"/>
      <w:bookmarkStart w:id="1799" w:name="_Toc418751870"/>
      <w:bookmarkStart w:id="1800" w:name="_Toc418518420"/>
      <w:bookmarkStart w:id="1801" w:name="_Toc418061385"/>
      <w:bookmarkStart w:id="1802" w:name="_Toc522201800"/>
      <w:r>
        <w:rPr>
          <w:rFonts w:hint="eastAsia" w:ascii="宋体" w:hAnsi="宋体" w:eastAsia="宋体" w:cs="宋体"/>
          <w:color w:val="auto"/>
          <w:sz w:val="21"/>
          <w:szCs w:val="21"/>
          <w:highlight w:val="none"/>
        </w:rPr>
        <w:t>18.1 工程保险</w:t>
      </w:r>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关于工程保险的特别约定：</w:t>
      </w:r>
      <w:r>
        <w:rPr>
          <w:rFonts w:hint="eastAsia" w:ascii="宋体" w:hAnsi="宋体" w:eastAsia="宋体" w:cs="宋体"/>
          <w:color w:val="auto"/>
          <w:kern w:val="0"/>
          <w:sz w:val="21"/>
          <w:szCs w:val="21"/>
          <w:highlight w:val="none"/>
          <w:u w:val="single"/>
        </w:rPr>
        <w:t>承包人应投保建筑工程一切险并承担与之相关的所有费用</w:t>
      </w:r>
      <w:r>
        <w:rPr>
          <w:rFonts w:hint="eastAsia" w:ascii="宋体" w:hAnsi="宋体" w:eastAsia="宋体" w:cs="宋体"/>
          <w:color w:val="auto"/>
          <w:kern w:val="0"/>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803" w:name="_Toc403579009"/>
      <w:bookmarkStart w:id="1804" w:name="_Toc418518421"/>
      <w:bookmarkStart w:id="1805" w:name="_Toc497747253"/>
      <w:bookmarkStart w:id="1806" w:name="_Toc373227774"/>
      <w:bookmarkStart w:id="1807" w:name="_Toc389065339"/>
      <w:bookmarkStart w:id="1808" w:name="_Toc256000252"/>
      <w:bookmarkStart w:id="1809" w:name="_Toc418752317"/>
      <w:bookmarkStart w:id="1810" w:name="_Toc373478421"/>
      <w:bookmarkStart w:id="1811" w:name="_Toc418518185"/>
      <w:bookmarkStart w:id="1812" w:name="_Toc497746856"/>
      <w:bookmarkStart w:id="1813" w:name="_Toc522201801"/>
      <w:bookmarkStart w:id="1814" w:name="_Toc418061386"/>
      <w:bookmarkStart w:id="1815" w:name="_Toc2667"/>
      <w:bookmarkStart w:id="1816" w:name="_Toc418751871"/>
      <w:r>
        <w:rPr>
          <w:rFonts w:hint="eastAsia" w:ascii="宋体" w:hAnsi="宋体" w:eastAsia="宋体" w:cs="宋体"/>
          <w:color w:val="auto"/>
          <w:sz w:val="21"/>
          <w:szCs w:val="21"/>
          <w:highlight w:val="none"/>
        </w:rPr>
        <w:t>18.3 其他保险</w:t>
      </w:r>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p>
    <w:p>
      <w:pPr>
        <w:pStyle w:val="33"/>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关于其他保险的约定：</w:t>
      </w:r>
      <w:r>
        <w:rPr>
          <w:rFonts w:hint="eastAsia" w:ascii="宋体" w:hAnsi="宋体" w:eastAsia="宋体" w:cs="宋体"/>
          <w:color w:val="auto"/>
          <w:kern w:val="0"/>
          <w:sz w:val="21"/>
          <w:szCs w:val="21"/>
          <w:highlight w:val="none"/>
          <w:u w:val="single"/>
        </w:rPr>
        <w:t>承包人根据市建协字【2009】3号文必须</w:t>
      </w:r>
      <w:r>
        <w:rPr>
          <w:rFonts w:hint="eastAsia" w:ascii="宋体" w:hAnsi="宋体" w:eastAsia="宋体" w:cs="宋体"/>
          <w:color w:val="auto"/>
          <w:sz w:val="21"/>
          <w:szCs w:val="21"/>
          <w:highlight w:val="none"/>
          <w:u w:val="single"/>
        </w:rPr>
        <w:t>为施工现场从事施工的所有作业人员和管理人员办理意外伤害保险，并支付保险费</w:t>
      </w:r>
      <w:r>
        <w:rPr>
          <w:rFonts w:hint="eastAsia" w:ascii="宋体" w:hAnsi="宋体" w:eastAsia="宋体" w:cs="宋体"/>
          <w:bCs/>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承包人是否应为其施工设备等办理财产保险：</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rPr>
        <w:t>按通用条款执行，无特殊约定</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817" w:name="_Toc418061387"/>
      <w:bookmarkStart w:id="1818" w:name="_Toc418518186"/>
      <w:bookmarkStart w:id="1819" w:name="_Toc497747254"/>
      <w:bookmarkStart w:id="1820" w:name="_Toc418518422"/>
      <w:bookmarkStart w:id="1821" w:name="_Toc497746857"/>
      <w:bookmarkStart w:id="1822" w:name="_Toc373227775"/>
      <w:bookmarkStart w:id="1823" w:name="_Toc373478422"/>
      <w:bookmarkStart w:id="1824" w:name="_Toc522201802"/>
      <w:bookmarkStart w:id="1825" w:name="_Toc403579010"/>
      <w:bookmarkStart w:id="1826" w:name="_Toc418751872"/>
      <w:bookmarkStart w:id="1827" w:name="_Toc389065340"/>
      <w:bookmarkStart w:id="1828" w:name="_Toc14012"/>
      <w:bookmarkStart w:id="1829" w:name="_Toc256000253"/>
      <w:bookmarkStart w:id="1830" w:name="_Toc418752318"/>
      <w:r>
        <w:rPr>
          <w:rFonts w:hint="eastAsia" w:ascii="宋体" w:hAnsi="宋体" w:eastAsia="宋体" w:cs="宋体"/>
          <w:color w:val="auto"/>
          <w:sz w:val="21"/>
          <w:szCs w:val="21"/>
          <w:highlight w:val="none"/>
        </w:rPr>
        <w:t>18.7 通知义务</w:t>
      </w:r>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kern w:val="0"/>
          <w:sz w:val="21"/>
          <w:szCs w:val="21"/>
          <w:highlight w:val="none"/>
        </w:rPr>
        <w:t>关于变更保险合同时的通知义务的约定：</w:t>
      </w:r>
      <w:r>
        <w:rPr>
          <w:rFonts w:hint="eastAsia" w:ascii="宋体" w:hAnsi="宋体" w:eastAsia="宋体" w:cs="宋体"/>
          <w:color w:val="auto"/>
          <w:sz w:val="21"/>
          <w:szCs w:val="21"/>
          <w:highlight w:val="none"/>
          <w:u w:val="single"/>
        </w:rPr>
        <w:t xml:space="preserve">  变更应通知当事人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w:t>
      </w:r>
    </w:p>
    <w:bookmarkEnd w:id="1622"/>
    <w:bookmarkEnd w:id="1623"/>
    <w:bookmarkEnd w:id="1624"/>
    <w:bookmarkEnd w:id="1625"/>
    <w:bookmarkEnd w:id="1626"/>
    <w:bookmarkEnd w:id="1627"/>
    <w:bookmarkEnd w:id="1628"/>
    <w:bookmarkEnd w:id="1629"/>
    <w:bookmarkEnd w:id="1630"/>
    <w:bookmarkEnd w:id="1631"/>
    <w:bookmarkEnd w:id="1632"/>
    <w:bookmarkEnd w:id="1633"/>
    <w:p>
      <w:pPr>
        <w:pStyle w:val="31"/>
        <w:spacing w:line="380" w:lineRule="exact"/>
        <w:rPr>
          <w:rFonts w:hint="eastAsia" w:ascii="宋体" w:hAnsi="宋体" w:eastAsia="宋体" w:cs="宋体"/>
          <w:color w:val="auto"/>
          <w:sz w:val="21"/>
          <w:szCs w:val="21"/>
          <w:highlight w:val="none"/>
        </w:rPr>
      </w:pPr>
      <w:bookmarkStart w:id="1831" w:name="_Toc351203651"/>
      <w:bookmarkStart w:id="1832" w:name="_Toc418518423"/>
      <w:bookmarkStart w:id="1833" w:name="_Toc418518187"/>
      <w:bookmarkStart w:id="1834" w:name="_Toc497747255"/>
      <w:bookmarkStart w:id="1835" w:name="_Toc418751873"/>
      <w:bookmarkStart w:id="1836" w:name="_Toc522201803"/>
      <w:bookmarkStart w:id="1837" w:name="_Toc418061388"/>
      <w:bookmarkStart w:id="1838" w:name="_Toc256000254"/>
      <w:bookmarkStart w:id="1839" w:name="_Toc403579011"/>
      <w:bookmarkStart w:id="1840" w:name="_Toc497746858"/>
      <w:bookmarkStart w:id="1841" w:name="_Toc373227776"/>
      <w:bookmarkStart w:id="1842" w:name="_Toc14706"/>
      <w:bookmarkStart w:id="1843" w:name="_Toc389065341"/>
      <w:bookmarkStart w:id="1844" w:name="_Toc373478423"/>
      <w:bookmarkStart w:id="1845" w:name="_Toc418752319"/>
      <w:r>
        <w:rPr>
          <w:rFonts w:hint="eastAsia" w:ascii="宋体" w:hAnsi="宋体" w:eastAsia="宋体" w:cs="宋体"/>
          <w:color w:val="auto"/>
          <w:sz w:val="21"/>
          <w:szCs w:val="21"/>
          <w:highlight w:val="none"/>
        </w:rPr>
        <w:t>20. 争议解决</w:t>
      </w:r>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p>
    <w:bookmarkEnd w:id="1634"/>
    <w:bookmarkEnd w:id="1635"/>
    <w:p>
      <w:pPr>
        <w:pStyle w:val="31"/>
        <w:spacing w:line="380" w:lineRule="exact"/>
        <w:ind w:firstLine="422" w:firstLineChars="200"/>
        <w:rPr>
          <w:rFonts w:hint="eastAsia" w:ascii="宋体" w:hAnsi="宋体" w:eastAsia="宋体" w:cs="宋体"/>
          <w:color w:val="auto"/>
          <w:sz w:val="21"/>
          <w:szCs w:val="21"/>
          <w:highlight w:val="none"/>
        </w:rPr>
      </w:pPr>
      <w:bookmarkStart w:id="1846" w:name="_Toc418751874"/>
      <w:bookmarkStart w:id="1847" w:name="_Toc16963"/>
      <w:bookmarkStart w:id="1848" w:name="_Toc418752320"/>
      <w:bookmarkStart w:id="1849" w:name="_Toc418518424"/>
      <w:bookmarkStart w:id="1850" w:name="_Toc256000255"/>
      <w:bookmarkStart w:id="1851" w:name="_Toc373227777"/>
      <w:bookmarkStart w:id="1852" w:name="_Toc373478424"/>
      <w:bookmarkStart w:id="1853" w:name="_Toc522201804"/>
      <w:bookmarkStart w:id="1854" w:name="_Toc403579012"/>
      <w:bookmarkStart w:id="1855" w:name="_Toc418518188"/>
      <w:bookmarkStart w:id="1856" w:name="_Toc389065342"/>
      <w:bookmarkStart w:id="1857" w:name="_Toc497746859"/>
      <w:bookmarkStart w:id="1858" w:name="_Toc497747256"/>
      <w:bookmarkStart w:id="1859" w:name="_Toc418061389"/>
      <w:r>
        <w:rPr>
          <w:rFonts w:hint="eastAsia" w:ascii="宋体" w:hAnsi="宋体" w:eastAsia="宋体" w:cs="宋体"/>
          <w:color w:val="auto"/>
          <w:sz w:val="21"/>
          <w:szCs w:val="21"/>
          <w:highlight w:val="none"/>
        </w:rPr>
        <w:t>20.3 争</w:t>
      </w:r>
      <w:bookmarkEnd w:id="1636"/>
      <w:r>
        <w:rPr>
          <w:rFonts w:hint="eastAsia" w:ascii="宋体" w:hAnsi="宋体" w:eastAsia="宋体" w:cs="宋体"/>
          <w:color w:val="auto"/>
          <w:sz w:val="21"/>
          <w:szCs w:val="21"/>
          <w:highlight w:val="none"/>
        </w:rPr>
        <w:t>议评审</w:t>
      </w:r>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p>
    <w:p>
      <w:pPr>
        <w:pStyle w:val="33"/>
        <w:spacing w:line="380" w:lineRule="exact"/>
        <w:ind w:left="149" w:leftChars="71" w:firstLine="315" w:firstLineChars="15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合同当事人是否同意将工程争议提交争议评审小组决定：</w:t>
      </w:r>
      <w:r>
        <w:rPr>
          <w:rFonts w:hint="eastAsia" w:ascii="宋体" w:hAnsi="宋体" w:eastAsia="宋体" w:cs="宋体"/>
          <w:color w:val="auto"/>
          <w:sz w:val="21"/>
          <w:szCs w:val="21"/>
          <w:highlight w:val="none"/>
          <w:u w:val="single"/>
        </w:rPr>
        <w:t xml:space="preserve">  不同意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20.3.1 争议评审小组的确定</w:t>
      </w:r>
    </w:p>
    <w:p>
      <w:pPr>
        <w:pStyle w:val="33"/>
        <w:spacing w:line="380" w:lineRule="exact"/>
        <w:ind w:firstLine="420" w:firstLineChars="200"/>
        <w:jc w:val="lef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争议评审小组成员的确定：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选定争议评审员的期限：</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争议评审小组成员的报酬承担方式：</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其他事项的约定：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3"/>
        <w:autoSpaceDE w:val="0"/>
        <w:autoSpaceDN w:val="0"/>
        <w:adjustRightInd w:val="0"/>
        <w:spacing w:line="38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20.3.2 争议评审小组的决定</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合同当事人关于本项的约定：</w:t>
      </w:r>
      <w:r>
        <w:rPr>
          <w:rFonts w:hint="eastAsia" w:ascii="宋体" w:hAnsi="宋体" w:eastAsia="宋体" w:cs="宋体"/>
          <w:color w:val="auto"/>
          <w:sz w:val="21"/>
          <w:szCs w:val="21"/>
          <w:highlight w:val="none"/>
          <w:u w:val="single"/>
        </w:rPr>
        <w:t xml:space="preserve">         /                  </w:t>
      </w:r>
      <w:r>
        <w:rPr>
          <w:rFonts w:hint="eastAsia" w:ascii="宋体" w:hAnsi="宋体" w:eastAsia="宋体" w:cs="宋体"/>
          <w:color w:val="auto"/>
          <w:sz w:val="21"/>
          <w:szCs w:val="21"/>
          <w:highlight w:val="none"/>
        </w:rPr>
        <w:t>。</w:t>
      </w:r>
    </w:p>
    <w:p>
      <w:pPr>
        <w:pStyle w:val="31"/>
        <w:spacing w:line="380" w:lineRule="exact"/>
        <w:ind w:firstLine="422" w:firstLineChars="200"/>
        <w:rPr>
          <w:rFonts w:hint="eastAsia" w:ascii="宋体" w:hAnsi="宋体" w:eastAsia="宋体" w:cs="宋体"/>
          <w:color w:val="auto"/>
          <w:sz w:val="21"/>
          <w:szCs w:val="21"/>
          <w:highlight w:val="none"/>
        </w:rPr>
      </w:pPr>
      <w:bookmarkStart w:id="1860" w:name="_Toc373478425"/>
      <w:bookmarkStart w:id="1861" w:name="_Toc418518189"/>
      <w:bookmarkStart w:id="1862" w:name="_Toc522201805"/>
      <w:bookmarkStart w:id="1863" w:name="_Toc256000256"/>
      <w:bookmarkStart w:id="1864" w:name="_Toc373227778"/>
      <w:bookmarkStart w:id="1865" w:name="_Toc403579013"/>
      <w:bookmarkStart w:id="1866" w:name="_Toc497747257"/>
      <w:bookmarkStart w:id="1867" w:name="_Toc15650"/>
      <w:bookmarkStart w:id="1868" w:name="_Toc418752321"/>
      <w:bookmarkStart w:id="1869" w:name="_Toc497746860"/>
      <w:bookmarkStart w:id="1870" w:name="_Toc389065343"/>
      <w:bookmarkStart w:id="1871" w:name="_Toc418061390"/>
      <w:bookmarkStart w:id="1872" w:name="_Toc418751875"/>
      <w:bookmarkStart w:id="1873" w:name="_Toc418518425"/>
      <w:r>
        <w:rPr>
          <w:rFonts w:hint="eastAsia" w:ascii="宋体" w:hAnsi="宋体" w:eastAsia="宋体" w:cs="宋体"/>
          <w:color w:val="auto"/>
          <w:sz w:val="21"/>
          <w:szCs w:val="21"/>
          <w:highlight w:val="none"/>
        </w:rPr>
        <w:t>20.4 仲裁或诉讼</w:t>
      </w:r>
      <w:bookmarkEnd w:id="1637"/>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p>
    <w:p>
      <w:pPr>
        <w:pStyle w:val="33"/>
        <w:spacing w:line="38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因合同及合同有关事项发生的争议，按下列第</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种方式解决：</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（1）提请</w:t>
      </w:r>
      <w:r>
        <w:rPr>
          <w:rFonts w:hint="eastAsia" w:ascii="宋体" w:hAnsi="宋体" w:eastAsia="宋体" w:cs="宋体"/>
          <w:color w:val="auto"/>
          <w:sz w:val="21"/>
          <w:szCs w:val="21"/>
          <w:highlight w:val="none"/>
          <w:u w:val="single"/>
        </w:rPr>
        <w:t xml:space="preserve"> 本工程辖区内 </w:t>
      </w:r>
      <w:r>
        <w:rPr>
          <w:rFonts w:hint="eastAsia" w:ascii="宋体" w:hAnsi="宋体" w:eastAsia="宋体" w:cs="宋体"/>
          <w:color w:val="auto"/>
          <w:sz w:val="21"/>
          <w:szCs w:val="21"/>
          <w:highlight w:val="none"/>
        </w:rPr>
        <w:t>仲裁委员会按照该会仲裁规则进行仲裁，仲裁裁决是终局的，对合同双方均有约束力。</w:t>
      </w:r>
    </w:p>
    <w:p>
      <w:pPr>
        <w:pStyle w:val="33"/>
        <w:spacing w:line="38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本工程辖区内 </w:t>
      </w:r>
      <w:r>
        <w:rPr>
          <w:rFonts w:hint="eastAsia" w:ascii="宋体" w:hAnsi="宋体" w:eastAsia="宋体" w:cs="宋体"/>
          <w:color w:val="auto"/>
          <w:sz w:val="21"/>
          <w:szCs w:val="21"/>
          <w:highlight w:val="none"/>
        </w:rPr>
        <w:t>人民法院起诉。</w:t>
      </w:r>
      <w:bookmarkEnd w:id="1638"/>
      <w:bookmarkEnd w:id="1639"/>
      <w:bookmarkEnd w:id="1640"/>
      <w:bookmarkEnd w:id="1641"/>
      <w:bookmarkEnd w:id="1642"/>
      <w:bookmarkEnd w:id="1643"/>
    </w:p>
    <w:p>
      <w:pPr>
        <w:pStyle w:val="31"/>
        <w:spacing w:line="380" w:lineRule="exact"/>
        <w:rPr>
          <w:rFonts w:hint="eastAsia" w:ascii="宋体" w:hAnsi="宋体" w:eastAsia="宋体" w:cs="宋体"/>
          <w:color w:val="auto"/>
          <w:sz w:val="21"/>
          <w:szCs w:val="21"/>
          <w:highlight w:val="none"/>
        </w:rPr>
      </w:pPr>
      <w:bookmarkStart w:id="1874" w:name="_Toc497746861"/>
      <w:bookmarkStart w:id="1875" w:name="_Toc373478426"/>
      <w:bookmarkStart w:id="1876" w:name="_Toc497747258"/>
      <w:bookmarkStart w:id="1877" w:name="_Toc522201806"/>
      <w:bookmarkStart w:id="1878" w:name="_Toc395382582"/>
      <w:bookmarkStart w:id="1879" w:name="_Toc256000257"/>
      <w:bookmarkStart w:id="1880" w:name="_Toc373227779"/>
      <w:bookmarkStart w:id="1881" w:name="_Toc389065344"/>
      <w:bookmarkStart w:id="1882" w:name="_Toc29694"/>
      <w:r>
        <w:rPr>
          <w:rFonts w:hint="eastAsia" w:ascii="宋体" w:hAnsi="宋体" w:eastAsia="宋体" w:cs="宋体"/>
          <w:color w:val="auto"/>
          <w:sz w:val="21"/>
          <w:szCs w:val="21"/>
          <w:highlight w:val="none"/>
        </w:rPr>
        <w:t>21. 补充条款</w:t>
      </w:r>
      <w:bookmarkEnd w:id="1874"/>
      <w:bookmarkEnd w:id="1875"/>
      <w:bookmarkEnd w:id="1876"/>
      <w:bookmarkEnd w:id="1877"/>
      <w:bookmarkEnd w:id="1878"/>
      <w:bookmarkEnd w:id="1879"/>
      <w:bookmarkEnd w:id="1880"/>
      <w:bookmarkEnd w:id="1881"/>
      <w:bookmarkEnd w:id="1882"/>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 根据桂劳社[2003]150 号文，承包人在投标时必须在投标文件中承诺，在发包人发出交款通知之日起 7 个工作日内足额将民工工资保障金转入建设行政主管部门设立的农民工工资保障金专用帐号。发包人按节点足额支付工程款后，一旦其承包的建设工程项目中出现拖欠农民工工资情况的，由主管部门从其农民工工资保障金中先予支付。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21.2 承包方采用新工艺新材料，必须在使用前 2 个月，向发包方提交相关的技术资料、发明专利、产品证书、样品及应用的实例、单价组成等有关资料；经发包方、设计单位认可后方可使用，凡未经批准擅自使用者除费用自行承担外还应赔偿发包方由此引起的经济损失。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21.3 赶工费、夜间施工费由投标人结合自身企业的实际情况及对施工现场的考察、提供的图纸等各方面的资料自行报价，并包干使用，今后不作任何调整和签证。</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21.4 根据《建设工程质量检测管理办法》（建设部令第 141 号）以及《广西壮族自治区建设工程质量检测管理规定》（桂建管〔2013〕11 号）规定，工程质量检测业务由招标人委托有相应资质的检测机构检测。费用从招标人的项目建设经费中支出并直接支付给检测机构，不计入合同价款内。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21.6 发包人需要持散装水泥、多孔砖、砼砌块的材料发票原件到政府有关部门办理退款手续，承包人必须及时提供。否则，发包人有权按政府有关部门收缴标准及数额在承包人工程款中扣罚。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21.7 由于承包人不能按时提供属承包人应提供的文件导致发包人不能及时办理施工许可证，所有造成的后果由承包人承担责任。造成发包人损失的，承包人应赔偿发包人损失。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21.8 已完工程成品保护的特殊要求及费用承担： 已竣工工程未交付发包人之前，承包人负责已完工程的成品保护工作，保护期间发生损坏，承包人自费予以修复。工程已交付发包人或发包人提前使用后的损坏及所需的修理费用、 工程成品毁损的风险， 由发包人承担。 若发包人要求承包人采取特殊措施保护的，由发包人就保护的工程部位和相应的追加合同价款另外进行协商。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21.9 材料严格保证质量，相同类型材料质量应一致，若发现有材料以次品冒充，则该部分所有材料均按次品处理且须重新更换合格材料才能使用。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21.10 承包人必须配合监理工程师和发包人派驻工程师的工作，一切签证事宜均须在规定的时间内作出书面签证申请，过期补签无效，发包人超过规定期限没有签证的视为此签证发包人已同意。夜间施工增加费（含夜间加班加点）已包含在合同价款内，施工期间不予再签证。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21.11 承包人有以下情形之一者，视为违约，发包人有权依法解除合同，没收其全部履约保证金，承包人还应承担相应的法律责任。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① 经有关建设主管部门鉴定确认，承包人有挂靠行为。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② 转包工程，以牟取转让费、管理费。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③ 自签订合同之日起 15 日内，因承包人责任无法组织合同规定的人员、机械进场或进场人员机械与合同严重不符。 </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21.12 工程竣工验收通过后 14 天之内，承包人必须将临时工棚、建筑垃圾等全部清理出现场，否则从第15天起，每天处以1000元罚款且不办理结算。</w:t>
      </w:r>
    </w:p>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21.13 凡进入本工程工作的妇女应持有计生证、否则不准安排工作，禁止使用童工。</w:t>
      </w:r>
    </w:p>
    <w:bookmarkEnd w:id="249"/>
    <w:p>
      <w:pPr>
        <w:pStyle w:val="33"/>
        <w:autoSpaceDE w:val="0"/>
        <w:autoSpaceDN w:val="0"/>
        <w:adjustRightInd w:val="0"/>
        <w:spacing w:line="38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21.14 如因政策性原因或者项目暂时（或永久）取消导致开工延误或无法开工，发包人不支付承包人任何赔偿或补偿，并可根据政策要求或项目情况延时开工或取消部分合同内容。</w:t>
      </w:r>
    </w:p>
    <w:p>
      <w:pPr>
        <w:pStyle w:val="33"/>
        <w:autoSpaceDE w:val="0"/>
        <w:autoSpaceDN w:val="0"/>
        <w:adjustRightInd w:val="0"/>
        <w:spacing w:line="380" w:lineRule="exact"/>
        <w:ind w:firstLine="420" w:firstLineChars="200"/>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21.15 承包人应自行协调与施工现场周边及村民的关系，确保项目施工顺利进行。发包人不再支付承包人因协调施工现场周边及村民关系而发生的任何费用。如因征地拆迁造成的问题由由发包人负责牵头解决。</w:t>
      </w:r>
    </w:p>
    <w:p>
      <w:pPr>
        <w:pStyle w:val="25"/>
        <w:rPr>
          <w:rFonts w:hint="eastAsia" w:ascii="宋体" w:hAnsi="宋体" w:eastAsia="宋体" w:cs="宋体"/>
          <w:b/>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color w:val="auto"/>
          <w:highlight w:val="none"/>
        </w:r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协议书附件：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附件1：承包人承揽工程项目一览表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附件2：发包人供应材料设备一览表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附件3：工程质量保修书</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附件4：主要建设工程文件目录</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附件5：承包人用于本工程施工的机械设备表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附件6：承包人主要施工管理人员表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附件7：分包人主要施工管理人员表</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附件8：履约担保格式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附件9：预付款担保格式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附件10：支付担保格式</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附件11：暂估价一览表</w:t>
      </w:r>
    </w:p>
    <w:p>
      <w:pPr>
        <w:pStyle w:val="8"/>
        <w:rPr>
          <w:rFonts w:hint="eastAsia" w:ascii="宋体" w:hAnsi="宋体" w:eastAsia="宋体" w:cs="宋体"/>
          <w:color w:val="auto"/>
          <w:sz w:val="21"/>
          <w:szCs w:val="21"/>
          <w:highlight w:val="none"/>
          <w:lang w:val="en-US" w:eastAsia="zh-CN"/>
        </w:rPr>
      </w:pPr>
    </w:p>
    <w:p>
      <w:pPr>
        <w:pStyle w:val="8"/>
        <w:rPr>
          <w:rFonts w:hint="eastAsia" w:ascii="宋体" w:hAnsi="宋体" w:eastAsia="宋体" w:cs="宋体"/>
          <w:color w:val="auto"/>
          <w:sz w:val="21"/>
          <w:szCs w:val="21"/>
          <w:highlight w:val="none"/>
          <w:lang w:val="en-US" w:eastAsia="zh-CN"/>
        </w:rPr>
        <w:sectPr>
          <w:pgSz w:w="11906" w:h="16838"/>
          <w:pgMar w:top="1418" w:right="1115" w:bottom="1418" w:left="1131" w:header="851" w:footer="992" w:gutter="0"/>
          <w:pgNumType w:fmt="decimal"/>
          <w:cols w:space="720" w:num="1"/>
          <w:titlePg/>
          <w:docGrid w:type="lines" w:linePitch="312" w:charSpace="0"/>
        </w:sectPr>
      </w:pP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承包人承揽工程项目一览表</w:t>
      </w:r>
    </w:p>
    <w:tbl>
      <w:tblPr>
        <w:tblStyle w:val="19"/>
        <w:tblW w:w="14317"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126"/>
        <w:gridCol w:w="850"/>
        <w:gridCol w:w="1560"/>
        <w:gridCol w:w="2126"/>
        <w:gridCol w:w="1417"/>
        <w:gridCol w:w="851"/>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单位工程名称</w:t>
            </w:r>
          </w:p>
        </w:tc>
        <w:tc>
          <w:tcPr>
            <w:tcW w:w="1843"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建设规模</w:t>
            </w:r>
          </w:p>
        </w:tc>
        <w:tc>
          <w:tcPr>
            <w:tcW w:w="1417"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建筑面积(平方米)</w:t>
            </w:r>
          </w:p>
        </w:tc>
        <w:tc>
          <w:tcPr>
            <w:tcW w:w="2126"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结构形式</w:t>
            </w:r>
          </w:p>
        </w:tc>
        <w:tc>
          <w:tcPr>
            <w:tcW w:w="85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层数</w:t>
            </w:r>
          </w:p>
        </w:tc>
        <w:tc>
          <w:tcPr>
            <w:tcW w:w="156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2126"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设备安装内容</w:t>
            </w:r>
          </w:p>
        </w:tc>
        <w:tc>
          <w:tcPr>
            <w:tcW w:w="1417"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合同价格（元）</w:t>
            </w:r>
          </w:p>
        </w:tc>
        <w:tc>
          <w:tcPr>
            <w:tcW w:w="851"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开工日期</w:t>
            </w:r>
          </w:p>
        </w:tc>
        <w:tc>
          <w:tcPr>
            <w:tcW w:w="85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竣工日期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8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212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b/>
          <w:color w:val="auto"/>
          <w:sz w:val="21"/>
          <w:szCs w:val="21"/>
          <w:highlight w:val="none"/>
        </w:rPr>
        <w:sectPr>
          <w:pgSz w:w="16838" w:h="11906" w:orient="landscape"/>
          <w:pgMar w:top="1554" w:right="1418" w:bottom="1531" w:left="1418" w:header="851" w:footer="992" w:gutter="0"/>
          <w:pgNumType w:fmt="decimal"/>
          <w:cols w:space="720" w:num="1"/>
          <w:titlePg/>
          <w:docGrid w:type="linesAndChars" w:linePitch="312" w:charSpace="0"/>
        </w:sect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发包人供应材料设备一览表</w:t>
      </w:r>
    </w:p>
    <w:tbl>
      <w:tblPr>
        <w:tblStyle w:val="19"/>
        <w:tblW w:w="869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402"/>
        <w:gridCol w:w="1099"/>
        <w:gridCol w:w="1134"/>
        <w:gridCol w:w="620"/>
        <w:gridCol w:w="690"/>
        <w:gridCol w:w="1044"/>
        <w:gridCol w:w="719"/>
        <w:gridCol w:w="716"/>
        <w:gridCol w:w="1487"/>
        <w:gridCol w:w="7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402"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099"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 xml:space="preserve">  材料、</w:t>
            </w:r>
          </w:p>
          <w:p>
            <w:pPr>
              <w:pStyle w:val="8"/>
              <w:keepNext/>
              <w:pageBreakBefore w:val="0"/>
              <w:widowControl w:val="0"/>
              <w:kinsoku/>
              <w:wordWrap/>
              <w:overflowPunct/>
              <w:topLinePunct w:val="0"/>
              <w:bidi w:val="0"/>
              <w:snapToGrid/>
              <w:spacing w:after="0" w:line="360" w:lineRule="exact"/>
              <w:ind w:left="0" w:leftChars="0" w:right="0" w:rightChars="0"/>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设备品种</w:t>
            </w:r>
          </w:p>
        </w:tc>
        <w:tc>
          <w:tcPr>
            <w:tcW w:w="1134"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62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69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044"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719"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质量等级</w:t>
            </w:r>
          </w:p>
        </w:tc>
        <w:tc>
          <w:tcPr>
            <w:tcW w:w="716"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供应时间</w:t>
            </w:r>
          </w:p>
        </w:tc>
        <w:tc>
          <w:tcPr>
            <w:tcW w:w="1487"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送达地点</w:t>
            </w:r>
          </w:p>
        </w:tc>
        <w:tc>
          <w:tcPr>
            <w:tcW w:w="783"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9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2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9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4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1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8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78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402"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9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13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2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690"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044"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9"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16"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1487"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c>
          <w:tcPr>
            <w:tcW w:w="783" w:type="dxa"/>
            <w:vAlign w:val="center"/>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附件3：    </w:t>
      </w:r>
    </w:p>
    <w:p>
      <w:pPr>
        <w:keepNext/>
        <w:keepLines/>
        <w:spacing w:before="60" w:after="60" w:line="360" w:lineRule="auto"/>
        <w:jc w:val="center"/>
        <w:outlineLvl w:val="1"/>
        <w:rPr>
          <w:rFonts w:ascii="黑体" w:hAnsi="黑体" w:eastAsia="黑体"/>
          <w:b/>
          <w:bCs/>
          <w:color w:val="auto"/>
          <w:sz w:val="30"/>
          <w:szCs w:val="30"/>
          <w:highlight w:val="none"/>
        </w:rPr>
      </w:pPr>
      <w:r>
        <w:rPr>
          <w:rFonts w:hint="eastAsia" w:ascii="宋体" w:hAnsi="宋体" w:eastAsia="宋体" w:cs="宋体"/>
          <w:color w:val="auto"/>
          <w:sz w:val="21"/>
          <w:szCs w:val="21"/>
          <w:highlight w:val="none"/>
        </w:rPr>
        <w:t xml:space="preserve">  </w:t>
      </w:r>
      <w:r>
        <w:rPr>
          <w:rFonts w:hint="eastAsia" w:ascii="Times New Roman" w:hAnsi="Times New Roman"/>
          <w:b/>
          <w:bCs/>
          <w:color w:val="auto"/>
          <w:sz w:val="30"/>
          <w:szCs w:val="30"/>
          <w:highlight w:val="none"/>
        </w:rPr>
        <w:t xml:space="preserve">  工程质量保修书（房屋建筑工程）</w:t>
      </w:r>
    </w:p>
    <w:p>
      <w:pPr>
        <w:spacing w:line="440" w:lineRule="exact"/>
        <w:ind w:firstLine="420" w:firstLineChars="200"/>
        <w:rPr>
          <w:color w:val="auto"/>
          <w:highlight w:val="none"/>
        </w:rPr>
      </w:pPr>
      <w:r>
        <w:rPr>
          <w:rFonts w:hint="eastAsia" w:hAnsi="宋体" w:cs="宋体"/>
          <w:color w:val="auto"/>
          <w:highlight w:val="none"/>
        </w:rPr>
        <w:t>发包人（全称）：</w:t>
      </w:r>
      <w:r>
        <w:rPr>
          <w:color w:val="auto"/>
          <w:highlight w:val="none"/>
          <w:u w:val="single"/>
        </w:rPr>
        <w:t xml:space="preserve">  </w:t>
      </w:r>
      <w:r>
        <w:rPr>
          <w:rFonts w:hint="eastAsia"/>
          <w:color w:val="auto"/>
          <w:highlight w:val="none"/>
          <w:u w:val="single"/>
        </w:rPr>
        <w:t>兴安县溶江镇人民政府</w:t>
      </w:r>
      <w:r>
        <w:rPr>
          <w:color w:val="auto"/>
          <w:highlight w:val="none"/>
          <w:u w:val="single"/>
        </w:rPr>
        <w:t xml:space="preserve">    </w:t>
      </w:r>
      <w:r>
        <w:rPr>
          <w:color w:val="auto"/>
          <w:highlight w:val="none"/>
        </w:rPr>
        <w:t xml:space="preserve"> </w:t>
      </w:r>
    </w:p>
    <w:p>
      <w:pPr>
        <w:spacing w:line="440" w:lineRule="exact"/>
        <w:ind w:firstLine="420" w:firstLineChars="200"/>
        <w:rPr>
          <w:color w:val="auto"/>
          <w:highlight w:val="none"/>
        </w:rPr>
      </w:pPr>
      <w:r>
        <w:rPr>
          <w:rFonts w:hint="eastAsia" w:hAnsi="宋体" w:cs="宋体"/>
          <w:color w:val="auto"/>
          <w:highlight w:val="none"/>
        </w:rPr>
        <w:t>承包人（全称）：</w:t>
      </w:r>
      <w:r>
        <w:rPr>
          <w:color w:val="auto"/>
          <w:highlight w:val="none"/>
          <w:u w:val="single"/>
        </w:rPr>
        <w:t xml:space="preserve">  </w:t>
      </w:r>
      <w:r>
        <w:rPr>
          <w:rFonts w:hint="eastAsia"/>
          <w:color w:val="auto"/>
          <w:highlight w:val="none"/>
          <w:u w:val="single"/>
        </w:rPr>
        <w:t>（中标后填写）</w:t>
      </w:r>
      <w:r>
        <w:rPr>
          <w:color w:val="auto"/>
          <w:highlight w:val="none"/>
          <w:u w:val="single"/>
        </w:rPr>
        <w:t xml:space="preserve">        </w:t>
      </w:r>
      <w:r>
        <w:rPr>
          <w:color w:val="auto"/>
          <w:highlight w:val="none"/>
        </w:rPr>
        <w:t xml:space="preserve"> </w:t>
      </w:r>
    </w:p>
    <w:p>
      <w:pPr>
        <w:spacing w:line="440" w:lineRule="exact"/>
        <w:rPr>
          <w:color w:val="auto"/>
          <w:highlight w:val="none"/>
        </w:rPr>
      </w:pPr>
    </w:p>
    <w:p>
      <w:pPr>
        <w:spacing w:line="360" w:lineRule="auto"/>
        <w:ind w:firstLine="420" w:firstLineChars="200"/>
        <w:rPr>
          <w:rFonts w:hAnsi="宋体"/>
          <w:color w:val="auto"/>
          <w:highlight w:val="none"/>
        </w:rPr>
      </w:pPr>
      <w:r>
        <w:rPr>
          <w:rFonts w:hint="eastAsia" w:hAnsi="宋体" w:cs="宋体"/>
          <w:color w:val="auto"/>
          <w:highlight w:val="none"/>
        </w:rPr>
        <w:t>发包人和承包人根据《中华人民共和国建筑法》和《建设工程质量管理条例》，经协商一致就</w:t>
      </w:r>
      <w:r>
        <w:rPr>
          <w:color w:val="auto"/>
          <w:highlight w:val="none"/>
          <w:u w:val="single"/>
        </w:rPr>
        <w:t xml:space="preserve">  兴安县溶江镇永安村农贸市场扩建项目</w:t>
      </w:r>
      <w:r>
        <w:rPr>
          <w:rFonts w:hint="eastAsia" w:hAnsi="宋体" w:cs="宋体"/>
          <w:color w:val="auto"/>
          <w:highlight w:val="none"/>
        </w:rPr>
        <w:t>（工程全称）签订工程质量保修书。</w:t>
      </w:r>
    </w:p>
    <w:p>
      <w:pPr>
        <w:spacing w:line="360" w:lineRule="auto"/>
        <w:ind w:firstLine="420" w:firstLineChars="200"/>
        <w:rPr>
          <w:rFonts w:ascii="黑体" w:hAnsi="宋体" w:eastAsia="黑体"/>
          <w:color w:val="auto"/>
          <w:highlight w:val="none"/>
        </w:rPr>
      </w:pPr>
      <w:r>
        <w:rPr>
          <w:rFonts w:hint="eastAsia" w:ascii="黑体" w:hAnsi="宋体" w:eastAsia="黑体" w:cs="黑体"/>
          <w:color w:val="auto"/>
          <w:highlight w:val="none"/>
        </w:rPr>
        <w:t>一、工程质量保修范围和内容</w:t>
      </w:r>
    </w:p>
    <w:p>
      <w:pPr>
        <w:spacing w:line="360" w:lineRule="auto"/>
        <w:ind w:firstLine="420" w:firstLineChars="200"/>
        <w:rPr>
          <w:color w:val="auto"/>
          <w:highlight w:val="none"/>
        </w:rPr>
      </w:pPr>
      <w:r>
        <w:rPr>
          <w:rFonts w:hint="eastAsia" w:hAnsi="宋体" w:cs="宋体"/>
          <w:color w:val="auto"/>
          <w:highlight w:val="none"/>
        </w:rPr>
        <w:t>承包人在质量保修期内，按照有关法律规定和合同约定，承担工程质量保修责任。工程总承包单位应当对其承包的全部建设工程质量负责，分包单位对其分包工程的质量负责，分包不免除工程总承包单位对其承包的全部建设工程所负的质量责任。</w:t>
      </w:r>
    </w:p>
    <w:p>
      <w:pPr>
        <w:spacing w:line="360" w:lineRule="auto"/>
        <w:ind w:firstLine="420"/>
        <w:rPr>
          <w:rFonts w:hAnsi="宋体"/>
          <w:color w:val="auto"/>
          <w:highlight w:val="none"/>
        </w:rPr>
      </w:pPr>
      <w:r>
        <w:rPr>
          <w:rFonts w:hint="eastAsia" w:hAnsi="宋体" w:cs="宋体"/>
          <w:color w:val="auto"/>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2"/>
          <w:highlight w:val="none"/>
          <w:u w:val="single"/>
        </w:rPr>
        <w:t>在承包人承包范围内的工程质量问题以及承包人施工造成的质量问题，由承包人承担保险责任</w:t>
      </w:r>
      <w:r>
        <w:rPr>
          <w:color w:val="auto"/>
          <w:highlight w:val="none"/>
          <w:u w:val="single"/>
        </w:rPr>
        <w:t xml:space="preserve">  </w:t>
      </w:r>
      <w:r>
        <w:rPr>
          <w:rFonts w:hint="eastAsia" w:hAnsi="宋体" w:cs="宋体"/>
          <w:color w:val="auto"/>
          <w:highlight w:val="none"/>
        </w:rPr>
        <w:t>。</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二、质量保修期</w:t>
      </w:r>
    </w:p>
    <w:p>
      <w:pPr>
        <w:spacing w:line="360" w:lineRule="auto"/>
        <w:ind w:firstLine="420"/>
        <w:rPr>
          <w:rFonts w:hAnsi="宋体"/>
          <w:color w:val="auto"/>
          <w:highlight w:val="none"/>
        </w:rPr>
      </w:pPr>
      <w:r>
        <w:rPr>
          <w:rFonts w:hint="eastAsia" w:hAnsi="宋体" w:cs="宋体"/>
          <w:color w:val="auto"/>
          <w:highlight w:val="none"/>
        </w:rPr>
        <w:t>根据《建设工程质量管理条例》及有关规定，工程的质量保修期如下：</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1．地基基础工程和主体结构工程为设计文件规定的工程合理使用年限；</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2．屋面防水工程、有防水要求的卫生间、房间和外墙面的防渗为</w:t>
      </w:r>
      <w:r>
        <w:rPr>
          <w:rFonts w:hint="eastAsia" w:ascii="宋体" w:hAnsi="宋体" w:cs="宋体"/>
          <w:color w:val="auto"/>
          <w:highlight w:val="none"/>
          <w:u w:val="single"/>
        </w:rPr>
        <w:t xml:space="preserve"> 五 </w:t>
      </w:r>
      <w:r>
        <w:rPr>
          <w:rFonts w:hint="eastAsia" w:ascii="宋体" w:hAnsi="宋体" w:cs="宋体"/>
          <w:color w:val="auto"/>
          <w:highlight w:val="none"/>
        </w:rPr>
        <w:t>年；</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3．装修工程为</w:t>
      </w:r>
      <w:r>
        <w:rPr>
          <w:rFonts w:hint="eastAsia" w:ascii="宋体" w:hAnsi="宋体" w:cs="宋体"/>
          <w:color w:val="auto"/>
          <w:highlight w:val="none"/>
          <w:u w:val="single"/>
        </w:rPr>
        <w:t xml:space="preserve">  两   </w:t>
      </w:r>
      <w:r>
        <w:rPr>
          <w:rFonts w:hint="eastAsia" w:ascii="宋体" w:hAnsi="宋体" w:cs="宋体"/>
          <w:color w:val="auto"/>
          <w:highlight w:val="none"/>
        </w:rPr>
        <w:t>年；</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4．电气管线、给排水管道、设备安装工程为</w:t>
      </w:r>
      <w:r>
        <w:rPr>
          <w:rFonts w:hint="eastAsia" w:ascii="宋体" w:hAnsi="宋体" w:cs="宋体"/>
          <w:color w:val="auto"/>
          <w:highlight w:val="none"/>
          <w:u w:val="single"/>
        </w:rPr>
        <w:t xml:space="preserve"> 两  </w:t>
      </w:r>
      <w:r>
        <w:rPr>
          <w:rFonts w:hint="eastAsia" w:ascii="宋体" w:hAnsi="宋体" w:cs="宋体"/>
          <w:color w:val="auto"/>
          <w:highlight w:val="none"/>
        </w:rPr>
        <w:t>年；</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5．供热与供冷系统为</w:t>
      </w:r>
      <w:r>
        <w:rPr>
          <w:rFonts w:hint="eastAsia" w:ascii="宋体" w:hAnsi="宋体" w:cs="宋体"/>
          <w:color w:val="auto"/>
          <w:highlight w:val="none"/>
          <w:u w:val="single"/>
        </w:rPr>
        <w:t xml:space="preserve">  两  </w:t>
      </w:r>
      <w:r>
        <w:rPr>
          <w:rFonts w:hint="eastAsia" w:ascii="宋体" w:hAnsi="宋体" w:cs="宋体"/>
          <w:color w:val="auto"/>
          <w:highlight w:val="none"/>
        </w:rPr>
        <w:t>个采暖期、供冷期；</w:t>
      </w:r>
    </w:p>
    <w:p>
      <w:pPr>
        <w:spacing w:line="420" w:lineRule="exact"/>
        <w:ind w:firstLine="420" w:firstLineChars="200"/>
        <w:rPr>
          <w:rFonts w:hint="eastAsia" w:ascii="宋体" w:hAnsi="宋体" w:cs="宋体"/>
          <w:color w:val="auto"/>
          <w:highlight w:val="none"/>
        </w:rPr>
      </w:pPr>
      <w:r>
        <w:rPr>
          <w:rFonts w:hint="eastAsia" w:ascii="宋体" w:hAnsi="宋体" w:cs="宋体"/>
          <w:color w:val="auto"/>
          <w:highlight w:val="none"/>
        </w:rPr>
        <w:t>6．住宅小区内的给排水设施、道路等配套工程为</w:t>
      </w:r>
      <w:r>
        <w:rPr>
          <w:rFonts w:hint="eastAsia" w:ascii="宋体" w:hAnsi="宋体" w:cs="宋体"/>
          <w:color w:val="auto"/>
          <w:highlight w:val="none"/>
          <w:u w:val="single"/>
        </w:rPr>
        <w:t xml:space="preserve"> 两  </w:t>
      </w:r>
      <w:r>
        <w:rPr>
          <w:rFonts w:hint="eastAsia" w:ascii="宋体" w:hAnsi="宋体" w:cs="宋体"/>
          <w:color w:val="auto"/>
          <w:highlight w:val="none"/>
        </w:rPr>
        <w:t>年；</w:t>
      </w:r>
    </w:p>
    <w:p>
      <w:pPr>
        <w:spacing w:line="420" w:lineRule="exact"/>
        <w:ind w:firstLine="420" w:firstLineChars="200"/>
        <w:rPr>
          <w:rFonts w:ascii="Times New Roman" w:hAnsi="宋体"/>
          <w:color w:val="auto"/>
          <w:highlight w:val="none"/>
        </w:rPr>
      </w:pPr>
      <w:r>
        <w:rPr>
          <w:rFonts w:hint="eastAsia" w:ascii="宋体" w:hAnsi="宋体" w:cs="宋体"/>
          <w:color w:val="auto"/>
          <w:highlight w:val="none"/>
        </w:rPr>
        <w:t>7．其他项目保修期限约定如下：</w:t>
      </w:r>
      <w:r>
        <w:rPr>
          <w:rFonts w:hint="eastAsia" w:ascii="宋体" w:hAnsi="宋体" w:cs="宋体"/>
          <w:color w:val="auto"/>
          <w:highlight w:val="none"/>
          <w:u w:val="single"/>
        </w:rPr>
        <w:t xml:space="preserve">   按国家有关保修规定执行      </w:t>
      </w:r>
      <w:r>
        <w:rPr>
          <w:rFonts w:hint="eastAsia" w:ascii="Times New Roman" w:hAnsi="宋体" w:cs="宋体"/>
          <w:color w:val="auto"/>
          <w:highlight w:val="none"/>
        </w:rPr>
        <w:t>。</w:t>
      </w:r>
    </w:p>
    <w:p>
      <w:pPr>
        <w:spacing w:line="360" w:lineRule="auto"/>
        <w:ind w:firstLine="420"/>
        <w:rPr>
          <w:rFonts w:hAnsi="宋体"/>
          <w:color w:val="auto"/>
          <w:highlight w:val="none"/>
        </w:rPr>
      </w:pPr>
      <w:r>
        <w:rPr>
          <w:rFonts w:hint="eastAsia" w:hAnsi="宋体" w:cs="宋体"/>
          <w:color w:val="auto"/>
          <w:highlight w:val="none"/>
        </w:rPr>
        <w:t>质量保修期自工程竣工验收合格之日起计算。</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三、缺陷责任期</w:t>
      </w:r>
    </w:p>
    <w:p>
      <w:pPr>
        <w:spacing w:line="360" w:lineRule="auto"/>
        <w:ind w:firstLine="420"/>
        <w:rPr>
          <w:rFonts w:hAnsi="宋体"/>
          <w:color w:val="auto"/>
          <w:highlight w:val="none"/>
        </w:rPr>
      </w:pPr>
      <w:r>
        <w:rPr>
          <w:rFonts w:hint="eastAsia" w:hAnsi="宋体" w:cs="宋体"/>
          <w:color w:val="auto"/>
          <w:highlight w:val="none"/>
        </w:rPr>
        <w:t>工程缺陷责任期为</w:t>
      </w:r>
      <w:r>
        <w:rPr>
          <w:color w:val="auto"/>
          <w:highlight w:val="none"/>
          <w:u w:val="single"/>
        </w:rPr>
        <w:t xml:space="preserve"> </w:t>
      </w:r>
      <w:r>
        <w:rPr>
          <w:rFonts w:hint="eastAsia"/>
          <w:color w:val="auto"/>
          <w:highlight w:val="none"/>
          <w:u w:val="single"/>
        </w:rPr>
        <w:t>24</w:t>
      </w:r>
      <w:r>
        <w:rPr>
          <w:color w:val="auto"/>
          <w:highlight w:val="none"/>
          <w:u w:val="single"/>
        </w:rPr>
        <w:t xml:space="preserve">  </w:t>
      </w:r>
      <w:r>
        <w:rPr>
          <w:rFonts w:hint="eastAsia" w:hAnsi="宋体" w:cs="宋体"/>
          <w:color w:val="auto"/>
          <w:highlight w:val="none"/>
        </w:rPr>
        <w:t>个月（最长不超过</w:t>
      </w:r>
      <w:r>
        <w:rPr>
          <w:rFonts w:hAnsi="宋体"/>
          <w:color w:val="auto"/>
          <w:highlight w:val="none"/>
        </w:rPr>
        <w:t>24</w:t>
      </w:r>
      <w:r>
        <w:rPr>
          <w:rFonts w:hint="eastAsia" w:hAnsi="宋体" w:cs="宋体"/>
          <w:color w:val="auto"/>
          <w:highlight w:val="none"/>
        </w:rPr>
        <w:t>个月），缺陷责任期自工程竣工验收合格之日起计算。单位工程先于全部工程进行验收，单位工程缺陷责任期自单位工程验收合格之日起算。</w:t>
      </w:r>
    </w:p>
    <w:p>
      <w:pPr>
        <w:spacing w:line="360" w:lineRule="auto"/>
        <w:ind w:firstLine="420"/>
        <w:rPr>
          <w:rFonts w:hAnsi="宋体"/>
          <w:color w:val="auto"/>
          <w:highlight w:val="none"/>
        </w:rPr>
      </w:pPr>
      <w:r>
        <w:rPr>
          <w:rFonts w:hint="eastAsia" w:hAnsi="宋体" w:cs="宋体"/>
          <w:color w:val="auto"/>
          <w:highlight w:val="none"/>
        </w:rPr>
        <w:t>缺陷责任期</w:t>
      </w:r>
      <w:r>
        <w:rPr>
          <w:rFonts w:hint="eastAsia" w:hAnsi="宋体" w:cs="宋体"/>
          <w:color w:val="auto"/>
          <w:highlight w:val="none"/>
          <w:u w:val="single"/>
        </w:rPr>
        <w:t>满</w:t>
      </w:r>
      <w:r>
        <w:rPr>
          <w:rFonts w:hint="eastAsia" w:ascii="仿宋_GB2312" w:hAnsi="宋体"/>
          <w:color w:val="auto"/>
          <w:highlight w:val="none"/>
        </w:rPr>
        <w:t>之日起</w:t>
      </w:r>
      <w:r>
        <w:rPr>
          <w:rFonts w:hint="eastAsia" w:ascii="仿宋_GB2312" w:hAnsi="宋体"/>
          <w:color w:val="auto"/>
          <w:highlight w:val="none"/>
          <w:u w:val="single"/>
        </w:rPr>
        <w:t xml:space="preserve"> </w:t>
      </w:r>
      <w:r>
        <w:rPr>
          <w:rFonts w:ascii="仿宋_GB2312" w:hAnsi="宋体"/>
          <w:color w:val="auto"/>
          <w:highlight w:val="none"/>
          <w:u w:val="single"/>
        </w:rPr>
        <w:t xml:space="preserve">  </w:t>
      </w:r>
      <w:r>
        <w:rPr>
          <w:rFonts w:hint="eastAsia" w:ascii="仿宋_GB2312" w:hAnsi="宋体"/>
          <w:color w:val="auto"/>
          <w:highlight w:val="none"/>
          <w:u w:val="single"/>
        </w:rPr>
        <w:t xml:space="preserve"> </w:t>
      </w:r>
      <w:r>
        <w:rPr>
          <w:rFonts w:hint="eastAsia" w:ascii="仿宋_GB2312" w:hAnsi="宋体"/>
          <w:color w:val="auto"/>
          <w:highlight w:val="none"/>
        </w:rPr>
        <w:t>天</w:t>
      </w:r>
      <w:r>
        <w:rPr>
          <w:rFonts w:hint="eastAsia" w:hAnsi="宋体" w:cs="宋体"/>
          <w:color w:val="auto"/>
          <w:highlight w:val="none"/>
          <w:u w:val="single"/>
        </w:rPr>
        <w:t>（按</w:t>
      </w:r>
      <w:r>
        <w:rPr>
          <w:rFonts w:hAnsi="宋体" w:cs="宋体"/>
          <w:color w:val="auto"/>
          <w:highlight w:val="none"/>
          <w:u w:val="single"/>
        </w:rPr>
        <w:t>合同约定期限）</w:t>
      </w:r>
      <w:r>
        <w:rPr>
          <w:rFonts w:hint="eastAsia" w:hAnsi="宋体" w:cs="宋体"/>
          <w:color w:val="auto"/>
          <w:highlight w:val="none"/>
          <w:u w:val="single"/>
        </w:rPr>
        <w:t>，</w:t>
      </w:r>
      <w:r>
        <w:rPr>
          <w:rFonts w:hint="eastAsia" w:hAnsi="宋体" w:cs="宋体"/>
          <w:color w:val="auto"/>
          <w:highlight w:val="none"/>
        </w:rPr>
        <w:t>发包人应退还剩余的质量保证金。</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四、质量保修责任</w:t>
      </w:r>
    </w:p>
    <w:p>
      <w:pPr>
        <w:spacing w:line="360" w:lineRule="auto"/>
        <w:ind w:left="105" w:leftChars="50" w:firstLine="430" w:firstLineChars="205"/>
        <w:rPr>
          <w:rFonts w:hAnsi="宋体"/>
          <w:color w:val="auto"/>
          <w:highlight w:val="none"/>
        </w:rPr>
      </w:pPr>
      <w:r>
        <w:rPr>
          <w:color w:val="auto"/>
          <w:highlight w:val="none"/>
        </w:rPr>
        <w:t>1</w:t>
      </w:r>
      <w:r>
        <w:rPr>
          <w:rFonts w:hint="eastAsia" w:hAnsi="宋体" w:cs="宋体"/>
          <w:color w:val="auto"/>
          <w:highlight w:val="none"/>
        </w:rPr>
        <w:t>．属于保修范围、内容的项目，承包人应当在接到保修通知之日起</w:t>
      </w:r>
      <w:r>
        <w:rPr>
          <w:color w:val="auto"/>
          <w:highlight w:val="none"/>
          <w:u w:val="single"/>
        </w:rPr>
        <w:t xml:space="preserve">  </w:t>
      </w:r>
      <w:r>
        <w:rPr>
          <w:rFonts w:hint="eastAsia"/>
          <w:color w:val="auto"/>
          <w:highlight w:val="none"/>
          <w:u w:val="single"/>
        </w:rPr>
        <w:t>7</w:t>
      </w:r>
      <w:r>
        <w:rPr>
          <w:color w:val="auto"/>
          <w:highlight w:val="none"/>
          <w:u w:val="single"/>
        </w:rPr>
        <w:t xml:space="preserve"> </w:t>
      </w:r>
      <w:r>
        <w:rPr>
          <w:rFonts w:hint="eastAsia" w:hAnsi="宋体" w:cs="宋体"/>
          <w:color w:val="auto"/>
          <w:highlight w:val="none"/>
        </w:rPr>
        <w:t>天内派人保修。承包人不在约定期限内派人保修的，发包人可以委托他人修理，修理费用从质量保证金内扣除。</w:t>
      </w:r>
    </w:p>
    <w:p>
      <w:pPr>
        <w:spacing w:line="360" w:lineRule="auto"/>
        <w:ind w:firstLine="420"/>
        <w:rPr>
          <w:rFonts w:hAnsi="宋体"/>
          <w:color w:val="auto"/>
          <w:highlight w:val="none"/>
        </w:rPr>
      </w:pPr>
      <w:r>
        <w:rPr>
          <w:color w:val="auto"/>
          <w:highlight w:val="none"/>
        </w:rPr>
        <w:t>2</w:t>
      </w:r>
      <w:r>
        <w:rPr>
          <w:rFonts w:hint="eastAsia" w:hAnsi="宋体" w:cs="宋体"/>
          <w:color w:val="auto"/>
          <w:highlight w:val="none"/>
        </w:rPr>
        <w:t>．发生紧急事故需抢修的，承包人在接到事故通知后，应当立即到达事故现场抢修。</w:t>
      </w:r>
    </w:p>
    <w:p>
      <w:pPr>
        <w:spacing w:line="360" w:lineRule="auto"/>
        <w:ind w:firstLine="420"/>
        <w:rPr>
          <w:rFonts w:hAnsi="宋体"/>
          <w:color w:val="auto"/>
          <w:highlight w:val="none"/>
        </w:rPr>
      </w:pPr>
      <w:r>
        <w:rPr>
          <w:color w:val="auto"/>
          <w:highlight w:val="none"/>
        </w:rPr>
        <w:t>3</w:t>
      </w:r>
      <w:r>
        <w:rPr>
          <w:rFonts w:hint="eastAsia" w:hAnsi="宋体" w:cs="宋体"/>
          <w:color w:val="auto"/>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60" w:lineRule="auto"/>
        <w:ind w:firstLine="420"/>
        <w:rPr>
          <w:rFonts w:hAnsi="宋体"/>
          <w:color w:val="auto"/>
          <w:highlight w:val="none"/>
        </w:rPr>
      </w:pPr>
      <w:r>
        <w:rPr>
          <w:color w:val="auto"/>
          <w:highlight w:val="none"/>
        </w:rPr>
        <w:t>4</w:t>
      </w:r>
      <w:r>
        <w:rPr>
          <w:rFonts w:hint="eastAsia" w:hAnsi="宋体" w:cs="宋体"/>
          <w:color w:val="auto"/>
          <w:highlight w:val="none"/>
        </w:rPr>
        <w:t>．质量保修完成后，由发包人组织验收。</w:t>
      </w:r>
    </w:p>
    <w:p>
      <w:pPr>
        <w:spacing w:line="360" w:lineRule="auto"/>
        <w:ind w:firstLine="420"/>
        <w:rPr>
          <w:rFonts w:ascii="黑体" w:hAnsi="宋体" w:eastAsia="黑体"/>
          <w:color w:val="auto"/>
          <w:highlight w:val="none"/>
        </w:rPr>
      </w:pPr>
      <w:r>
        <w:rPr>
          <w:rFonts w:hint="eastAsia" w:ascii="黑体" w:hAnsi="宋体" w:eastAsia="黑体" w:cs="黑体"/>
          <w:color w:val="auto"/>
          <w:highlight w:val="none"/>
        </w:rPr>
        <w:t>五、保修费用</w:t>
      </w:r>
    </w:p>
    <w:p>
      <w:pPr>
        <w:tabs>
          <w:tab w:val="left" w:pos="7380"/>
        </w:tabs>
        <w:spacing w:line="360" w:lineRule="auto"/>
        <w:ind w:firstLine="420"/>
        <w:rPr>
          <w:rFonts w:hAnsi="宋体"/>
          <w:color w:val="auto"/>
          <w:highlight w:val="none"/>
        </w:rPr>
      </w:pPr>
      <w:r>
        <w:rPr>
          <w:rFonts w:hint="eastAsia" w:hAnsi="宋体" w:cs="宋体"/>
          <w:color w:val="auto"/>
          <w:highlight w:val="none"/>
        </w:rPr>
        <w:t>保修费用由造成质量缺陷的责任方承担。</w:t>
      </w:r>
    </w:p>
    <w:p>
      <w:pPr>
        <w:spacing w:line="360" w:lineRule="auto"/>
        <w:ind w:firstLine="420"/>
        <w:rPr>
          <w:rFonts w:ascii="黑体" w:hAnsi="宋体" w:eastAsia="黑体" w:cs="黑体"/>
          <w:color w:val="auto"/>
          <w:highlight w:val="none"/>
        </w:rPr>
      </w:pPr>
      <w:r>
        <w:rPr>
          <w:rFonts w:hint="eastAsia" w:ascii="黑体" w:hAnsi="宋体" w:eastAsia="黑体" w:cs="黑体"/>
          <w:color w:val="auto"/>
          <w:highlight w:val="none"/>
        </w:rPr>
        <w:t>六、双方约定的其他工程质量保修事项：</w:t>
      </w:r>
      <w:r>
        <w:rPr>
          <w:rFonts w:ascii="黑体" w:hAnsi="宋体" w:eastAsia="黑体" w:cs="黑体"/>
          <w:color w:val="auto"/>
          <w:highlight w:val="none"/>
        </w:rPr>
        <w:t xml:space="preserve"> </w:t>
      </w:r>
    </w:p>
    <w:p>
      <w:pPr>
        <w:spacing w:line="360" w:lineRule="auto"/>
        <w:ind w:firstLine="420" w:firstLineChars="200"/>
        <w:jc w:val="left"/>
        <w:rPr>
          <w:color w:val="auto"/>
          <w:highlight w:val="none"/>
        </w:rPr>
      </w:pPr>
      <w:r>
        <w:rPr>
          <w:color w:val="auto"/>
          <w:highlight w:val="none"/>
          <w:u w:val="single"/>
        </w:rPr>
        <w:t xml:space="preserve">   </w:t>
      </w:r>
      <w:r>
        <w:rPr>
          <w:rFonts w:hint="eastAsia" w:ascii="宋体" w:hAnsi="宋体" w:cs="宋体"/>
          <w:color w:val="auto"/>
          <w:highlight w:val="none"/>
          <w:u w:val="single"/>
        </w:rPr>
        <w:t>承包人未按照法律法规有关规定和合同约定履行质量保修义务的，发包人有权从质量保证金扣留用于质量保修的各项支出</w:t>
      </w:r>
      <w:r>
        <w:rPr>
          <w:color w:val="auto"/>
          <w:highlight w:val="none"/>
          <w:u w:val="single"/>
        </w:rPr>
        <w:t xml:space="preserve"> </w:t>
      </w:r>
      <w:r>
        <w:rPr>
          <w:rFonts w:hint="eastAsia" w:hAnsi="宋体" w:cs="宋体"/>
          <w:color w:val="auto"/>
          <w:highlight w:val="none"/>
        </w:rPr>
        <w:t>。</w:t>
      </w:r>
    </w:p>
    <w:p>
      <w:pPr>
        <w:spacing w:line="360" w:lineRule="auto"/>
        <w:ind w:firstLine="399" w:firstLineChars="190"/>
        <w:rPr>
          <w:color w:val="auto"/>
          <w:highlight w:val="none"/>
        </w:rPr>
      </w:pPr>
      <w:r>
        <w:rPr>
          <w:rFonts w:hint="eastAsia" w:hAnsi="宋体" w:cs="宋体"/>
          <w:color w:val="auto"/>
          <w:highlight w:val="none"/>
        </w:rPr>
        <w:t>工程质量保修书由发包人、承包人在工程竣工验收前共同签署，作为施工合同附件，其有效期限至保修期满。</w:t>
      </w:r>
    </w:p>
    <w:p>
      <w:pPr>
        <w:spacing w:line="360" w:lineRule="auto"/>
        <w:ind w:firstLine="420"/>
        <w:rPr>
          <w:color w:val="auto"/>
          <w:highlight w:val="none"/>
        </w:rPr>
      </w:pPr>
    </w:p>
    <w:p>
      <w:pPr>
        <w:spacing w:line="360" w:lineRule="auto"/>
        <w:rPr>
          <w:color w:val="auto"/>
          <w:highlight w:val="none"/>
        </w:rPr>
      </w:pPr>
      <w:r>
        <w:rPr>
          <w:rFonts w:hAnsi="宋体"/>
          <w:color w:val="auto"/>
          <w:highlight w:val="none"/>
        </w:rPr>
        <w:t>发包人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承包人</w:t>
      </w:r>
      <w:r>
        <w:rPr>
          <w:rFonts w:hint="eastAsia"/>
          <w:color w:val="auto"/>
          <w:highlight w:val="none"/>
        </w:rPr>
        <w:t>（</w:t>
      </w:r>
      <w:r>
        <w:rPr>
          <w:rFonts w:hAnsi="宋体"/>
          <w:color w:val="auto"/>
          <w:highlight w:val="none"/>
        </w:rPr>
        <w:t>公章</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地</w:t>
      </w:r>
      <w:r>
        <w:rPr>
          <w:color w:val="auto"/>
          <w:highlight w:val="none"/>
        </w:rPr>
        <w:t xml:space="preserve">  </w:t>
      </w:r>
      <w:r>
        <w:rPr>
          <w:rFonts w:hAnsi="宋体"/>
          <w:color w:val="auto"/>
          <w:highlight w:val="none"/>
        </w:rPr>
        <w:t>址：</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地</w:t>
      </w:r>
      <w:r>
        <w:rPr>
          <w:color w:val="auto"/>
          <w:highlight w:val="none"/>
        </w:rPr>
        <w:t xml:space="preserve">  </w:t>
      </w:r>
      <w:r>
        <w:rPr>
          <w:rFonts w:hAnsi="宋体"/>
          <w:color w:val="auto"/>
          <w:highlight w:val="none"/>
        </w:rPr>
        <w:t>址：</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法定代表人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委托代理人</w:t>
      </w:r>
      <w:r>
        <w:rPr>
          <w:rFonts w:hint="eastAsia"/>
          <w:color w:val="auto"/>
          <w:highlight w:val="none"/>
        </w:rPr>
        <w:t>（</w:t>
      </w:r>
      <w:r>
        <w:rPr>
          <w:rFonts w:hAnsi="宋体"/>
          <w:color w:val="auto"/>
          <w:highlight w:val="none"/>
        </w:rPr>
        <w:t>签字</w:t>
      </w:r>
      <w:r>
        <w:rPr>
          <w:rFonts w:hint="eastAsia"/>
          <w:color w:val="auto"/>
          <w:highlight w:val="none"/>
        </w:rPr>
        <w:t>）</w:t>
      </w:r>
      <w:r>
        <w:rPr>
          <w:rFonts w:hAnsi="宋体"/>
          <w:color w:val="auto"/>
          <w:highlight w:val="none"/>
        </w:rPr>
        <w:t>：</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电</w:t>
      </w:r>
      <w:r>
        <w:rPr>
          <w:color w:val="auto"/>
          <w:highlight w:val="none"/>
        </w:rPr>
        <w:t xml:space="preserve">  </w:t>
      </w:r>
      <w:r>
        <w:rPr>
          <w:rFonts w:hAnsi="宋体"/>
          <w:color w:val="auto"/>
          <w:highlight w:val="none"/>
        </w:rPr>
        <w:t>话：</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传</w:t>
      </w:r>
      <w:r>
        <w:rPr>
          <w:color w:val="auto"/>
          <w:highlight w:val="none"/>
        </w:rPr>
        <w:t xml:space="preserve">  </w:t>
      </w:r>
      <w:r>
        <w:rPr>
          <w:rFonts w:hAnsi="宋体"/>
          <w:color w:val="auto"/>
          <w:highlight w:val="none"/>
        </w:rPr>
        <w:t>真：</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rFonts w:ascii="宋体" w:hAnsi="宋体"/>
          <w:color w:val="auto"/>
          <w:highlight w:val="none"/>
          <w:u w:val="single"/>
        </w:rPr>
        <w:t></w:t>
      </w:r>
    </w:p>
    <w:p>
      <w:pPr>
        <w:spacing w:line="360" w:lineRule="auto"/>
        <w:rPr>
          <w:color w:val="auto"/>
          <w:highlight w:val="none"/>
        </w:rPr>
      </w:pP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开户银行：</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2880"/>
          <w:tab w:val="left" w:pos="3060"/>
          <w:tab w:val="left" w:pos="4500"/>
        </w:tabs>
        <w:spacing w:line="360" w:lineRule="auto"/>
        <w:rPr>
          <w:color w:val="auto"/>
          <w:highlight w:val="none"/>
        </w:rPr>
      </w:pP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color w:val="auto"/>
          <w:highlight w:val="none"/>
          <w:u w:val="single"/>
        </w:rPr>
        <w:t xml:space="preserve"> </w:t>
      </w:r>
      <w:r>
        <w:rPr>
          <w:rFonts w:ascii="宋体" w:hAnsi="宋体"/>
          <w:color w:val="auto"/>
          <w:highlight w:val="none"/>
          <w:u w:val="singl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账</w:t>
      </w:r>
      <w:r>
        <w:rPr>
          <w:color w:val="auto"/>
          <w:highlight w:val="none"/>
        </w:rPr>
        <w:t xml:space="preserve">  </w:t>
      </w:r>
      <w:r>
        <w:rPr>
          <w:rFonts w:hAnsi="宋体"/>
          <w:color w:val="auto"/>
          <w:highlight w:val="none"/>
        </w:rPr>
        <w:t>号：</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tabs>
          <w:tab w:val="left" w:pos="7200"/>
          <w:tab w:val="left" w:pos="7380"/>
          <w:tab w:val="left" w:pos="7560"/>
        </w:tabs>
        <w:spacing w:line="360" w:lineRule="auto"/>
        <w:rPr>
          <w:color w:val="auto"/>
          <w:highlight w:val="none"/>
        </w:rPr>
      </w:pPr>
      <w:r>
        <w:rPr>
          <w:rFonts w:hAnsi="宋体"/>
          <w:color w:val="auto"/>
          <w:highlight w:val="none"/>
        </w:rPr>
        <w:t>邮政编码：</w:t>
      </w:r>
      <w:r>
        <w:rPr>
          <w:color w:val="auto"/>
          <w:highlight w:val="none"/>
          <w:u w:val="single"/>
        </w:rPr>
        <w:t xml:space="preserve"> </w:t>
      </w:r>
      <w:r>
        <w:rPr>
          <w:rFonts w:ascii="宋体" w:hAnsi="宋体"/>
          <w:color w:val="auto"/>
          <w:highlight w:val="none"/>
          <w:u w:val="single"/>
        </w:rPr>
        <w:t></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 xml:space="preserve">             </w:t>
      </w:r>
      <w:r>
        <w:rPr>
          <w:rFonts w:hAnsi="宋体"/>
          <w:color w:val="auto"/>
          <w:highlight w:val="none"/>
        </w:rPr>
        <w:t>邮政编码：</w:t>
      </w:r>
      <w:r>
        <w:rPr>
          <w:rFonts w:ascii="宋体" w:hAnsi="宋体"/>
          <w:color w:val="auto"/>
          <w:highlight w:val="none"/>
          <w:u w:val="single"/>
        </w:rPr>
        <w:t></w:t>
      </w:r>
      <w:r>
        <w:rPr>
          <w:rFonts w:hint="eastAsia" w:ascii="宋体" w:hAnsi="宋体"/>
          <w:color w:val="auto"/>
          <w:highlight w:val="none"/>
          <w:u w:val="single"/>
        </w:rPr>
        <w:t xml:space="preserve">   </w:t>
      </w:r>
      <w:r>
        <w:rPr>
          <w:rFonts w:ascii="宋体" w:hAnsi="宋体"/>
          <w:color w:val="auto"/>
          <w:highlight w:val="none"/>
          <w:u w:val="single"/>
        </w:rPr>
        <w:t></w:t>
      </w:r>
    </w:p>
    <w:p>
      <w:pPr>
        <w:pStyle w:val="38"/>
        <w:tabs>
          <w:tab w:val="left" w:pos="0"/>
        </w:tabs>
        <w:spacing w:line="276" w:lineRule="auto"/>
        <w:ind w:firstLine="0" w:firstLineChars="0"/>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color w:val="auto"/>
          <w:sz w:val="21"/>
          <w:szCs w:val="21"/>
          <w:highlight w:val="none"/>
        </w:rPr>
      </w:pPr>
    </w:p>
    <w:p>
      <w:pPr>
        <w:pStyle w:val="33"/>
        <w:jc w:val="center"/>
        <w:rPr>
          <w:rFonts w:hint="eastAsia" w:ascii="宋体" w:hAnsi="宋体" w:eastAsia="宋体" w:cs="宋体"/>
          <w:b/>
          <w:bCs/>
          <w:color w:val="auto"/>
          <w:sz w:val="21"/>
          <w:szCs w:val="21"/>
          <w:highlight w:val="none"/>
        </w:rPr>
      </w:pPr>
    </w:p>
    <w:p>
      <w:pPr>
        <w:pStyle w:val="33"/>
        <w:jc w:val="center"/>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rPr>
        <w:t>工程质量保修书</w:t>
      </w:r>
      <w:r>
        <w:rPr>
          <w:rFonts w:hint="eastAsia" w:ascii="宋体" w:hAnsi="宋体" w:cs="宋体"/>
          <w:b/>
          <w:bCs/>
          <w:color w:val="auto"/>
          <w:sz w:val="28"/>
          <w:szCs w:val="28"/>
          <w:highlight w:val="none"/>
          <w:lang w:eastAsia="zh-CN"/>
        </w:rPr>
        <w:t>（市政工程）</w:t>
      </w:r>
    </w:p>
    <w:p>
      <w:pPr>
        <w:pStyle w:val="34"/>
        <w:rPr>
          <w:rFonts w:hint="eastAsia" w:ascii="宋体" w:hAnsi="宋体" w:eastAsia="宋体" w:cs="宋体"/>
          <w:color w:val="auto"/>
          <w:sz w:val="21"/>
          <w:szCs w:val="21"/>
          <w:highlight w:val="none"/>
        </w:rPr>
      </w:pPr>
    </w:p>
    <w:p>
      <w:pPr>
        <w:pStyle w:val="38"/>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发包人（全称）：</w:t>
      </w:r>
      <w:r>
        <w:rPr>
          <w:rFonts w:hint="eastAsia" w:ascii="宋体" w:hAnsi="宋体" w:eastAsia="宋体" w:cs="宋体"/>
          <w:color w:val="auto"/>
          <w:sz w:val="21"/>
          <w:szCs w:val="21"/>
          <w:highlight w:val="none"/>
          <w:u w:val="single"/>
          <w:lang w:val="en-US" w:eastAsia="zh-CN"/>
        </w:rPr>
        <w:t xml:space="preserve"> 兴安县溶江镇人民政府</w:t>
      </w:r>
    </w:p>
    <w:p>
      <w:pPr>
        <w:pStyle w:val="38"/>
        <w:spacing w:line="320" w:lineRule="exact"/>
        <w:ind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承包人（全称）：</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为保证</w:t>
      </w:r>
      <w:r>
        <w:rPr>
          <w:rFonts w:hint="eastAsia" w:ascii="宋体" w:hAnsi="宋体" w:eastAsia="宋体" w:cs="宋体"/>
          <w:color w:val="auto"/>
          <w:sz w:val="21"/>
          <w:szCs w:val="21"/>
          <w:highlight w:val="none"/>
          <w:u w:val="single"/>
        </w:rPr>
        <w:t xml:space="preserve"> 兴安县溶江镇永安村农贸市场扩建项目</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工程</w:t>
      </w:r>
      <w:r>
        <w:rPr>
          <w:rFonts w:hint="eastAsia" w:ascii="宋体" w:hAnsi="宋体" w:eastAsia="宋体" w:cs="宋体"/>
          <w:color w:val="auto"/>
          <w:sz w:val="21"/>
          <w:szCs w:val="21"/>
          <w:highlight w:val="none"/>
        </w:rPr>
        <w:t>在合理使用期限内正常使用，经发包人、承包人协商一致签订本工程质量保修书。承包人在质量保修期内按照有关管理规定及双方约定承担工程质量保修责任。</w:t>
      </w:r>
    </w:p>
    <w:p>
      <w:pPr>
        <w:pStyle w:val="41"/>
        <w:spacing w:line="400" w:lineRule="exact"/>
        <w:ind w:firstLine="420" w:firstLineChars="200"/>
        <w:outlineLvl w:val="0"/>
        <w:rPr>
          <w:rFonts w:hint="eastAsia" w:ascii="宋体" w:hAnsi="宋体" w:eastAsia="宋体" w:cs="宋体"/>
          <w:color w:val="auto"/>
          <w:sz w:val="21"/>
          <w:szCs w:val="21"/>
          <w:highlight w:val="none"/>
        </w:rPr>
      </w:pPr>
      <w:bookmarkStart w:id="1883" w:name="_Toc25270"/>
      <w:bookmarkStart w:id="1884" w:name="_Toc522201808"/>
      <w:r>
        <w:rPr>
          <w:rFonts w:hint="eastAsia" w:ascii="宋体" w:hAnsi="宋体" w:eastAsia="宋体" w:cs="宋体"/>
          <w:color w:val="auto"/>
          <w:sz w:val="21"/>
          <w:szCs w:val="21"/>
          <w:highlight w:val="none"/>
        </w:rPr>
        <w:t>一、工程保修范围和内容</w:t>
      </w:r>
      <w:bookmarkEnd w:id="1883"/>
      <w:bookmarkEnd w:id="1884"/>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质量保修范围为施工图纸所包括的工程内容</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具体质量保修内容双方约定如下：</w:t>
      </w:r>
      <w:r>
        <w:rPr>
          <w:rFonts w:hint="eastAsia" w:ascii="宋体" w:hAnsi="宋体" w:eastAsia="宋体" w:cs="宋体"/>
          <w:color w:val="auto"/>
          <w:sz w:val="21"/>
          <w:szCs w:val="21"/>
          <w:highlight w:val="none"/>
          <w:u w:val="single"/>
        </w:rPr>
        <w:t xml:space="preserve"> 承包方所承包施工的全部工程内容 </w:t>
      </w:r>
      <w:r>
        <w:rPr>
          <w:rFonts w:hint="eastAsia" w:ascii="宋体" w:hAnsi="宋体" w:eastAsia="宋体" w:cs="宋体"/>
          <w:color w:val="auto"/>
          <w:sz w:val="21"/>
          <w:szCs w:val="21"/>
          <w:highlight w:val="none"/>
        </w:rPr>
        <w:t>。</w:t>
      </w:r>
    </w:p>
    <w:p>
      <w:pPr>
        <w:pStyle w:val="41"/>
        <w:spacing w:line="400" w:lineRule="exact"/>
        <w:ind w:firstLine="420" w:firstLineChars="200"/>
        <w:outlineLvl w:val="0"/>
        <w:rPr>
          <w:rFonts w:hint="eastAsia" w:ascii="宋体" w:hAnsi="宋体" w:eastAsia="宋体" w:cs="宋体"/>
          <w:color w:val="auto"/>
          <w:sz w:val="21"/>
          <w:szCs w:val="21"/>
          <w:highlight w:val="none"/>
        </w:rPr>
      </w:pPr>
      <w:bookmarkStart w:id="1885" w:name="_Toc32666"/>
      <w:bookmarkStart w:id="1886" w:name="_Toc522201809"/>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质量</w:t>
      </w:r>
      <w:r>
        <w:rPr>
          <w:rFonts w:hint="eastAsia" w:ascii="宋体" w:hAnsi="宋体" w:eastAsia="宋体" w:cs="宋体"/>
          <w:color w:val="auto"/>
          <w:sz w:val="21"/>
          <w:szCs w:val="21"/>
          <w:highlight w:val="none"/>
        </w:rPr>
        <w:t>保修期</w:t>
      </w:r>
      <w:bookmarkEnd w:id="1885"/>
      <w:bookmarkEnd w:id="1886"/>
    </w:p>
    <w:p>
      <w:pPr>
        <w:pStyle w:val="42"/>
        <w:spacing w:line="360" w:lineRule="auto"/>
        <w:ind w:firstLine="5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质量保修期从工程实际竣工验收通过之日算起。分单项竣工验收的工程，按单项工程分别计算质量保修期。</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根据《建设工程质量管理条例》及有关规定，工程的质量保修期如下：</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1．桥梁工程为</w:t>
      </w:r>
      <w:r>
        <w:rPr>
          <w:rFonts w:hint="eastAsia" w:ascii="宋体" w:hAnsi="宋体" w:eastAsia="宋体" w:cs="宋体"/>
          <w:color w:val="auto"/>
          <w:sz w:val="21"/>
          <w:szCs w:val="21"/>
          <w:highlight w:val="none"/>
          <w:u w:val="single"/>
        </w:rPr>
        <w:t xml:space="preserve"> 桥梁隧道主体结构工程为设计文件规定的合理使用年限 </w:t>
      </w:r>
      <w:r>
        <w:rPr>
          <w:rFonts w:hint="eastAsia" w:ascii="宋体" w:hAnsi="宋体" w:eastAsia="宋体" w:cs="宋体"/>
          <w:color w:val="auto"/>
          <w:sz w:val="21"/>
          <w:szCs w:val="21"/>
          <w:highlight w:val="none"/>
        </w:rPr>
        <w:t>（建议桥梁隧道主体结构工程为设计文件规定的合理使用年限）；</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2．道路工程为</w:t>
      </w:r>
      <w:r>
        <w:rPr>
          <w:rFonts w:hint="eastAsia" w:ascii="宋体" w:hAnsi="宋体" w:eastAsia="宋体" w:cs="宋体"/>
          <w:color w:val="auto"/>
          <w:sz w:val="21"/>
          <w:szCs w:val="21"/>
          <w:highlight w:val="none"/>
          <w:u w:val="single"/>
        </w:rPr>
        <w:t xml:space="preserve">  2 </w:t>
      </w:r>
      <w:r>
        <w:rPr>
          <w:rFonts w:hint="eastAsia" w:ascii="宋体" w:hAnsi="宋体" w:eastAsia="宋体" w:cs="宋体"/>
          <w:color w:val="auto"/>
          <w:sz w:val="21"/>
          <w:szCs w:val="21"/>
          <w:highlight w:val="none"/>
        </w:rPr>
        <w:t>年（建议路基、路面、桥面为2年）；</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3．排水（雨水）工程为</w:t>
      </w:r>
      <w:r>
        <w:rPr>
          <w:rFonts w:hint="eastAsia" w:ascii="宋体" w:hAnsi="宋体" w:eastAsia="宋体" w:cs="宋体"/>
          <w:color w:val="auto"/>
          <w:sz w:val="21"/>
          <w:szCs w:val="21"/>
          <w:highlight w:val="none"/>
          <w:u w:val="single"/>
        </w:rPr>
        <w:t xml:space="preserve"> 3 </w:t>
      </w:r>
      <w:r>
        <w:rPr>
          <w:rFonts w:hint="eastAsia" w:ascii="宋体" w:hAnsi="宋体" w:eastAsia="宋体" w:cs="宋体"/>
          <w:color w:val="auto"/>
          <w:sz w:val="21"/>
          <w:szCs w:val="21"/>
          <w:highlight w:val="none"/>
        </w:rPr>
        <w:t>年（建议道路工程中的排水工程为3年）；</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4．绿化工程为 </w:t>
      </w:r>
      <w:r>
        <w:rPr>
          <w:rFonts w:hint="eastAsia" w:ascii="宋体" w:hAnsi="宋体" w:eastAsia="宋体" w:cs="宋体"/>
          <w:color w:val="auto"/>
          <w:sz w:val="21"/>
          <w:szCs w:val="21"/>
          <w:highlight w:val="none"/>
          <w:u w:val="single"/>
        </w:rPr>
        <w:t>单位工程竣工验收合格后1年</w:t>
      </w:r>
      <w:r>
        <w:rPr>
          <w:rFonts w:hint="eastAsia" w:ascii="宋体" w:hAnsi="宋体" w:eastAsia="宋体" w:cs="宋体"/>
          <w:color w:val="auto"/>
          <w:sz w:val="21"/>
          <w:szCs w:val="21"/>
          <w:highlight w:val="none"/>
        </w:rPr>
        <w:t>；</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地下防水工程为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5</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年（建议为5年）；</w:t>
      </w:r>
    </w:p>
    <w:p>
      <w:pPr>
        <w:pStyle w:val="33"/>
        <w:spacing w:line="400" w:lineRule="exact"/>
        <w:ind w:firstLine="42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6．其他附属工程为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2</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7．其他项目保修期限约定如下：</w:t>
      </w:r>
      <w:r>
        <w:rPr>
          <w:rFonts w:hint="eastAsia" w:ascii="宋体" w:hAnsi="宋体" w:eastAsia="宋体" w:cs="宋体"/>
          <w:color w:val="auto"/>
          <w:sz w:val="21"/>
          <w:szCs w:val="21"/>
          <w:highlight w:val="none"/>
          <w:u w:val="single"/>
        </w:rPr>
        <w:t xml:space="preserve"> 本工程其余项目质保期均为两年，质量保修规范如国家有新规定，则按新规定执行 </w:t>
      </w:r>
      <w:r>
        <w:rPr>
          <w:rFonts w:hint="eastAsia" w:ascii="宋体" w:hAnsi="宋体" w:eastAsia="宋体" w:cs="宋体"/>
          <w:color w:val="auto"/>
          <w:sz w:val="21"/>
          <w:szCs w:val="21"/>
          <w:highlight w:val="none"/>
        </w:rPr>
        <w:t>。</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质量保修期自工程竣工验收合格之日起计算。 </w:t>
      </w:r>
    </w:p>
    <w:p>
      <w:pPr>
        <w:pStyle w:val="41"/>
        <w:spacing w:line="400" w:lineRule="exact"/>
        <w:ind w:firstLine="420" w:firstLineChars="200"/>
        <w:outlineLvl w:val="0"/>
        <w:rPr>
          <w:rFonts w:hint="eastAsia" w:ascii="宋体" w:hAnsi="宋体" w:eastAsia="宋体" w:cs="宋体"/>
          <w:color w:val="auto"/>
          <w:sz w:val="21"/>
          <w:szCs w:val="21"/>
          <w:highlight w:val="none"/>
        </w:rPr>
      </w:pPr>
      <w:bookmarkStart w:id="1887" w:name="_Toc17657"/>
      <w:r>
        <w:rPr>
          <w:rFonts w:hint="eastAsia" w:ascii="宋体" w:hAnsi="宋体" w:eastAsia="宋体" w:cs="宋体"/>
          <w:color w:val="auto"/>
          <w:sz w:val="21"/>
          <w:szCs w:val="21"/>
          <w:highlight w:val="none"/>
        </w:rPr>
        <w:t>三、缺陷责任期</w:t>
      </w:r>
      <w:bookmarkEnd w:id="1887"/>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工程缺陷责任期为</w:t>
      </w:r>
      <w:r>
        <w:rPr>
          <w:rFonts w:hint="eastAsia" w:ascii="宋体" w:hAnsi="宋体" w:eastAsia="宋体" w:cs="宋体"/>
          <w:color w:val="auto"/>
          <w:sz w:val="21"/>
          <w:szCs w:val="21"/>
          <w:highlight w:val="none"/>
          <w:u w:val="single"/>
        </w:rPr>
        <w:t xml:space="preserve"> 24 </w:t>
      </w:r>
      <w:r>
        <w:rPr>
          <w:rFonts w:hint="eastAsia" w:ascii="宋体" w:hAnsi="宋体" w:eastAsia="宋体" w:cs="宋体"/>
          <w:color w:val="auto"/>
          <w:sz w:val="21"/>
          <w:szCs w:val="21"/>
          <w:highlight w:val="none"/>
        </w:rPr>
        <w:t>个月（最长不超过24个月），缺陷责任期自工程竣工验收合格之日起计算。单位工程先于全部工程进行验收，单位工程缺陷责任期自单位工程验收合格之日起算。</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缺陷责任期终止后，发包人应退还剩余的质量保证金。</w:t>
      </w:r>
    </w:p>
    <w:p>
      <w:pPr>
        <w:pStyle w:val="41"/>
        <w:spacing w:line="400" w:lineRule="exact"/>
        <w:ind w:firstLine="420" w:firstLineChars="200"/>
        <w:outlineLvl w:val="0"/>
        <w:rPr>
          <w:rFonts w:hint="eastAsia" w:ascii="宋体" w:hAnsi="宋体" w:eastAsia="宋体" w:cs="宋体"/>
          <w:color w:val="auto"/>
          <w:sz w:val="21"/>
          <w:szCs w:val="21"/>
          <w:highlight w:val="none"/>
        </w:rPr>
      </w:pPr>
      <w:bookmarkStart w:id="1888" w:name="_Toc23338"/>
      <w:r>
        <w:rPr>
          <w:rFonts w:hint="eastAsia" w:ascii="宋体" w:hAnsi="宋体" w:eastAsia="宋体" w:cs="宋体"/>
          <w:color w:val="auto"/>
          <w:sz w:val="21"/>
          <w:szCs w:val="21"/>
          <w:highlight w:val="none"/>
        </w:rPr>
        <w:t>四、质量保修责任</w:t>
      </w:r>
      <w:bookmarkEnd w:id="1888"/>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1．属于保修范围、内容的项目，承包人应当在接到保修通知之日起</w:t>
      </w:r>
      <w:r>
        <w:rPr>
          <w:rFonts w:hint="eastAsia" w:ascii="宋体" w:hAnsi="宋体" w:eastAsia="宋体" w:cs="宋体"/>
          <w:color w:val="auto"/>
          <w:sz w:val="21"/>
          <w:szCs w:val="21"/>
          <w:highlight w:val="none"/>
          <w:u w:val="single"/>
        </w:rPr>
        <w:t xml:space="preserve">  三 </w:t>
      </w:r>
      <w:r>
        <w:rPr>
          <w:rFonts w:hint="eastAsia" w:ascii="宋体" w:hAnsi="宋体" w:eastAsia="宋体" w:cs="宋体"/>
          <w:color w:val="auto"/>
          <w:sz w:val="21"/>
          <w:szCs w:val="21"/>
          <w:highlight w:val="none"/>
        </w:rPr>
        <w:t>天内派人保修。承包人不在约定期限内派人保修的，发包人可以委托他人修理，修理费用从</w:t>
      </w:r>
      <w:r>
        <w:rPr>
          <w:rFonts w:hint="eastAsia" w:ascii="宋体" w:hAnsi="宋体" w:eastAsia="宋体" w:cs="宋体"/>
          <w:color w:val="auto"/>
          <w:sz w:val="21"/>
          <w:szCs w:val="21"/>
          <w:highlight w:val="none"/>
          <w:lang w:eastAsia="zh-CN"/>
        </w:rPr>
        <w:t>质量保证金</w:t>
      </w:r>
      <w:r>
        <w:rPr>
          <w:rFonts w:hint="eastAsia" w:ascii="宋体" w:hAnsi="宋体" w:eastAsia="宋体" w:cs="宋体"/>
          <w:color w:val="auto"/>
          <w:sz w:val="21"/>
          <w:szCs w:val="21"/>
          <w:highlight w:val="none"/>
        </w:rPr>
        <w:t>内扣除。</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2．发生紧急事故需抢修的，承包人在接到事故通知后，应当立即到达事故现场抢修。</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4．质量保修完成后，由发包人组织验收。</w:t>
      </w:r>
    </w:p>
    <w:p>
      <w:pPr>
        <w:pStyle w:val="41"/>
        <w:spacing w:line="400" w:lineRule="exact"/>
        <w:ind w:firstLine="420" w:firstLineChars="200"/>
        <w:outlineLvl w:val="0"/>
        <w:rPr>
          <w:rFonts w:hint="eastAsia" w:ascii="宋体" w:hAnsi="宋体" w:eastAsia="宋体" w:cs="宋体"/>
          <w:color w:val="auto"/>
          <w:sz w:val="21"/>
          <w:szCs w:val="21"/>
          <w:highlight w:val="none"/>
        </w:rPr>
      </w:pPr>
      <w:bookmarkStart w:id="1889" w:name="_Toc30305"/>
      <w:r>
        <w:rPr>
          <w:rFonts w:hint="eastAsia" w:ascii="宋体" w:hAnsi="宋体" w:eastAsia="宋体" w:cs="宋体"/>
          <w:color w:val="auto"/>
          <w:sz w:val="21"/>
          <w:szCs w:val="21"/>
          <w:highlight w:val="none"/>
        </w:rPr>
        <w:t>五、保修费用</w:t>
      </w:r>
      <w:bookmarkEnd w:id="1889"/>
    </w:p>
    <w:p>
      <w:pPr>
        <w:pStyle w:val="33"/>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保修费用由造成质量缺陷的责任方承担。</w:t>
      </w:r>
    </w:p>
    <w:p>
      <w:pPr>
        <w:pStyle w:val="38"/>
        <w:numPr>
          <w:ilvl w:val="0"/>
          <w:numId w:val="0"/>
        </w:numPr>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六、</w:t>
      </w:r>
      <w:r>
        <w:rPr>
          <w:rFonts w:hint="eastAsia" w:ascii="宋体" w:hAnsi="宋体" w:eastAsia="宋体" w:cs="宋体"/>
          <w:color w:val="auto"/>
          <w:sz w:val="21"/>
          <w:szCs w:val="21"/>
          <w:highlight w:val="none"/>
        </w:rPr>
        <w:t xml:space="preserve">双方约定的其他工程质量保修事项：  </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u w:val="single"/>
        </w:rPr>
        <w:t>承包人未按照法律法规有关规定和合同约定履行质量保修义务的，发包人有权从质量保证金中扣留用于质量保修的各项支出。</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比例：工程结算价的</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返还：发包人在工程竣工验收合格之日起满两年后14天内将保修金（无息）的返回给承包人，</w:t>
      </w:r>
      <w:r>
        <w:rPr>
          <w:rFonts w:hint="eastAsia" w:ascii="宋体" w:hAnsi="宋体" w:eastAsia="宋体" w:cs="宋体"/>
          <w:color w:val="auto"/>
          <w:sz w:val="21"/>
          <w:szCs w:val="21"/>
          <w:highlight w:val="none"/>
          <w:u w:val="single"/>
          <w:lang w:eastAsia="zh-CN"/>
        </w:rPr>
        <w:t>质量保证金</w:t>
      </w:r>
      <w:r>
        <w:rPr>
          <w:rFonts w:hint="eastAsia" w:ascii="宋体" w:hAnsi="宋体" w:eastAsia="宋体" w:cs="宋体"/>
          <w:color w:val="auto"/>
          <w:sz w:val="21"/>
          <w:szCs w:val="21"/>
          <w:highlight w:val="none"/>
          <w:u w:val="single"/>
        </w:rPr>
        <w:t xml:space="preserve">的返还，并不能免除承包人按照合同约定应承担的质量保修责任和应履行的质量保修义务 </w:t>
      </w:r>
      <w:r>
        <w:rPr>
          <w:rFonts w:hint="eastAsia" w:ascii="宋体" w:hAnsi="宋体" w:eastAsia="宋体" w:cs="宋体"/>
          <w:color w:val="auto"/>
          <w:sz w:val="21"/>
          <w:szCs w:val="21"/>
          <w:highlight w:val="none"/>
        </w:rPr>
        <w:t>。</w:t>
      </w:r>
    </w:p>
    <w:p>
      <w:pPr>
        <w:pStyle w:val="33"/>
        <w:spacing w:line="32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工程质量保修书由发包人、承包人在工程竣工验收前共同签署，作为施工合同附件，其有效期限至保修期满。</w:t>
      </w:r>
    </w:p>
    <w:p>
      <w:pPr>
        <w:pStyle w:val="33"/>
        <w:spacing w:line="320" w:lineRule="exact"/>
        <w:ind w:firstLine="420" w:firstLineChars="200"/>
        <w:rPr>
          <w:rFonts w:hint="eastAsia" w:ascii="宋体" w:hAnsi="宋体" w:eastAsia="宋体" w:cs="宋体"/>
          <w:color w:val="auto"/>
          <w:sz w:val="21"/>
          <w:szCs w:val="21"/>
          <w:highlight w:val="none"/>
        </w:rPr>
      </w:pPr>
    </w:p>
    <w:p>
      <w:pPr>
        <w:pStyle w:val="34"/>
        <w:ind w:left="63" w:right="63"/>
        <w:rPr>
          <w:rFonts w:hint="eastAsia" w:ascii="宋体" w:hAnsi="宋体" w:eastAsia="宋体" w:cs="宋体"/>
          <w:color w:val="auto"/>
          <w:sz w:val="21"/>
          <w:szCs w:val="21"/>
          <w:highlight w:val="none"/>
          <w:lang w:val="en-US" w:eastAsia="zh-CN"/>
        </w:rPr>
      </w:pPr>
    </w:p>
    <w:p>
      <w:pPr>
        <w:pStyle w:val="38"/>
        <w:spacing w:line="320" w:lineRule="exact"/>
        <w:ind w:left="0" w:leftChars="0" w:firstLine="0" w:firstLineChars="0"/>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lang w:val="en-US" w:eastAsia="zh-CN"/>
        </w:rPr>
        <w:t xml:space="preserve">  </w:t>
      </w:r>
    </w:p>
    <w:p>
      <w:pPr>
        <w:pStyle w:val="38"/>
        <w:spacing w:line="32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38"/>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lang w:val="en-US" w:eastAsia="zh-CN"/>
        </w:rPr>
        <w:t xml:space="preserve"> </w:t>
      </w:r>
    </w:p>
    <w:p>
      <w:pPr>
        <w:pStyle w:val="38"/>
        <w:spacing w:line="32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 xml:space="preserve">委托代理人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 xml:space="preserve"> 法定代表人</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委托代理人</w:t>
      </w:r>
    </w:p>
    <w:p>
      <w:pPr>
        <w:pStyle w:val="38"/>
        <w:spacing w:line="32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(签字</w:t>
      </w:r>
      <w:r>
        <w:rPr>
          <w:rFonts w:hint="eastAsia" w:ascii="宋体" w:hAnsi="宋体" w:eastAsia="宋体" w:cs="宋体"/>
          <w:color w:val="auto"/>
          <w:sz w:val="21"/>
          <w:szCs w:val="21"/>
          <w:highlight w:val="none"/>
          <w:lang w:eastAsia="zh-CN"/>
        </w:rPr>
        <w:t>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p>
    <w:p>
      <w:pPr>
        <w:pStyle w:val="38"/>
        <w:spacing w:line="32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附件4：</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主要建设工程文件目录</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bl>
      <w:tblPr>
        <w:tblStyle w:val="19"/>
        <w:tblpPr w:leftFromText="180" w:rightFromText="180" w:vertAnchor="text" w:horzAnchor="page" w:tblpX="1430" w:tblpY="14"/>
        <w:tblOverlap w:val="never"/>
        <w:tblW w:w="872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067"/>
        <w:gridCol w:w="1450"/>
        <w:gridCol w:w="1243"/>
        <w:gridCol w:w="1450"/>
        <w:gridCol w:w="156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文件名称</w:t>
            </w:r>
          </w:p>
        </w:tc>
        <w:tc>
          <w:tcPr>
            <w:tcW w:w="1067"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套数</w:t>
            </w:r>
          </w:p>
        </w:tc>
        <w:tc>
          <w:tcPr>
            <w:tcW w:w="145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费用（元）</w:t>
            </w:r>
          </w:p>
        </w:tc>
        <w:tc>
          <w:tcPr>
            <w:tcW w:w="1243"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w:t>
            </w:r>
          </w:p>
        </w:tc>
        <w:tc>
          <w:tcPr>
            <w:tcW w:w="1450"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移交时间</w:t>
            </w:r>
          </w:p>
        </w:tc>
        <w:tc>
          <w:tcPr>
            <w:tcW w:w="1564" w:type="dxa"/>
            <w:tcBorders>
              <w:top w:val="single" w:color="auto" w:sz="12" w:space="0"/>
              <w:bottom w:val="double" w:color="auto" w:sz="6" w:space="0"/>
            </w:tcBorders>
            <w:vAlign w:val="top"/>
          </w:tcPr>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责任人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67"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243"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56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67"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243"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564"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w:t>
      </w:r>
      <w:bookmarkStart w:id="1890" w:name="_Toc296891267"/>
      <w:bookmarkStart w:id="1891" w:name="_Toc296944566"/>
      <w:bookmarkStart w:id="1892" w:name="_Toc267261698"/>
      <w:bookmarkStart w:id="1893" w:name="_Toc296347226"/>
      <w:bookmarkStart w:id="1894" w:name="_Toc296891055"/>
      <w:bookmarkStart w:id="1895" w:name="_Toc296503227"/>
      <w:bookmarkStart w:id="1896" w:name="_Toc296346728"/>
      <w:r>
        <w:rPr>
          <w:rFonts w:hint="eastAsia" w:ascii="宋体" w:hAnsi="宋体" w:eastAsia="宋体" w:cs="宋体"/>
          <w:color w:val="auto"/>
          <w:sz w:val="21"/>
          <w:szCs w:val="21"/>
          <w:highlight w:val="none"/>
        </w:rPr>
        <w:t>件5：</w:t>
      </w:r>
    </w:p>
    <w:bookmarkEnd w:id="1890"/>
    <w:bookmarkEnd w:id="1891"/>
    <w:bookmarkEnd w:id="1892"/>
    <w:bookmarkEnd w:id="1893"/>
    <w:bookmarkEnd w:id="1894"/>
    <w:bookmarkEnd w:id="1895"/>
    <w:bookmarkEnd w:id="1896"/>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承包人用于本工程施工的机械设备表</w:t>
      </w:r>
    </w:p>
    <w:tbl>
      <w:tblPr>
        <w:tblStyle w:val="19"/>
        <w:tblW w:w="85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629"/>
        <w:gridCol w:w="1418"/>
        <w:gridCol w:w="850"/>
        <w:gridCol w:w="1058"/>
        <w:gridCol w:w="880"/>
        <w:gridCol w:w="806"/>
        <w:gridCol w:w="1310"/>
        <w:gridCol w:w="906"/>
        <w:gridCol w:w="65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629"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418"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机械或设备名称</w:t>
            </w:r>
          </w:p>
        </w:tc>
        <w:tc>
          <w:tcPr>
            <w:tcW w:w="85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规格型号</w:t>
            </w:r>
          </w:p>
        </w:tc>
        <w:tc>
          <w:tcPr>
            <w:tcW w:w="1058"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88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产地</w:t>
            </w:r>
          </w:p>
        </w:tc>
        <w:tc>
          <w:tcPr>
            <w:tcW w:w="806"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制造年份</w:t>
            </w:r>
          </w:p>
        </w:tc>
        <w:tc>
          <w:tcPr>
            <w:tcW w:w="131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额定功率(kW)</w:t>
            </w:r>
          </w:p>
        </w:tc>
        <w:tc>
          <w:tcPr>
            <w:tcW w:w="906"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生产能力</w:t>
            </w:r>
          </w:p>
        </w:tc>
        <w:tc>
          <w:tcPr>
            <w:tcW w:w="652"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5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05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8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8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31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6"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65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9"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41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5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058"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8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8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1310"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906"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c>
          <w:tcPr>
            <w:tcW w:w="652" w:type="dxa"/>
            <w:vAlign w:val="top"/>
          </w:tcPr>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附件6：</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承包人主要施工管理人员表</w:t>
      </w:r>
    </w:p>
    <w:tbl>
      <w:tblPr>
        <w:tblStyle w:val="19"/>
        <w:tblW w:w="87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148"/>
        <w:gridCol w:w="941"/>
        <w:gridCol w:w="1134"/>
        <w:gridCol w:w="36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148"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41"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1134"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660"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148"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754" w:type="dxa"/>
            <w:gridSpan w:val="5"/>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48"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41"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134"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660"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附件7：</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分包人主要施工管理人员表</w:t>
      </w:r>
    </w:p>
    <w:tbl>
      <w:tblPr>
        <w:tblStyle w:val="19"/>
        <w:tblW w:w="862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63"/>
        <w:gridCol w:w="1418"/>
        <w:gridCol w:w="928"/>
        <w:gridCol w:w="902"/>
        <w:gridCol w:w="38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    称</w:t>
            </w:r>
          </w:p>
        </w:tc>
        <w:tc>
          <w:tcPr>
            <w:tcW w:w="1418"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姓名</w:t>
            </w:r>
          </w:p>
        </w:tc>
        <w:tc>
          <w:tcPr>
            <w:tcW w:w="928"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职务</w:t>
            </w:r>
          </w:p>
        </w:tc>
        <w:tc>
          <w:tcPr>
            <w:tcW w:w="902"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职称</w:t>
            </w:r>
          </w:p>
        </w:tc>
        <w:tc>
          <w:tcPr>
            <w:tcW w:w="3814" w:type="dxa"/>
            <w:tcBorders>
              <w:top w:val="single" w:color="auto" w:sz="12" w:space="0"/>
              <w:bottom w:val="doub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主要资历、经验及承担过的项目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doub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一、总部人员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项目主管</w:t>
            </w:r>
          </w:p>
        </w:tc>
        <w:tc>
          <w:tcPr>
            <w:tcW w:w="1418"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top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nil"/>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8625" w:type="dxa"/>
            <w:gridSpan w:val="5"/>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二、现场人员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项目经理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项目副经理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技术负责人</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造价管理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质量管理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材料管理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计划管理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tcBorders>
              <w:top w:val="single" w:color="auto" w:sz="6" w:space="0"/>
              <w:bottom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安全管理</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restart"/>
            <w:tcBorders>
              <w:top w:val="single" w:color="auto" w:sz="6"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其他人员</w:t>
            </w: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nil"/>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563" w:type="dxa"/>
            <w:vMerge w:val="continue"/>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1418"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28"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902"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c>
          <w:tcPr>
            <w:tcW w:w="3814" w:type="dxa"/>
            <w:tcBorders>
              <w:bottom w:val="single" w:color="auto" w:sz="12" w:space="0"/>
            </w:tcBorders>
            <w:vAlign w:val="center"/>
          </w:tcPr>
          <w:p>
            <w:pPr>
              <w:pStyle w:val="8"/>
              <w:keepNext/>
              <w:pageBreakBefore w:val="0"/>
              <w:widowControl w:val="0"/>
              <w:kinsoku/>
              <w:wordWrap/>
              <w:overflowPunct/>
              <w:topLinePunct w:val="0"/>
              <w:bidi w:val="0"/>
              <w:snapToGrid/>
              <w:spacing w:after="0" w:line="360" w:lineRule="exact"/>
              <w:ind w:left="0" w:leftChars="0" w:right="0" w:rightChars="0"/>
              <w:rPr>
                <w:rFonts w:hint="eastAsia" w:ascii="宋体" w:hAnsi="宋体" w:eastAsia="宋体" w:cs="宋体"/>
                <w:color w:val="auto"/>
                <w:kern w:val="2"/>
                <w:sz w:val="21"/>
                <w:szCs w:val="21"/>
                <w:highlight w:val="none"/>
                <w:lang w:val="en-US" w:eastAsia="zh-CN"/>
              </w:rPr>
            </w:pPr>
          </w:p>
        </w:tc>
      </w:tr>
    </w:tbl>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附件8：</w:t>
      </w:r>
    </w:p>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履约担保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（发包人名称，以下简称“发包人”）与</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日就</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（工程名称）施工及有关事项协商一致共同签订《建设工程施工合同》。我方愿意无条件地、不可撤销地就承包人履行与你方签订的合同，向你方提供连带责任担保。 </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担保有效期自你方与承包人签订的合同生效之日起至你方签发或应签发工程接收证书之日止。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在本担保有效期内，因承包人违反合同约定的义务给你方造成经济损失时，我方在收到你方以书面形式提出的在担保金额内的赔偿要求后，在7天内无条件支付。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你方和承包人按合同约定变更合同时，我方承担本担保规定的义务不变。</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 保 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pageBreakBefore w:val="0"/>
        <w:widowControl w:val="0"/>
        <w:kinsoku/>
        <w:wordWrap/>
        <w:overflowPunct/>
        <w:topLinePunct w:val="0"/>
        <w:bidi w:val="0"/>
        <w:snapToGrid/>
        <w:spacing w:line="360" w:lineRule="exact"/>
        <w:ind w:left="0" w:leftChars="0" w:right="0" w:rightChars="0"/>
        <w:jc w:val="left"/>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1329" w:leftChars="0" w:right="0" w:rightChars="0" w:hanging="1329" w:hangingChars="633"/>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w:t>
      </w:r>
      <w:bookmarkStart w:id="1897" w:name="_Toc296346733"/>
      <w:bookmarkStart w:id="1898" w:name="_Toc296891272"/>
      <w:bookmarkStart w:id="1899" w:name="_Toc296347231"/>
      <w:bookmarkStart w:id="1900" w:name="_Toc267261702"/>
      <w:bookmarkStart w:id="1901" w:name="_Toc296944571"/>
      <w:bookmarkStart w:id="1902" w:name="_Toc296891060"/>
      <w:bookmarkStart w:id="1903" w:name="_Toc296503232"/>
      <w:r>
        <w:rPr>
          <w:rFonts w:hint="eastAsia" w:ascii="宋体" w:hAnsi="宋体" w:eastAsia="宋体" w:cs="宋体"/>
          <w:color w:val="auto"/>
          <w:sz w:val="21"/>
          <w:szCs w:val="21"/>
          <w:highlight w:val="none"/>
        </w:rPr>
        <w:t>件9 ：</w:t>
      </w:r>
    </w:p>
    <w:bookmarkEnd w:id="1897"/>
    <w:bookmarkEnd w:id="1898"/>
    <w:bookmarkEnd w:id="1899"/>
    <w:bookmarkEnd w:id="1900"/>
    <w:bookmarkEnd w:id="1901"/>
    <w:bookmarkEnd w:id="1902"/>
    <w:bookmarkEnd w:id="1903"/>
    <w:p>
      <w:pPr>
        <w:pageBreakBefore w:val="0"/>
        <w:widowControl w:val="0"/>
        <w:kinsoku/>
        <w:wordWrap/>
        <w:overflowPunct/>
        <w:topLinePunct w:val="0"/>
        <w:bidi w:val="0"/>
        <w:snapToGrid/>
        <w:spacing w:line="360" w:lineRule="exact"/>
        <w:ind w:left="0" w:leftChars="0" w:right="0" w:righ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预付款担保</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（发包人名称）：</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（承包人名称）（以下称“承包人”）与</w:t>
      </w:r>
    </w:p>
    <w:p>
      <w:pPr>
        <w:pageBreakBefore w:val="0"/>
        <w:widowControl w:val="0"/>
        <w:kinsoku/>
        <w:wordWrap/>
        <w:overflowPunct/>
        <w:topLinePunct w:val="0"/>
        <w:bidi w:val="0"/>
        <w:snapToGrid/>
        <w:spacing w:line="360" w:lineRule="exact"/>
        <w:ind w:left="0" w:leftChars="0" w:right="0" w:rightChars="0"/>
        <w:outlineLvl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bookmarkStart w:id="1904" w:name="_Toc19561"/>
      <w:bookmarkStart w:id="1905" w:name="_Toc29110"/>
      <w:bookmarkStart w:id="1906" w:name="_Toc23079"/>
      <w:bookmarkStart w:id="1907" w:name="_Toc6475"/>
      <w:r>
        <w:rPr>
          <w:rFonts w:hint="eastAsia" w:ascii="宋体" w:hAnsi="宋体" w:eastAsia="宋体" w:cs="宋体"/>
          <w:color w:val="auto"/>
          <w:sz w:val="21"/>
          <w:szCs w:val="21"/>
          <w:highlight w:val="none"/>
        </w:rPr>
        <w:t>（发包人名称）（以下简称“发包人”）</w:t>
      </w:r>
      <w:bookmarkEnd w:id="1904"/>
      <w:bookmarkEnd w:id="1905"/>
      <w:bookmarkEnd w:id="1906"/>
      <w:bookmarkEnd w:id="1907"/>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（工程名称）《建设工程施工合同》，承包人按约定的金额向你方提交一份预付款担保，即有权得到你方支付相等金额的预付款。我方愿意就你方提供给承包人的预付款为承包人提供连带责任担保。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担保金额人民币（大写）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担保有效期自预付款支付给承包人起生效，至你方签发的进度款支付证书说明已完全扣清止。</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pPr>
        <w:pageBreakBefore w:val="0"/>
        <w:widowControl w:val="0"/>
        <w:kinsoku/>
        <w:wordWrap/>
        <w:overflowPunct/>
        <w:topLinePunct w:val="0"/>
        <w:bidi w:val="0"/>
        <w:snapToGrid/>
        <w:spacing w:line="360" w:lineRule="exact"/>
        <w:ind w:left="0" w:leftChars="0" w:right="0" w:rightChars="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你方和承包人按合同约定变更合同时，我方承担本保函规定的义务不变。</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因本保函发生的纠纷，可由双方协商解决，协商不成的，任何一方均可提请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仲裁委员会仲裁。</w:t>
      </w:r>
    </w:p>
    <w:p>
      <w:pPr>
        <w:pageBreakBefore w:val="0"/>
        <w:widowControl w:val="0"/>
        <w:kinsoku/>
        <w:wordWrap/>
        <w:overflowPunct/>
        <w:topLinePunct w:val="0"/>
        <w:bidi w:val="0"/>
        <w:snapToGrid/>
        <w:spacing w:line="360" w:lineRule="exact"/>
        <w:ind w:left="0" w:leftChars="0" w:right="0" w:rightChars="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 本保函自我方法定代表人（或其授权代理人）签字并加盖公章之日起生效。</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（盖单位章）</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u w:val="single"/>
        </w:rPr>
      </w:pPr>
    </w:p>
    <w:p>
      <w:pPr>
        <w:pageBreakBefore w:val="0"/>
        <w:widowControl w:val="0"/>
        <w:kinsoku/>
        <w:wordWrap/>
        <w:overflowPunct/>
        <w:topLinePunct w:val="0"/>
        <w:bidi w:val="0"/>
        <w:snapToGrid/>
        <w:spacing w:line="360" w:lineRule="exact"/>
        <w:ind w:left="0" w:leftChars="0" w:right="0"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br w:type="page"/>
      </w:r>
      <w:r>
        <w:rPr>
          <w:rFonts w:hint="eastAsia" w:ascii="宋体" w:hAnsi="宋体" w:eastAsia="宋体" w:cs="宋体"/>
          <w:color w:val="auto"/>
          <w:sz w:val="21"/>
          <w:szCs w:val="21"/>
          <w:highlight w:val="none"/>
        </w:rPr>
        <w:t xml:space="preserve">附件10:  </w:t>
      </w:r>
    </w:p>
    <w:p>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支付担保</w:t>
      </w:r>
    </w:p>
    <w:p>
      <w:pPr>
        <w:spacing w:line="44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（承包人）：</w:t>
      </w:r>
    </w:p>
    <w:p>
      <w:pPr>
        <w:spacing w:line="440" w:lineRule="exact"/>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鉴于你方作为承包人已经与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（发包人名称）（以下称“发包人”）于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日签订了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（工程名称）《建设工程施工合同》（以下称“主合同”），应发包人的申请，我方愿就发包人履行主合同约定的工程款支付义务以保证的方式向你方提供如下担保：</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08" w:name="_Toc31131"/>
      <w:bookmarkStart w:id="1909" w:name="_Toc26895"/>
      <w:bookmarkStart w:id="1910" w:name="_Toc25964"/>
      <w:bookmarkStart w:id="1911" w:name="_Toc20380"/>
      <w:r>
        <w:rPr>
          <w:rFonts w:hint="eastAsia" w:ascii="宋体" w:hAnsi="宋体" w:eastAsia="宋体" w:cs="宋体"/>
          <w:color w:val="auto"/>
          <w:sz w:val="21"/>
          <w:szCs w:val="21"/>
          <w:highlight w:val="none"/>
        </w:rPr>
        <w:t>一、保证的范围及保证金额</w:t>
      </w:r>
      <w:bookmarkEnd w:id="1908"/>
      <w:bookmarkEnd w:id="1909"/>
      <w:bookmarkEnd w:id="1910"/>
      <w:bookmarkEnd w:id="191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我方的保证范围是主合同约定的工程款。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本保函所称主合同约定的工程款是指主合同约定的除工程质量保证金以外的合同价款。</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我方保证的金额是主合同约定的工程款的</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%，数额最高不超过人民币元（大写：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12" w:name="_Toc16286"/>
      <w:bookmarkStart w:id="1913" w:name="_Toc31793"/>
      <w:bookmarkStart w:id="1914" w:name="_Toc19889"/>
      <w:bookmarkStart w:id="1915" w:name="_Toc10162"/>
      <w:r>
        <w:rPr>
          <w:rFonts w:hint="eastAsia" w:ascii="宋体" w:hAnsi="宋体" w:eastAsia="宋体" w:cs="宋体"/>
          <w:color w:val="auto"/>
          <w:sz w:val="21"/>
          <w:szCs w:val="21"/>
          <w:highlight w:val="none"/>
        </w:rPr>
        <w:t>二、保证的方式及保证期间</w:t>
      </w:r>
      <w:bookmarkEnd w:id="1912"/>
      <w:bookmarkEnd w:id="1913"/>
      <w:bookmarkEnd w:id="1914"/>
      <w:bookmarkEnd w:id="1915"/>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我方保证的方式为：连带责任保证。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我方保证的期间为：自本合同生效之日起至主合同约定的工程款支付完毕之日后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日内。</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你方与发包人协议变更工程款支付日期的，经我方书面同意后，保证期间按照变更后的支付日期做相应调整。</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16" w:name="_Toc30010"/>
      <w:bookmarkStart w:id="1917" w:name="_Toc27567"/>
      <w:bookmarkStart w:id="1918" w:name="_Toc3217"/>
      <w:bookmarkStart w:id="1919" w:name="_Toc30478"/>
      <w:r>
        <w:rPr>
          <w:rFonts w:hint="eastAsia" w:ascii="宋体" w:hAnsi="宋体" w:eastAsia="宋体" w:cs="宋体"/>
          <w:color w:val="auto"/>
          <w:sz w:val="21"/>
          <w:szCs w:val="21"/>
          <w:highlight w:val="none"/>
        </w:rPr>
        <w:t>三、承担保证责任的形式</w:t>
      </w:r>
      <w:bookmarkEnd w:id="1916"/>
      <w:bookmarkEnd w:id="1917"/>
      <w:bookmarkEnd w:id="1918"/>
      <w:bookmarkEnd w:id="191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我方承担保证责任的形式是代为支付。发包人未按主合同约定向你方支付工程款的，由我方在保证金额内代为支付。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20" w:name="_Toc5876"/>
      <w:bookmarkStart w:id="1921" w:name="_Toc19016"/>
      <w:bookmarkStart w:id="1922" w:name="_Toc11312"/>
      <w:bookmarkStart w:id="1923" w:name="_Toc4883"/>
      <w:r>
        <w:rPr>
          <w:rFonts w:hint="eastAsia" w:ascii="宋体" w:hAnsi="宋体" w:eastAsia="宋体" w:cs="宋体"/>
          <w:color w:val="auto"/>
          <w:sz w:val="21"/>
          <w:szCs w:val="21"/>
          <w:highlight w:val="none"/>
        </w:rPr>
        <w:t>四、代偿的安排</w:t>
      </w:r>
      <w:bookmarkEnd w:id="1920"/>
      <w:bookmarkEnd w:id="1921"/>
      <w:bookmarkEnd w:id="1922"/>
      <w:bookmarkEnd w:id="1923"/>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你方要求我方承担保证责任的，应向我方发出书面索赔通知及发包人未支付主合同约定工程款的证明材料。索赔通知应写明要求索赔的金额，支付款项应到达的账号。</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在出现你方与发包人因工程质量发生争议，发包人拒绝向你方支付工程款的情形时，你方要求我方履行保证责任代为支付的，需提供符合相应条件要求的工程质量检测机构出具的质量说明材料。</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我方收到你方的书面索赔通知及相应的证明材料后７天内无条件支付。</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24" w:name="_Toc30624"/>
      <w:bookmarkStart w:id="1925" w:name="_Toc1507"/>
      <w:bookmarkStart w:id="1926" w:name="_Toc25107"/>
      <w:bookmarkStart w:id="1927" w:name="_Toc2711"/>
      <w:r>
        <w:rPr>
          <w:rFonts w:hint="eastAsia" w:ascii="宋体" w:hAnsi="宋体" w:eastAsia="宋体" w:cs="宋体"/>
          <w:color w:val="auto"/>
          <w:sz w:val="21"/>
          <w:szCs w:val="21"/>
          <w:highlight w:val="none"/>
        </w:rPr>
        <w:t>五、保证责任的解除</w:t>
      </w:r>
      <w:bookmarkEnd w:id="1924"/>
      <w:bookmarkEnd w:id="1925"/>
      <w:bookmarkEnd w:id="1926"/>
      <w:bookmarkEnd w:id="1927"/>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在本保函承诺的保证期间内，你方未书面向我方主张保证责任的，自保证期间届满次日起，我方保证责任解除。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发包人按主合同约定履行了工程款的全部支付义务的，自本保函承诺的保证期间届满次日起，我方保证责任解除。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我方按照本保函向你方履行保证责任所支付金额达到本保函保证金额时，自我方向你方支付（支付款项从我方账户划出）之日起，保证责任即解除。</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按照法律法规的规定或出现应解除我方保证责任的其他情形的，我方在本保函项下的保证责任亦解除。</w:t>
      </w:r>
    </w:p>
    <w:p>
      <w:pPr>
        <w:spacing w:line="360" w:lineRule="auto"/>
        <w:jc w:val="left"/>
        <w:rPr>
          <w:rFonts w:hint="eastAsia" w:ascii="宋体" w:hAnsi="宋体" w:eastAsia="宋体" w:cs="宋体"/>
          <w:color w:val="auto"/>
          <w:sz w:val="21"/>
          <w:szCs w:val="21"/>
          <w:highlight w:val="none"/>
        </w:rPr>
      </w:pP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 我方解除保证责任后，你方应自我方保证责任解除之日起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个工作日内，将本保函原件返还我方。</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28" w:name="_Toc3962"/>
      <w:bookmarkStart w:id="1929" w:name="_Toc11064"/>
      <w:bookmarkStart w:id="1930" w:name="_Toc23407"/>
      <w:bookmarkStart w:id="1931" w:name="_Toc32712"/>
      <w:r>
        <w:rPr>
          <w:rFonts w:hint="eastAsia" w:ascii="宋体" w:hAnsi="宋体" w:eastAsia="宋体" w:cs="宋体"/>
          <w:color w:val="auto"/>
          <w:sz w:val="21"/>
          <w:szCs w:val="21"/>
          <w:highlight w:val="none"/>
        </w:rPr>
        <w:t>六、免责条款</w:t>
      </w:r>
      <w:bookmarkEnd w:id="1928"/>
      <w:bookmarkEnd w:id="1929"/>
      <w:bookmarkEnd w:id="1930"/>
      <w:bookmarkEnd w:id="1931"/>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因你方违约致使发包人不能履行义务的，我方不承担保证责任。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依照法律法规的规定或你方与发包人的另行约定，免除发包人部分或全部义务的，我方亦免除其相应的保证责任。</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 你方与发包人协议变更主合同的，如加重发包人责任致使我方保证责任加重的，需征得我方书面同意，否则我方不再承担因此而加重部分的保证责任，但主合同第10条〔变更〕约定的变更不受本款限制。</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 因不可抗力造成发包人不能履行义务的，我方不承担保证责任。</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32" w:name="_Toc5169"/>
      <w:bookmarkStart w:id="1933" w:name="_Toc20106"/>
      <w:bookmarkStart w:id="1934" w:name="_Toc24210"/>
      <w:bookmarkStart w:id="1935" w:name="_Toc28001"/>
      <w:r>
        <w:rPr>
          <w:rFonts w:hint="eastAsia" w:ascii="宋体" w:hAnsi="宋体" w:eastAsia="宋体" w:cs="宋体"/>
          <w:color w:val="auto"/>
          <w:sz w:val="21"/>
          <w:szCs w:val="21"/>
          <w:highlight w:val="none"/>
        </w:rPr>
        <w:t>七、争议解决</w:t>
      </w:r>
      <w:bookmarkEnd w:id="1932"/>
      <w:bookmarkEnd w:id="1933"/>
      <w:bookmarkEnd w:id="1934"/>
      <w:bookmarkEnd w:id="1935"/>
    </w:p>
    <w:p>
      <w:pPr>
        <w:spacing w:after="120"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因本保函或本保函相关事项发生的纠纷，可由双方协商解决，协商不成的，按下列第</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种方式解决：</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仲裁委员会申请仲裁；</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人民法院起诉。</w:t>
      </w:r>
    </w:p>
    <w:p>
      <w:pPr>
        <w:spacing w:line="360" w:lineRule="auto"/>
        <w:ind w:firstLine="420" w:firstLineChars="200"/>
        <w:jc w:val="left"/>
        <w:outlineLvl w:val="0"/>
        <w:rPr>
          <w:rFonts w:hint="eastAsia" w:ascii="宋体" w:hAnsi="宋体" w:eastAsia="宋体" w:cs="宋体"/>
          <w:color w:val="auto"/>
          <w:sz w:val="21"/>
          <w:szCs w:val="21"/>
          <w:highlight w:val="none"/>
        </w:rPr>
      </w:pPr>
      <w:bookmarkStart w:id="1936" w:name="_Toc5124"/>
      <w:bookmarkStart w:id="1937" w:name="_Toc29914"/>
      <w:bookmarkStart w:id="1938" w:name="_Toc24785"/>
      <w:bookmarkStart w:id="1939" w:name="_Toc15122"/>
      <w:r>
        <w:rPr>
          <w:rFonts w:hint="eastAsia" w:ascii="宋体" w:hAnsi="宋体" w:eastAsia="宋体" w:cs="宋体"/>
          <w:color w:val="auto"/>
          <w:sz w:val="21"/>
          <w:szCs w:val="21"/>
          <w:highlight w:val="none"/>
        </w:rPr>
        <w:t>八、保函的生效</w:t>
      </w:r>
      <w:bookmarkEnd w:id="1936"/>
      <w:bookmarkEnd w:id="1937"/>
      <w:bookmarkEnd w:id="1938"/>
      <w:bookmarkEnd w:id="1939"/>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本保函自我方法定代表人（或其授权代理人）签字并加盖公章之日起生效。</w:t>
      </w:r>
    </w:p>
    <w:p>
      <w:pPr>
        <w:spacing w:line="360" w:lineRule="auto"/>
        <w:ind w:firstLine="420" w:firstLineChars="2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p>
    <w:p>
      <w:pPr>
        <w:spacing w:line="360" w:lineRule="auto"/>
        <w:ind w:right="6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担保人：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（盖章）</w:t>
      </w:r>
    </w:p>
    <w:p>
      <w:pPr>
        <w:spacing w:line="360" w:lineRule="auto"/>
        <w:ind w:right="1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法定代表人或委托代理人：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（签字）</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p>
    <w:p>
      <w:pPr>
        <w:spacing w:line="360" w:lineRule="auto"/>
        <w:ind w:right="150" w:firstLine="420" w:firstLineChars="200"/>
        <w:jc w:val="left"/>
        <w:rPr>
          <w:rFonts w:hint="eastAsia" w:ascii="宋体" w:hAnsi="宋体" w:eastAsia="宋体" w:cs="宋体"/>
          <w:color w:val="auto"/>
          <w:sz w:val="21"/>
          <w:szCs w:val="21"/>
          <w:highlight w:val="none"/>
          <w:u w:val="single"/>
        </w:rPr>
      </w:pPr>
    </w:p>
    <w:p>
      <w:pPr>
        <w:spacing w:line="360" w:lineRule="auto"/>
        <w:ind w:right="150"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附件11：</w:t>
      </w:r>
    </w:p>
    <w:p>
      <w:pPr>
        <w:spacing w:before="120" w:beforeLines="50" w:after="120" w:afterLines="50" w:line="440" w:lineRule="exact"/>
        <w:jc w:val="center"/>
        <w:outlineLvl w:val="0"/>
        <w:rPr>
          <w:rFonts w:hint="eastAsia" w:ascii="宋体" w:hAnsi="宋体" w:eastAsia="宋体" w:cs="宋体"/>
          <w:color w:val="auto"/>
          <w:sz w:val="21"/>
          <w:szCs w:val="21"/>
          <w:highlight w:val="none"/>
        </w:rPr>
      </w:pPr>
      <w:bookmarkStart w:id="1940" w:name="_Toc20900"/>
      <w:bookmarkStart w:id="1941" w:name="_Toc15518"/>
      <w:bookmarkStart w:id="1942" w:name="_Toc24367"/>
      <w:bookmarkStart w:id="1943" w:name="_Toc18176"/>
      <w:r>
        <w:rPr>
          <w:rFonts w:hint="eastAsia" w:ascii="宋体" w:hAnsi="宋体" w:eastAsia="宋体" w:cs="宋体"/>
          <w:color w:val="auto"/>
          <w:sz w:val="21"/>
          <w:szCs w:val="21"/>
          <w:highlight w:val="none"/>
        </w:rPr>
        <w:t>11-1：材料暂估价表</w:t>
      </w:r>
      <w:bookmarkEnd w:id="1940"/>
      <w:bookmarkEnd w:id="1941"/>
      <w:bookmarkEnd w:id="1942"/>
      <w:bookmarkEnd w:id="1943"/>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303"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before="120" w:beforeLines="50" w:after="120" w:afterLines="50" w:line="440" w:lineRule="exact"/>
        <w:rPr>
          <w:rFonts w:hint="eastAsia" w:ascii="宋体" w:hAnsi="宋体" w:eastAsia="宋体" w:cs="宋体"/>
          <w:color w:val="auto"/>
          <w:sz w:val="21"/>
          <w:szCs w:val="21"/>
          <w:highlight w:val="none"/>
        </w:rPr>
      </w:pPr>
    </w:p>
    <w:p>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11-2：工程设备暂估价表</w:t>
      </w:r>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30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名称</w:t>
            </w:r>
          </w:p>
        </w:tc>
        <w:tc>
          <w:tcPr>
            <w:tcW w:w="851"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单位</w:t>
            </w:r>
          </w:p>
        </w:tc>
        <w:tc>
          <w:tcPr>
            <w:tcW w:w="774"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数量</w:t>
            </w:r>
          </w:p>
        </w:tc>
        <w:tc>
          <w:tcPr>
            <w:tcW w:w="1352"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单价（元）</w:t>
            </w:r>
          </w:p>
        </w:tc>
        <w:tc>
          <w:tcPr>
            <w:tcW w:w="1418"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合价（元）</w:t>
            </w:r>
          </w:p>
        </w:tc>
        <w:tc>
          <w:tcPr>
            <w:tcW w:w="1303"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851"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77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52"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8"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303"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bl>
    <w:p>
      <w:pPr>
        <w:spacing w:line="440" w:lineRule="exact"/>
        <w:rPr>
          <w:rFonts w:hint="eastAsia" w:ascii="宋体" w:hAnsi="宋体" w:eastAsia="宋体" w:cs="宋体"/>
          <w:color w:val="auto"/>
          <w:sz w:val="21"/>
          <w:szCs w:val="21"/>
          <w:highlight w:val="none"/>
        </w:rPr>
      </w:pPr>
    </w:p>
    <w:p>
      <w:pPr>
        <w:spacing w:before="120" w:beforeLines="50" w:after="120" w:afterLines="50"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br w:type="page"/>
      </w:r>
      <w:r>
        <w:rPr>
          <w:rFonts w:hint="eastAsia" w:ascii="宋体" w:hAnsi="宋体" w:eastAsia="宋体" w:cs="宋体"/>
          <w:color w:val="auto"/>
          <w:sz w:val="21"/>
          <w:szCs w:val="21"/>
          <w:highlight w:val="none"/>
        </w:rPr>
        <w:t>11-3：专业工程暂估价表</w:t>
      </w:r>
    </w:p>
    <w:tbl>
      <w:tblPr>
        <w:tblStyle w:val="19"/>
        <w:tblW w:w="867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79"/>
        <w:gridCol w:w="1984"/>
        <w:gridCol w:w="4395"/>
        <w:gridCol w:w="141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序号</w:t>
            </w:r>
          </w:p>
        </w:tc>
        <w:tc>
          <w:tcPr>
            <w:tcW w:w="1984"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专业工程名称</w:t>
            </w:r>
          </w:p>
        </w:tc>
        <w:tc>
          <w:tcPr>
            <w:tcW w:w="4395"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工程内容</w:t>
            </w:r>
          </w:p>
        </w:tc>
        <w:tc>
          <w:tcPr>
            <w:tcW w:w="1417" w:type="dxa"/>
            <w:tcBorders>
              <w:top w:val="single" w:color="auto" w:sz="12" w:space="0"/>
              <w:bottom w:val="doub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double" w:color="auto" w:sz="6" w:space="0"/>
              <w:bottom w:val="single" w:color="auto" w:sz="6" w:space="0"/>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tcBorders>
              <w:top w:val="nil"/>
            </w:tcBorders>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79"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984"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4395"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c>
          <w:tcPr>
            <w:tcW w:w="1417" w:type="dxa"/>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675" w:type="dxa"/>
            <w:gridSpan w:val="4"/>
            <w:vAlign w:val="top"/>
          </w:tcPr>
          <w:p>
            <w:pPr>
              <w:pStyle w:val="8"/>
              <w:keepNext/>
              <w:spacing w:after="0" w:line="440" w:lineRule="exact"/>
              <w:ind w:left="63" w:right="63"/>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小计：</w:t>
            </w:r>
          </w:p>
        </w:tc>
      </w:tr>
    </w:tbl>
    <w:p>
      <w:pPr>
        <w:spacing w:line="480" w:lineRule="auto"/>
        <w:rPr>
          <w:rFonts w:hint="eastAsia" w:ascii="宋体" w:hAnsi="宋体" w:eastAsia="宋体" w:cs="宋体"/>
          <w:color w:val="auto"/>
          <w:sz w:val="21"/>
          <w:szCs w:val="21"/>
          <w:highlight w:val="none"/>
        </w:rPr>
      </w:pPr>
    </w:p>
    <w:p>
      <w:pPr>
        <w:pStyle w:val="2"/>
        <w:keepNext/>
        <w:keepLines/>
        <w:pageBreakBefore w:val="0"/>
        <w:widowControl w:val="0"/>
        <w:tabs>
          <w:tab w:val="left" w:pos="567"/>
        </w:tabs>
        <w:kinsoku/>
        <w:wordWrap/>
        <w:overflowPunct/>
        <w:topLinePunct w:val="0"/>
        <w:autoSpaceDE/>
        <w:autoSpaceDN/>
        <w:bidi w:val="0"/>
        <w:adjustRightInd/>
        <w:snapToGrid/>
        <w:spacing w:before="0" w:after="0" w:line="400" w:lineRule="exact"/>
        <w:ind w:left="0" w:leftChars="0" w:firstLine="0" w:firstLineChars="0"/>
        <w:jc w:val="center"/>
        <w:textAlignment w:val="auto"/>
        <w:rPr>
          <w:rFonts w:hint="eastAsia" w:ascii="宋体" w:hAnsi="宋体" w:eastAsia="宋体" w:cs="宋体"/>
          <w:b/>
          <w:bCs/>
          <w:color w:val="auto"/>
          <w:sz w:val="32"/>
          <w:szCs w:val="32"/>
          <w:highlight w:val="none"/>
        </w:rPr>
      </w:pPr>
      <w:bookmarkStart w:id="1944" w:name="_Toc6509"/>
      <w:bookmarkStart w:id="1945" w:name="_Toc2274"/>
      <w:r>
        <w:rPr>
          <w:rFonts w:hint="eastAsia" w:ascii="宋体" w:hAnsi="宋体" w:eastAsia="宋体" w:cs="宋体"/>
          <w:b/>
          <w:bCs/>
          <w:color w:val="auto"/>
          <w:kern w:val="44"/>
          <w:sz w:val="32"/>
          <w:szCs w:val="32"/>
          <w:highlight w:val="none"/>
        </w:rPr>
        <w:t xml:space="preserve">第六章  </w:t>
      </w:r>
      <w:bookmarkEnd w:id="151"/>
      <w:bookmarkEnd w:id="152"/>
      <w:bookmarkStart w:id="1946" w:name="_Toc13185"/>
      <w:r>
        <w:rPr>
          <w:rFonts w:hint="eastAsia" w:ascii="宋体" w:hAnsi="宋体" w:eastAsia="宋体" w:cs="宋体"/>
          <w:b/>
          <w:bCs/>
          <w:color w:val="auto"/>
          <w:sz w:val="32"/>
          <w:szCs w:val="32"/>
          <w:highlight w:val="none"/>
        </w:rPr>
        <w:t>响应文件（格式）</w:t>
      </w:r>
      <w:bookmarkEnd w:id="1944"/>
      <w:bookmarkEnd w:id="1945"/>
      <w:bookmarkEnd w:id="1946"/>
    </w:p>
    <w:p>
      <w:pPr>
        <w:rPr>
          <w:rFonts w:hint="eastAsia" w:ascii="宋体" w:hAnsi="宋体" w:eastAsia="宋体" w:cs="宋体"/>
          <w:color w:val="auto"/>
          <w:sz w:val="24"/>
          <w:szCs w:val="24"/>
          <w:highlight w:val="none"/>
        </w:rPr>
      </w:pPr>
    </w:p>
    <w:p>
      <w:pPr>
        <w:pStyle w:val="11"/>
        <w:jc w:val="both"/>
        <w:rPr>
          <w:rFonts w:hint="eastAsia" w:ascii="宋体" w:hAnsi="宋体" w:eastAsia="宋体" w:cs="宋体"/>
          <w:b/>
          <w:color w:val="auto"/>
          <w:sz w:val="24"/>
          <w:szCs w:val="24"/>
          <w:highlight w:val="none"/>
          <w:lang w:eastAsia="zh-CN"/>
        </w:rPr>
      </w:pPr>
      <w:bookmarkStart w:id="1947" w:name="_Toc18351"/>
      <w:bookmarkStart w:id="1948" w:name="_Toc21496"/>
      <w:bookmarkStart w:id="1949" w:name="_Toc497927069"/>
      <w:r>
        <w:rPr>
          <w:rFonts w:hint="eastAsia" w:ascii="宋体" w:hAnsi="宋体" w:eastAsia="宋体" w:cs="宋体"/>
          <w:b/>
          <w:color w:val="auto"/>
          <w:sz w:val="24"/>
          <w:szCs w:val="24"/>
          <w:highlight w:val="none"/>
          <w:lang w:eastAsia="zh-CN"/>
        </w:rPr>
        <w:t>一、响应文件标记</w:t>
      </w:r>
      <w:bookmarkEnd w:id="1947"/>
      <w:bookmarkEnd w:id="1948"/>
      <w:bookmarkEnd w:id="1949"/>
    </w:p>
    <w:p>
      <w:pPr>
        <w:adjustRightInd w:val="0"/>
        <w:snapToGrid w:val="0"/>
        <w:rPr>
          <w:rFonts w:hint="eastAsia" w:ascii="宋体" w:hAnsi="宋体" w:eastAsia="宋体" w:cs="宋体"/>
          <w:b/>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4"/>
          <w:szCs w:val="24"/>
          <w:highlight w:val="none"/>
        </w:rPr>
      </w:pPr>
    </w:p>
    <w:p>
      <w:pPr>
        <w:pStyle w:val="26"/>
        <w:rPr>
          <w:rFonts w:hint="eastAsia" w:ascii="宋体" w:hAnsi="宋体" w:eastAsia="宋体" w:cs="宋体"/>
          <w:color w:val="auto"/>
          <w:sz w:val="24"/>
          <w:szCs w:val="24"/>
          <w:highlight w:val="none"/>
        </w:rPr>
      </w:pPr>
    </w:p>
    <w:p>
      <w:pPr>
        <w:pStyle w:val="26"/>
        <w:rPr>
          <w:rFonts w:hint="eastAsia" w:ascii="宋体" w:hAnsi="宋体" w:eastAsia="宋体" w:cs="宋体"/>
          <w:color w:val="auto"/>
          <w:sz w:val="24"/>
          <w:szCs w:val="24"/>
          <w:highlight w:val="none"/>
        </w:rPr>
      </w:pPr>
    </w:p>
    <w:p>
      <w:pPr>
        <w:snapToGrid w:val="0"/>
        <w:spacing w:before="156" w:beforeLines="50" w:after="50"/>
        <w:jc w:val="center"/>
        <w:rPr>
          <w:rFonts w:hint="eastAsia" w:ascii="宋体" w:hAnsi="宋体" w:eastAsia="宋体" w:cs="宋体"/>
          <w:b/>
          <w:color w:val="auto"/>
          <w:sz w:val="30"/>
          <w:szCs w:val="30"/>
          <w:highlight w:val="none"/>
        </w:rPr>
      </w:pPr>
    </w:p>
    <w:p>
      <w:pPr>
        <w:snapToGrid w:val="0"/>
        <w:spacing w:before="156" w:beforeLines="50" w:after="50"/>
        <w:jc w:val="cente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响 应 文 件</w:t>
      </w:r>
    </w:p>
    <w:p>
      <w:pPr>
        <w:snapToGrid w:val="0"/>
        <w:spacing w:before="156" w:beforeLines="50" w:after="50"/>
        <w:ind w:firstLine="360" w:firstLineChars="150"/>
        <w:jc w:val="both"/>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 xml:space="preserve">                       </w:t>
      </w:r>
    </w:p>
    <w:p>
      <w:pPr>
        <w:snapToGrid w:val="0"/>
        <w:spacing w:before="156" w:beforeLines="50" w:after="50"/>
        <w:ind w:firstLine="361" w:firstLineChars="150"/>
        <w:rPr>
          <w:rFonts w:hint="eastAsia" w:ascii="宋体" w:hAnsi="宋体" w:eastAsia="宋体" w:cs="宋体"/>
          <w:b/>
          <w:color w:val="auto"/>
          <w:sz w:val="24"/>
          <w:szCs w:val="24"/>
          <w:highlight w:val="none"/>
        </w:rPr>
      </w:pPr>
    </w:p>
    <w:p>
      <w:pPr>
        <w:pStyle w:val="8"/>
        <w:rPr>
          <w:rFonts w:hint="eastAsia"/>
          <w:color w:val="auto"/>
          <w:highlight w:val="none"/>
        </w:rPr>
      </w:pPr>
    </w:p>
    <w:p>
      <w:pPr>
        <w:pStyle w:val="8"/>
        <w:rPr>
          <w:rFonts w:hint="eastAsia"/>
          <w:color w:val="auto"/>
          <w:highlight w:val="none"/>
        </w:rPr>
      </w:pPr>
    </w:p>
    <w:p>
      <w:pPr>
        <w:snapToGrid w:val="0"/>
        <w:spacing w:before="156" w:beforeLines="50" w:after="50"/>
        <w:ind w:firstLine="361" w:firstLineChars="150"/>
        <w:rPr>
          <w:rFonts w:hint="eastAsia" w:ascii="宋体" w:hAnsi="宋体" w:eastAsia="宋体" w:cs="宋体"/>
          <w:b/>
          <w:color w:val="auto"/>
          <w:sz w:val="24"/>
          <w:szCs w:val="24"/>
          <w:highlight w:val="none"/>
        </w:rPr>
      </w:pPr>
    </w:p>
    <w:p>
      <w:pPr>
        <w:snapToGrid w:val="0"/>
        <w:spacing w:before="156" w:beforeLines="50" w:after="50"/>
        <w:ind w:firstLine="1205" w:firstLineChars="500"/>
        <w:rPr>
          <w:rFonts w:hint="eastAsia" w:ascii="宋体" w:hAnsi="宋体" w:eastAsia="宋体" w:cs="宋体"/>
          <w:b/>
          <w:bCs w:val="0"/>
          <w:color w:val="auto"/>
          <w:sz w:val="24"/>
          <w:szCs w:val="24"/>
          <w:highlight w:val="none"/>
          <w:u w:val="single"/>
          <w:lang w:eastAsia="zh-CN"/>
        </w:rPr>
      </w:pPr>
      <w:r>
        <w:rPr>
          <w:rFonts w:hint="eastAsia" w:ascii="宋体" w:hAnsi="宋体" w:eastAsia="宋体" w:cs="宋体"/>
          <w:b/>
          <w:bCs w:val="0"/>
          <w:color w:val="auto"/>
          <w:sz w:val="24"/>
          <w:szCs w:val="24"/>
          <w:highlight w:val="none"/>
        </w:rPr>
        <w:t>项目名称：</w:t>
      </w:r>
      <w:r>
        <w:rPr>
          <w:rFonts w:hint="eastAsia" w:ascii="宋体" w:hAnsi="宋体" w:eastAsia="宋体" w:cs="宋体"/>
          <w:b/>
          <w:bCs w:val="0"/>
          <w:color w:val="auto"/>
          <w:sz w:val="24"/>
          <w:szCs w:val="24"/>
          <w:highlight w:val="none"/>
          <w:u w:val="single"/>
        </w:rPr>
        <w:t>兴安县溶江镇永安村农贸市场扩建项目</w:t>
      </w:r>
      <w:r>
        <w:rPr>
          <w:rFonts w:hint="eastAsia" w:ascii="宋体" w:hAnsi="宋体" w:eastAsia="宋体" w:cs="宋体"/>
          <w:color w:val="auto"/>
          <w:sz w:val="24"/>
          <w:szCs w:val="24"/>
          <w:highlight w:val="none"/>
        </w:rPr>
        <w:t xml:space="preserve">   </w:t>
      </w:r>
    </w:p>
    <w:p>
      <w:pPr>
        <w:snapToGrid w:val="0"/>
        <w:spacing w:before="156" w:beforeLines="50" w:after="50"/>
        <w:ind w:firstLine="2318" w:firstLineChars="962"/>
        <w:rPr>
          <w:rFonts w:hint="eastAsia" w:ascii="宋体" w:hAnsi="宋体" w:eastAsia="宋体" w:cs="宋体"/>
          <w:b/>
          <w:bCs w:val="0"/>
          <w:color w:val="auto"/>
          <w:sz w:val="24"/>
          <w:szCs w:val="24"/>
          <w:highlight w:val="none"/>
        </w:rPr>
      </w:pPr>
    </w:p>
    <w:p>
      <w:pPr>
        <w:pStyle w:val="3"/>
        <w:numPr>
          <w:ilvl w:val="0"/>
          <w:numId w:val="0"/>
        </w:numPr>
        <w:tabs>
          <w:tab w:val="left" w:pos="0"/>
        </w:tabs>
        <w:autoSpaceDE w:val="0"/>
        <w:autoSpaceDN w:val="0"/>
        <w:adjustRightInd w:val="0"/>
        <w:spacing w:before="0" w:after="0" w:line="360" w:lineRule="auto"/>
        <w:ind w:firstLine="1205" w:firstLineChars="500"/>
        <w:jc w:val="both"/>
        <w:rPr>
          <w:rFonts w:hint="eastAsia" w:ascii="宋体" w:hAnsi="宋体" w:eastAsia="宋体" w:cs="宋体"/>
          <w:b/>
          <w:bCs w:val="0"/>
          <w:color w:val="auto"/>
          <w:kern w:val="2"/>
          <w:sz w:val="24"/>
          <w:szCs w:val="24"/>
          <w:highlight w:val="none"/>
          <w:u w:val="single"/>
          <w:lang w:val="en-US" w:eastAsia="zh-CN" w:bidi="ar-SA"/>
        </w:rPr>
      </w:pPr>
      <w:r>
        <w:rPr>
          <w:rFonts w:hint="eastAsia" w:ascii="宋体" w:hAnsi="宋体" w:eastAsia="宋体" w:cs="宋体"/>
          <w:b/>
          <w:bCs w:val="0"/>
          <w:color w:val="auto"/>
          <w:kern w:val="2"/>
          <w:sz w:val="24"/>
          <w:szCs w:val="24"/>
          <w:highlight w:val="none"/>
          <w:lang w:val="en-US" w:eastAsia="zh-CN" w:bidi="ar-SA"/>
        </w:rPr>
        <w:t>项目编号：</w:t>
      </w:r>
      <w:r>
        <w:rPr>
          <w:rFonts w:hint="eastAsia" w:ascii="宋体" w:hAnsi="宋体" w:eastAsia="宋体" w:cs="宋体"/>
          <w:b/>
          <w:bCs w:val="0"/>
          <w:color w:val="auto"/>
          <w:kern w:val="2"/>
          <w:sz w:val="24"/>
          <w:szCs w:val="24"/>
          <w:highlight w:val="none"/>
          <w:u w:val="single"/>
          <w:lang w:val="en-US" w:eastAsia="zh-CN" w:bidi="ar-SA"/>
        </w:rPr>
        <w:fldChar w:fldCharType="begin"/>
      </w:r>
      <w:r>
        <w:rPr>
          <w:rFonts w:hint="eastAsia" w:ascii="宋体" w:hAnsi="宋体" w:eastAsia="宋体" w:cs="宋体"/>
          <w:b/>
          <w:bCs w:val="0"/>
          <w:color w:val="auto"/>
          <w:kern w:val="2"/>
          <w:sz w:val="24"/>
          <w:szCs w:val="24"/>
          <w:highlight w:val="none"/>
          <w:u w:val="single"/>
          <w:lang w:val="en-US" w:eastAsia="zh-CN" w:bidi="ar-SA"/>
        </w:rPr>
        <w:instrText xml:space="preserve"> HYPERLINK "https://www.gcy.zfcg.gxzf.gov.cn/project-center/_procurement_/project-result-detail/7177490878926684246" \t "https://www.gcy.zfcg.gxzf.gov.cn/project-center/_procurement_/self-project/_blank" </w:instrText>
      </w:r>
      <w:r>
        <w:rPr>
          <w:rFonts w:hint="eastAsia" w:ascii="宋体" w:hAnsi="宋体" w:eastAsia="宋体" w:cs="宋体"/>
          <w:b/>
          <w:bCs w:val="0"/>
          <w:color w:val="auto"/>
          <w:kern w:val="2"/>
          <w:sz w:val="24"/>
          <w:szCs w:val="24"/>
          <w:highlight w:val="none"/>
          <w:u w:val="single"/>
          <w:lang w:val="en-US" w:eastAsia="zh-CN" w:bidi="ar-SA"/>
        </w:rPr>
        <w:fldChar w:fldCharType="separate"/>
      </w:r>
      <w:r>
        <w:rPr>
          <w:rFonts w:hint="eastAsia" w:ascii="宋体" w:hAnsi="宋体" w:eastAsia="宋体" w:cs="宋体"/>
          <w:b/>
          <w:bCs w:val="0"/>
          <w:color w:val="auto"/>
          <w:kern w:val="2"/>
          <w:sz w:val="24"/>
          <w:szCs w:val="24"/>
          <w:highlight w:val="none"/>
          <w:u w:val="single"/>
          <w:lang w:val="en-US" w:eastAsia="zh-CN" w:bidi="ar-SA"/>
        </w:rPr>
        <w:t>GLZC2024-C2-250191-GXGZ</w:t>
      </w:r>
      <w:r>
        <w:rPr>
          <w:rFonts w:hint="eastAsia" w:ascii="宋体" w:hAnsi="宋体" w:eastAsia="宋体" w:cs="宋体"/>
          <w:b/>
          <w:bCs w:val="0"/>
          <w:color w:val="auto"/>
          <w:kern w:val="2"/>
          <w:sz w:val="24"/>
          <w:szCs w:val="24"/>
          <w:highlight w:val="none"/>
          <w:u w:val="single"/>
          <w:lang w:val="en-US" w:eastAsia="zh-CN" w:bidi="ar-SA"/>
        </w:rPr>
        <w:fldChar w:fldCharType="end"/>
      </w:r>
    </w:p>
    <w:p>
      <w:pPr>
        <w:snapToGrid w:val="0"/>
        <w:spacing w:before="156" w:beforeLines="50" w:after="50"/>
        <w:ind w:firstLine="1205" w:firstLineChars="500"/>
        <w:rPr>
          <w:rFonts w:hint="default" w:ascii="宋体" w:hAnsi="宋体" w:eastAsia="宋体" w:cs="宋体"/>
          <w:b/>
          <w:bCs w:val="0"/>
          <w:color w:val="auto"/>
          <w:sz w:val="24"/>
          <w:szCs w:val="24"/>
          <w:highlight w:val="none"/>
          <w:lang w:val="en-US" w:eastAsia="zh-CN"/>
        </w:rPr>
      </w:pPr>
    </w:p>
    <w:p>
      <w:pPr>
        <w:rPr>
          <w:rFonts w:hint="eastAsia" w:ascii="宋体" w:hAnsi="宋体" w:eastAsia="宋体" w:cs="宋体"/>
          <w:b/>
          <w:color w:val="auto"/>
          <w:sz w:val="24"/>
          <w:szCs w:val="24"/>
          <w:highlight w:val="none"/>
        </w:rPr>
      </w:pPr>
    </w:p>
    <w:p>
      <w:pPr>
        <w:spacing w:line="400" w:lineRule="exact"/>
        <w:ind w:firstLine="2318" w:firstLineChars="962"/>
        <w:rPr>
          <w:rFonts w:hint="eastAsia" w:ascii="宋体" w:hAnsi="宋体" w:eastAsia="宋体" w:cs="宋体"/>
          <w:b/>
          <w:color w:val="auto"/>
          <w:sz w:val="24"/>
          <w:szCs w:val="24"/>
          <w:highlight w:val="none"/>
        </w:rPr>
      </w:pPr>
    </w:p>
    <w:p>
      <w:pPr>
        <w:pStyle w:val="8"/>
        <w:rPr>
          <w:rFonts w:hint="eastAsia" w:ascii="宋体" w:hAnsi="宋体" w:eastAsia="宋体" w:cs="宋体"/>
          <w:b/>
          <w:color w:val="auto"/>
          <w:sz w:val="24"/>
          <w:szCs w:val="24"/>
          <w:highlight w:val="none"/>
        </w:rPr>
      </w:pPr>
    </w:p>
    <w:p>
      <w:pPr>
        <w:rPr>
          <w:rFonts w:hint="eastAsia"/>
          <w:color w:val="auto"/>
          <w:highlight w:val="none"/>
        </w:rPr>
      </w:pPr>
    </w:p>
    <w:p>
      <w:pPr>
        <w:pStyle w:val="26"/>
        <w:rPr>
          <w:rFonts w:hint="eastAsia" w:ascii="宋体" w:hAnsi="宋体" w:eastAsia="宋体" w:cs="宋体"/>
          <w:b/>
          <w:color w:val="auto"/>
          <w:sz w:val="24"/>
          <w:szCs w:val="24"/>
          <w:highlight w:val="none"/>
        </w:rPr>
      </w:pPr>
    </w:p>
    <w:p>
      <w:pPr>
        <w:pStyle w:val="26"/>
        <w:rPr>
          <w:rFonts w:hint="eastAsia" w:ascii="宋体" w:hAnsi="宋体" w:eastAsia="宋体" w:cs="宋体"/>
          <w:b/>
          <w:color w:val="auto"/>
          <w:sz w:val="24"/>
          <w:szCs w:val="24"/>
          <w:highlight w:val="none"/>
        </w:rPr>
      </w:pPr>
    </w:p>
    <w:p>
      <w:pPr>
        <w:pStyle w:val="26"/>
        <w:rPr>
          <w:rFonts w:hint="eastAsia" w:ascii="宋体" w:hAnsi="宋体" w:eastAsia="宋体" w:cs="宋体"/>
          <w:b/>
          <w:color w:val="auto"/>
          <w:sz w:val="24"/>
          <w:szCs w:val="24"/>
          <w:highlight w:val="none"/>
        </w:rPr>
      </w:pPr>
    </w:p>
    <w:p>
      <w:pPr>
        <w:pStyle w:val="26"/>
        <w:rPr>
          <w:rFonts w:hint="eastAsia" w:ascii="宋体" w:hAnsi="宋体" w:eastAsia="宋体" w:cs="宋体"/>
          <w:b/>
          <w:color w:val="auto"/>
          <w:sz w:val="24"/>
          <w:szCs w:val="24"/>
          <w:highlight w:val="none"/>
        </w:rPr>
      </w:pPr>
    </w:p>
    <w:p>
      <w:pPr>
        <w:pStyle w:val="26"/>
        <w:rPr>
          <w:rFonts w:hint="eastAsia" w:ascii="宋体" w:hAnsi="宋体" w:eastAsia="宋体" w:cs="宋体"/>
          <w:b/>
          <w:color w:val="auto"/>
          <w:sz w:val="24"/>
          <w:szCs w:val="24"/>
          <w:highlight w:val="none"/>
        </w:rPr>
      </w:pPr>
    </w:p>
    <w:p>
      <w:pPr>
        <w:keepNext w:val="0"/>
        <w:keepLines w:val="0"/>
        <w:pageBreakBefore w:val="0"/>
        <w:widowControl w:val="0"/>
        <w:kinsoku/>
        <w:wordWrap/>
        <w:overflowPunct/>
        <w:topLinePunct w:val="0"/>
        <w:autoSpaceDE/>
        <w:autoSpaceDN/>
        <w:bidi w:val="0"/>
        <w:adjustRightInd/>
        <w:snapToGrid w:val="0"/>
        <w:spacing w:line="400" w:lineRule="exact"/>
        <w:ind w:left="0" w:leftChars="0" w:firstLine="1200" w:firstLineChars="500"/>
        <w:textAlignment w:val="auto"/>
        <w:rPr>
          <w:rFonts w:hint="eastAsia" w:ascii="宋体" w:hAnsi="宋体" w:eastAsia="宋体" w:cs="宋体"/>
          <w:b w:val="0"/>
          <w:bCs/>
          <w:color w:val="auto"/>
          <w:sz w:val="24"/>
          <w:szCs w:val="24"/>
          <w:highlight w:val="none"/>
          <w:u w:val="single"/>
        </w:rPr>
      </w:pPr>
      <w:r>
        <w:rPr>
          <w:rFonts w:hint="eastAsia" w:ascii="宋体" w:hAnsi="宋体" w:eastAsia="宋体" w:cs="宋体"/>
          <w:b w:val="0"/>
          <w:bCs/>
          <w:color w:val="auto"/>
          <w:sz w:val="24"/>
          <w:szCs w:val="24"/>
          <w:highlight w:val="none"/>
        </w:rPr>
        <w:t>采购代理机构</w:t>
      </w:r>
      <w:r>
        <w:rPr>
          <w:rFonts w:hint="eastAsia" w:ascii="宋体" w:hAnsi="宋体" w:eastAsia="宋体" w:cs="宋体"/>
          <w:b w:val="0"/>
          <w:bCs/>
          <w:color w:val="auto"/>
          <w:sz w:val="24"/>
          <w:szCs w:val="24"/>
          <w:highlight w:val="none"/>
        </w:rPr>
        <w:t>：</w:t>
      </w:r>
      <w:r>
        <w:rPr>
          <w:rFonts w:hint="eastAsia" w:ascii="宋体" w:hAnsi="宋体" w:cs="宋体"/>
          <w:b w:val="0"/>
          <w:bCs/>
          <w:color w:val="auto"/>
          <w:sz w:val="24"/>
          <w:szCs w:val="24"/>
          <w:highlight w:val="none"/>
          <w:u w:val="single"/>
          <w:lang w:val="en-US" w:eastAsia="zh-CN"/>
        </w:rPr>
        <w:t>广西高质建设管理咨询有限公司</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1200" w:firstLineChars="500"/>
        <w:textAlignment w:val="auto"/>
        <w:rPr>
          <w:rFonts w:hint="eastAsia" w:ascii="宋体" w:hAnsi="宋体" w:eastAsia="宋体" w:cs="宋体"/>
          <w:bCs/>
          <w:color w:val="auto"/>
          <w:sz w:val="24"/>
          <w:szCs w:val="24"/>
          <w:highlight w:val="none"/>
        </w:rPr>
      </w:pPr>
      <w:bookmarkStart w:id="1950" w:name="_Toc4932_WPSOffice_Level2"/>
      <w:bookmarkStart w:id="1951" w:name="_Toc20319_WPSOffice_Level2"/>
      <w:r>
        <w:rPr>
          <w:rFonts w:hint="eastAsia" w:ascii="宋体" w:hAnsi="宋体" w:eastAsia="宋体" w:cs="宋体"/>
          <w:bCs/>
          <w:color w:val="auto"/>
          <w:sz w:val="24"/>
          <w:szCs w:val="24"/>
          <w:highlight w:val="none"/>
          <w:lang w:eastAsia="zh-CN"/>
        </w:rPr>
        <w:t>磋商供应商</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公章</w:t>
      </w:r>
      <w:r>
        <w:rPr>
          <w:rFonts w:hint="eastAsia" w:ascii="宋体" w:hAnsi="宋体" w:eastAsia="宋体" w:cs="宋体"/>
          <w:bCs/>
          <w:color w:val="auto"/>
          <w:sz w:val="24"/>
          <w:szCs w:val="24"/>
          <w:highlight w:val="none"/>
          <w:lang w:val="en-US" w:eastAsia="zh-CN"/>
        </w:rPr>
        <w:t>(CA签章)</w:t>
      </w:r>
      <w:r>
        <w:rPr>
          <w:rFonts w:hint="eastAsia" w:ascii="宋体" w:hAnsi="宋体" w:eastAsia="宋体" w:cs="宋体"/>
          <w:bCs/>
          <w:color w:val="auto"/>
          <w:sz w:val="24"/>
          <w:szCs w:val="24"/>
          <w:highlight w:val="none"/>
        </w:rPr>
        <w:t>、自然人除外</w:t>
      </w:r>
      <w:r>
        <w:rPr>
          <w:rFonts w:hint="eastAsia" w:ascii="宋体" w:hAnsi="宋体" w:eastAsia="宋体" w:cs="宋体"/>
          <w:bCs/>
          <w:color w:val="auto"/>
          <w:sz w:val="24"/>
          <w:szCs w:val="24"/>
          <w:highlight w:val="none"/>
          <w:lang w:val="en-US" w:eastAsia="zh-CN"/>
        </w:rPr>
        <w:t>]</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u w:val="single"/>
        </w:rPr>
        <w:t xml:space="preserve">            </w:t>
      </w:r>
      <w:bookmarkEnd w:id="1950"/>
      <w:bookmarkEnd w:id="1951"/>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11"/>
        <w:keepNext w:val="0"/>
        <w:keepLines w:val="0"/>
        <w:pageBreakBefore w:val="0"/>
        <w:widowControl w:val="0"/>
        <w:kinsoku/>
        <w:wordWrap/>
        <w:overflowPunct/>
        <w:topLinePunct w:val="0"/>
        <w:autoSpaceDE/>
        <w:autoSpaceDN/>
        <w:bidi w:val="0"/>
        <w:adjustRightInd/>
        <w:snapToGrid/>
        <w:spacing w:line="400" w:lineRule="exact"/>
        <w:ind w:left="0" w:leftChars="0" w:firstLine="1200" w:firstLineChars="500"/>
        <w:textAlignment w:val="auto"/>
        <w:rPr>
          <w:rFonts w:hint="eastAsia" w:ascii="宋体" w:hAnsi="宋体" w:eastAsia="宋体" w:cs="宋体"/>
          <w:color w:val="auto"/>
          <w:sz w:val="24"/>
          <w:szCs w:val="24"/>
          <w:highlight w:val="none"/>
          <w:lang w:val="en-US" w:eastAsia="zh-CN"/>
        </w:rPr>
      </w:pPr>
      <w:bookmarkStart w:id="1952" w:name="_Toc9622_WPSOffice_Level2"/>
      <w:bookmarkStart w:id="1953" w:name="_Toc32056_WPSOffice_Level2"/>
      <w:r>
        <w:rPr>
          <w:rFonts w:hint="eastAsia" w:ascii="宋体" w:hAnsi="宋体" w:eastAsia="宋体" w:cs="宋体"/>
          <w:color w:val="auto"/>
          <w:sz w:val="24"/>
          <w:szCs w:val="24"/>
          <w:highlight w:val="none"/>
        </w:rPr>
        <w:t>法定代表人、负责人、自然人或相应的委托代理人签字</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或盖章</w:t>
      </w:r>
      <w:r>
        <w:rPr>
          <w:rFonts w:hint="eastAsia" w:ascii="宋体" w:hAnsi="宋体" w:eastAsia="宋体" w:cs="宋体"/>
          <w:color w:val="auto"/>
          <w:sz w:val="24"/>
          <w:szCs w:val="24"/>
          <w:highlight w:val="none"/>
          <w:lang w:val="en-US" w:eastAsia="zh-CN"/>
        </w:rPr>
        <w:t>(CA签章)]</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1200" w:firstLineChars="5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（属自然人的应在签名处加盖大拇指指印</w:t>
      </w:r>
      <w:r>
        <w:rPr>
          <w:rFonts w:hint="eastAsia" w:ascii="宋体" w:hAnsi="宋体" w:eastAsia="宋体" w:cs="宋体"/>
          <w:color w:val="auto"/>
          <w:sz w:val="24"/>
          <w:szCs w:val="24"/>
          <w:highlight w:val="none"/>
          <w:lang w:eastAsia="zh-CN"/>
        </w:rPr>
        <w:t>或</w:t>
      </w:r>
      <w:r>
        <w:rPr>
          <w:rFonts w:hint="eastAsia" w:ascii="宋体" w:hAnsi="宋体" w:eastAsia="宋体" w:cs="宋体"/>
          <w:color w:val="auto"/>
          <w:sz w:val="24"/>
          <w:szCs w:val="24"/>
          <w:highlight w:val="none"/>
          <w:lang w:val="en-US" w:eastAsia="zh-CN"/>
        </w:rPr>
        <w:t>个人CA签章</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1200" w:firstLineChars="500"/>
        <w:textAlignment w:val="auto"/>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bookmarkEnd w:id="1952"/>
      <w:bookmarkEnd w:id="1953"/>
      <w:r>
        <w:rPr>
          <w:rFonts w:hint="eastAsia" w:ascii="宋体" w:hAnsi="宋体" w:eastAsia="宋体" w:cs="宋体"/>
          <w:bCs/>
          <w:color w:val="auto"/>
          <w:sz w:val="24"/>
          <w:szCs w:val="24"/>
          <w:highlight w:val="none"/>
          <w:u w:val="single"/>
        </w:rPr>
        <w:t xml:space="preserve">         </w:t>
      </w:r>
      <w:r>
        <w:rPr>
          <w:rFonts w:hint="eastAsia" w:ascii="宋体" w:hAnsi="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pPr>
        <w:pStyle w:val="9"/>
        <w:keepNext w:val="0"/>
        <w:keepLines w:val="0"/>
        <w:pageBreakBefore w:val="0"/>
        <w:widowControl w:val="0"/>
        <w:kinsoku/>
        <w:wordWrap/>
        <w:overflowPunct/>
        <w:topLinePunct w:val="0"/>
        <w:autoSpaceDE/>
        <w:autoSpaceDN/>
        <w:bidi w:val="0"/>
        <w:adjustRightInd/>
        <w:snapToGrid/>
        <w:spacing w:after="0" w:line="400" w:lineRule="exact"/>
        <w:ind w:left="0" w:leftChars="0" w:firstLine="1200" w:firstLineChars="500"/>
        <w:textAlignment w:val="auto"/>
        <w:rPr>
          <w:rFonts w:hint="eastAsia" w:ascii="宋体" w:hAnsi="宋体" w:eastAsia="宋体" w:cs="宋体"/>
          <w:bCs/>
          <w:color w:val="auto"/>
          <w:sz w:val="24"/>
          <w:szCs w:val="24"/>
          <w:highlight w:val="none"/>
        </w:rPr>
      </w:pPr>
      <w:bookmarkStart w:id="1954" w:name="_Toc15933_WPSOffice_Level2"/>
      <w:bookmarkStart w:id="1955" w:name="_Toc26465_WPSOffice_Level2"/>
      <w:r>
        <w:rPr>
          <w:rFonts w:hint="eastAsia" w:ascii="宋体" w:hAnsi="宋体" w:eastAsia="宋体" w:cs="宋体"/>
          <w:bCs/>
          <w:color w:val="auto"/>
          <w:sz w:val="24"/>
          <w:szCs w:val="24"/>
          <w:highlight w:val="none"/>
        </w:rPr>
        <w:t>日期：</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年</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月</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日</w:t>
      </w:r>
      <w:bookmarkEnd w:id="1954"/>
      <w:bookmarkEnd w:id="1955"/>
    </w:p>
    <w:p>
      <w:pPr>
        <w:pStyle w:val="9"/>
        <w:keepNext w:val="0"/>
        <w:keepLines w:val="0"/>
        <w:pageBreakBefore w:val="0"/>
        <w:widowControl w:val="0"/>
        <w:kinsoku/>
        <w:wordWrap/>
        <w:overflowPunct/>
        <w:topLinePunct w:val="0"/>
        <w:autoSpaceDE/>
        <w:autoSpaceDN/>
        <w:bidi w:val="0"/>
        <w:adjustRightInd/>
        <w:snapToGrid/>
        <w:spacing w:line="440" w:lineRule="exact"/>
        <w:ind w:left="980" w:hanging="480" w:hangingChars="200"/>
        <w:textAlignment w:val="auto"/>
        <w:rPr>
          <w:rFonts w:hint="eastAsia" w:ascii="宋体" w:hAnsi="宋体" w:eastAsia="宋体" w:cs="宋体"/>
          <w:bCs/>
          <w:color w:val="auto"/>
          <w:sz w:val="24"/>
          <w:szCs w:val="24"/>
          <w:highlight w:val="none"/>
        </w:rPr>
      </w:pPr>
    </w:p>
    <w:p>
      <w:pPr>
        <w:pStyle w:val="9"/>
        <w:keepNext w:val="0"/>
        <w:keepLines w:val="0"/>
        <w:pageBreakBefore w:val="0"/>
        <w:widowControl w:val="0"/>
        <w:kinsoku/>
        <w:wordWrap/>
        <w:overflowPunct/>
        <w:topLinePunct w:val="0"/>
        <w:autoSpaceDE/>
        <w:autoSpaceDN/>
        <w:bidi w:val="0"/>
        <w:adjustRightInd/>
        <w:snapToGrid/>
        <w:spacing w:line="440" w:lineRule="exact"/>
        <w:ind w:left="980" w:hanging="420" w:hangingChars="200"/>
        <w:textAlignment w:val="auto"/>
        <w:rPr>
          <w:rFonts w:hint="eastAsia" w:ascii="宋体" w:hAnsi="宋体" w:eastAsia="宋体" w:cs="宋体"/>
          <w:bCs/>
          <w:color w:val="auto"/>
          <w:sz w:val="21"/>
          <w:szCs w:val="21"/>
          <w:highlight w:val="none"/>
        </w:rPr>
      </w:pPr>
    </w:p>
    <w:p>
      <w:pPr>
        <w:numPr>
          <w:ilvl w:val="0"/>
          <w:numId w:val="0"/>
        </w:numPr>
        <w:rPr>
          <w:rFonts w:hint="eastAsia" w:ascii="宋体" w:hAnsi="宋体" w:eastAsia="宋体" w:cs="宋体"/>
          <w:b/>
          <w:bCs/>
          <w:color w:val="auto"/>
          <w:kern w:val="2"/>
          <w:sz w:val="21"/>
          <w:szCs w:val="21"/>
          <w:highlight w:val="none"/>
          <w:lang w:val="en-US" w:eastAsia="zh-CN" w:bidi="ar-SA"/>
        </w:rPr>
      </w:pPr>
      <w:bookmarkStart w:id="1956" w:name="_Toc21615"/>
      <w:bookmarkStart w:id="1957" w:name="_Toc497927070"/>
      <w:bookmarkStart w:id="1958" w:name="_Toc19430"/>
    </w:p>
    <w:p>
      <w:pPr>
        <w:numPr>
          <w:ilvl w:val="0"/>
          <w:numId w:val="0"/>
        </w:numPr>
        <w:rPr>
          <w:rFonts w:hint="eastAsia" w:ascii="宋体" w:hAnsi="宋体" w:eastAsia="宋体" w:cs="宋体"/>
          <w:b/>
          <w:bCs/>
          <w:color w:val="auto"/>
          <w:kern w:val="2"/>
          <w:sz w:val="24"/>
          <w:szCs w:val="24"/>
          <w:highlight w:val="none"/>
          <w:lang w:val="en-US" w:eastAsia="zh-CN" w:bidi="ar-SA"/>
        </w:rPr>
      </w:pPr>
    </w:p>
    <w:p>
      <w:pPr>
        <w:numPr>
          <w:ilvl w:val="0"/>
          <w:numId w:val="0"/>
        </w:numPr>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响应文件组成</w:t>
      </w:r>
      <w:bookmarkEnd w:id="1956"/>
      <w:bookmarkEnd w:id="1957"/>
      <w:bookmarkEnd w:id="1958"/>
    </w:p>
    <w:p>
      <w:pPr>
        <w:pStyle w:val="8"/>
        <w:numPr>
          <w:ilvl w:val="0"/>
          <w:numId w:val="0"/>
        </w:numPr>
        <w:rPr>
          <w:rFonts w:hint="eastAsia" w:ascii="宋体" w:hAnsi="宋体" w:eastAsia="宋体" w:cs="宋体"/>
          <w:color w:val="auto"/>
          <w:sz w:val="24"/>
          <w:szCs w:val="24"/>
          <w:highlight w:val="none"/>
        </w:rPr>
      </w:pPr>
    </w:p>
    <w:p>
      <w:pPr>
        <w:numPr>
          <w:ilvl w:val="0"/>
          <w:numId w:val="0"/>
        </w:numPr>
        <w:spacing w:line="400" w:lineRule="exact"/>
        <w:rPr>
          <w:rFonts w:hint="eastAsia" w:ascii="宋体" w:hAnsi="宋体" w:eastAsia="宋体" w:cs="宋体"/>
          <w:b/>
          <w:bCs/>
          <w:color w:val="auto"/>
          <w:sz w:val="24"/>
          <w:szCs w:val="24"/>
          <w:highlight w:val="none"/>
        </w:rPr>
      </w:pPr>
    </w:p>
    <w:p>
      <w:pPr>
        <w:pStyle w:val="8"/>
        <w:rPr>
          <w:rFonts w:hint="eastAsia" w:ascii="宋体" w:hAnsi="宋体" w:eastAsia="宋体" w:cs="宋体"/>
          <w:b/>
          <w:bCs/>
          <w:color w:val="auto"/>
          <w:sz w:val="24"/>
          <w:szCs w:val="24"/>
          <w:highlight w:val="none"/>
          <w:lang w:eastAsia="zh-CN"/>
        </w:rPr>
      </w:pPr>
    </w:p>
    <w:p>
      <w:pPr>
        <w:numPr>
          <w:ilvl w:val="0"/>
          <w:numId w:val="0"/>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（一）</w:t>
      </w:r>
      <w:r>
        <w:rPr>
          <w:rFonts w:hint="eastAsia" w:ascii="宋体" w:hAnsi="宋体" w:eastAsia="宋体" w:cs="宋体"/>
          <w:b/>
          <w:bCs/>
          <w:color w:val="auto"/>
          <w:sz w:val="24"/>
          <w:szCs w:val="24"/>
          <w:highlight w:val="none"/>
        </w:rPr>
        <w:t>资格性响应证明材料</w:t>
      </w:r>
    </w:p>
    <w:p>
      <w:pPr>
        <w:pStyle w:val="8"/>
        <w:rPr>
          <w:rFonts w:hint="eastAsia" w:ascii="宋体" w:hAnsi="宋体" w:eastAsia="宋体" w:cs="宋体"/>
          <w:b/>
          <w:bCs/>
          <w:color w:val="auto"/>
          <w:sz w:val="24"/>
          <w:szCs w:val="24"/>
          <w:highlight w:val="none"/>
        </w:rPr>
      </w:pPr>
    </w:p>
    <w:p>
      <w:pPr>
        <w:rPr>
          <w:rFonts w:hint="eastAsia"/>
          <w:color w:val="auto"/>
          <w:sz w:val="24"/>
          <w:szCs w:val="24"/>
          <w:highlight w:val="none"/>
        </w:rPr>
      </w:pPr>
    </w:p>
    <w:p>
      <w:pPr>
        <w:pStyle w:val="8"/>
        <w:rPr>
          <w:rFonts w:hint="eastAsia" w:ascii="宋体" w:hAnsi="宋体" w:eastAsia="宋体" w:cs="宋体"/>
          <w:b/>
          <w:bCs/>
          <w:color w:val="auto"/>
          <w:sz w:val="24"/>
          <w:szCs w:val="24"/>
          <w:highlight w:val="none"/>
        </w:rPr>
      </w:pPr>
    </w:p>
    <w:p>
      <w:pPr>
        <w:numPr>
          <w:ilvl w:val="0"/>
          <w:numId w:val="0"/>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（二）</w:t>
      </w:r>
      <w:r>
        <w:rPr>
          <w:rFonts w:hint="eastAsia" w:ascii="宋体" w:hAnsi="宋体" w:eastAsia="宋体" w:cs="宋体"/>
          <w:b/>
          <w:bCs/>
          <w:color w:val="auto"/>
          <w:sz w:val="24"/>
          <w:szCs w:val="24"/>
          <w:highlight w:val="none"/>
        </w:rPr>
        <w:t>符合性响应证明材料</w:t>
      </w:r>
    </w:p>
    <w:p>
      <w:pPr>
        <w:pStyle w:val="8"/>
        <w:rPr>
          <w:rFonts w:hint="eastAsia" w:ascii="宋体" w:hAnsi="宋体" w:eastAsia="宋体" w:cs="宋体"/>
          <w:b/>
          <w:bCs/>
          <w:color w:val="auto"/>
          <w:sz w:val="24"/>
          <w:szCs w:val="24"/>
          <w:highlight w:val="none"/>
        </w:rPr>
      </w:pPr>
    </w:p>
    <w:p>
      <w:pPr>
        <w:rPr>
          <w:rFonts w:hint="eastAsia"/>
          <w:color w:val="auto"/>
          <w:sz w:val="24"/>
          <w:szCs w:val="24"/>
          <w:highlight w:val="none"/>
        </w:rPr>
      </w:pPr>
    </w:p>
    <w:p>
      <w:pPr>
        <w:pStyle w:val="8"/>
        <w:rPr>
          <w:rFonts w:hint="eastAsia" w:ascii="宋体" w:hAnsi="宋体" w:eastAsia="宋体" w:cs="宋体"/>
          <w:b/>
          <w:bCs/>
          <w:color w:val="auto"/>
          <w:sz w:val="24"/>
          <w:szCs w:val="24"/>
          <w:highlight w:val="none"/>
        </w:rPr>
      </w:pPr>
    </w:p>
    <w:p>
      <w:pPr>
        <w:numPr>
          <w:ilvl w:val="0"/>
          <w:numId w:val="0"/>
        </w:numPr>
        <w:spacing w:line="400" w:lineRule="exact"/>
        <w:ind w:firstLine="487" w:firstLineChars="202"/>
        <w:rPr>
          <w:rFonts w:hint="eastAsia" w:ascii="宋体" w:hAnsi="宋体" w:eastAsia="宋体" w:cs="宋体"/>
          <w:b/>
          <w:bCs/>
          <w:color w:val="auto"/>
          <w:sz w:val="24"/>
          <w:szCs w:val="24"/>
          <w:highlight w:val="none"/>
        </w:rPr>
      </w:pPr>
      <w:r>
        <w:rPr>
          <w:rFonts w:hint="eastAsia" w:ascii="宋体" w:hAnsi="宋体" w:eastAsia="宋体" w:cs="宋体"/>
          <w:b/>
          <w:bCs/>
          <w:color w:val="auto"/>
          <w:kern w:val="2"/>
          <w:sz w:val="24"/>
          <w:szCs w:val="24"/>
          <w:highlight w:val="none"/>
          <w:lang w:val="en-US" w:eastAsia="zh-CN" w:bidi="ar-SA"/>
        </w:rPr>
        <w:t>（三）</w:t>
      </w:r>
      <w:r>
        <w:rPr>
          <w:rFonts w:hint="eastAsia" w:ascii="宋体" w:hAnsi="宋体" w:eastAsia="宋体" w:cs="宋体"/>
          <w:b/>
          <w:bCs/>
          <w:color w:val="auto"/>
          <w:sz w:val="24"/>
          <w:szCs w:val="24"/>
          <w:highlight w:val="none"/>
        </w:rPr>
        <w:t>其</w:t>
      </w:r>
      <w:r>
        <w:rPr>
          <w:rFonts w:hint="eastAsia" w:ascii="宋体" w:hAnsi="宋体" w:eastAsia="宋体" w:cs="宋体"/>
          <w:b/>
          <w:bCs/>
          <w:color w:val="auto"/>
          <w:sz w:val="24"/>
          <w:szCs w:val="24"/>
          <w:highlight w:val="none"/>
          <w:lang w:eastAsia="zh-CN"/>
        </w:rPr>
        <w:t>他</w:t>
      </w:r>
      <w:r>
        <w:rPr>
          <w:rFonts w:hint="eastAsia" w:ascii="宋体" w:hAnsi="宋体" w:eastAsia="宋体" w:cs="宋体"/>
          <w:b/>
          <w:bCs/>
          <w:color w:val="auto"/>
          <w:sz w:val="24"/>
          <w:szCs w:val="24"/>
          <w:highlight w:val="none"/>
        </w:rPr>
        <w:t>有效证明材料</w:t>
      </w:r>
    </w:p>
    <w:p>
      <w:pPr>
        <w:pStyle w:val="26"/>
        <w:rPr>
          <w:rFonts w:hint="eastAsia" w:ascii="宋体" w:hAnsi="宋体" w:eastAsia="宋体" w:cs="宋体"/>
          <w:color w:val="auto"/>
          <w:sz w:val="21"/>
          <w:szCs w:val="21"/>
          <w:highlight w:val="none"/>
        </w:rPr>
      </w:pPr>
    </w:p>
    <w:p>
      <w:pPr>
        <w:tabs>
          <w:tab w:val="left" w:pos="5040"/>
        </w:tabs>
        <w:spacing w:line="400" w:lineRule="exact"/>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5"/>
        <w:numPr>
          <w:ilvl w:val="0"/>
          <w:numId w:val="0"/>
        </w:numPr>
        <w:jc w:val="both"/>
        <w:rPr>
          <w:rFonts w:hint="eastAsia" w:ascii="宋体" w:hAnsi="宋体" w:eastAsia="宋体" w:cs="宋体"/>
          <w:color w:val="auto"/>
          <w:sz w:val="21"/>
          <w:szCs w:val="21"/>
          <w:highlight w:val="none"/>
          <w:lang w:eastAsia="zh-CN"/>
        </w:rPr>
      </w:pPr>
      <w:bookmarkStart w:id="1959" w:name="_Toc497927071"/>
      <w:bookmarkStart w:id="1960" w:name="_Toc11067"/>
      <w:bookmarkStart w:id="1961" w:name="_Toc7185"/>
      <w:r>
        <w:rPr>
          <w:rFonts w:hint="eastAsia" w:ascii="宋体" w:hAnsi="宋体" w:eastAsia="宋体" w:cs="宋体"/>
          <w:color w:val="auto"/>
          <w:sz w:val="21"/>
          <w:szCs w:val="21"/>
          <w:highlight w:val="none"/>
          <w:lang w:eastAsia="zh-CN"/>
        </w:rPr>
        <w:t>（一）</w:t>
      </w:r>
      <w:r>
        <w:rPr>
          <w:rFonts w:hint="eastAsia" w:ascii="宋体" w:hAnsi="宋体" w:eastAsia="宋体" w:cs="宋体"/>
          <w:color w:val="auto"/>
          <w:sz w:val="21"/>
          <w:szCs w:val="21"/>
          <w:highlight w:val="none"/>
        </w:rPr>
        <w:t>资格性响应证明材料目录</w:t>
      </w:r>
      <w:bookmarkEnd w:id="1959"/>
      <w:bookmarkEnd w:id="1960"/>
      <w:bookmarkEnd w:id="1961"/>
      <w:r>
        <w:rPr>
          <w:rFonts w:hint="eastAsia" w:ascii="宋体" w:hAnsi="宋体" w:eastAsia="宋体" w:cs="宋体"/>
          <w:color w:val="auto"/>
          <w:sz w:val="21"/>
          <w:szCs w:val="21"/>
          <w:highlight w:val="none"/>
          <w:lang w:eastAsia="zh-CN"/>
        </w:rPr>
        <w:t>（根据所提供内容自行编写）</w:t>
      </w:r>
    </w:p>
    <w:p>
      <w:pPr>
        <w:rPr>
          <w:rFonts w:hint="eastAsia" w:ascii="宋体" w:hAnsi="宋体" w:eastAsia="宋体" w:cs="宋体"/>
          <w:color w:val="auto"/>
          <w:sz w:val="21"/>
          <w:szCs w:val="21"/>
          <w:highlight w:val="none"/>
        </w:rPr>
      </w:pPr>
    </w:p>
    <w:p>
      <w:pPr>
        <w:keepNext w:val="0"/>
        <w:keepLines w:val="0"/>
        <w:pageBreakBefore w:val="0"/>
        <w:widowControl w:val="0"/>
        <w:tabs>
          <w:tab w:val="left" w:pos="3570"/>
        </w:tabs>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供应商相应的法定代表人、负责人、自然人身份证正反两面复印件</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tabs>
          <w:tab w:val="left" w:pos="3570"/>
        </w:tabs>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.供应商的授权委托书</w:t>
      </w:r>
      <w:r>
        <w:rPr>
          <w:rFonts w:hint="eastAsia" w:ascii="宋体" w:hAnsi="宋体" w:eastAsia="宋体" w:cs="宋体"/>
          <w:color w:val="auto"/>
          <w:sz w:val="21"/>
          <w:szCs w:val="21"/>
          <w:highlight w:val="none"/>
          <w:lang w:eastAsia="zh-CN"/>
        </w:rPr>
        <w:t>原件</w:t>
      </w:r>
      <w:r>
        <w:rPr>
          <w:rFonts w:hint="eastAsia" w:ascii="宋体" w:hAnsi="宋体" w:eastAsia="宋体" w:cs="宋体"/>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color w:val="auto"/>
          <w:sz w:val="21"/>
          <w:szCs w:val="21"/>
          <w:highlight w:val="none"/>
          <w:lang w:eastAsia="zh-CN"/>
        </w:rPr>
        <w:t>（委托代理时必须提供）。</w:t>
      </w:r>
      <w:r>
        <w:rPr>
          <w:rFonts w:hint="eastAsia" w:ascii="宋体" w:hAnsi="宋体" w:eastAsia="宋体" w:cs="宋体"/>
          <w:color w:val="auto"/>
          <w:sz w:val="21"/>
          <w:szCs w:val="21"/>
          <w:highlight w:val="none"/>
        </w:rPr>
        <w:t>除供应商为以下三种情形的：</w:t>
      </w:r>
    </w:p>
    <w:p>
      <w:pPr>
        <w:keepNext w:val="0"/>
        <w:keepLines w:val="0"/>
        <w:pageBreakBefore w:val="0"/>
        <w:widowControl w:val="0"/>
        <w:tabs>
          <w:tab w:val="left" w:pos="3570"/>
        </w:tabs>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如供应商为截标时间前60日以内成立的公司，可以提供供应商与委托代理人签订的劳动合同复印件代替社保证明复印件；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（2）如供应商为事业单位，可以提供事业单位机构编制管理证复印件或事业单位机构为其发放工资的工资条复印件代替社保证明复印件；</w:t>
      </w:r>
    </w:p>
    <w:p>
      <w:pPr>
        <w:keepNext w:val="0"/>
        <w:keepLines w:val="0"/>
        <w:pageBreakBefore w:val="0"/>
        <w:widowControl w:val="0"/>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（3）如委托代理人为免缴纳社保人员，提供免缴纳社保的证明材料复印件及供应商与委托代理人签订的劳动合同复印件代替社保证明复印件。</w:t>
      </w:r>
    </w:p>
    <w:p>
      <w:pPr>
        <w:keepNext w:val="0"/>
        <w:keepLines w:val="0"/>
        <w:pageBreakBefore w:val="0"/>
        <w:widowControl w:val="0"/>
        <w:kinsoku/>
        <w:wordWrap/>
        <w:overflowPunct/>
        <w:topLinePunct w:val="0"/>
        <w:autoSpaceDE/>
        <w:autoSpaceDN/>
        <w:bidi w:val="0"/>
        <w:adjustRightInd/>
        <w:snapToGrid/>
        <w:spacing w:line="380" w:lineRule="exact"/>
        <w:ind w:lef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属</w:t>
      </w:r>
      <w:r>
        <w:rPr>
          <w:rFonts w:hint="eastAsia" w:ascii="宋体" w:hAnsi="宋体" w:eastAsia="宋体" w:cs="宋体"/>
          <w:b/>
          <w:bCs/>
          <w:color w:val="auto"/>
          <w:sz w:val="21"/>
          <w:szCs w:val="21"/>
          <w:highlight w:val="none"/>
        </w:rPr>
        <w:t>自然人的应提供由县级以上（含县级）社会养老保险经办机构出具的自然人本人及委托代理人所交纳的响应文件递交截止时间前半年内任意连续三个月社保证明复印件</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（委托代理时必须提供）</w:t>
      </w:r>
      <w:r>
        <w:rPr>
          <w:rFonts w:hint="eastAsia" w:ascii="宋体" w:hAnsi="宋体" w:eastAsia="宋体" w:cs="宋体"/>
          <w:color w:val="auto"/>
          <w:sz w:val="21"/>
          <w:szCs w:val="21"/>
          <w:highlight w:val="none"/>
          <w:lang w:eastAsia="zh-CN"/>
        </w:rPr>
        <w:t>；</w:t>
      </w:r>
    </w:p>
    <w:p>
      <w:pPr>
        <w:keepNext w:val="0"/>
        <w:keepLines w:val="0"/>
        <w:pageBreakBefore w:val="0"/>
        <w:widowControl w:val="0"/>
        <w:tabs>
          <w:tab w:val="left" w:pos="3570"/>
        </w:tabs>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供应商参加政府采购活动前3年内在经营活动中没有重大违法记录及有关信用信息的书面声明</w:t>
      </w:r>
      <w:r>
        <w:rPr>
          <w:rFonts w:hint="eastAsia" w:ascii="宋体" w:hAnsi="宋体" w:eastAsia="宋体" w:cs="宋体"/>
          <w:b/>
          <w:bCs/>
          <w:color w:val="auto"/>
          <w:sz w:val="21"/>
          <w:szCs w:val="21"/>
          <w:highlight w:val="none"/>
        </w:rPr>
        <w:t>（必须提供）</w:t>
      </w:r>
      <w:r>
        <w:rPr>
          <w:rFonts w:hint="eastAsia" w:ascii="宋体" w:hAnsi="宋体" w:eastAsia="宋体" w:cs="宋体"/>
          <w:color w:val="auto"/>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供应商的法人或者其他组织营业执照等证明文件复印件</w:t>
      </w:r>
      <w:r>
        <w:rPr>
          <w:rFonts w:hint="eastAsia" w:ascii="宋体" w:hAnsi="宋体" w:eastAsia="宋体" w:cs="宋体"/>
          <w:b/>
          <w:bCs w:val="0"/>
          <w:color w:val="auto"/>
          <w:kern w:val="0"/>
          <w:sz w:val="21"/>
          <w:szCs w:val="21"/>
          <w:highlight w:val="none"/>
        </w:rPr>
        <w:t>（必须提供，自然人除外）</w:t>
      </w:r>
      <w:r>
        <w:rPr>
          <w:rFonts w:hint="eastAsia" w:ascii="宋体" w:hAnsi="宋体" w:eastAsia="宋体" w:cs="宋体"/>
          <w:bCs/>
          <w:color w:val="auto"/>
          <w:kern w:val="0"/>
          <w:sz w:val="21"/>
          <w:szCs w:val="21"/>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5.</w:t>
      </w:r>
      <w:r>
        <w:rPr>
          <w:rFonts w:hint="eastAsia" w:ascii="宋体" w:hAnsi="宋体" w:eastAsia="宋体" w:cs="宋体"/>
          <w:bCs/>
          <w:color w:val="auto"/>
          <w:kern w:val="0"/>
          <w:sz w:val="21"/>
          <w:szCs w:val="21"/>
          <w:highlight w:val="none"/>
        </w:rPr>
        <w:t>供应商有效的资质证书复印件</w:t>
      </w:r>
      <w:r>
        <w:rPr>
          <w:rFonts w:hint="eastAsia" w:ascii="宋体" w:hAnsi="宋体" w:eastAsia="宋体" w:cs="宋体"/>
          <w:b/>
          <w:bCs w:val="0"/>
          <w:color w:val="auto"/>
          <w:kern w:val="0"/>
          <w:sz w:val="21"/>
          <w:szCs w:val="21"/>
          <w:highlight w:val="none"/>
          <w:lang w:val="en-US" w:eastAsia="zh-CN"/>
        </w:rPr>
        <w:t>（必须提供）</w:t>
      </w:r>
      <w:r>
        <w:rPr>
          <w:rFonts w:hint="eastAsia" w:ascii="宋体" w:hAnsi="宋体" w:eastAsia="宋体" w:cs="宋体"/>
          <w:bCs/>
          <w:color w:val="auto"/>
          <w:kern w:val="0"/>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6.</w:t>
      </w:r>
      <w:r>
        <w:rPr>
          <w:rFonts w:hint="eastAsia" w:ascii="宋体" w:hAnsi="宋体" w:cs="宋体"/>
          <w:bCs/>
          <w:color w:val="auto"/>
          <w:kern w:val="0"/>
          <w:sz w:val="21"/>
          <w:szCs w:val="21"/>
          <w:highlight w:val="none"/>
          <w:lang w:val="en-US" w:eastAsia="zh-CN"/>
        </w:rPr>
        <w:t>《</w:t>
      </w:r>
      <w:r>
        <w:rPr>
          <w:rFonts w:hint="eastAsia" w:ascii="宋体" w:hAnsi="宋体" w:eastAsia="宋体" w:cs="宋体"/>
          <w:bCs/>
          <w:color w:val="auto"/>
          <w:kern w:val="0"/>
          <w:sz w:val="21"/>
          <w:szCs w:val="21"/>
          <w:highlight w:val="none"/>
          <w:lang w:val="en-US" w:eastAsia="zh-CN"/>
        </w:rPr>
        <w:t>中小企业声明函》或《残疾人福利性单位声明函》或省级以上监狱管理局、戒毒管理局（含新疆生产建设兵团）出具的属于监狱企业的证明文件复印件</w:t>
      </w:r>
      <w:r>
        <w:rPr>
          <w:rFonts w:hint="eastAsia" w:ascii="宋体" w:hAnsi="宋体" w:eastAsia="宋体" w:cs="宋体"/>
          <w:b/>
          <w:bCs w:val="0"/>
          <w:color w:val="auto"/>
          <w:kern w:val="0"/>
          <w:sz w:val="21"/>
          <w:szCs w:val="21"/>
          <w:highlight w:val="none"/>
          <w:lang w:val="en-US" w:eastAsia="zh-CN"/>
        </w:rPr>
        <w:t>（必须提供其中一项）</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0"/>
          <w:sz w:val="21"/>
          <w:szCs w:val="21"/>
          <w:highlight w:val="none"/>
          <w:lang w:val="en-US" w:eastAsia="zh-CN"/>
        </w:rPr>
        <w:t>7.</w:t>
      </w:r>
      <w:r>
        <w:rPr>
          <w:rFonts w:hint="eastAsia" w:ascii="宋体" w:hAnsi="宋体" w:eastAsia="宋体" w:cs="宋体"/>
          <w:bCs/>
          <w:color w:val="auto"/>
          <w:kern w:val="0"/>
          <w:sz w:val="21"/>
          <w:szCs w:val="21"/>
          <w:highlight w:val="none"/>
        </w:rPr>
        <w:t>供应商有效的安全生产许可证书复印件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8.供应商2022年度财务状况报告复印件</w:t>
      </w:r>
      <w:r>
        <w:rPr>
          <w:rFonts w:hint="eastAsia" w:ascii="宋体" w:hAnsi="宋体" w:eastAsia="宋体" w:cs="宋体"/>
          <w:b/>
          <w:bCs/>
          <w:color w:val="auto"/>
          <w:sz w:val="21"/>
          <w:szCs w:val="21"/>
          <w:highlight w:val="none"/>
          <w:lang w:val="en-US" w:eastAsia="zh-CN"/>
        </w:rPr>
        <w:t>（必须提供，可以是磋商供应商自行编制也可是通过第三方审计公司编制，如为自行编制至少须提供现金流量表、负债表及利润表；对于从取得营业执照时间起到投标截止时间为止不足要求年数的企业，只需提交企业取得营业执照年份至所要求最近年份经审计的财务报表，若是投标当年成立的企业，其财务报表不要求经审计）</w:t>
      </w:r>
      <w:r>
        <w:rPr>
          <w:rFonts w:hint="eastAsia" w:ascii="宋体" w:hAnsi="宋体" w:eastAsia="宋体" w:cs="宋体"/>
          <w:b w:val="0"/>
          <w:bCs w:val="0"/>
          <w:color w:val="auto"/>
          <w:sz w:val="21"/>
          <w:szCs w:val="21"/>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80" w:lineRule="exact"/>
        <w:ind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9.供应商近半年内任意一个月或任一季度依法缴纳税收的证明材料[增值税缴纳发票(税收完税证明)或企业所得税完税证明或税务部门出具的免税证明]复印件</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spacing w:line="440" w:lineRule="atLeast"/>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1"/>
          <w:szCs w:val="21"/>
          <w:highlight w:val="none"/>
          <w:lang w:val="en-US" w:eastAsia="zh-CN"/>
        </w:rPr>
      </w:pPr>
    </w:p>
    <w:p>
      <w:pPr>
        <w:pStyle w:val="10"/>
        <w:ind w:left="0" w:leftChars="0" w:firstLine="0" w:firstLineChars="0"/>
        <w:rPr>
          <w:rFonts w:hint="eastAsia" w:ascii="宋体" w:hAnsi="宋体" w:eastAsia="宋体" w:cs="宋体"/>
          <w:b/>
          <w:color w:val="auto"/>
          <w:sz w:val="24"/>
          <w:szCs w:val="24"/>
          <w:highlight w:val="none"/>
          <w:lang w:val="en-US" w:eastAsia="zh-CN"/>
        </w:rPr>
      </w:pPr>
    </w:p>
    <w:p>
      <w:pPr>
        <w:pStyle w:val="10"/>
        <w:ind w:left="0" w:leftChars="0" w:firstLine="0" w:firstLineChars="0"/>
        <w:rPr>
          <w:rFonts w:hint="eastAsia" w:ascii="宋体" w:hAnsi="宋体" w:eastAsia="宋体" w:cs="宋体"/>
          <w:b/>
          <w:color w:val="auto"/>
          <w:sz w:val="24"/>
          <w:szCs w:val="24"/>
          <w:highlight w:val="none"/>
          <w:lang w:val="en-US" w:eastAsia="zh-CN"/>
        </w:rPr>
      </w:pPr>
    </w:p>
    <w:p>
      <w:pPr>
        <w:pStyle w:val="10"/>
        <w:ind w:left="0" w:leftChars="0" w:firstLine="0" w:firstLineChars="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资格性响应证明材料排序：</w:t>
      </w:r>
    </w:p>
    <w:p>
      <w:pPr>
        <w:numPr>
          <w:ilvl w:val="0"/>
          <w:numId w:val="0"/>
        </w:num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kern w:val="2"/>
          <w:sz w:val="24"/>
          <w:szCs w:val="24"/>
          <w:highlight w:val="none"/>
          <w:lang w:val="en-US" w:eastAsia="zh-CN" w:bidi="ar-SA"/>
        </w:rPr>
        <w:t>1.</w:t>
      </w:r>
      <w:r>
        <w:rPr>
          <w:rFonts w:hint="eastAsia" w:ascii="宋体" w:hAnsi="宋体" w:eastAsia="宋体" w:cs="宋体"/>
          <w:b/>
          <w:bCs w:val="0"/>
          <w:color w:val="auto"/>
          <w:sz w:val="24"/>
          <w:szCs w:val="24"/>
          <w:highlight w:val="none"/>
        </w:rPr>
        <w:t>供应商相应的法定代表人、负责人、自然人身份证正反两面复印件（必须提供）；</w:t>
      </w:r>
    </w:p>
    <w:p>
      <w:pPr>
        <w:spacing w:line="440" w:lineRule="atLeast"/>
        <w:rPr>
          <w:rFonts w:hint="eastAsia" w:ascii="宋体" w:hAnsi="宋体" w:eastAsia="宋体" w:cs="宋体"/>
          <w:b/>
          <w:bCs w:val="0"/>
          <w:color w:val="auto"/>
          <w:sz w:val="24"/>
          <w:szCs w:val="24"/>
          <w:highlight w:val="none"/>
          <w:lang w:val="en-US" w:eastAsia="zh-CN"/>
        </w:rPr>
      </w:pPr>
    </w:p>
    <w:p>
      <w:pPr>
        <w:spacing w:line="440" w:lineRule="atLeast"/>
        <w:rPr>
          <w:rFonts w:hint="eastAsia" w:ascii="宋体" w:hAnsi="宋体" w:eastAsia="宋体" w:cs="宋体"/>
          <w:b/>
          <w:bCs w:val="0"/>
          <w:color w:val="auto"/>
          <w:sz w:val="24"/>
          <w:szCs w:val="24"/>
          <w:highlight w:val="none"/>
          <w:lang w:val="en-US" w:eastAsia="zh-CN"/>
        </w:rPr>
      </w:pP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2</w:t>
      </w:r>
      <w:r>
        <w:rPr>
          <w:rFonts w:hint="eastAsia" w:ascii="宋体" w:hAnsi="宋体" w:eastAsia="宋体" w:cs="宋体"/>
          <w:b/>
          <w:bCs w:val="0"/>
          <w:color w:val="auto"/>
          <w:sz w:val="24"/>
          <w:szCs w:val="24"/>
          <w:highlight w:val="none"/>
        </w:rPr>
        <w:t>.供应商的授权委托书</w:t>
      </w:r>
      <w:r>
        <w:rPr>
          <w:rFonts w:hint="eastAsia" w:ascii="宋体" w:hAnsi="宋体" w:eastAsia="宋体" w:cs="宋体"/>
          <w:b/>
          <w:bCs w:val="0"/>
          <w:color w:val="auto"/>
          <w:sz w:val="24"/>
          <w:szCs w:val="24"/>
          <w:highlight w:val="none"/>
          <w:lang w:eastAsia="zh-CN"/>
        </w:rPr>
        <w:t>原件</w:t>
      </w:r>
      <w:r>
        <w:rPr>
          <w:rFonts w:hint="eastAsia" w:ascii="宋体" w:hAnsi="宋体" w:eastAsia="宋体" w:cs="宋体"/>
          <w:b/>
          <w:bCs w:val="0"/>
          <w:color w:val="auto"/>
          <w:sz w:val="24"/>
          <w:szCs w:val="24"/>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bCs w:val="0"/>
          <w:color w:val="auto"/>
          <w:sz w:val="24"/>
          <w:szCs w:val="24"/>
          <w:highlight w:val="none"/>
          <w:lang w:eastAsia="zh-CN"/>
        </w:rPr>
        <w:t>（委托代理时必须提供）。</w:t>
      </w:r>
      <w:r>
        <w:rPr>
          <w:rFonts w:hint="eastAsia" w:ascii="宋体" w:hAnsi="宋体" w:eastAsia="宋体" w:cs="宋体"/>
          <w:b/>
          <w:bCs w:val="0"/>
          <w:color w:val="auto"/>
          <w:sz w:val="24"/>
          <w:szCs w:val="24"/>
          <w:highlight w:val="none"/>
        </w:rPr>
        <w:t>除供应商为以下三种情形的：</w:t>
      </w: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（1）如供应商为截标时间前60日以内成立的公司，可以提供供应商与委托代理人签订的劳动合同复印件代替社保证明复印件；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（3）如委托代理人为免缴纳社保人员，提供免缴纳社保的证明材料复印件及供应商与委托代理人签订的劳动合同复印件代替社保证明复印件。</w:t>
      </w:r>
    </w:p>
    <w:p>
      <w:pPr>
        <w:spacing w:line="440" w:lineRule="atLeast"/>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rPr>
        <w:t>【</w:t>
      </w:r>
      <w:r>
        <w:rPr>
          <w:rFonts w:hint="eastAsia" w:ascii="宋体" w:hAnsi="宋体" w:eastAsia="宋体" w:cs="宋体"/>
          <w:b/>
          <w:bCs w:val="0"/>
          <w:color w:val="auto"/>
          <w:sz w:val="24"/>
          <w:szCs w:val="24"/>
          <w:highlight w:val="none"/>
          <w:lang w:eastAsia="zh-CN"/>
        </w:rPr>
        <w:t>属</w:t>
      </w:r>
      <w:r>
        <w:rPr>
          <w:rFonts w:hint="eastAsia" w:ascii="宋体" w:hAnsi="宋体" w:eastAsia="宋体" w:cs="宋体"/>
          <w:b/>
          <w:bCs w:val="0"/>
          <w:color w:val="auto"/>
          <w:sz w:val="24"/>
          <w:szCs w:val="24"/>
          <w:highlight w:val="none"/>
        </w:rPr>
        <w:t>自然人的应提供由县级以上（含县级）社会养老保险经办机构出具的自然人本人及委托代理人所交纳的响应文件递交截止时间前半年内任意连续三个月社保证明复印件】（委托代理时必须提供）</w:t>
      </w:r>
    </w:p>
    <w:p>
      <w:pPr>
        <w:spacing w:line="440" w:lineRule="atLeast"/>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2"/>
        <w:tabs>
          <w:tab w:val="left" w:pos="567"/>
        </w:tabs>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5"/>
        <w:rPr>
          <w:rFonts w:hint="eastAsia" w:ascii="宋体" w:hAnsi="宋体" w:eastAsia="宋体" w:cs="宋体"/>
          <w:color w:val="auto"/>
          <w:sz w:val="21"/>
          <w:szCs w:val="21"/>
          <w:highlight w:val="none"/>
        </w:rPr>
      </w:pPr>
    </w:p>
    <w:p>
      <w:pPr>
        <w:pStyle w:val="25"/>
        <w:rPr>
          <w:rFonts w:hint="eastAsia" w:ascii="宋体" w:hAnsi="宋体" w:eastAsia="宋体" w:cs="宋体"/>
          <w:color w:val="auto"/>
          <w:sz w:val="21"/>
          <w:szCs w:val="21"/>
          <w:highlight w:val="none"/>
        </w:rPr>
      </w:pPr>
    </w:p>
    <w:p>
      <w:pPr>
        <w:pStyle w:val="25"/>
        <w:rPr>
          <w:rFonts w:hint="eastAsia" w:ascii="宋体" w:hAnsi="宋体" w:eastAsia="宋体" w:cs="宋体"/>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p>
    <w:p>
      <w:pPr>
        <w:pStyle w:val="1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附件：            </w:t>
      </w:r>
    </w:p>
    <w:p>
      <w:pPr>
        <w:pStyle w:val="11"/>
        <w:ind w:firstLine="472" w:firstLineChars="196"/>
        <w:jc w:val="center"/>
        <w:rPr>
          <w:rFonts w:hint="eastAsia" w:ascii="宋体" w:hAnsi="宋体" w:eastAsia="宋体" w:cs="宋体"/>
          <w:b/>
          <w:color w:val="auto"/>
          <w:sz w:val="24"/>
          <w:szCs w:val="24"/>
          <w:highlight w:val="none"/>
        </w:rPr>
      </w:pPr>
      <w:bookmarkStart w:id="1962" w:name="_Toc964_WPSOffice_Level1"/>
      <w:bookmarkStart w:id="1963" w:name="_Toc5420_WPSOffice_Level1"/>
      <w:r>
        <w:rPr>
          <w:rFonts w:hint="eastAsia" w:ascii="宋体" w:hAnsi="宋体" w:eastAsia="宋体" w:cs="宋体"/>
          <w:b/>
          <w:color w:val="auto"/>
          <w:sz w:val="24"/>
          <w:szCs w:val="24"/>
          <w:highlight w:val="none"/>
        </w:rPr>
        <w:t>授权委托书（格式一）</w:t>
      </w:r>
      <w:bookmarkEnd w:id="1962"/>
      <w:bookmarkEnd w:id="1963"/>
    </w:p>
    <w:p>
      <w:pPr>
        <w:spacing w:line="40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sz w:val="21"/>
          <w:szCs w:val="21"/>
          <w:highlight w:val="none"/>
        </w:rPr>
        <w:t>致：</w:t>
      </w:r>
      <w:r>
        <w:rPr>
          <w:rFonts w:hint="eastAsia" w:ascii="宋体" w:hAnsi="宋体" w:cs="宋体"/>
          <w:color w:val="auto"/>
          <w:highlight w:val="none"/>
          <w:u w:val="single"/>
          <w:lang w:val="en-US" w:eastAsia="zh-CN"/>
        </w:rPr>
        <w:t>广西高质建设管理咨询有限公司</w:t>
      </w:r>
    </w:p>
    <w:p>
      <w:pPr>
        <w:spacing w:line="400" w:lineRule="exact"/>
        <w:rPr>
          <w:rFonts w:hint="eastAsia" w:ascii="宋体" w:hAnsi="宋体" w:eastAsia="宋体" w:cs="宋体"/>
          <w:color w:val="auto"/>
          <w:sz w:val="21"/>
          <w:szCs w:val="21"/>
          <w:highlight w:val="none"/>
        </w:rPr>
      </w:pP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（供应商名称）的法定代表人（负责人），现授权委托本单位在职职工</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名）以我公司名义参加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项目的磋商活动，并代表我方全权办理针对上述项目的磋商、签约等具体事务和签署相关文件。</w:t>
      </w: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我方对被授权人的签字事项负全部责任。</w:t>
      </w:r>
    </w:p>
    <w:p>
      <w:pPr>
        <w:pStyle w:val="11"/>
        <w:spacing w:line="40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1"/>
        <w:spacing w:line="40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40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400" w:lineRule="exact"/>
        <w:ind w:firstLine="420" w:firstLineChars="200"/>
        <w:rPr>
          <w:rFonts w:hint="eastAsia" w:ascii="宋体" w:hAnsi="宋体" w:eastAsia="宋体" w:cs="宋体"/>
          <w:color w:val="auto"/>
          <w:kern w:val="0"/>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400" w:lineRule="exact"/>
        <w:ind w:firstLine="420" w:firstLineChars="200"/>
        <w:rPr>
          <w:rFonts w:hint="eastAsia" w:ascii="宋体" w:hAnsi="宋体" w:eastAsia="宋体" w:cs="宋体"/>
          <w:color w:val="auto"/>
          <w:sz w:val="21"/>
          <w:szCs w:val="21"/>
          <w:highlight w:val="none"/>
        </w:rPr>
      </w:pPr>
    </w:p>
    <w:p>
      <w:pPr>
        <w:spacing w:line="400" w:lineRule="exact"/>
        <w:ind w:firstLine="420" w:firstLineChars="20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[公章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snapToGrid w:val="0"/>
        <w:spacing w:line="400" w:lineRule="exact"/>
        <w:ind w:firstLine="420"/>
        <w:rPr>
          <w:rFonts w:hint="eastAsia" w:ascii="宋体" w:hAnsi="宋体" w:eastAsia="宋体" w:cs="宋体"/>
          <w:color w:val="auto"/>
          <w:sz w:val="21"/>
          <w:szCs w:val="21"/>
          <w:highlight w:val="none"/>
        </w:rPr>
      </w:pP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法定代表人（负责人）签字（或</w:t>
      </w:r>
      <w:r>
        <w:rPr>
          <w:rFonts w:hint="eastAsia" w:ascii="宋体" w:hAnsi="宋体" w:eastAsia="宋体" w:cs="宋体"/>
          <w:color w:val="auto"/>
          <w:sz w:val="21"/>
          <w:szCs w:val="21"/>
          <w:highlight w:val="none"/>
          <w:lang w:eastAsia="zh-CN"/>
        </w:rPr>
        <w:t>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40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8"/>
        <w:rPr>
          <w:rFonts w:hint="eastAsia"/>
          <w:color w:val="auto"/>
          <w:highlight w:val="none"/>
        </w:rPr>
      </w:pPr>
    </w:p>
    <w:p>
      <w:pPr>
        <w:snapToGrid w:val="0"/>
        <w:spacing w:line="400" w:lineRule="exact"/>
        <w:ind w:firstLine="420"/>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附：供应商的授权委托书</w:t>
      </w:r>
      <w:r>
        <w:rPr>
          <w:rFonts w:hint="eastAsia" w:ascii="宋体" w:hAnsi="宋体" w:eastAsia="宋体" w:cs="宋体"/>
          <w:b/>
          <w:color w:val="auto"/>
          <w:sz w:val="21"/>
          <w:szCs w:val="21"/>
          <w:highlight w:val="none"/>
          <w:lang w:eastAsia="zh-CN"/>
        </w:rPr>
        <w:t>原件</w:t>
      </w:r>
      <w:r>
        <w:rPr>
          <w:rFonts w:hint="eastAsia" w:ascii="宋体" w:hAnsi="宋体" w:eastAsia="宋体" w:cs="宋体"/>
          <w:b/>
          <w:color w:val="auto"/>
          <w:sz w:val="21"/>
          <w:szCs w:val="21"/>
          <w:highlight w:val="none"/>
        </w:rPr>
        <w:t>、委托代理人身份证正反面复印件以及由县级以上（含县级）社会养老保险经办机构出具的供应商为委托代理人交纳的响应文件递交截止时间前半年内任意连续三个月社保证明复印件</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除供应商为以下三种情形的：</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 如供应商为截标时间前60日以内成立的公司，可以提供供应商与委托代理人签订的劳动合同复印件代替社保证明复印件；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（2）如供应商为事业单位，可以提供事业单位机构编制管理证复印件或事业单位机构为其发放工资的工资条复印件代替社保证明复印件；</w:t>
      </w:r>
    </w:p>
    <w:p>
      <w:pPr>
        <w:spacing w:line="440" w:lineRule="atLeas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（3）如委托代理人为免缴纳社保人员，提供免缴纳社保的证明材料复印件及供应商与委托代理人签订的劳动合同复印件代替社保证明复印件。</w:t>
      </w:r>
    </w:p>
    <w:p>
      <w:pPr>
        <w:pStyle w:val="11"/>
        <w:spacing w:line="340" w:lineRule="exact"/>
        <w:ind w:firstLine="420" w:firstLineChars="200"/>
        <w:rPr>
          <w:rFonts w:hint="eastAsia" w:ascii="宋体" w:hAnsi="宋体" w:eastAsia="宋体" w:cs="宋体"/>
          <w:color w:val="auto"/>
          <w:sz w:val="21"/>
          <w:szCs w:val="21"/>
          <w:highlight w:val="none"/>
        </w:rPr>
      </w:pPr>
    </w:p>
    <w:p>
      <w:pPr>
        <w:pStyle w:val="6"/>
        <w:rPr>
          <w:rFonts w:hint="eastAsia" w:ascii="宋体" w:hAnsi="宋体" w:eastAsia="宋体" w:cs="宋体"/>
          <w:color w:val="auto"/>
          <w:sz w:val="21"/>
          <w:szCs w:val="21"/>
          <w:highlight w:val="none"/>
        </w:rPr>
      </w:pPr>
    </w:p>
    <w:p>
      <w:pPr>
        <w:pStyle w:val="11"/>
        <w:jc w:val="center"/>
        <w:rPr>
          <w:rFonts w:hint="eastAsia" w:ascii="宋体" w:hAnsi="宋体" w:eastAsia="宋体" w:cs="宋体"/>
          <w:b/>
          <w:color w:val="auto"/>
          <w:sz w:val="21"/>
          <w:szCs w:val="21"/>
          <w:highlight w:val="none"/>
        </w:rPr>
      </w:pPr>
      <w:bookmarkStart w:id="1964" w:name="_Toc21370_WPSOffice_Level1"/>
      <w:bookmarkStart w:id="1965" w:name="_Toc6975_WPSOffice_Level1"/>
    </w:p>
    <w:p>
      <w:pPr>
        <w:pStyle w:val="11"/>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授权委托书（格式二）</w:t>
      </w:r>
      <w:bookmarkEnd w:id="1964"/>
      <w:bookmarkEnd w:id="1965"/>
    </w:p>
    <w:p>
      <w:pPr>
        <w:pStyle w:val="11"/>
        <w:jc w:val="both"/>
        <w:rPr>
          <w:rFonts w:hint="eastAsia" w:ascii="宋体" w:hAnsi="宋体" w:eastAsia="宋体" w:cs="宋体"/>
          <w:b/>
          <w:color w:val="auto"/>
          <w:sz w:val="21"/>
          <w:szCs w:val="21"/>
          <w:highlight w:val="none"/>
        </w:rPr>
      </w:pP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cs="宋体"/>
          <w:color w:val="auto"/>
          <w:highlight w:val="none"/>
          <w:u w:val="single"/>
          <w:lang w:val="en-US" w:eastAsia="zh-CN"/>
        </w:rPr>
        <w:t>广西高质建设管理咨询有限公司</w:t>
      </w:r>
    </w:p>
    <w:p>
      <w:pPr>
        <w:pStyle w:val="11"/>
        <w:jc w:val="both"/>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rPr>
      </w:pPr>
    </w:p>
    <w:p>
      <w:pPr>
        <w:pStyle w:val="11"/>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（姓名）系自然人，现授权委托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（姓 名）以本人名义参加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u w:val="single"/>
        </w:rPr>
        <w:t xml:space="preserve">（项目名称及项目编号）        </w:t>
      </w:r>
      <w:r>
        <w:rPr>
          <w:rFonts w:hint="eastAsia" w:ascii="宋体" w:hAnsi="宋体" w:eastAsia="宋体" w:cs="宋体"/>
          <w:color w:val="auto"/>
          <w:sz w:val="21"/>
          <w:szCs w:val="21"/>
          <w:highlight w:val="none"/>
        </w:rPr>
        <w:t>项目的磋商活动，并代表本人全权办理针对上述项目的磋商、签约等具体事务和签署相关文件。</w:t>
      </w:r>
    </w:p>
    <w:p>
      <w:pPr>
        <w:pStyle w:val="11"/>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本人对被授权人的签字事项负全部责任。</w:t>
      </w:r>
    </w:p>
    <w:p>
      <w:pPr>
        <w:pStyle w:val="11"/>
        <w:spacing w:line="340" w:lineRule="exact"/>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授权委托代理期限：从</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日起至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月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日止。</w:t>
      </w:r>
    </w:p>
    <w:p>
      <w:pPr>
        <w:pStyle w:val="11"/>
        <w:spacing w:line="3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w:t>
      </w:r>
    </w:p>
    <w:p>
      <w:pPr>
        <w:spacing w:line="34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代理人无转委托权,特此委托。 </w:t>
      </w:r>
    </w:p>
    <w:p>
      <w:pPr>
        <w:spacing w:line="340" w:lineRule="exact"/>
        <w:ind w:firstLine="420" w:firstLineChars="200"/>
        <w:rPr>
          <w:rFonts w:hint="eastAsia" w:ascii="宋体" w:hAnsi="宋体" w:eastAsia="宋体" w:cs="宋体"/>
          <w:color w:val="auto"/>
          <w:kern w:val="0"/>
          <w:sz w:val="21"/>
          <w:szCs w:val="21"/>
          <w:highlight w:val="none"/>
        </w:rPr>
      </w:pPr>
    </w:p>
    <w:p>
      <w:pPr>
        <w:spacing w:line="34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我已在下面签字，以资证明。</w:t>
      </w:r>
    </w:p>
    <w:p>
      <w:pPr>
        <w:spacing w:line="340" w:lineRule="exact"/>
        <w:ind w:firstLine="420" w:firstLineChars="200"/>
        <w:rPr>
          <w:rFonts w:hint="eastAsia" w:ascii="宋体" w:hAnsi="宋体" w:eastAsia="宋体" w:cs="宋体"/>
          <w:color w:val="auto"/>
          <w:sz w:val="21"/>
          <w:szCs w:val="21"/>
          <w:highlight w:val="none"/>
        </w:rPr>
      </w:pP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自然人签字并在签名处加盖大拇指指印</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snapToGrid w:val="0"/>
        <w:spacing w:line="340" w:lineRule="exact"/>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w:t>
      </w:r>
    </w:p>
    <w:p>
      <w:pPr>
        <w:pStyle w:val="8"/>
        <w:rPr>
          <w:rFonts w:hint="eastAsia"/>
          <w:color w:val="auto"/>
          <w:highlight w:val="none"/>
        </w:rPr>
      </w:pPr>
    </w:p>
    <w:p>
      <w:pPr>
        <w:pStyle w:val="11"/>
        <w:spacing w:line="400" w:lineRule="exact"/>
        <w:ind w:left="420" w:leftChars="200"/>
        <w:rPr>
          <w:rFonts w:hint="eastAsia" w:ascii="宋体" w:hAnsi="宋体" w:eastAsia="宋体" w:cs="宋体"/>
          <w:color w:val="auto"/>
          <w:sz w:val="21"/>
          <w:szCs w:val="21"/>
          <w:highlight w:val="none"/>
        </w:rPr>
      </w:pPr>
    </w:p>
    <w:p>
      <w:pPr>
        <w:pStyle w:val="11"/>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附：委托代理人身份证正反面复印件</w:t>
      </w: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b/>
          <w:color w:val="auto"/>
          <w:sz w:val="21"/>
          <w:szCs w:val="21"/>
          <w:highlight w:val="none"/>
        </w:rPr>
      </w:pPr>
    </w:p>
    <w:p>
      <w:pPr>
        <w:pStyle w:val="8"/>
        <w:rPr>
          <w:rFonts w:hint="eastAsia" w:ascii="宋体" w:hAnsi="宋体" w:eastAsia="宋体" w:cs="宋体"/>
          <w:b/>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3</w:t>
      </w:r>
      <w:r>
        <w:rPr>
          <w:rFonts w:hint="eastAsia" w:ascii="宋体" w:hAnsi="宋体" w:eastAsia="宋体" w:cs="宋体"/>
          <w:b/>
          <w:color w:val="auto"/>
          <w:sz w:val="24"/>
          <w:szCs w:val="24"/>
          <w:highlight w:val="none"/>
        </w:rPr>
        <w:t>.供应商参加政府采购活动前3年内在经营活动中没有重大违法记录及有关信用信息的书面声明（必须提供）；</w:t>
      </w:r>
    </w:p>
    <w:p>
      <w:pPr>
        <w:pStyle w:val="11"/>
        <w:spacing w:line="400" w:lineRule="exact"/>
        <w:ind w:left="420" w:leftChars="200" w:firstLine="103" w:firstLineChars="4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Style w:val="11"/>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Style w:val="11"/>
        <w:spacing w:line="400" w:lineRule="exact"/>
        <w:jc w:val="center"/>
        <w:rPr>
          <w:rFonts w:hint="eastAsia" w:ascii="宋体" w:hAnsi="宋体" w:eastAsia="宋体" w:cs="宋体"/>
          <w:b/>
          <w:color w:val="auto"/>
          <w:sz w:val="21"/>
          <w:szCs w:val="21"/>
          <w:highlight w:val="none"/>
        </w:rPr>
      </w:pPr>
      <w:bookmarkStart w:id="1966" w:name="_Toc30304_WPSOffice_Level1"/>
      <w:bookmarkStart w:id="1967" w:name="_Toc30890_WPSOffice_Level1"/>
      <w:r>
        <w:rPr>
          <w:rFonts w:hint="eastAsia" w:ascii="宋体" w:hAnsi="宋体" w:eastAsia="宋体" w:cs="宋体"/>
          <w:b/>
          <w:color w:val="auto"/>
          <w:sz w:val="21"/>
          <w:szCs w:val="21"/>
          <w:highlight w:val="none"/>
        </w:rPr>
        <w:t>声   明</w:t>
      </w:r>
      <w:bookmarkEnd w:id="1966"/>
      <w:bookmarkEnd w:id="1967"/>
    </w:p>
    <w:p>
      <w:pPr>
        <w:pStyle w:val="11"/>
        <w:spacing w:line="400" w:lineRule="exact"/>
        <w:jc w:val="both"/>
        <w:rPr>
          <w:rFonts w:hint="eastAsia" w:ascii="宋体" w:hAnsi="宋体" w:eastAsia="宋体" w:cs="宋体"/>
          <w:b/>
          <w:color w:val="auto"/>
          <w:sz w:val="21"/>
          <w:szCs w:val="21"/>
          <w:highlight w:val="none"/>
        </w:rPr>
      </w:pPr>
    </w:p>
    <w:p>
      <w:pPr>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致</w:t>
      </w:r>
      <w:r>
        <w:rPr>
          <w:rFonts w:hint="eastAsia" w:ascii="宋体" w:hAnsi="宋体" w:eastAsia="宋体" w:cs="宋体"/>
          <w:color w:val="auto"/>
          <w:sz w:val="21"/>
          <w:szCs w:val="21"/>
          <w:highlight w:val="none"/>
        </w:rPr>
        <w:t>：</w:t>
      </w:r>
      <w:r>
        <w:rPr>
          <w:rFonts w:hint="eastAsia" w:ascii="宋体" w:hAnsi="宋体" w:cs="宋体"/>
          <w:color w:val="auto"/>
          <w:highlight w:val="none"/>
          <w:u w:val="single"/>
          <w:lang w:val="en-US" w:eastAsia="zh-CN"/>
        </w:rPr>
        <w:t>广西高质建设管理咨询有限公司</w:t>
      </w:r>
    </w:p>
    <w:p>
      <w:pPr>
        <w:pStyle w:val="11"/>
        <w:spacing w:line="400" w:lineRule="exact"/>
        <w:jc w:val="both"/>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u w:val="single"/>
        </w:rPr>
      </w:pPr>
    </w:p>
    <w:p>
      <w:pPr>
        <w:pStyle w:val="8"/>
        <w:rPr>
          <w:rFonts w:hint="eastAsia" w:ascii="宋体" w:hAnsi="宋体" w:eastAsia="宋体" w:cs="宋体"/>
          <w:color w:val="auto"/>
          <w:sz w:val="21"/>
          <w:szCs w:val="21"/>
          <w:highlight w:val="none"/>
        </w:rPr>
      </w:pPr>
    </w:p>
    <w:p>
      <w:pPr>
        <w:pStyle w:val="11"/>
        <w:spacing w:line="40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公司）郑重声明，在参加本项目政府采购活动前3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rPr>
          <w:rFonts w:hint="eastAsia" w:ascii="宋体" w:hAnsi="宋体" w:eastAsia="宋体" w:cs="宋体"/>
          <w:color w:val="auto"/>
          <w:sz w:val="21"/>
          <w:szCs w:val="21"/>
          <w:highlight w:val="none"/>
        </w:rPr>
      </w:pPr>
    </w:p>
    <w:p>
      <w:pPr>
        <w:snapToGrid w:val="0"/>
        <w:spacing w:line="400" w:lineRule="exact"/>
        <w:ind w:firstLine="1890" w:firstLineChars="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ind w:firstLine="3990" w:firstLineChars="1900"/>
        <w:rPr>
          <w:rFonts w:hint="eastAsia" w:ascii="宋体" w:hAnsi="宋体" w:eastAsia="宋体" w:cs="宋体"/>
          <w:color w:val="auto"/>
          <w:sz w:val="21"/>
          <w:szCs w:val="21"/>
          <w:highlight w:val="none"/>
        </w:rPr>
      </w:pPr>
    </w:p>
    <w:p>
      <w:pPr>
        <w:pStyle w:val="11"/>
        <w:ind w:firstLine="3990" w:firstLineChars="19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11"/>
        <w:spacing w:line="340" w:lineRule="exact"/>
        <w:rPr>
          <w:rFonts w:hint="eastAsia" w:ascii="宋体" w:hAnsi="宋体" w:eastAsia="宋体" w:cs="宋体"/>
          <w:b/>
          <w:color w:val="auto"/>
          <w:sz w:val="21"/>
          <w:szCs w:val="21"/>
          <w:highlight w:val="none"/>
        </w:rPr>
      </w:pPr>
    </w:p>
    <w:p>
      <w:pPr>
        <w:pStyle w:val="11"/>
        <w:spacing w:line="340" w:lineRule="exact"/>
        <w:rPr>
          <w:rFonts w:hint="eastAsia" w:ascii="宋体" w:hAnsi="宋体" w:eastAsia="宋体" w:cs="宋体"/>
          <w:b/>
          <w:color w:val="auto"/>
          <w:sz w:val="21"/>
          <w:szCs w:val="21"/>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4</w:t>
      </w:r>
      <w:r>
        <w:rPr>
          <w:rFonts w:hint="eastAsia" w:ascii="宋体" w:hAnsi="宋体" w:eastAsia="宋体" w:cs="宋体"/>
          <w:b/>
          <w:color w:val="auto"/>
          <w:sz w:val="24"/>
          <w:szCs w:val="24"/>
          <w:highlight w:val="none"/>
        </w:rPr>
        <w:t>.供应商的法人或者其他组织营业执照等证明文件复印件（必须提供，自然人除外）；</w:t>
      </w:r>
    </w:p>
    <w:p>
      <w:pPr>
        <w:tabs>
          <w:tab w:val="left" w:pos="1305"/>
        </w:tabs>
        <w:spacing w:line="340" w:lineRule="exact"/>
        <w:rPr>
          <w:rFonts w:hint="eastAsia" w:ascii="宋体" w:hAnsi="宋体" w:eastAsia="宋体" w:cs="宋体"/>
          <w:b/>
          <w:color w:val="auto"/>
          <w:sz w:val="21"/>
          <w:szCs w:val="21"/>
          <w:highlight w:val="none"/>
        </w:rPr>
      </w:pPr>
    </w:p>
    <w:p>
      <w:pPr>
        <w:tabs>
          <w:tab w:val="left" w:pos="1305"/>
        </w:tabs>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注：①法人包括企业法人、机关法人、事业单位法人和社会团体法人；其他组织主要包括合伙企业、非企业专业服务机构、个体工商户、农村承包经营户。②如供应商为企业（包括合伙企业），应提供工商部门注册的有效“企业法人营业执照”或“营业执照</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；供应商为事业单位，应提供有效的“事业单位法人证书”；供应商为非企业专业服务机构的，应提供执业许可证等证明文件；供应商为个体工商户，应提供有效的“个体工商户营业执照”。</w:t>
      </w:r>
    </w:p>
    <w:p>
      <w:pPr>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rPr>
          <w:rFonts w:hint="eastAsia"/>
          <w:color w:val="auto"/>
          <w:highlight w:val="none"/>
        </w:rPr>
      </w:pPr>
    </w:p>
    <w:p>
      <w:pPr>
        <w:rPr>
          <w:rFonts w:hint="eastAsia"/>
          <w:color w:val="auto"/>
          <w:highlight w:val="none"/>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5.供应商有效的资质证书复印件（必须提供）；</w:t>
      </w:r>
    </w:p>
    <w:p>
      <w:pPr>
        <w:pStyle w:val="6"/>
        <w:numPr>
          <w:ilvl w:val="0"/>
          <w:numId w:val="0"/>
        </w:numPr>
        <w:ind w:leftChars="200"/>
        <w:rPr>
          <w:rFonts w:hint="eastAsia" w:ascii="宋体" w:hAnsi="宋体" w:eastAsia="宋体" w:cs="宋体"/>
          <w:color w:val="auto"/>
          <w:sz w:val="21"/>
          <w:szCs w:val="21"/>
          <w:highlight w:val="none"/>
          <w:lang w:val="en-US" w:eastAsia="zh-CN"/>
        </w:rPr>
      </w:pPr>
    </w:p>
    <w:p>
      <w:pPr>
        <w:pStyle w:val="11"/>
        <w:spacing w:line="340" w:lineRule="exact"/>
        <w:rPr>
          <w:rFonts w:hint="eastAsia" w:ascii="宋体" w:hAnsi="宋体" w:eastAsia="宋体" w:cs="宋体"/>
          <w:b/>
          <w:color w:val="auto"/>
          <w:sz w:val="21"/>
          <w:szCs w:val="21"/>
          <w:highlight w:val="none"/>
          <w:lang w:val="en-US" w:eastAsia="zh-CN"/>
        </w:rPr>
      </w:pPr>
    </w:p>
    <w:p>
      <w:pPr>
        <w:pStyle w:val="11"/>
        <w:spacing w:line="340" w:lineRule="exact"/>
        <w:rPr>
          <w:rFonts w:hint="eastAsia" w:ascii="宋体" w:hAnsi="宋体" w:eastAsia="宋体" w:cs="宋体"/>
          <w:b/>
          <w:color w:val="auto"/>
          <w:sz w:val="21"/>
          <w:szCs w:val="21"/>
          <w:highlight w:val="none"/>
          <w:lang w:val="en-US" w:eastAsia="zh-CN"/>
        </w:rPr>
      </w:pPr>
    </w:p>
    <w:p>
      <w:pPr>
        <w:pStyle w:val="11"/>
        <w:spacing w:line="340" w:lineRule="exact"/>
        <w:rPr>
          <w:rFonts w:hint="eastAsia" w:ascii="宋体" w:hAnsi="宋体" w:eastAsia="宋体" w:cs="宋体"/>
          <w:b/>
          <w:color w:val="auto"/>
          <w:sz w:val="21"/>
          <w:szCs w:val="21"/>
          <w:highlight w:val="none"/>
          <w:lang w:val="en-US" w:eastAsia="zh-CN"/>
        </w:rPr>
      </w:pPr>
    </w:p>
    <w:p>
      <w:pPr>
        <w:pStyle w:val="11"/>
        <w:spacing w:line="340" w:lineRule="exact"/>
        <w:rPr>
          <w:rFonts w:hint="eastAsia" w:ascii="宋体" w:hAnsi="宋体" w:eastAsia="宋体" w:cs="宋体"/>
          <w:b/>
          <w:color w:val="auto"/>
          <w:sz w:val="21"/>
          <w:szCs w:val="21"/>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bCs/>
          <w:iCs/>
          <w:color w:val="auto"/>
          <w:kern w:val="2"/>
          <w:sz w:val="24"/>
          <w:szCs w:val="24"/>
          <w:highlight w:val="none"/>
          <w:lang w:val="en-US" w:eastAsia="zh-CN" w:bidi="ar-SA"/>
        </w:rPr>
        <w:t>6.</w:t>
      </w:r>
      <w:r>
        <w:rPr>
          <w:rFonts w:hint="eastAsia" w:ascii="宋体" w:hAnsi="宋体" w:eastAsia="宋体" w:cs="宋体"/>
          <w:b/>
          <w:color w:val="auto"/>
          <w:sz w:val="24"/>
          <w:szCs w:val="24"/>
          <w:highlight w:val="none"/>
          <w:lang w:val="en-US" w:eastAsia="zh-CN"/>
        </w:rPr>
        <w:t>中小企业声明函》或《残疾人福利性单位声明函》或省级以上监狱管理局、戒毒管理局（含新疆生产建设兵团）出具的属于监狱企业的证明文件复印件（必须提供其中一项）；</w:t>
      </w:r>
    </w:p>
    <w:p>
      <w:pPr>
        <w:spacing w:line="240" w:lineRule="auto"/>
        <w:rPr>
          <w:rFonts w:hint="eastAsia" w:ascii="宋体" w:hAnsi="宋体" w:eastAsia="宋体" w:cs="宋体"/>
          <w:b/>
          <w:bCs/>
          <w:iCs/>
          <w:color w:val="auto"/>
          <w:kern w:val="2"/>
          <w:sz w:val="24"/>
          <w:szCs w:val="24"/>
          <w:highlight w:val="none"/>
          <w:lang w:val="en-US" w:eastAsia="zh-CN" w:bidi="ar-SA"/>
        </w:rPr>
      </w:pPr>
    </w:p>
    <w:p>
      <w:pPr>
        <w:jc w:val="center"/>
        <w:outlineLvl w:val="9"/>
        <w:rPr>
          <w:rStyle w:val="43"/>
          <w:rFonts w:hint="eastAsia" w:ascii="宋体" w:hAnsi="宋体" w:eastAsia="宋体" w:cs="宋体"/>
          <w:b/>
          <w:bCs/>
          <w:color w:val="auto"/>
          <w:kern w:val="0"/>
          <w:sz w:val="21"/>
          <w:szCs w:val="21"/>
          <w:highlight w:val="none"/>
        </w:rPr>
      </w:pPr>
    </w:p>
    <w:p>
      <w:pPr>
        <w:jc w:val="center"/>
        <w:outlineLvl w:val="9"/>
        <w:rPr>
          <w:rStyle w:val="43"/>
          <w:rFonts w:hint="eastAsia" w:ascii="宋体" w:hAnsi="宋体" w:eastAsia="宋体" w:cs="宋体"/>
          <w:b/>
          <w:bCs/>
          <w:color w:val="auto"/>
          <w:kern w:val="0"/>
          <w:sz w:val="21"/>
          <w:szCs w:val="21"/>
          <w:highlight w:val="none"/>
        </w:rPr>
      </w:pPr>
      <w:r>
        <w:rPr>
          <w:rStyle w:val="43"/>
          <w:rFonts w:hint="eastAsia" w:ascii="宋体" w:hAnsi="宋体" w:cs="宋体"/>
          <w:b/>
          <w:bCs/>
          <w:color w:val="auto"/>
          <w:kern w:val="0"/>
          <w:sz w:val="21"/>
          <w:szCs w:val="21"/>
          <w:highlight w:val="none"/>
          <w:lang w:eastAsia="zh-CN"/>
        </w:rPr>
        <w:t>（</w:t>
      </w:r>
      <w:r>
        <w:rPr>
          <w:rStyle w:val="43"/>
          <w:rFonts w:hint="eastAsia" w:ascii="宋体" w:hAnsi="宋体" w:cs="宋体"/>
          <w:b/>
          <w:bCs/>
          <w:color w:val="auto"/>
          <w:kern w:val="0"/>
          <w:sz w:val="21"/>
          <w:szCs w:val="21"/>
          <w:highlight w:val="none"/>
          <w:lang w:val="en-US" w:eastAsia="zh-CN"/>
        </w:rPr>
        <w:t>1</w:t>
      </w:r>
      <w:r>
        <w:rPr>
          <w:rStyle w:val="43"/>
          <w:rFonts w:hint="eastAsia" w:ascii="宋体" w:hAnsi="宋体" w:cs="宋体"/>
          <w:b/>
          <w:bCs/>
          <w:color w:val="auto"/>
          <w:kern w:val="0"/>
          <w:sz w:val="21"/>
          <w:szCs w:val="21"/>
          <w:highlight w:val="none"/>
          <w:lang w:eastAsia="zh-CN"/>
        </w:rPr>
        <w:t>）</w:t>
      </w:r>
      <w:r>
        <w:rPr>
          <w:rStyle w:val="43"/>
          <w:rFonts w:hint="eastAsia" w:ascii="宋体" w:hAnsi="宋体" w:eastAsia="宋体" w:cs="宋体"/>
          <w:b/>
          <w:bCs/>
          <w:color w:val="auto"/>
          <w:kern w:val="0"/>
          <w:sz w:val="21"/>
          <w:szCs w:val="21"/>
          <w:highlight w:val="none"/>
        </w:rPr>
        <w:t>中小企业声明函（工程）</w:t>
      </w:r>
    </w:p>
    <w:p>
      <w:pPr>
        <w:pStyle w:val="44"/>
        <w:ind w:left="63" w:right="63"/>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本公司郑重声明，根据《政府采购促进中小企业发展管理办法》（财库﹝2020﹞46 号）的规定，本公司参加</w:t>
      </w:r>
      <w:r>
        <w:rPr>
          <w:rStyle w:val="43"/>
          <w:rFonts w:hint="eastAsia" w:ascii="宋体" w:hAnsi="宋体" w:eastAsia="宋体" w:cs="宋体"/>
          <w:color w:val="auto"/>
          <w:kern w:val="0"/>
          <w:sz w:val="21"/>
          <w:szCs w:val="21"/>
          <w:highlight w:val="none"/>
          <w:u w:val="single" w:color="000000"/>
        </w:rPr>
        <w:t>（单位名称）</w:t>
      </w:r>
      <w:r>
        <w:rPr>
          <w:rStyle w:val="43"/>
          <w:rFonts w:hint="eastAsia" w:ascii="宋体" w:hAnsi="宋体" w:eastAsia="宋体" w:cs="宋体"/>
          <w:color w:val="auto"/>
          <w:kern w:val="0"/>
          <w:sz w:val="21"/>
          <w:szCs w:val="21"/>
          <w:highlight w:val="none"/>
        </w:rPr>
        <w:t>的</w:t>
      </w:r>
      <w:r>
        <w:rPr>
          <w:rStyle w:val="43"/>
          <w:rFonts w:hint="eastAsia" w:ascii="宋体" w:hAnsi="宋体" w:eastAsia="宋体" w:cs="宋体"/>
          <w:color w:val="auto"/>
          <w:kern w:val="0"/>
          <w:sz w:val="21"/>
          <w:szCs w:val="21"/>
          <w:highlight w:val="none"/>
          <w:u w:val="single" w:color="000000"/>
        </w:rPr>
        <w:t>（项目名称）</w:t>
      </w:r>
      <w:r>
        <w:rPr>
          <w:rStyle w:val="43"/>
          <w:rFonts w:hint="eastAsia" w:ascii="宋体" w:hAnsi="宋体" w:eastAsia="宋体" w:cs="宋体"/>
          <w:color w:val="auto"/>
          <w:kern w:val="0"/>
          <w:sz w:val="21"/>
          <w:szCs w:val="21"/>
          <w:highlight w:val="none"/>
        </w:rPr>
        <w:t>采购活动，</w:t>
      </w:r>
      <w:r>
        <w:rPr>
          <w:rStyle w:val="43"/>
          <w:rFonts w:hint="eastAsia" w:ascii="宋体" w:hAnsi="宋体" w:eastAsia="宋体" w:cs="宋体"/>
          <w:color w:val="auto"/>
          <w:kern w:val="0"/>
          <w:sz w:val="21"/>
          <w:szCs w:val="21"/>
          <w:highlight w:val="none"/>
          <w:lang w:val="en-US" w:eastAsia="zh-CN"/>
        </w:rPr>
        <w:t>工程的施工单位</w:t>
      </w:r>
      <w:r>
        <w:rPr>
          <w:rStyle w:val="43"/>
          <w:rFonts w:hint="eastAsia" w:ascii="宋体" w:hAnsi="宋体" w:eastAsia="宋体" w:cs="宋体"/>
          <w:color w:val="auto"/>
          <w:kern w:val="0"/>
          <w:sz w:val="21"/>
          <w:szCs w:val="21"/>
          <w:highlight w:val="none"/>
        </w:rPr>
        <w:t>全部</w:t>
      </w:r>
      <w:r>
        <w:rPr>
          <w:rStyle w:val="43"/>
          <w:rFonts w:hint="eastAsia" w:ascii="宋体" w:hAnsi="宋体" w:eastAsia="宋体" w:cs="宋体"/>
          <w:color w:val="auto"/>
          <w:kern w:val="0"/>
          <w:sz w:val="21"/>
          <w:szCs w:val="21"/>
          <w:highlight w:val="none"/>
          <w:lang w:val="en-US" w:eastAsia="zh-CN"/>
        </w:rPr>
        <w:t>为</w:t>
      </w:r>
      <w:r>
        <w:rPr>
          <w:rStyle w:val="43"/>
          <w:rFonts w:hint="eastAsia" w:ascii="宋体" w:hAnsi="宋体" w:eastAsia="宋体" w:cs="宋体"/>
          <w:color w:val="auto"/>
          <w:kern w:val="0"/>
          <w:sz w:val="21"/>
          <w:szCs w:val="21"/>
          <w:highlight w:val="none"/>
        </w:rPr>
        <w:t>符合政策要求的中小企业。相关企业（含联合体中的中小企业、签订分包意向协议的中小企业）的具体情况如下：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 xml:space="preserve">1. </w:t>
      </w:r>
      <w:r>
        <w:rPr>
          <w:rStyle w:val="43"/>
          <w:rFonts w:hint="eastAsia" w:ascii="宋体" w:hAnsi="宋体" w:eastAsia="宋体" w:cs="宋体"/>
          <w:color w:val="auto"/>
          <w:kern w:val="0"/>
          <w:sz w:val="21"/>
          <w:szCs w:val="21"/>
          <w:highlight w:val="none"/>
          <w:u w:val="single" w:color="000000"/>
        </w:rPr>
        <w:t xml:space="preserve">（标的名称） </w:t>
      </w:r>
      <w:r>
        <w:rPr>
          <w:rStyle w:val="43"/>
          <w:rFonts w:hint="eastAsia" w:ascii="宋体" w:hAnsi="宋体" w:eastAsia="宋体" w:cs="宋体"/>
          <w:color w:val="auto"/>
          <w:kern w:val="0"/>
          <w:sz w:val="21"/>
          <w:szCs w:val="21"/>
          <w:highlight w:val="none"/>
        </w:rPr>
        <w:t xml:space="preserve">，属于 </w:t>
      </w:r>
      <w:r>
        <w:rPr>
          <w:rStyle w:val="43"/>
          <w:rFonts w:hint="eastAsia" w:ascii="宋体" w:hAnsi="宋体" w:eastAsia="宋体" w:cs="宋体"/>
          <w:color w:val="auto"/>
          <w:kern w:val="0"/>
          <w:sz w:val="21"/>
          <w:szCs w:val="21"/>
          <w:highlight w:val="none"/>
          <w:u w:val="single" w:color="000000"/>
        </w:rPr>
        <w:t xml:space="preserve">（招标文件中明确的所属行业） </w:t>
      </w:r>
      <w:r>
        <w:rPr>
          <w:rStyle w:val="43"/>
          <w:rFonts w:hint="eastAsia" w:ascii="宋体" w:hAnsi="宋体" w:eastAsia="宋体" w:cs="宋体"/>
          <w:color w:val="auto"/>
          <w:kern w:val="0"/>
          <w:sz w:val="21"/>
          <w:szCs w:val="21"/>
          <w:highlight w:val="none"/>
        </w:rPr>
        <w:t>； 承接企业为</w:t>
      </w:r>
      <w:r>
        <w:rPr>
          <w:rStyle w:val="43"/>
          <w:rFonts w:hint="eastAsia" w:ascii="宋体" w:hAnsi="宋体" w:eastAsia="宋体" w:cs="宋体"/>
          <w:color w:val="auto"/>
          <w:kern w:val="0"/>
          <w:sz w:val="21"/>
          <w:szCs w:val="21"/>
          <w:highlight w:val="none"/>
          <w:u w:val="single" w:color="000000"/>
        </w:rPr>
        <w:t>（企业名称）</w:t>
      </w:r>
      <w:r>
        <w:rPr>
          <w:rStyle w:val="43"/>
          <w:rFonts w:hint="eastAsia" w:ascii="宋体" w:hAnsi="宋体" w:eastAsia="宋体" w:cs="宋体"/>
          <w:color w:val="auto"/>
          <w:kern w:val="0"/>
          <w:sz w:val="21"/>
          <w:szCs w:val="21"/>
          <w:highlight w:val="none"/>
        </w:rPr>
        <w:t>，从业人员</w:t>
      </w:r>
      <w:r>
        <w:rPr>
          <w:rStyle w:val="43"/>
          <w:rFonts w:hint="eastAsia" w:ascii="宋体" w:hAnsi="宋体" w:eastAsia="宋体" w:cs="宋体"/>
          <w:color w:val="auto"/>
          <w:kern w:val="0"/>
          <w:sz w:val="21"/>
          <w:szCs w:val="21"/>
          <w:highlight w:val="none"/>
          <w:u w:val="single" w:color="000000"/>
        </w:rPr>
        <w:t xml:space="preserve">    </w:t>
      </w:r>
      <w:r>
        <w:rPr>
          <w:rStyle w:val="43"/>
          <w:rFonts w:hint="eastAsia" w:ascii="宋体" w:hAnsi="宋体" w:eastAsia="宋体" w:cs="宋体"/>
          <w:color w:val="auto"/>
          <w:kern w:val="0"/>
          <w:sz w:val="21"/>
          <w:szCs w:val="21"/>
          <w:highlight w:val="none"/>
        </w:rPr>
        <w:t>人，营业收入为</w:t>
      </w:r>
      <w:r>
        <w:rPr>
          <w:rStyle w:val="43"/>
          <w:rFonts w:hint="eastAsia" w:ascii="宋体" w:hAnsi="宋体" w:eastAsia="宋体" w:cs="宋体"/>
          <w:color w:val="auto"/>
          <w:kern w:val="0"/>
          <w:sz w:val="21"/>
          <w:szCs w:val="21"/>
          <w:highlight w:val="none"/>
          <w:u w:val="single" w:color="000000"/>
        </w:rPr>
        <w:t xml:space="preserve">    </w:t>
      </w:r>
      <w:r>
        <w:rPr>
          <w:rStyle w:val="43"/>
          <w:rFonts w:hint="eastAsia" w:ascii="宋体" w:hAnsi="宋体" w:eastAsia="宋体" w:cs="宋体"/>
          <w:color w:val="auto"/>
          <w:kern w:val="0"/>
          <w:sz w:val="21"/>
          <w:szCs w:val="21"/>
          <w:highlight w:val="none"/>
        </w:rPr>
        <w:t>万元，资产总额为</w:t>
      </w:r>
      <w:r>
        <w:rPr>
          <w:rStyle w:val="43"/>
          <w:rFonts w:hint="eastAsia" w:ascii="宋体" w:hAnsi="宋体" w:eastAsia="宋体" w:cs="宋体"/>
          <w:color w:val="auto"/>
          <w:kern w:val="0"/>
          <w:sz w:val="21"/>
          <w:szCs w:val="21"/>
          <w:highlight w:val="none"/>
          <w:u w:val="single" w:color="000000"/>
        </w:rPr>
        <w:t xml:space="preserve">    </w:t>
      </w:r>
      <w:r>
        <w:rPr>
          <w:rStyle w:val="43"/>
          <w:rFonts w:hint="eastAsia" w:ascii="宋体" w:hAnsi="宋体" w:eastAsia="宋体" w:cs="宋体"/>
          <w:color w:val="auto"/>
          <w:kern w:val="0"/>
          <w:sz w:val="21"/>
          <w:szCs w:val="21"/>
          <w:highlight w:val="none"/>
        </w:rPr>
        <w:t>万元，属于</w:t>
      </w:r>
      <w:r>
        <w:rPr>
          <w:rStyle w:val="43"/>
          <w:rFonts w:hint="eastAsia" w:ascii="宋体" w:hAnsi="宋体" w:eastAsia="宋体" w:cs="宋体"/>
          <w:color w:val="auto"/>
          <w:kern w:val="0"/>
          <w:sz w:val="21"/>
          <w:szCs w:val="21"/>
          <w:highlight w:val="none"/>
          <w:u w:val="single" w:color="000000"/>
        </w:rPr>
        <w:t>（中型企业、 小型企业、微型企业）</w:t>
      </w:r>
      <w:r>
        <w:rPr>
          <w:rStyle w:val="43"/>
          <w:rFonts w:hint="eastAsia" w:ascii="宋体" w:hAnsi="宋体" w:eastAsia="宋体" w:cs="宋体"/>
          <w:color w:val="auto"/>
          <w:kern w:val="0"/>
          <w:sz w:val="21"/>
          <w:szCs w:val="21"/>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以上企业，不属于大企业的分支机构，不存在控股股东 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 xml:space="preserve">本企业对上述声明内容的真实性负责。如有虚假，将依法承担相应责任。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2"/>
        <w:jc w:val="left"/>
        <w:textAlignment w:val="auto"/>
        <w:rPr>
          <w:rStyle w:val="43"/>
          <w:rFonts w:hint="eastAsia" w:ascii="宋体" w:hAnsi="宋体" w:eastAsia="宋体" w:cs="宋体"/>
          <w:color w:val="auto"/>
          <w:kern w:val="0"/>
          <w:sz w:val="21"/>
          <w:szCs w:val="21"/>
          <w:highlight w:val="none"/>
        </w:rPr>
      </w:pPr>
    </w:p>
    <w:p>
      <w:pPr>
        <w:pStyle w:val="16"/>
        <w:rPr>
          <w:rFonts w:hint="eastAsia" w:ascii="宋体" w:hAnsi="宋体" w:eastAsia="宋体" w:cs="宋体"/>
          <w:b/>
          <w:color w:val="auto"/>
          <w:sz w:val="21"/>
          <w:szCs w:val="21"/>
          <w:highlight w:val="none"/>
        </w:rPr>
      </w:pPr>
    </w:p>
    <w:p>
      <w:pPr>
        <w:pStyle w:val="16"/>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备注：供应商应按照</w:t>
      </w:r>
      <w:r>
        <w:rPr>
          <w:rFonts w:hint="eastAsia" w:ascii="宋体" w:hAnsi="宋体" w:eastAsia="宋体" w:cs="宋体"/>
          <w:b/>
          <w:color w:val="auto"/>
          <w:sz w:val="21"/>
          <w:szCs w:val="21"/>
          <w:highlight w:val="none"/>
          <w:lang w:val="en-US" w:eastAsia="zh-CN"/>
        </w:rPr>
        <w:t>中小微型企业划分标准按照《国家统计局关于印发《统计上大中小微型企业划分办法〔2017〕》的通知》（国统字〔2017〕213号）</w:t>
      </w:r>
      <w:r>
        <w:rPr>
          <w:rFonts w:hint="eastAsia" w:ascii="宋体" w:hAnsi="宋体" w:eastAsia="宋体" w:cs="宋体"/>
          <w:b/>
          <w:color w:val="auto"/>
          <w:sz w:val="21"/>
          <w:szCs w:val="21"/>
          <w:highlight w:val="none"/>
        </w:rPr>
        <w:t>的划分标准进行如实申明，如提供虚假申明应依法承担相应法律责任。如成交人为小型和微型企业的，</w:t>
      </w:r>
      <w:r>
        <w:rPr>
          <w:rFonts w:hint="eastAsia" w:ascii="宋体" w:hAnsi="宋体" w:eastAsia="宋体" w:cs="宋体"/>
          <w:b/>
          <w:color w:val="auto"/>
          <w:sz w:val="21"/>
          <w:szCs w:val="21"/>
          <w:highlight w:val="none"/>
          <w:lang w:val="en-US" w:eastAsia="zh-CN"/>
        </w:rPr>
        <w:t>成交</w:t>
      </w:r>
      <w:r>
        <w:rPr>
          <w:rFonts w:hint="eastAsia" w:ascii="宋体" w:hAnsi="宋体" w:eastAsia="宋体" w:cs="宋体"/>
          <w:b/>
          <w:color w:val="auto"/>
          <w:sz w:val="21"/>
          <w:szCs w:val="21"/>
          <w:highlight w:val="none"/>
        </w:rPr>
        <w:t>结果将同时公告（或成交人的《中小企业声明函》，接受社会监督。</w:t>
      </w:r>
    </w:p>
    <w:p>
      <w:pPr>
        <w:spacing w:line="360" w:lineRule="auto"/>
        <w:rPr>
          <w:rFonts w:hint="eastAsia" w:ascii="宋体" w:hAnsi="宋体" w:eastAsia="宋体" w:cs="宋体"/>
          <w:b/>
          <w:color w:val="auto"/>
          <w:kern w:val="0"/>
          <w:sz w:val="21"/>
          <w:szCs w:val="21"/>
          <w:highlight w:val="none"/>
        </w:rPr>
      </w:pPr>
    </w:p>
    <w:p>
      <w:pPr>
        <w:spacing w:line="460" w:lineRule="exact"/>
        <w:rPr>
          <w:rFonts w:hint="eastAsia" w:ascii="宋体" w:hAnsi="宋体" w:eastAsia="宋体" w:cs="宋体"/>
          <w:b/>
          <w:color w:val="auto"/>
          <w:kern w:val="0"/>
          <w:sz w:val="21"/>
          <w:szCs w:val="21"/>
          <w:highlight w:val="none"/>
        </w:rPr>
      </w:pPr>
    </w:p>
    <w:p>
      <w:pPr>
        <w:pStyle w:val="8"/>
        <w:rPr>
          <w:rFonts w:hint="eastAsia" w:ascii="宋体" w:hAnsi="宋体" w:eastAsia="宋体" w:cs="宋体"/>
          <w:b/>
          <w:color w:val="auto"/>
          <w:kern w:val="0"/>
          <w:sz w:val="21"/>
          <w:szCs w:val="21"/>
          <w:highlight w:val="none"/>
        </w:rPr>
      </w:pPr>
    </w:p>
    <w:p>
      <w:pPr>
        <w:rPr>
          <w:rFonts w:hint="eastAsia" w:ascii="宋体" w:hAnsi="宋体" w:eastAsia="宋体" w:cs="宋体"/>
          <w:color w:val="auto"/>
          <w:sz w:val="21"/>
          <w:szCs w:val="21"/>
          <w:highlight w:val="none"/>
        </w:rPr>
      </w:pPr>
    </w:p>
    <w:p>
      <w:pPr>
        <w:rPr>
          <w:rStyle w:val="43"/>
          <w:rFonts w:hint="eastAsia" w:ascii="宋体" w:hAnsi="宋体" w:eastAsia="宋体" w:cs="宋体"/>
          <w:b/>
          <w:bCs/>
          <w:color w:val="auto"/>
          <w:sz w:val="21"/>
          <w:szCs w:val="21"/>
          <w:highlight w:val="none"/>
        </w:rPr>
      </w:pPr>
    </w:p>
    <w:p>
      <w:pPr>
        <w:rPr>
          <w:rStyle w:val="43"/>
          <w:rFonts w:hint="eastAsia" w:ascii="宋体" w:hAnsi="宋体" w:eastAsia="宋体" w:cs="宋体"/>
          <w:b/>
          <w:bCs/>
          <w:color w:val="auto"/>
          <w:sz w:val="21"/>
          <w:szCs w:val="21"/>
          <w:highlight w:val="none"/>
        </w:rPr>
      </w:pPr>
    </w:p>
    <w:p>
      <w:pPr>
        <w:rPr>
          <w:rStyle w:val="43"/>
          <w:rFonts w:hint="eastAsia" w:ascii="宋体" w:hAnsi="宋体" w:eastAsia="宋体" w:cs="宋体"/>
          <w:b/>
          <w:bCs/>
          <w:color w:val="auto"/>
          <w:sz w:val="21"/>
          <w:szCs w:val="21"/>
          <w:highlight w:val="none"/>
        </w:rPr>
      </w:pPr>
    </w:p>
    <w:p>
      <w:pPr>
        <w:rPr>
          <w:rStyle w:val="43"/>
          <w:rFonts w:hint="eastAsia" w:ascii="宋体" w:hAnsi="宋体" w:eastAsia="宋体" w:cs="宋体"/>
          <w:b/>
          <w:bCs/>
          <w:color w:val="auto"/>
          <w:sz w:val="21"/>
          <w:szCs w:val="21"/>
          <w:highlight w:val="none"/>
        </w:rPr>
      </w:pPr>
    </w:p>
    <w:p>
      <w:pPr>
        <w:pStyle w:val="2"/>
        <w:rPr>
          <w:rFonts w:hint="eastAsia"/>
          <w:color w:val="auto"/>
          <w:highlight w:val="none"/>
        </w:rPr>
      </w:pPr>
    </w:p>
    <w:p>
      <w:pPr>
        <w:pStyle w:val="8"/>
        <w:rPr>
          <w:rStyle w:val="43"/>
          <w:rFonts w:hint="eastAsia" w:ascii="宋体" w:hAnsi="宋体" w:eastAsia="宋体" w:cs="宋体"/>
          <w:b/>
          <w:bCs/>
          <w:color w:val="auto"/>
          <w:sz w:val="21"/>
          <w:szCs w:val="21"/>
          <w:highlight w:val="none"/>
        </w:rPr>
      </w:pPr>
    </w:p>
    <w:p>
      <w:pPr>
        <w:rPr>
          <w:rStyle w:val="43"/>
          <w:rFonts w:hint="eastAsia" w:ascii="宋体" w:hAnsi="宋体" w:eastAsia="宋体" w:cs="宋体"/>
          <w:b/>
          <w:bCs/>
          <w:color w:val="auto"/>
          <w:sz w:val="21"/>
          <w:szCs w:val="21"/>
          <w:highlight w:val="none"/>
        </w:rPr>
      </w:pPr>
    </w:p>
    <w:p>
      <w:pPr>
        <w:pStyle w:val="8"/>
        <w:rPr>
          <w:rFonts w:hint="eastAsia"/>
          <w:color w:val="auto"/>
          <w:highlight w:val="none"/>
        </w:rPr>
      </w:pPr>
    </w:p>
    <w:p>
      <w:pPr>
        <w:rPr>
          <w:rStyle w:val="43"/>
          <w:rFonts w:hint="eastAsia" w:ascii="宋体" w:hAnsi="宋体" w:eastAsia="宋体" w:cs="宋体"/>
          <w:b/>
          <w:bCs/>
          <w:color w:val="auto"/>
          <w:sz w:val="21"/>
          <w:szCs w:val="21"/>
          <w:highlight w:val="none"/>
        </w:rPr>
      </w:pPr>
      <w:r>
        <w:rPr>
          <w:rStyle w:val="43"/>
          <w:rFonts w:hint="eastAsia" w:ascii="宋体" w:hAnsi="宋体" w:eastAsia="宋体" w:cs="宋体"/>
          <w:b/>
          <w:bCs/>
          <w:color w:val="auto"/>
          <w:sz w:val="21"/>
          <w:szCs w:val="21"/>
          <w:highlight w:val="none"/>
        </w:rPr>
        <w:t>附表</w:t>
      </w:r>
    </w:p>
    <w:p>
      <w:pPr>
        <w:spacing w:before="120" w:after="120" w:line="400" w:lineRule="exact"/>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统计上大中小微型企业划分标准</w:t>
      </w:r>
    </w:p>
    <w:tbl>
      <w:tblPr>
        <w:tblStyle w:val="19"/>
        <w:tblW w:w="943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3"/>
        <w:gridCol w:w="1369"/>
        <w:gridCol w:w="709"/>
        <w:gridCol w:w="1125"/>
        <w:gridCol w:w="1701"/>
        <w:gridCol w:w="1426"/>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exact"/>
          <w:tblHeader/>
        </w:trPr>
        <w:tc>
          <w:tcPr>
            <w:tcW w:w="2113" w:type="dxa"/>
            <w:tcBorders>
              <w:top w:val="single" w:color="000000" w:sz="4" w:space="0"/>
              <w:left w:val="single" w:color="000000" w:sz="4" w:space="0"/>
              <w:bottom w:val="single" w:color="000000" w:sz="4" w:space="0"/>
              <w:right w:val="single" w:color="000000" w:sz="4" w:space="0"/>
            </w:tcBorders>
            <w:shd w:val="clear" w:color="auto" w:fill="8DB3E2"/>
            <w:vAlign w:val="center"/>
          </w:tcPr>
          <w:p>
            <w:pPr>
              <w:spacing w:line="240" w:lineRule="exact"/>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行业名称</w:t>
            </w:r>
          </w:p>
        </w:tc>
        <w:tc>
          <w:tcPr>
            <w:tcW w:w="136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指标名称</w:t>
            </w:r>
          </w:p>
        </w:tc>
        <w:tc>
          <w:tcPr>
            <w:tcW w:w="709"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lang w:eastAsia="zh-CN"/>
              </w:rPr>
            </w:pPr>
            <w:r>
              <w:rPr>
                <w:rStyle w:val="43"/>
                <w:rFonts w:hint="eastAsia" w:ascii="宋体" w:hAnsi="宋体" w:eastAsia="宋体" w:cs="宋体"/>
                <w:b/>
                <w:bCs/>
                <w:color w:val="auto"/>
                <w:kern w:val="0"/>
                <w:sz w:val="21"/>
                <w:szCs w:val="21"/>
                <w:highlight w:val="none"/>
              </w:rPr>
              <w:t>计量</w:t>
            </w:r>
          </w:p>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单位</w:t>
            </w:r>
          </w:p>
        </w:tc>
        <w:tc>
          <w:tcPr>
            <w:tcW w:w="1125"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大型</w:t>
            </w:r>
          </w:p>
        </w:tc>
        <w:tc>
          <w:tcPr>
            <w:tcW w:w="1701"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中型</w:t>
            </w:r>
          </w:p>
        </w:tc>
        <w:tc>
          <w:tcPr>
            <w:tcW w:w="1426"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小型</w:t>
            </w:r>
          </w:p>
        </w:tc>
        <w:tc>
          <w:tcPr>
            <w:tcW w:w="992" w:type="dxa"/>
            <w:tcBorders>
              <w:top w:val="single" w:color="000000" w:sz="4" w:space="0"/>
              <w:left w:val="single" w:color="000000" w:sz="4" w:space="0"/>
              <w:bottom w:val="single" w:color="000000" w:sz="4" w:space="0"/>
              <w:right w:val="single" w:color="000000" w:sz="4" w:space="0"/>
            </w:tcBorders>
            <w:shd w:val="clear" w:color="auto" w:fill="8DB3E2"/>
            <w:vAlign w:val="center"/>
          </w:tcPr>
          <w:p>
            <w:pPr>
              <w:jc w:val="center"/>
              <w:rPr>
                <w:rStyle w:val="43"/>
                <w:rFonts w:hint="eastAsia" w:ascii="宋体" w:hAnsi="宋体" w:eastAsia="宋体" w:cs="宋体"/>
                <w:b/>
                <w:bCs/>
                <w:color w:val="auto"/>
                <w:kern w:val="0"/>
                <w:sz w:val="21"/>
                <w:szCs w:val="21"/>
                <w:highlight w:val="none"/>
              </w:rPr>
            </w:pPr>
            <w:r>
              <w:rPr>
                <w:rStyle w:val="43"/>
                <w:rFonts w:hint="eastAsia" w:ascii="宋体" w:hAnsi="宋体" w:eastAsia="宋体" w:cs="宋体"/>
                <w:b/>
                <w:bCs/>
                <w:color w:val="auto"/>
                <w:kern w:val="0"/>
                <w:sz w:val="21"/>
                <w:szCs w:val="21"/>
                <w:highlight w:val="none"/>
              </w:rPr>
              <w:t>微型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农、林、牧、渔业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工业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建筑业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6000≤Y＜80000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300≤Y＜6000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Z≥80000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5000≤Z＜80000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批发业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5≤X＜20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Y≥40000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5000≤Y＜40000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零售业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50≤X＜300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 xml:space="preserve">10≤X＜50 </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500≤Y＜20000</w:t>
            </w:r>
          </w:p>
        </w:tc>
        <w:tc>
          <w:tcPr>
            <w:tcW w:w="1426" w:type="dxa"/>
            <w:tcBorders>
              <w:top w:val="single" w:color="000000" w:sz="4" w:space="0"/>
              <w:left w:val="single" w:color="000000" w:sz="4" w:space="0"/>
              <w:bottom w:val="single" w:color="000000" w:sz="4" w:space="0"/>
              <w:right w:val="single" w:color="000000" w:sz="4" w:space="0"/>
            </w:tcBorders>
            <w:vAlign w:val="center"/>
          </w:tcPr>
          <w:p>
            <w:pPr>
              <w:ind w:left="-1" w:leftChars="-1" w:hanging="1"/>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100≤Y＜500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交通运输业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200≤Y＜3000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仓储业*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100≤X＜200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邮政业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Y≥30000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2000≤Y＜30000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住宿业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餐饮业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100≤Y＜2000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信息传输业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X≥2000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100≤X＜2000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1000≤Y＜100000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spacing w:val="-12"/>
                <w:kern w:val="0"/>
                <w:sz w:val="21"/>
                <w:szCs w:val="21"/>
                <w:highlight w:val="none"/>
              </w:rPr>
            </w:pPr>
            <w:r>
              <w:rPr>
                <w:rStyle w:val="43"/>
                <w:rFonts w:hint="eastAsia" w:ascii="宋体" w:hAnsi="宋体" w:eastAsia="宋体" w:cs="宋体"/>
                <w:color w:val="auto"/>
                <w:spacing w:val="-12"/>
                <w:kern w:val="0"/>
                <w:sz w:val="21"/>
                <w:szCs w:val="21"/>
                <w:highlight w:val="none"/>
              </w:rPr>
              <w:t>软件和信息技术服</w:t>
            </w:r>
            <w:r>
              <w:rPr>
                <w:rStyle w:val="43"/>
                <w:rFonts w:hint="eastAsia" w:ascii="宋体" w:hAnsi="宋体" w:eastAsia="宋体" w:cs="宋体"/>
                <w:color w:val="auto"/>
                <w:kern w:val="0"/>
                <w:sz w:val="21"/>
                <w:szCs w:val="21"/>
                <w:highlight w:val="none"/>
              </w:rPr>
              <w:t>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 xml:space="preserve">100≤X＜300 </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spacing w:val="-12"/>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房地产开发经营</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Y≥200000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1000≤Y＜200000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Z≥10000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5000≤Z＜10000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2000≤Z＜5000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物业管理</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300≤X＜1000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100≤X＜300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营业收入(Y)</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Y≥5000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1000≤Y＜5000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500≤Y＜1000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Y＜500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restart"/>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租赁和商务服务业</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exact"/>
        </w:trPr>
        <w:tc>
          <w:tcPr>
            <w:tcW w:w="2113" w:type="dxa"/>
            <w:vMerge w:val="continue"/>
            <w:tcBorders>
              <w:top w:val="single" w:color="000000" w:sz="4" w:space="0"/>
              <w:left w:val="single" w:color="000000" w:sz="4" w:space="0"/>
              <w:bottom w:val="single" w:color="000000" w:sz="4" w:space="0"/>
              <w:right w:val="single" w:color="000000" w:sz="4" w:space="0"/>
            </w:tcBorders>
            <w:vAlign w:val="center"/>
          </w:tcPr>
          <w:p>
            <w:pPr>
              <w:jc w:val="left"/>
              <w:rPr>
                <w:rStyle w:val="43"/>
                <w:rFonts w:hint="eastAsia" w:ascii="宋体" w:hAnsi="宋体" w:eastAsia="宋体" w:cs="宋体"/>
                <w:color w:val="auto"/>
                <w:kern w:val="0"/>
                <w:sz w:val="21"/>
                <w:szCs w:val="21"/>
                <w:highlight w:val="none"/>
              </w:rPr>
            </w:pPr>
          </w:p>
        </w:tc>
        <w:tc>
          <w:tcPr>
            <w:tcW w:w="13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资产总额(Z)</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万元</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Z≥120000</w:t>
            </w:r>
          </w:p>
        </w:tc>
        <w:tc>
          <w:tcPr>
            <w:tcW w:w="1701"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8000≤Z＜120000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100≤Z＜8000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Z＜100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exact"/>
        </w:trPr>
        <w:tc>
          <w:tcPr>
            <w:tcW w:w="2113"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left"/>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其他未列明行业 *</w:t>
            </w:r>
          </w:p>
        </w:tc>
        <w:tc>
          <w:tcPr>
            <w:tcW w:w="136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从业人员(X)</w:t>
            </w:r>
          </w:p>
        </w:tc>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人</w:t>
            </w:r>
          </w:p>
        </w:tc>
        <w:tc>
          <w:tcPr>
            <w:tcW w:w="1125"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X≥300</w:t>
            </w:r>
          </w:p>
        </w:tc>
        <w:tc>
          <w:tcPr>
            <w:tcW w:w="1701" w:type="dxa"/>
            <w:tcBorders>
              <w:top w:val="single" w:color="000000" w:sz="4" w:space="0"/>
              <w:left w:val="single" w:color="000000" w:sz="4" w:space="0"/>
              <w:bottom w:val="single" w:color="000000" w:sz="4" w:space="0"/>
              <w:right w:val="single" w:color="000000" w:sz="4" w:space="0"/>
            </w:tcBorders>
            <w:vAlign w:val="center"/>
          </w:tcPr>
          <w:p>
            <w:pPr>
              <w:ind w:left="1" w:leftChars="-51" w:hanging="108"/>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100≤X＜300</w:t>
            </w:r>
          </w:p>
        </w:tc>
        <w:tc>
          <w:tcPr>
            <w:tcW w:w="1426"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10≤X＜100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center"/>
              <w:rPr>
                <w:rStyle w:val="43"/>
                <w:rFonts w:hint="eastAsia" w:ascii="宋体" w:hAnsi="宋体" w:eastAsia="宋体" w:cs="宋体"/>
                <w:color w:val="auto"/>
                <w:kern w:val="0"/>
                <w:sz w:val="21"/>
                <w:szCs w:val="21"/>
                <w:highlight w:val="none"/>
              </w:rPr>
            </w:pPr>
            <w:r>
              <w:rPr>
                <w:rStyle w:val="43"/>
                <w:rFonts w:hint="eastAsia" w:ascii="宋体" w:hAnsi="宋体" w:eastAsia="宋体" w:cs="宋体"/>
                <w:color w:val="auto"/>
                <w:kern w:val="0"/>
                <w:sz w:val="21"/>
                <w:szCs w:val="21"/>
                <w:highlight w:val="none"/>
              </w:rPr>
              <w:t>X＜10</w:t>
            </w:r>
          </w:p>
        </w:tc>
      </w:tr>
    </w:tbl>
    <w:p>
      <w:pPr>
        <w:spacing w:line="540" w:lineRule="exact"/>
        <w:rPr>
          <w:rStyle w:val="43"/>
          <w:rFonts w:hint="eastAsia" w:ascii="宋体" w:hAnsi="宋体" w:eastAsia="宋体" w:cs="宋体"/>
          <w:color w:val="auto"/>
          <w:spacing w:val="8"/>
          <w:kern w:val="0"/>
          <w:sz w:val="21"/>
          <w:szCs w:val="21"/>
          <w:highlight w:val="none"/>
        </w:rPr>
      </w:pPr>
    </w:p>
    <w:p>
      <w:pPr>
        <w:spacing w:line="540" w:lineRule="exact"/>
        <w:rPr>
          <w:rStyle w:val="43"/>
          <w:rFonts w:hint="eastAsia" w:ascii="宋体" w:hAnsi="宋体" w:eastAsia="宋体" w:cs="宋体"/>
          <w:color w:val="auto"/>
          <w:spacing w:val="8"/>
          <w:kern w:val="0"/>
          <w:sz w:val="21"/>
          <w:szCs w:val="21"/>
          <w:highlight w:val="none"/>
        </w:rPr>
      </w:pPr>
      <w:r>
        <w:rPr>
          <w:rStyle w:val="43"/>
          <w:rFonts w:hint="eastAsia" w:ascii="宋体" w:hAnsi="宋体" w:eastAsia="宋体" w:cs="宋体"/>
          <w:color w:val="auto"/>
          <w:spacing w:val="8"/>
          <w:kern w:val="0"/>
          <w:sz w:val="21"/>
          <w:szCs w:val="21"/>
          <w:highlight w:val="none"/>
        </w:rPr>
        <w:t>说明：</w:t>
      </w:r>
    </w:p>
    <w:p>
      <w:pPr>
        <w:pStyle w:val="45"/>
        <w:spacing w:line="380" w:lineRule="exact"/>
        <w:ind w:firstLine="452" w:firstLineChars="200"/>
        <w:rPr>
          <w:rStyle w:val="43"/>
          <w:rFonts w:hint="eastAsia" w:ascii="宋体" w:hAnsi="宋体" w:eastAsia="宋体" w:cs="宋体"/>
          <w:color w:val="auto"/>
          <w:spacing w:val="8"/>
          <w:sz w:val="21"/>
          <w:szCs w:val="21"/>
          <w:highlight w:val="none"/>
        </w:rPr>
      </w:pPr>
      <w:r>
        <w:rPr>
          <w:rStyle w:val="43"/>
          <w:rFonts w:hint="eastAsia" w:ascii="宋体" w:hAnsi="宋体" w:eastAsia="宋体" w:cs="宋体"/>
          <w:color w:val="auto"/>
          <w:spacing w:val="8"/>
          <w:sz w:val="21"/>
          <w:szCs w:val="21"/>
          <w:highlight w:val="none"/>
        </w:rPr>
        <w:t>1.大型、中型和小型企业须同时满足所列指标的下限，否则下划一档；微型企业只须满足所列指标中的一项即可。</w:t>
      </w:r>
    </w:p>
    <w:p>
      <w:pPr>
        <w:pStyle w:val="45"/>
        <w:spacing w:line="380" w:lineRule="exact"/>
        <w:ind w:firstLine="452" w:firstLineChars="200"/>
        <w:rPr>
          <w:rStyle w:val="43"/>
          <w:rFonts w:hint="eastAsia" w:ascii="宋体" w:hAnsi="宋体" w:eastAsia="宋体" w:cs="宋体"/>
          <w:color w:val="auto"/>
          <w:spacing w:val="8"/>
          <w:sz w:val="21"/>
          <w:szCs w:val="21"/>
          <w:highlight w:val="none"/>
        </w:rPr>
      </w:pPr>
      <w:r>
        <w:rPr>
          <w:rStyle w:val="43"/>
          <w:rFonts w:hint="eastAsia" w:ascii="宋体" w:hAnsi="宋体" w:eastAsia="宋体" w:cs="宋体"/>
          <w:color w:val="auto"/>
          <w:spacing w:val="8"/>
          <w:sz w:val="21"/>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11"/>
        <w:spacing w:line="340" w:lineRule="exact"/>
        <w:rPr>
          <w:rFonts w:hint="eastAsia" w:ascii="宋体" w:hAnsi="宋体" w:eastAsia="宋体" w:cs="宋体"/>
          <w:b/>
          <w:color w:val="auto"/>
          <w:sz w:val="21"/>
          <w:szCs w:val="21"/>
          <w:highlight w:val="none"/>
          <w:lang w:val="en-US" w:eastAsia="zh-CN"/>
        </w:rPr>
      </w:pPr>
      <w:r>
        <w:rPr>
          <w:rStyle w:val="43"/>
          <w:rFonts w:hint="eastAsia" w:ascii="宋体" w:hAnsi="宋体" w:eastAsia="宋体" w:cs="宋体"/>
          <w:color w:val="auto"/>
          <w:spacing w:val="8"/>
          <w:sz w:val="21"/>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11"/>
        <w:spacing w:line="340" w:lineRule="exact"/>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lang w:eastAsia="zh-CN"/>
        </w:rPr>
        <w:br w:type="page"/>
      </w:r>
    </w:p>
    <w:p>
      <w:pPr>
        <w:spacing w:line="588" w:lineRule="exact"/>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2</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rPr>
        <w:t>残疾人福利性单位声明函（格式）</w:t>
      </w:r>
    </w:p>
    <w:p>
      <w:pPr>
        <w:spacing w:line="588" w:lineRule="exact"/>
        <w:rPr>
          <w:rFonts w:hint="eastAsia" w:ascii="宋体" w:hAnsi="宋体" w:eastAsia="宋体" w:cs="宋体"/>
          <w:b/>
          <w:color w:val="auto"/>
          <w:kern w:val="0"/>
          <w:sz w:val="21"/>
          <w:szCs w:val="21"/>
          <w:highlight w:val="none"/>
        </w:rPr>
      </w:pP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本单位对上述声明的真实性负责。如有虚假，将依法承担相应责任。</w:t>
      </w:r>
    </w:p>
    <w:p>
      <w:pPr>
        <w:spacing w:line="588" w:lineRule="exact"/>
        <w:ind w:firstLine="420" w:firstLineChars="200"/>
        <w:rPr>
          <w:rFonts w:hint="eastAsia" w:ascii="宋体" w:hAnsi="宋体" w:eastAsia="宋体" w:cs="宋体"/>
          <w:color w:val="auto"/>
          <w:kern w:val="0"/>
          <w:sz w:val="21"/>
          <w:szCs w:val="21"/>
          <w:highlight w:val="none"/>
        </w:rPr>
      </w:pPr>
    </w:p>
    <w:p>
      <w:pPr>
        <w:widowControl/>
        <w:ind w:firstLine="2310" w:firstLineChars="1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tabs>
          <w:tab w:val="left" w:pos="1305"/>
        </w:tabs>
        <w:kinsoku/>
        <w:wordWrap/>
        <w:overflowPunct/>
        <w:topLinePunct w:val="0"/>
        <w:autoSpaceDE/>
        <w:autoSpaceDN/>
        <w:bidi w:val="0"/>
        <w:adjustRightInd/>
        <w:snapToGrid/>
        <w:spacing w:line="360" w:lineRule="exact"/>
        <w:ind w:left="0" w:leftChars="0" w:right="0" w:firstLine="420" w:firstLineChars="200"/>
        <w:textAlignment w:val="auto"/>
        <w:rPr>
          <w:rFonts w:hint="eastAsia" w:ascii="宋体" w:hAnsi="宋体" w:eastAsia="宋体" w:cs="宋体"/>
          <w:b w:val="0"/>
          <w:bCs/>
          <w:color w:val="auto"/>
          <w:kern w:val="0"/>
          <w:sz w:val="21"/>
          <w:szCs w:val="21"/>
          <w:highlight w:val="none"/>
          <w:lang w:val="en-US" w:eastAsia="zh-CN"/>
        </w:rPr>
      </w:pPr>
    </w:p>
    <w:p>
      <w:pPr>
        <w:pStyle w:val="2"/>
        <w:rPr>
          <w:rFonts w:hint="eastAsia" w:ascii="宋体" w:hAnsi="宋体" w:eastAsia="宋体" w:cs="宋体"/>
          <w:b/>
          <w:bCs/>
          <w:iCs/>
          <w:color w:val="auto"/>
          <w:kern w:val="2"/>
          <w:sz w:val="21"/>
          <w:szCs w:val="21"/>
          <w:highlight w:val="none"/>
          <w:lang w:val="en-US" w:eastAsia="zh-CN" w:bidi="ar-SA"/>
        </w:rPr>
      </w:pPr>
    </w:p>
    <w:p>
      <w:pPr>
        <w:rPr>
          <w:rFonts w:hint="eastAsia"/>
          <w:color w:val="auto"/>
          <w:highlight w:val="none"/>
          <w:lang w:val="en-US" w:eastAsia="zh-CN"/>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jc w:val="center"/>
        <w:rPr>
          <w:rFonts w:hint="eastAsia" w:ascii="宋体" w:hAnsi="宋体" w:eastAsia="宋体" w:cs="宋体"/>
          <w:b/>
          <w:color w:val="auto"/>
          <w:spacing w:val="6"/>
          <w:sz w:val="21"/>
          <w:szCs w:val="21"/>
          <w:highlight w:val="none"/>
        </w:rPr>
      </w:pPr>
      <w:r>
        <w:rPr>
          <w:rFonts w:hint="eastAsia" w:ascii="宋体" w:hAnsi="宋体" w:cs="宋体"/>
          <w:b/>
          <w:bCs/>
          <w:iCs/>
          <w:color w:val="auto"/>
          <w:kern w:val="2"/>
          <w:sz w:val="21"/>
          <w:szCs w:val="21"/>
          <w:highlight w:val="none"/>
          <w:lang w:val="en-US" w:eastAsia="zh-CN" w:bidi="ar-SA"/>
        </w:rPr>
        <w:t>（3）</w:t>
      </w:r>
      <w:r>
        <w:rPr>
          <w:rFonts w:hint="eastAsia" w:ascii="宋体" w:hAnsi="宋体" w:eastAsia="宋体" w:cs="宋体"/>
          <w:b/>
          <w:color w:val="auto"/>
          <w:sz w:val="21"/>
          <w:szCs w:val="21"/>
          <w:highlight w:val="none"/>
          <w:lang w:val="en-US" w:eastAsia="zh-CN" w:bidi="ar"/>
        </w:rPr>
        <w:t>监狱企业的证明文件复印件[供应商如为监狱企业的，应当提供由省级以上监狱管理局、戒毒管理局（含新疆生产建设兵团）出具的属于监狱企业的证明文件, 否则不予享受优惠政策。</w:t>
      </w:r>
    </w:p>
    <w:p>
      <w:pPr>
        <w:pStyle w:val="5"/>
        <w:rPr>
          <w:rFonts w:hint="eastAsia" w:ascii="宋体" w:hAnsi="宋体" w:eastAsia="宋体" w:cs="宋体"/>
          <w:b/>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8"/>
        <w:rPr>
          <w:rFonts w:hint="eastAsia"/>
          <w:color w:val="auto"/>
          <w:highlight w:val="none"/>
          <w:lang w:val="en-US" w:eastAsia="zh-CN"/>
        </w:rPr>
      </w:pPr>
    </w:p>
    <w:p>
      <w:p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br w:type="page"/>
      </w:r>
    </w:p>
    <w:p>
      <w:pPr>
        <w:pStyle w:val="11"/>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7.供应商有效的安全生产许可证书复印件（必须提供）；</w:t>
      </w:r>
    </w:p>
    <w:p>
      <w:pPr>
        <w:pStyle w:val="11"/>
        <w:spacing w:line="340" w:lineRule="exact"/>
        <w:rPr>
          <w:rFonts w:hint="eastAsia" w:ascii="宋体" w:hAnsi="宋体" w:eastAsia="宋体" w:cs="宋体"/>
          <w:b/>
          <w:color w:val="auto"/>
          <w:sz w:val="24"/>
          <w:szCs w:val="24"/>
          <w:highlight w:val="none"/>
          <w:lang w:val="en-US" w:eastAsia="zh-CN"/>
        </w:rPr>
      </w:pPr>
    </w:p>
    <w:p>
      <w:pPr>
        <w:rPr>
          <w:rFonts w:hint="eastAsia" w:ascii="宋体" w:hAnsi="宋体" w:eastAsia="宋体" w:cs="宋体"/>
          <w:color w:val="auto"/>
          <w:sz w:val="24"/>
          <w:szCs w:val="24"/>
          <w:highlight w:val="none"/>
          <w:lang w:val="en-US" w:eastAsia="zh-CN"/>
        </w:rPr>
      </w:pPr>
    </w:p>
    <w:p>
      <w:pPr>
        <w:pStyle w:val="8"/>
        <w:rPr>
          <w:rFonts w:hint="eastAsia"/>
          <w:color w:val="auto"/>
          <w:highlight w:val="none"/>
          <w:lang w:val="en-US" w:eastAsia="zh-CN"/>
        </w:rPr>
      </w:pPr>
    </w:p>
    <w:p>
      <w:pPr>
        <w:pStyle w:val="8"/>
        <w:rPr>
          <w:rFonts w:hint="eastAsia"/>
          <w:color w:val="auto"/>
          <w:sz w:val="24"/>
          <w:szCs w:val="24"/>
          <w:highlight w:val="none"/>
          <w:lang w:val="en-US" w:eastAsia="zh-CN"/>
        </w:rPr>
      </w:pPr>
    </w:p>
    <w:p>
      <w:pPr>
        <w:pStyle w:val="11"/>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8.供应商</w:t>
      </w:r>
      <w:r>
        <w:rPr>
          <w:rFonts w:hint="eastAsia" w:ascii="宋体" w:hAnsi="宋体" w:eastAsia="宋体" w:cs="宋体"/>
          <w:b/>
          <w:color w:val="auto"/>
          <w:sz w:val="24"/>
          <w:szCs w:val="24"/>
          <w:highlight w:val="none"/>
          <w:lang w:val="en-US" w:eastAsia="zh-CN"/>
        </w:rPr>
        <w:t>2022</w:t>
      </w:r>
      <w:r>
        <w:rPr>
          <w:rFonts w:hint="eastAsia" w:ascii="宋体" w:hAnsi="宋体" w:eastAsia="宋体" w:cs="宋体"/>
          <w:b/>
          <w:color w:val="auto"/>
          <w:sz w:val="24"/>
          <w:szCs w:val="24"/>
          <w:highlight w:val="none"/>
          <w:lang w:val="en-US" w:eastAsia="zh-CN"/>
        </w:rPr>
        <w:t>年度财务状况报告</w:t>
      </w:r>
      <w:r>
        <w:rPr>
          <w:rFonts w:hint="eastAsia" w:hAnsi="宋体" w:cs="宋体"/>
          <w:b/>
          <w:color w:val="auto"/>
          <w:sz w:val="24"/>
          <w:szCs w:val="24"/>
          <w:highlight w:val="none"/>
          <w:lang w:val="en-US" w:eastAsia="zh-CN"/>
        </w:rPr>
        <w:t>复印件</w:t>
      </w:r>
      <w:r>
        <w:rPr>
          <w:rFonts w:hint="eastAsia" w:ascii="宋体" w:hAnsi="宋体" w:eastAsia="宋体" w:cs="宋体"/>
          <w:b/>
          <w:color w:val="auto"/>
          <w:sz w:val="24"/>
          <w:szCs w:val="24"/>
          <w:highlight w:val="none"/>
          <w:lang w:val="en-US" w:eastAsia="zh-CN"/>
        </w:rPr>
        <w:t>（必须提供，可以是磋商供应商自行编制也可是通过第三方审计公司编制，如为自行编制至少须提供现金流量表、负债表及利润表；</w:t>
      </w:r>
    </w:p>
    <w:p>
      <w:pPr>
        <w:pStyle w:val="11"/>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对于从取得营业执照时间起到投标截止时间为止不足要求年数的企业，只需提交企业取得营业执照年份至所要求最近年份经审计的财务报表，若是投标当年成立的企业，其财务报表不要求经审计）；</w:t>
      </w:r>
    </w:p>
    <w:p>
      <w:pPr>
        <w:pStyle w:val="6"/>
        <w:numPr>
          <w:ilvl w:val="0"/>
          <w:numId w:val="0"/>
        </w:numPr>
        <w:rPr>
          <w:rFonts w:hint="eastAsia" w:ascii="宋体" w:hAnsi="宋体" w:eastAsia="宋体" w:cs="宋体"/>
          <w:b/>
          <w:color w:val="auto"/>
          <w:sz w:val="24"/>
          <w:szCs w:val="24"/>
          <w:highlight w:val="none"/>
          <w:lang w:val="en-US" w:eastAsia="zh-CN"/>
        </w:rPr>
      </w:pPr>
    </w:p>
    <w:p>
      <w:pPr>
        <w:pStyle w:val="8"/>
        <w:rPr>
          <w:rFonts w:hint="eastAsia" w:ascii="宋体" w:hAnsi="宋体" w:eastAsia="宋体" w:cs="宋体"/>
          <w:color w:val="auto"/>
          <w:sz w:val="24"/>
          <w:szCs w:val="24"/>
          <w:highlight w:val="none"/>
          <w:lang w:val="en-US" w:eastAsia="zh-CN"/>
        </w:rPr>
      </w:pPr>
    </w:p>
    <w:p>
      <w:pPr>
        <w:rPr>
          <w:rFonts w:hint="eastAsia"/>
          <w:color w:val="auto"/>
          <w:highlight w:val="none"/>
          <w:lang w:val="en-US" w:eastAsia="zh-CN"/>
        </w:rPr>
      </w:pPr>
    </w:p>
    <w:p>
      <w:pPr>
        <w:rPr>
          <w:rFonts w:hint="eastAsia"/>
          <w:color w:val="auto"/>
          <w:sz w:val="24"/>
          <w:szCs w:val="24"/>
          <w:highlight w:val="none"/>
          <w:lang w:val="en-US" w:eastAsia="zh-CN"/>
        </w:rPr>
      </w:pPr>
    </w:p>
    <w:p>
      <w:pPr>
        <w:pStyle w:val="6"/>
        <w:numPr>
          <w:ilvl w:val="0"/>
          <w:numId w:val="0"/>
        </w:numPr>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9.供应商在磋商当天前近半年内任意一个月或任一季度依法缴纳税收的证明材料（增值税发票(税收完税证明)或企业所得税完税证明或税务部门出具的免税证明）复印件（必须提供）。</w:t>
      </w:r>
    </w:p>
    <w:p>
      <w:pPr>
        <w:numPr>
          <w:ilvl w:val="0"/>
          <w:numId w:val="0"/>
        </w:numPr>
        <w:ind w:left="420" w:leftChars="0"/>
        <w:jc w:val="center"/>
        <w:rPr>
          <w:rFonts w:hint="eastAsia" w:ascii="宋体" w:hAnsi="宋体" w:eastAsia="宋体" w:cs="宋体"/>
          <w:b/>
          <w:bCs/>
          <w:color w:val="auto"/>
          <w:sz w:val="21"/>
          <w:szCs w:val="21"/>
          <w:highlight w:val="none"/>
          <w:lang w:eastAsia="zh-CN"/>
        </w:rPr>
      </w:pPr>
    </w:p>
    <w:p>
      <w:pPr>
        <w:numPr>
          <w:ilvl w:val="0"/>
          <w:numId w:val="0"/>
        </w:numPr>
        <w:ind w:left="420" w:leftChars="0"/>
        <w:jc w:val="center"/>
        <w:rPr>
          <w:rFonts w:hint="eastAsia" w:ascii="宋体" w:hAnsi="宋体" w:eastAsia="宋体" w:cs="宋体"/>
          <w:b/>
          <w:bCs/>
          <w:color w:val="auto"/>
          <w:sz w:val="21"/>
          <w:szCs w:val="21"/>
          <w:highlight w:val="none"/>
          <w:lang w:eastAsia="zh-CN"/>
        </w:rPr>
      </w:pPr>
    </w:p>
    <w:p>
      <w:pPr>
        <w:pStyle w:val="25"/>
        <w:rPr>
          <w:rFonts w:hint="eastAsia" w:ascii="宋体" w:hAnsi="宋体" w:eastAsia="宋体" w:cs="宋体"/>
          <w:b/>
          <w:bCs/>
          <w:color w:val="auto"/>
          <w:sz w:val="21"/>
          <w:szCs w:val="21"/>
          <w:highlight w:val="none"/>
          <w:lang w:eastAsia="zh-CN"/>
        </w:rPr>
      </w:pPr>
    </w:p>
    <w:p>
      <w:pPr>
        <w:pStyle w:val="25"/>
        <w:rPr>
          <w:rFonts w:hint="eastAsia" w:ascii="宋体" w:hAnsi="宋体" w:eastAsia="宋体" w:cs="宋体"/>
          <w:b/>
          <w:bCs/>
          <w:color w:val="auto"/>
          <w:sz w:val="21"/>
          <w:szCs w:val="21"/>
          <w:highlight w:val="none"/>
          <w:lang w:eastAsia="zh-CN"/>
        </w:rPr>
      </w:pPr>
    </w:p>
    <w:p>
      <w:pPr>
        <w:pStyle w:val="25"/>
        <w:rPr>
          <w:rFonts w:hint="eastAsia" w:ascii="宋体" w:hAnsi="宋体" w:eastAsia="宋体" w:cs="宋体"/>
          <w:b/>
          <w:bCs/>
          <w:color w:val="auto"/>
          <w:sz w:val="21"/>
          <w:szCs w:val="21"/>
          <w:highlight w:val="none"/>
          <w:lang w:eastAsia="zh-CN"/>
        </w:rPr>
      </w:pPr>
    </w:p>
    <w:p>
      <w:pPr>
        <w:numPr>
          <w:ilvl w:val="0"/>
          <w:numId w:val="0"/>
        </w:numPr>
        <w:jc w:val="center"/>
        <w:rPr>
          <w:rFonts w:hint="eastAsia" w:ascii="宋体" w:hAnsi="宋体" w:eastAsia="宋体" w:cs="宋体"/>
          <w:b/>
          <w:bCs/>
          <w:color w:val="auto"/>
          <w:sz w:val="21"/>
          <w:szCs w:val="21"/>
          <w:highlight w:val="none"/>
          <w:lang w:eastAsia="zh-CN"/>
        </w:rPr>
      </w:pPr>
    </w:p>
    <w:p>
      <w:pP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br w:type="page"/>
      </w:r>
    </w:p>
    <w:p>
      <w:pPr>
        <w:numPr>
          <w:ilvl w:val="0"/>
          <w:numId w:val="0"/>
        </w:numPr>
        <w:jc w:val="both"/>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符合性响应证明材料目录</w:t>
      </w:r>
    </w:p>
    <w:p>
      <w:pPr>
        <w:numPr>
          <w:ilvl w:val="0"/>
          <w:numId w:val="0"/>
        </w:numPr>
        <w:spacing w:line="360" w:lineRule="auto"/>
        <w:ind w:left="420" w:leftChars="0"/>
        <w:rPr>
          <w:rFonts w:hint="eastAsia" w:ascii="宋体" w:hAnsi="宋体" w:eastAsia="宋体" w:cs="宋体"/>
          <w:color w:val="auto"/>
          <w:sz w:val="21"/>
          <w:szCs w:val="21"/>
          <w:highlight w:val="none"/>
          <w:lang w:val="en-US" w:eastAsia="zh-CN"/>
        </w:rPr>
      </w:pP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响应函</w:t>
      </w:r>
      <w:r>
        <w:rPr>
          <w:rFonts w:hint="eastAsia" w:ascii="宋体" w:hAnsi="宋体" w:eastAsia="宋体" w:cs="宋体"/>
          <w:b/>
          <w:bCs/>
          <w:color w:val="auto"/>
          <w:sz w:val="21"/>
          <w:szCs w:val="21"/>
          <w:highlight w:val="none"/>
        </w:rPr>
        <w:t>（格式见附件）（必须提供</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工程报价汇总表</w:t>
      </w:r>
      <w:r>
        <w:rPr>
          <w:rFonts w:hint="eastAsia" w:ascii="宋体" w:hAnsi="宋体" w:eastAsia="宋体" w:cs="宋体"/>
          <w:b/>
          <w:bCs/>
          <w:color w:val="auto"/>
          <w:sz w:val="21"/>
          <w:szCs w:val="21"/>
          <w:highlight w:val="none"/>
        </w:rPr>
        <w:t>（格式见附件）（必须提供）；</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3.标价工程量清单</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拟投入本工程主要施工管理人员表</w:t>
      </w:r>
      <w:r>
        <w:rPr>
          <w:rFonts w:hint="eastAsia" w:ascii="宋体" w:hAnsi="宋体" w:eastAsia="宋体" w:cs="宋体"/>
          <w:b/>
          <w:bCs/>
          <w:color w:val="auto"/>
          <w:sz w:val="21"/>
          <w:szCs w:val="21"/>
          <w:highlight w:val="none"/>
        </w:rPr>
        <w:t>（必须提供）；</w:t>
      </w:r>
    </w:p>
    <w:p>
      <w:pPr>
        <w:pageBreakBefore w:val="0"/>
        <w:widowControl w:val="0"/>
        <w:kinsoku/>
        <w:wordWrap/>
        <w:overflowPunct/>
        <w:topLinePunct w:val="0"/>
        <w:autoSpaceDE/>
        <w:autoSpaceDN/>
        <w:bidi w:val="0"/>
        <w:adjustRightInd/>
        <w:snapToGrid/>
        <w:spacing w:line="380" w:lineRule="exact"/>
        <w:ind w:left="0" w:leftChars="0" w:firstLine="422" w:firstLineChars="200"/>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并一起提供由县级以上（含县级）社会养老保险经办机构出具的供应商为项目实施人员交纳的响应文件递交截止时间前半年内任意连续三个月社保证明复印件</w:t>
      </w:r>
      <w:r>
        <w:rPr>
          <w:rFonts w:hint="eastAsia" w:ascii="宋体" w:hAnsi="宋体" w:cs="宋体"/>
          <w:b/>
          <w:bCs/>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担任本工程的项目经理简历表（应附相关证书、身份证复印件）</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eastAsia="zh-CN"/>
        </w:rPr>
        <w:t>施工组织设计方案</w:t>
      </w:r>
      <w:r>
        <w:rPr>
          <w:rFonts w:hint="eastAsia" w:ascii="宋体" w:hAnsi="宋体" w:eastAsia="宋体" w:cs="宋体"/>
          <w:b/>
          <w:bCs/>
          <w:color w:val="auto"/>
          <w:sz w:val="21"/>
          <w:szCs w:val="21"/>
          <w:highlight w:val="none"/>
          <w:lang w:eastAsia="zh-CN"/>
        </w:rPr>
        <w:t>（必须提供）</w:t>
      </w:r>
      <w:r>
        <w:rPr>
          <w:rFonts w:hint="eastAsia" w:ascii="宋体" w:hAnsi="宋体" w:eastAsia="宋体" w:cs="宋体"/>
          <w:color w:val="auto"/>
          <w:sz w:val="21"/>
          <w:szCs w:val="21"/>
          <w:highlight w:val="none"/>
          <w:lang w:eastAsia="zh-CN"/>
        </w:rPr>
        <w:t>；</w:t>
      </w:r>
    </w:p>
    <w:p>
      <w:pPr>
        <w:pageBreakBefore w:val="0"/>
        <w:widowControl w:val="0"/>
        <w:numPr>
          <w:ilvl w:val="0"/>
          <w:numId w:val="0"/>
        </w:numPr>
        <w:kinsoku/>
        <w:wordWrap/>
        <w:overflowPunct/>
        <w:topLinePunct w:val="0"/>
        <w:autoSpaceDE/>
        <w:autoSpaceDN/>
        <w:bidi w:val="0"/>
        <w:adjustRightInd/>
        <w:snapToGrid/>
        <w:spacing w:line="380" w:lineRule="exact"/>
        <w:ind w:left="0" w:leftChars="0"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7.工程完工服务承诺书</w:t>
      </w:r>
      <w:r>
        <w:rPr>
          <w:rFonts w:hint="eastAsia" w:ascii="宋体" w:hAnsi="宋体" w:eastAsia="宋体" w:cs="宋体"/>
          <w:b/>
          <w:bCs/>
          <w:color w:val="auto"/>
          <w:sz w:val="21"/>
          <w:szCs w:val="21"/>
          <w:highlight w:val="none"/>
          <w:lang w:val="en-US" w:eastAsia="zh-CN"/>
        </w:rPr>
        <w:t>（必须提供）</w:t>
      </w:r>
      <w:r>
        <w:rPr>
          <w:rFonts w:hint="eastAsia" w:ascii="宋体" w:hAnsi="宋体" w:eastAsia="宋体" w:cs="宋体"/>
          <w:b w:val="0"/>
          <w:bCs w:val="0"/>
          <w:color w:val="auto"/>
          <w:sz w:val="21"/>
          <w:szCs w:val="21"/>
          <w:highlight w:val="none"/>
          <w:lang w:val="en-US" w:eastAsia="zh-CN"/>
        </w:rPr>
        <w:t>；</w:t>
      </w:r>
    </w:p>
    <w:p>
      <w:pPr>
        <w:pStyle w:val="2"/>
        <w:pageBreakBefore w:val="0"/>
        <w:widowControl w:val="0"/>
        <w:numPr>
          <w:ilvl w:val="0"/>
          <w:numId w:val="0"/>
        </w:numPr>
        <w:kinsoku/>
        <w:wordWrap/>
        <w:overflowPunct/>
        <w:topLinePunct w:val="0"/>
        <w:autoSpaceDE/>
        <w:autoSpaceDN/>
        <w:bidi w:val="0"/>
        <w:adjustRightInd/>
        <w:snapToGrid/>
        <w:spacing w:before="0" w:after="0" w:line="380" w:lineRule="exact"/>
        <w:ind w:left="0" w:leftChars="0" w:firstLine="420" w:firstLineChars="200"/>
        <w:textAlignment w:val="auto"/>
        <w:rPr>
          <w:rFonts w:hint="eastAsia" w:ascii="宋体" w:hAnsi="宋体" w:eastAsia="宋体" w:cs="宋体"/>
          <w:b/>
          <w:bCs/>
          <w:color w:val="auto"/>
          <w:kern w:val="2"/>
          <w:sz w:val="21"/>
          <w:szCs w:val="21"/>
          <w:highlight w:val="none"/>
          <w:lang w:val="en-US" w:eastAsia="zh-CN" w:bidi="ar-SA"/>
        </w:rPr>
      </w:pPr>
      <w:bookmarkStart w:id="1968" w:name="_Toc6633"/>
      <w:bookmarkStart w:id="1969" w:name="_Toc15523"/>
      <w:bookmarkStart w:id="1970" w:name="_Toc1014"/>
      <w:r>
        <w:rPr>
          <w:rFonts w:hint="eastAsia" w:ascii="宋体" w:hAnsi="宋体" w:eastAsia="宋体" w:cs="宋体"/>
          <w:b w:val="0"/>
          <w:bCs w:val="0"/>
          <w:color w:val="auto"/>
          <w:kern w:val="2"/>
          <w:sz w:val="21"/>
          <w:szCs w:val="21"/>
          <w:highlight w:val="none"/>
          <w:lang w:val="en-US" w:eastAsia="zh-CN" w:bidi="ar-SA"/>
        </w:rPr>
        <w:t>8.农民工工资保障金交纳与使用承诺书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1968"/>
      <w:bookmarkEnd w:id="1969"/>
      <w:bookmarkEnd w:id="1970"/>
    </w:p>
    <w:p>
      <w:pPr>
        <w:pStyle w:val="2"/>
        <w:pageBreakBefore w:val="0"/>
        <w:widowControl w:val="0"/>
        <w:numPr>
          <w:ilvl w:val="0"/>
          <w:numId w:val="0"/>
        </w:numPr>
        <w:kinsoku/>
        <w:wordWrap/>
        <w:overflowPunct/>
        <w:topLinePunct w:val="0"/>
        <w:autoSpaceDE/>
        <w:autoSpaceDN/>
        <w:bidi w:val="0"/>
        <w:adjustRightInd/>
        <w:snapToGrid/>
        <w:spacing w:before="0" w:after="0" w:line="380" w:lineRule="exact"/>
        <w:ind w:left="0" w:leftChars="0" w:firstLine="420" w:firstLineChars="200"/>
        <w:textAlignment w:val="auto"/>
        <w:rPr>
          <w:rFonts w:hint="eastAsia" w:ascii="宋体" w:hAnsi="宋体" w:eastAsia="宋体" w:cs="宋体"/>
          <w:color w:val="auto"/>
          <w:sz w:val="21"/>
          <w:szCs w:val="21"/>
          <w:highlight w:val="none"/>
          <w:lang w:val="en-US" w:eastAsia="zh-CN"/>
        </w:rPr>
      </w:pPr>
      <w:bookmarkStart w:id="1971" w:name="_Toc19490"/>
      <w:bookmarkStart w:id="1972" w:name="_Toc13958"/>
      <w:bookmarkStart w:id="1973" w:name="_Toc6752"/>
      <w:r>
        <w:rPr>
          <w:rFonts w:hint="eastAsia" w:ascii="宋体" w:hAnsi="宋体" w:eastAsia="宋体" w:cs="宋体"/>
          <w:b w:val="0"/>
          <w:bCs w:val="0"/>
          <w:color w:val="auto"/>
          <w:kern w:val="2"/>
          <w:sz w:val="21"/>
          <w:szCs w:val="21"/>
          <w:highlight w:val="none"/>
          <w:lang w:val="en-US" w:eastAsia="zh-CN" w:bidi="ar-SA"/>
        </w:rPr>
        <w:t>9.城乡清洁工程渣土清运承诺书</w:t>
      </w:r>
      <w:r>
        <w:rPr>
          <w:rFonts w:hint="eastAsia" w:ascii="宋体" w:hAnsi="宋体" w:eastAsia="宋体" w:cs="宋体"/>
          <w:b/>
          <w:bCs/>
          <w:color w:val="auto"/>
          <w:kern w:val="2"/>
          <w:sz w:val="21"/>
          <w:szCs w:val="21"/>
          <w:highlight w:val="none"/>
          <w:lang w:val="en-US" w:eastAsia="zh-CN" w:bidi="ar-SA"/>
        </w:rPr>
        <w:t>（必须提供）</w:t>
      </w:r>
      <w:r>
        <w:rPr>
          <w:rFonts w:hint="eastAsia" w:ascii="宋体" w:hAnsi="宋体" w:eastAsia="宋体" w:cs="宋体"/>
          <w:b w:val="0"/>
          <w:bCs w:val="0"/>
          <w:color w:val="auto"/>
          <w:kern w:val="2"/>
          <w:sz w:val="21"/>
          <w:szCs w:val="21"/>
          <w:highlight w:val="none"/>
          <w:lang w:val="en-US" w:eastAsia="zh-CN" w:bidi="ar-SA"/>
        </w:rPr>
        <w:t>。</w:t>
      </w:r>
      <w:bookmarkEnd w:id="1971"/>
      <w:bookmarkEnd w:id="1972"/>
      <w:bookmarkEnd w:id="1973"/>
    </w:p>
    <w:p>
      <w:pPr>
        <w:pStyle w:val="8"/>
        <w:rPr>
          <w:rFonts w:hint="eastAsia" w:ascii="宋体" w:hAnsi="宋体" w:eastAsia="宋体" w:cs="宋体"/>
          <w:color w:val="auto"/>
          <w:sz w:val="21"/>
          <w:szCs w:val="21"/>
          <w:highlight w:val="none"/>
        </w:rPr>
      </w:pPr>
    </w:p>
    <w:p>
      <w:pPr>
        <w:rPr>
          <w:rFonts w:hint="eastAsia"/>
          <w:color w:val="auto"/>
          <w:highlight w:val="none"/>
        </w:rPr>
      </w:pPr>
    </w:p>
    <w:p>
      <w:pPr>
        <w:rPr>
          <w:rFonts w:hint="eastAsia" w:ascii="宋体" w:hAnsi="宋体" w:eastAsia="宋体" w:cs="宋体"/>
          <w:b/>
          <w:bCs/>
          <w:color w:val="auto"/>
          <w:sz w:val="24"/>
          <w:szCs w:val="24"/>
          <w:highlight w:val="none"/>
        </w:rPr>
      </w:pPr>
      <w:bookmarkStart w:id="1974" w:name="_Toc497927072"/>
      <w:bookmarkStart w:id="1975" w:name="_Toc17617"/>
      <w:bookmarkStart w:id="1976" w:name="_Toc12920"/>
      <w:r>
        <w:rPr>
          <w:rFonts w:hint="eastAsia" w:ascii="宋体" w:hAnsi="宋体" w:eastAsia="宋体" w:cs="宋体"/>
          <w:b/>
          <w:bCs/>
          <w:color w:val="auto"/>
          <w:sz w:val="24"/>
          <w:szCs w:val="24"/>
          <w:highlight w:val="none"/>
        </w:rPr>
        <w:br w:type="page"/>
      </w:r>
    </w:p>
    <w:p>
      <w:pPr>
        <w:spacing w:line="400" w:lineRule="exact"/>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1.响应函（格式见附件）（必须提供）</w:t>
      </w:r>
      <w:bookmarkEnd w:id="1974"/>
      <w:bookmarkEnd w:id="1975"/>
      <w:bookmarkEnd w:id="1976"/>
    </w:p>
    <w:p>
      <w:pPr>
        <w:pStyle w:val="26"/>
        <w:rPr>
          <w:rFonts w:hint="eastAsia" w:ascii="宋体" w:hAnsi="宋体" w:eastAsia="宋体" w:cs="宋体"/>
          <w:color w:val="auto"/>
          <w:sz w:val="21"/>
          <w:szCs w:val="21"/>
          <w:highlight w:val="none"/>
        </w:rPr>
      </w:pPr>
    </w:p>
    <w:p>
      <w:pPr>
        <w:pStyle w:val="11"/>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附件：</w:t>
      </w:r>
    </w:p>
    <w:p>
      <w:pPr>
        <w:pStyle w:val="11"/>
        <w:ind w:firstLine="527" w:firstLineChars="250"/>
        <w:jc w:val="center"/>
        <w:rPr>
          <w:rFonts w:hint="eastAsia" w:ascii="宋体" w:hAnsi="宋体" w:eastAsia="宋体" w:cs="宋体"/>
          <w:b/>
          <w:color w:val="auto"/>
          <w:sz w:val="21"/>
          <w:szCs w:val="21"/>
          <w:highlight w:val="none"/>
        </w:rPr>
      </w:pPr>
      <w:bookmarkStart w:id="1977" w:name="_Toc7273_WPSOffice_Level1"/>
      <w:bookmarkStart w:id="1978" w:name="_Toc17832_WPSOffice_Level1"/>
      <w:r>
        <w:rPr>
          <w:rFonts w:hint="eastAsia" w:ascii="宋体" w:hAnsi="宋体" w:eastAsia="宋体" w:cs="宋体"/>
          <w:b/>
          <w:color w:val="auto"/>
          <w:sz w:val="21"/>
          <w:szCs w:val="21"/>
          <w:highlight w:val="none"/>
        </w:rPr>
        <w:t>响应函（格式）</w:t>
      </w:r>
      <w:bookmarkEnd w:id="1977"/>
      <w:bookmarkEnd w:id="1978"/>
    </w:p>
    <w:p>
      <w:pPr>
        <w:pStyle w:val="8"/>
        <w:spacing w:before="71" w:line="257" w:lineRule="auto"/>
        <w:ind w:left="12" w:firstLine="468"/>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根据贵方</w:t>
      </w:r>
      <w:r>
        <w:rPr>
          <w:rFonts w:hint="eastAsia" w:ascii="宋体" w:hAnsi="宋体" w:eastAsia="宋体" w:cs="宋体"/>
          <w:color w:val="auto"/>
          <w:spacing w:val="111"/>
          <w:sz w:val="21"/>
          <w:szCs w:val="21"/>
          <w:highlight w:val="none"/>
          <w:u w:val="single"/>
        </w:rPr>
        <w:t xml:space="preserve"> </w:t>
      </w:r>
      <w:r>
        <w:rPr>
          <w:rFonts w:hint="eastAsia" w:ascii="宋体" w:hAnsi="宋体" w:eastAsia="宋体" w:cs="宋体"/>
          <w:color w:val="auto"/>
          <w:spacing w:val="-2"/>
          <w:sz w:val="21"/>
          <w:szCs w:val="21"/>
          <w:highlight w:val="none"/>
          <w:u w:val="single"/>
        </w:rPr>
        <w:t>（项目名称）</w:t>
      </w:r>
      <w:r>
        <w:rPr>
          <w:rFonts w:hint="eastAsia" w:ascii="宋体" w:hAnsi="宋体" w:eastAsia="宋体" w:cs="宋体"/>
          <w:color w:val="auto"/>
          <w:spacing w:val="103"/>
          <w:sz w:val="21"/>
          <w:szCs w:val="21"/>
          <w:highlight w:val="none"/>
          <w:u w:val="single"/>
        </w:rPr>
        <w:t xml:space="preserve"> </w:t>
      </w:r>
      <w:r>
        <w:rPr>
          <w:rFonts w:hint="eastAsia" w:ascii="宋体" w:hAnsi="宋体" w:eastAsia="宋体" w:cs="宋体"/>
          <w:color w:val="auto"/>
          <w:spacing w:val="-106"/>
          <w:sz w:val="21"/>
          <w:szCs w:val="21"/>
          <w:highlight w:val="none"/>
        </w:rPr>
        <w:t xml:space="preserve"> </w:t>
      </w:r>
      <w:r>
        <w:rPr>
          <w:rFonts w:hint="eastAsia" w:ascii="宋体" w:hAnsi="宋体" w:eastAsia="宋体" w:cs="宋体"/>
          <w:color w:val="auto"/>
          <w:spacing w:val="-2"/>
          <w:sz w:val="21"/>
          <w:szCs w:val="21"/>
          <w:highlight w:val="none"/>
        </w:rPr>
        <w:t>项目磋商文件，项</w:t>
      </w:r>
      <w:r>
        <w:rPr>
          <w:rFonts w:hint="eastAsia" w:ascii="宋体" w:hAnsi="宋体" w:eastAsia="宋体" w:cs="宋体"/>
          <w:color w:val="auto"/>
          <w:spacing w:val="-11"/>
          <w:sz w:val="21"/>
          <w:szCs w:val="21"/>
          <w:highlight w:val="none"/>
        </w:rPr>
        <w:t>目</w:t>
      </w:r>
      <w:r>
        <w:rPr>
          <w:rFonts w:hint="eastAsia" w:ascii="宋体" w:hAnsi="宋体" w:eastAsia="宋体" w:cs="宋体"/>
          <w:color w:val="auto"/>
          <w:spacing w:val="-52"/>
          <w:sz w:val="21"/>
          <w:szCs w:val="21"/>
          <w:highlight w:val="none"/>
        </w:rPr>
        <w:t xml:space="preserve"> </w:t>
      </w:r>
      <w:r>
        <w:rPr>
          <w:rFonts w:hint="eastAsia" w:ascii="宋体" w:hAnsi="宋体" w:eastAsia="宋体" w:cs="宋体"/>
          <w:color w:val="auto"/>
          <w:spacing w:val="-11"/>
          <w:sz w:val="21"/>
          <w:szCs w:val="21"/>
          <w:highlight w:val="none"/>
        </w:rPr>
        <w:t>编</w:t>
      </w:r>
      <w:r>
        <w:rPr>
          <w:rFonts w:hint="eastAsia" w:ascii="宋体" w:hAnsi="宋体" w:eastAsia="宋体" w:cs="宋体"/>
          <w:color w:val="auto"/>
          <w:spacing w:val="-64"/>
          <w:sz w:val="21"/>
          <w:szCs w:val="21"/>
          <w:highlight w:val="none"/>
        </w:rPr>
        <w:t xml:space="preserve"> </w:t>
      </w:r>
      <w:r>
        <w:rPr>
          <w:rFonts w:hint="eastAsia" w:ascii="宋体" w:hAnsi="宋体" w:eastAsia="宋体" w:cs="宋体"/>
          <w:color w:val="auto"/>
          <w:spacing w:val="-11"/>
          <w:sz w:val="21"/>
          <w:szCs w:val="21"/>
          <w:highlight w:val="none"/>
        </w:rPr>
        <w:t>号</w:t>
      </w:r>
      <w:r>
        <w:rPr>
          <w:rFonts w:hint="eastAsia" w:ascii="宋体" w:hAnsi="宋体" w:eastAsia="宋体" w:cs="宋体"/>
          <w:color w:val="auto"/>
          <w:spacing w:val="-77"/>
          <w:sz w:val="21"/>
          <w:szCs w:val="21"/>
          <w:highlight w:val="none"/>
        </w:rPr>
        <w:t xml:space="preserve"> </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81"/>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签</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字</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68"/>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6"/>
          <w:sz w:val="21"/>
          <w:szCs w:val="21"/>
          <w:highlight w:val="none"/>
          <w:u w:val="single"/>
        </w:rPr>
        <w:t xml:space="preserve">         </w:t>
      </w:r>
      <w:r>
        <w:rPr>
          <w:rFonts w:hint="eastAsia" w:ascii="宋体" w:hAnsi="宋体" w:eastAsia="宋体" w:cs="宋体"/>
          <w:color w:val="auto"/>
          <w:spacing w:val="-11"/>
          <w:sz w:val="21"/>
          <w:szCs w:val="21"/>
          <w:highlight w:val="none"/>
        </w:rPr>
        <w:t>（姓</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名</w:t>
      </w:r>
      <w:r>
        <w:rPr>
          <w:rFonts w:hint="eastAsia" w:ascii="宋体" w:hAnsi="宋体" w:eastAsia="宋体" w:cs="宋体"/>
          <w:color w:val="auto"/>
          <w:spacing w:val="-42"/>
          <w:sz w:val="21"/>
          <w:szCs w:val="21"/>
          <w:highlight w:val="none"/>
        </w:rPr>
        <w:t xml:space="preserve"> </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66"/>
          <w:sz w:val="21"/>
          <w:szCs w:val="21"/>
          <w:highlight w:val="none"/>
        </w:rPr>
        <w:t xml:space="preserve"> </w:t>
      </w:r>
      <w:r>
        <w:rPr>
          <w:rFonts w:hint="eastAsia" w:ascii="宋体" w:hAnsi="宋体" w:eastAsia="宋体" w:cs="宋体"/>
          <w:color w:val="auto"/>
          <w:spacing w:val="-11"/>
          <w:sz w:val="21"/>
          <w:szCs w:val="21"/>
          <w:highlight w:val="none"/>
        </w:rPr>
        <w:t>经</w:t>
      </w:r>
      <w:r>
        <w:rPr>
          <w:rFonts w:hint="eastAsia" w:ascii="宋体" w:hAnsi="宋体" w:eastAsia="宋体" w:cs="宋体"/>
          <w:color w:val="auto"/>
          <w:spacing w:val="-65"/>
          <w:sz w:val="21"/>
          <w:szCs w:val="21"/>
          <w:highlight w:val="none"/>
        </w:rPr>
        <w:t xml:space="preserve"> </w:t>
      </w:r>
      <w:r>
        <w:rPr>
          <w:rFonts w:hint="eastAsia" w:ascii="宋体" w:hAnsi="宋体" w:eastAsia="宋体" w:cs="宋体"/>
          <w:color w:val="auto"/>
          <w:spacing w:val="-11"/>
          <w:sz w:val="21"/>
          <w:szCs w:val="21"/>
          <w:highlight w:val="none"/>
        </w:rPr>
        <w:t>正</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式</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授</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权</w:t>
      </w:r>
      <w:r>
        <w:rPr>
          <w:rFonts w:hint="eastAsia" w:ascii="宋体" w:hAnsi="宋体" w:eastAsia="宋体" w:cs="宋体"/>
          <w:color w:val="auto"/>
          <w:spacing w:val="-61"/>
          <w:sz w:val="21"/>
          <w:szCs w:val="21"/>
          <w:highlight w:val="none"/>
        </w:rPr>
        <w:t xml:space="preserve"> </w:t>
      </w:r>
      <w:r>
        <w:rPr>
          <w:rFonts w:hint="eastAsia" w:ascii="宋体" w:hAnsi="宋体" w:eastAsia="宋体" w:cs="宋体"/>
          <w:color w:val="auto"/>
          <w:spacing w:val="-11"/>
          <w:sz w:val="21"/>
          <w:szCs w:val="21"/>
          <w:highlight w:val="none"/>
        </w:rPr>
        <w:t>并</w:t>
      </w:r>
      <w:r>
        <w:rPr>
          <w:rFonts w:hint="eastAsia" w:ascii="宋体" w:hAnsi="宋体" w:eastAsia="宋体" w:cs="宋体"/>
          <w:color w:val="auto"/>
          <w:spacing w:val="-69"/>
          <w:sz w:val="21"/>
          <w:szCs w:val="21"/>
          <w:highlight w:val="none"/>
        </w:rPr>
        <w:t xml:space="preserve"> </w:t>
      </w:r>
      <w:r>
        <w:rPr>
          <w:rFonts w:hint="eastAsia" w:ascii="宋体" w:hAnsi="宋体" w:eastAsia="宋体" w:cs="宋体"/>
          <w:color w:val="auto"/>
          <w:spacing w:val="-11"/>
          <w:sz w:val="21"/>
          <w:szCs w:val="21"/>
          <w:highlight w:val="none"/>
        </w:rPr>
        <w:t>代</w:t>
      </w:r>
      <w:r>
        <w:rPr>
          <w:rFonts w:hint="eastAsia" w:ascii="宋体" w:hAnsi="宋体" w:eastAsia="宋体" w:cs="宋体"/>
          <w:color w:val="auto"/>
          <w:spacing w:val="-71"/>
          <w:sz w:val="21"/>
          <w:szCs w:val="21"/>
          <w:highlight w:val="none"/>
        </w:rPr>
        <w:t xml:space="preserve"> </w:t>
      </w:r>
      <w:r>
        <w:rPr>
          <w:rFonts w:hint="eastAsia" w:ascii="宋体" w:hAnsi="宋体" w:eastAsia="宋体" w:cs="宋体"/>
          <w:color w:val="auto"/>
          <w:spacing w:val="-11"/>
          <w:sz w:val="21"/>
          <w:szCs w:val="21"/>
          <w:highlight w:val="none"/>
        </w:rPr>
        <w:t>表</w:t>
      </w:r>
      <w:r>
        <w:rPr>
          <w:rFonts w:hint="eastAsia" w:ascii="宋体" w:hAnsi="宋体" w:eastAsia="宋体" w:cs="宋体"/>
          <w:color w:val="auto"/>
          <w:spacing w:val="-67"/>
          <w:sz w:val="21"/>
          <w:szCs w:val="21"/>
          <w:highlight w:val="none"/>
        </w:rPr>
        <w:t xml:space="preserve"> </w:t>
      </w:r>
      <w:r>
        <w:rPr>
          <w:rFonts w:hint="eastAsia" w:ascii="宋体" w:hAnsi="宋体" w:eastAsia="宋体" w:cs="宋体"/>
          <w:color w:val="auto"/>
          <w:spacing w:val="-11"/>
          <w:sz w:val="21"/>
          <w:szCs w:val="21"/>
          <w:highlight w:val="none"/>
        </w:rPr>
        <w:t>供</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11"/>
          <w:sz w:val="21"/>
          <w:szCs w:val="21"/>
          <w:highlight w:val="none"/>
        </w:rPr>
        <w:t>应</w:t>
      </w:r>
      <w:r>
        <w:rPr>
          <w:rFonts w:hint="eastAsia" w:ascii="宋体" w:hAnsi="宋体" w:eastAsia="宋体" w:cs="宋体"/>
          <w:color w:val="auto"/>
          <w:spacing w:val="-62"/>
          <w:sz w:val="21"/>
          <w:szCs w:val="21"/>
          <w:highlight w:val="none"/>
        </w:rPr>
        <w:t xml:space="preserve"> </w:t>
      </w:r>
      <w:r>
        <w:rPr>
          <w:rFonts w:hint="eastAsia" w:ascii="宋体" w:hAnsi="宋体" w:eastAsia="宋体" w:cs="宋体"/>
          <w:color w:val="auto"/>
          <w:spacing w:val="-11"/>
          <w:sz w:val="21"/>
          <w:szCs w:val="21"/>
          <w:highlight w:val="none"/>
        </w:rPr>
        <w:t>商</w:t>
      </w:r>
      <w:r>
        <w:rPr>
          <w:rFonts w:hint="eastAsia" w:ascii="宋体" w:hAnsi="宋体" w:eastAsia="宋体" w:cs="宋体"/>
          <w:color w:val="auto"/>
          <w:spacing w:val="-2"/>
          <w:sz w:val="21"/>
          <w:szCs w:val="21"/>
          <w:highlight w:val="none"/>
        </w:rPr>
        <w:t>（供应商单位名称</w:t>
      </w:r>
      <w:r>
        <w:rPr>
          <w:rFonts w:hint="eastAsia" w:ascii="宋体" w:hAnsi="宋体" w:eastAsia="宋体" w:cs="宋体"/>
          <w:color w:val="auto"/>
          <w:spacing w:val="6"/>
          <w:sz w:val="21"/>
          <w:szCs w:val="21"/>
          <w:highlight w:val="none"/>
        </w:rPr>
        <w:t>），</w:t>
      </w:r>
      <w:r>
        <w:rPr>
          <w:rFonts w:hint="eastAsia" w:ascii="宋体" w:hAnsi="宋体" w:eastAsia="宋体" w:cs="宋体"/>
          <w:color w:val="auto"/>
          <w:spacing w:val="-2"/>
          <w:sz w:val="21"/>
          <w:szCs w:val="21"/>
          <w:highlight w:val="none"/>
        </w:rPr>
        <w:t>提交电子响应文件。</w:t>
      </w:r>
    </w:p>
    <w:p>
      <w:pPr>
        <w:pStyle w:val="8"/>
        <w:spacing w:before="75" w:line="219" w:lineRule="auto"/>
        <w:ind w:left="480"/>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据此函，签字代表宣布同意如下：</w:t>
      </w:r>
    </w:p>
    <w:p>
      <w:pPr>
        <w:pStyle w:val="8"/>
        <w:tabs>
          <w:tab w:val="left" w:pos="126"/>
        </w:tabs>
        <w:spacing w:before="75" w:line="258" w:lineRule="auto"/>
        <w:ind w:left="6" w:firstLine="49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1.我方已仔细研究磋商文件的全部内容，愿意以人民币（大写）</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98"/>
          <w:sz w:val="21"/>
          <w:szCs w:val="21"/>
          <w:highlight w:val="non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5"/>
          <w:sz w:val="21"/>
          <w:szCs w:val="21"/>
          <w:highlight w:val="none"/>
          <w:u w:val="single"/>
        </w:rPr>
        <w:t xml:space="preserve">     </w:t>
      </w:r>
      <w:r>
        <w:rPr>
          <w:rFonts w:hint="eastAsia" w:ascii="宋体" w:hAnsi="宋体" w:eastAsia="宋体" w:cs="宋体"/>
          <w:color w:val="auto"/>
          <w:spacing w:val="-84"/>
          <w:sz w:val="21"/>
          <w:szCs w:val="21"/>
          <w:highlight w:val="none"/>
        </w:rPr>
        <w:t xml:space="preserve"> </w:t>
      </w:r>
      <w:r>
        <w:rPr>
          <w:rFonts w:hint="eastAsia" w:ascii="宋体" w:hAnsi="宋体" w:eastAsia="宋体" w:cs="宋体"/>
          <w:color w:val="auto"/>
          <w:spacing w:val="-1"/>
          <w:sz w:val="21"/>
          <w:szCs w:val="21"/>
          <w:highlight w:val="none"/>
        </w:rPr>
        <w:t>)的磋商报价（</w:t>
      </w:r>
      <w:r>
        <w:rPr>
          <w:rFonts w:hint="eastAsia" w:ascii="宋体" w:hAnsi="宋体" w:eastAsia="宋体" w:cs="宋体"/>
          <w:color w:val="auto"/>
          <w:sz w:val="21"/>
          <w:szCs w:val="21"/>
          <w:highlight w:val="none"/>
        </w:rPr>
        <w:t>其中：预算价：</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元、安全文明施工费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元、规费</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元、增值税/税金</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元）</w:t>
      </w:r>
      <w:r>
        <w:rPr>
          <w:rFonts w:hint="eastAsia" w:ascii="宋体" w:hAnsi="宋体" w:eastAsia="宋体" w:cs="宋体"/>
          <w:color w:val="auto"/>
          <w:spacing w:val="-1"/>
          <w:sz w:val="21"/>
          <w:szCs w:val="21"/>
          <w:highlight w:val="none"/>
        </w:rPr>
        <w:t>（或根据磋商文件规定修正核实后确定的另一金额</w:t>
      </w:r>
      <w:r>
        <w:rPr>
          <w:rFonts w:hint="eastAsia" w:ascii="宋体" w:hAnsi="宋体" w:eastAsia="宋体" w:cs="宋体"/>
          <w:color w:val="auto"/>
          <w:spacing w:val="13"/>
          <w:sz w:val="21"/>
          <w:szCs w:val="21"/>
          <w:highlight w:val="none"/>
        </w:rPr>
        <w:t>），</w:t>
      </w:r>
      <w:r>
        <w:rPr>
          <w:rFonts w:hint="eastAsia" w:ascii="宋体" w:hAnsi="宋体" w:eastAsia="宋体" w:cs="宋体"/>
          <w:color w:val="auto"/>
          <w:spacing w:val="-1"/>
          <w:sz w:val="21"/>
          <w:szCs w:val="21"/>
          <w:highlight w:val="none"/>
        </w:rPr>
        <w:t>按合同约定实施和完成承包工程，修补工程中的任何缺陷。</w:t>
      </w:r>
    </w:p>
    <w:p>
      <w:pPr>
        <w:pStyle w:val="8"/>
        <w:spacing w:before="75" w:line="220" w:lineRule="auto"/>
        <w:ind w:left="483"/>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2.工程质量</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7"/>
          <w:sz w:val="21"/>
          <w:szCs w:val="21"/>
          <w:highlight w:val="none"/>
          <w:u w:val="single"/>
        </w:rPr>
        <w:t xml:space="preserve">        </w:t>
      </w:r>
      <w:r>
        <w:rPr>
          <w:rFonts w:hint="eastAsia" w:ascii="宋体" w:hAnsi="宋体" w:eastAsia="宋体" w:cs="宋体"/>
          <w:color w:val="auto"/>
          <w:spacing w:val="-86"/>
          <w:sz w:val="21"/>
          <w:szCs w:val="21"/>
          <w:highlight w:val="none"/>
        </w:rPr>
        <w:t xml:space="preserve"> </w:t>
      </w:r>
      <w:r>
        <w:rPr>
          <w:rFonts w:hint="eastAsia" w:ascii="宋体" w:hAnsi="宋体" w:eastAsia="宋体" w:cs="宋体"/>
          <w:color w:val="auto"/>
          <w:spacing w:val="-8"/>
          <w:sz w:val="21"/>
          <w:szCs w:val="21"/>
          <w:highlight w:val="none"/>
        </w:rPr>
        <w:t>，</w:t>
      </w:r>
      <w:r>
        <w:rPr>
          <w:rFonts w:hint="eastAsia" w:ascii="宋体" w:hAnsi="宋体" w:eastAsia="宋体" w:cs="宋体"/>
          <w:color w:val="auto"/>
          <w:spacing w:val="-6"/>
          <w:sz w:val="21"/>
          <w:szCs w:val="21"/>
          <w:highlight w:val="none"/>
        </w:rPr>
        <w:t>工期：</w:t>
      </w:r>
      <w:r>
        <w:rPr>
          <w:rFonts w:hint="eastAsia" w:ascii="宋体" w:hAnsi="宋体" w:eastAsia="宋体" w:cs="宋体"/>
          <w:color w:val="auto"/>
          <w:spacing w:val="10"/>
          <w:sz w:val="21"/>
          <w:szCs w:val="21"/>
          <w:highlight w:val="none"/>
          <w:u w:val="single"/>
        </w:rPr>
        <w:t xml:space="preserve">      </w:t>
      </w:r>
      <w:r>
        <w:rPr>
          <w:rFonts w:hint="eastAsia" w:ascii="宋体" w:hAnsi="宋体" w:eastAsia="宋体" w:cs="宋体"/>
          <w:color w:val="auto"/>
          <w:spacing w:val="-70"/>
          <w:sz w:val="21"/>
          <w:szCs w:val="21"/>
          <w:highlight w:val="none"/>
        </w:rPr>
        <w:t xml:space="preserve"> </w:t>
      </w:r>
      <w:r>
        <w:rPr>
          <w:rFonts w:hint="eastAsia" w:ascii="宋体" w:hAnsi="宋体" w:eastAsia="宋体" w:cs="宋体"/>
          <w:color w:val="auto"/>
          <w:spacing w:val="-6"/>
          <w:sz w:val="21"/>
          <w:szCs w:val="21"/>
          <w:highlight w:val="none"/>
        </w:rPr>
        <w:t>日历天。</w:t>
      </w:r>
    </w:p>
    <w:p>
      <w:pPr>
        <w:pStyle w:val="8"/>
        <w:spacing w:before="73" w:line="219" w:lineRule="auto"/>
        <w:ind w:left="485"/>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3.我方承诺已具备磋商文件规定的供应商资格条件。</w:t>
      </w:r>
    </w:p>
    <w:p>
      <w:pPr>
        <w:pStyle w:val="8"/>
        <w:spacing w:before="76" w:line="248" w:lineRule="auto"/>
        <w:ind w:left="19" w:firstLine="46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4.我方已详细审核磋商文件，包括修改文件（如有的话）和有关附件</w:t>
      </w:r>
      <w:r>
        <w:rPr>
          <w:rFonts w:hint="eastAsia" w:ascii="宋体" w:hAnsi="宋体" w:eastAsia="宋体" w:cs="宋体"/>
          <w:color w:val="auto"/>
          <w:spacing w:val="-3"/>
          <w:sz w:val="21"/>
          <w:szCs w:val="21"/>
          <w:highlight w:val="none"/>
        </w:rPr>
        <w:t>，将自行承担</w:t>
      </w:r>
      <w:r>
        <w:rPr>
          <w:rFonts w:hint="eastAsia" w:ascii="宋体" w:hAnsi="宋体" w:eastAsia="宋体" w:cs="宋体"/>
          <w:color w:val="auto"/>
          <w:spacing w:val="-1"/>
          <w:sz w:val="21"/>
          <w:szCs w:val="21"/>
          <w:highlight w:val="none"/>
        </w:rPr>
        <w:t>因对全部磋商文件理解不正确或误解而产生的</w:t>
      </w:r>
      <w:r>
        <w:rPr>
          <w:rFonts w:hint="eastAsia" w:ascii="宋体" w:hAnsi="宋体" w:eastAsia="宋体" w:cs="宋体"/>
          <w:color w:val="auto"/>
          <w:spacing w:val="-2"/>
          <w:sz w:val="21"/>
          <w:szCs w:val="21"/>
          <w:highlight w:val="none"/>
        </w:rPr>
        <w:t>相应后果。</w:t>
      </w:r>
    </w:p>
    <w:p>
      <w:pPr>
        <w:pStyle w:val="8"/>
        <w:spacing w:before="75" w:line="360" w:lineRule="exact"/>
        <w:ind w:left="485"/>
        <w:rPr>
          <w:rFonts w:hint="eastAsia" w:ascii="宋体" w:hAnsi="宋体" w:eastAsia="宋体" w:cs="宋体"/>
          <w:color w:val="auto"/>
          <w:sz w:val="21"/>
          <w:szCs w:val="21"/>
          <w:highlight w:val="none"/>
        </w:rPr>
      </w:pPr>
      <w:r>
        <w:rPr>
          <w:rFonts w:hint="eastAsia" w:ascii="宋体" w:hAnsi="宋体" w:eastAsia="宋体" w:cs="宋体"/>
          <w:color w:val="auto"/>
          <w:spacing w:val="-2"/>
          <w:position w:val="8"/>
          <w:sz w:val="21"/>
          <w:szCs w:val="21"/>
          <w:highlight w:val="none"/>
        </w:rPr>
        <w:t>5.响应文件有效期为响应文件递交截止时间之日起</w:t>
      </w:r>
      <w:r>
        <w:rPr>
          <w:rFonts w:hint="eastAsia" w:ascii="宋体" w:hAnsi="宋体" w:eastAsia="宋体" w:cs="宋体"/>
          <w:color w:val="auto"/>
          <w:spacing w:val="-36"/>
          <w:position w:val="8"/>
          <w:sz w:val="21"/>
          <w:szCs w:val="21"/>
          <w:highlight w:val="none"/>
        </w:rPr>
        <w:t xml:space="preserve"> </w:t>
      </w:r>
      <w:r>
        <w:rPr>
          <w:rFonts w:hint="eastAsia" w:ascii="宋体" w:hAnsi="宋体" w:eastAsia="宋体" w:cs="宋体"/>
          <w:color w:val="auto"/>
          <w:spacing w:val="-2"/>
          <w:position w:val="8"/>
          <w:sz w:val="21"/>
          <w:szCs w:val="21"/>
          <w:highlight w:val="none"/>
        </w:rPr>
        <w:t>90</w:t>
      </w:r>
      <w:r>
        <w:rPr>
          <w:rFonts w:hint="eastAsia" w:ascii="宋体" w:hAnsi="宋体" w:eastAsia="宋体" w:cs="宋体"/>
          <w:color w:val="auto"/>
          <w:spacing w:val="-46"/>
          <w:position w:val="8"/>
          <w:sz w:val="21"/>
          <w:szCs w:val="21"/>
          <w:highlight w:val="none"/>
        </w:rPr>
        <w:t xml:space="preserve"> </w:t>
      </w:r>
      <w:r>
        <w:rPr>
          <w:rFonts w:hint="eastAsia" w:ascii="宋体" w:hAnsi="宋体" w:eastAsia="宋体" w:cs="宋体"/>
          <w:color w:val="auto"/>
          <w:spacing w:val="-2"/>
          <w:position w:val="8"/>
          <w:sz w:val="21"/>
          <w:szCs w:val="21"/>
          <w:highlight w:val="none"/>
        </w:rPr>
        <w:t>天。</w:t>
      </w:r>
    </w:p>
    <w:p>
      <w:pPr>
        <w:pStyle w:val="8"/>
        <w:spacing w:line="220" w:lineRule="auto"/>
        <w:ind w:left="482"/>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6.如我方成交：</w:t>
      </w:r>
    </w:p>
    <w:p>
      <w:pPr>
        <w:pStyle w:val="8"/>
        <w:spacing w:before="75" w:line="249" w:lineRule="auto"/>
        <w:ind w:left="24" w:firstLine="467"/>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（1）我方承诺在收到成交通知书后，在成交通知书规定的期限</w:t>
      </w:r>
      <w:r>
        <w:rPr>
          <w:rFonts w:hint="eastAsia" w:ascii="宋体" w:hAnsi="宋体" w:eastAsia="宋体" w:cs="宋体"/>
          <w:color w:val="auto"/>
          <w:sz w:val="21"/>
          <w:szCs w:val="21"/>
          <w:highlight w:val="none"/>
        </w:rPr>
        <w:t>内与采购人签订合</w:t>
      </w:r>
      <w:r>
        <w:rPr>
          <w:rFonts w:hint="eastAsia" w:ascii="宋体" w:hAnsi="宋体" w:eastAsia="宋体" w:cs="宋体"/>
          <w:color w:val="auto"/>
          <w:spacing w:val="-17"/>
          <w:sz w:val="21"/>
          <w:szCs w:val="21"/>
          <w:highlight w:val="none"/>
        </w:rPr>
        <w:t>同。</w:t>
      </w:r>
    </w:p>
    <w:p>
      <w:pPr>
        <w:pStyle w:val="8"/>
        <w:spacing w:before="72" w:line="219" w:lineRule="auto"/>
        <w:ind w:left="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（2）我方承诺按照磋商文件规定递交履约担保。</w:t>
      </w:r>
    </w:p>
    <w:p>
      <w:pPr>
        <w:pStyle w:val="8"/>
        <w:spacing w:before="75" w:line="248" w:lineRule="auto"/>
        <w:ind w:firstLine="492"/>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（3）我方承诺本响应文件至本项目合同履行完毕止均保持有效</w:t>
      </w:r>
      <w:r>
        <w:rPr>
          <w:rFonts w:hint="eastAsia" w:ascii="宋体" w:hAnsi="宋体" w:eastAsia="宋体" w:cs="宋体"/>
          <w:color w:val="auto"/>
          <w:sz w:val="21"/>
          <w:szCs w:val="21"/>
          <w:highlight w:val="none"/>
        </w:rPr>
        <w:t>，按磋商文件及政</w:t>
      </w:r>
      <w:r>
        <w:rPr>
          <w:rFonts w:hint="eastAsia" w:ascii="宋体" w:hAnsi="宋体" w:eastAsia="宋体" w:cs="宋体"/>
          <w:color w:val="auto"/>
          <w:spacing w:val="-1"/>
          <w:sz w:val="21"/>
          <w:szCs w:val="21"/>
          <w:highlight w:val="none"/>
        </w:rPr>
        <w:t>府采购法律、法规的规定履行合同责任和义务。</w:t>
      </w:r>
    </w:p>
    <w:p>
      <w:pPr>
        <w:spacing w:line="355" w:lineRule="auto"/>
        <w:rPr>
          <w:rFonts w:hint="eastAsia" w:ascii="宋体" w:hAnsi="宋体" w:eastAsia="宋体" w:cs="宋体"/>
          <w:color w:val="auto"/>
          <w:sz w:val="21"/>
          <w:szCs w:val="21"/>
          <w:highlight w:val="none"/>
        </w:rPr>
      </w:pP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与本项目有关的正式通讯地址为：</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04"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地址：</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27"/>
          <w:sz w:val="21"/>
          <w:szCs w:val="21"/>
          <w:highlight w:val="none"/>
        </w:rPr>
        <w:t xml:space="preserve"> </w:t>
      </w:r>
      <w:r>
        <w:rPr>
          <w:rFonts w:hint="eastAsia" w:ascii="宋体" w:hAnsi="宋体" w:eastAsia="宋体" w:cs="宋体"/>
          <w:color w:val="auto"/>
          <w:spacing w:val="-4"/>
          <w:sz w:val="21"/>
          <w:szCs w:val="21"/>
          <w:highlight w:val="none"/>
        </w:rPr>
        <w:t>邮编：</w:t>
      </w:r>
      <w:r>
        <w:rPr>
          <w:rFonts w:hint="eastAsia" w:ascii="宋体" w:hAnsi="宋体" w:eastAsia="宋体" w:cs="宋体"/>
          <w:color w:val="auto"/>
          <w:spacing w:val="-4"/>
          <w:sz w:val="21"/>
          <w:szCs w:val="21"/>
          <w:highlight w:val="none"/>
          <w:u w:val="single"/>
        </w:rPr>
        <w:t xml:space="preserve">        </w:t>
      </w:r>
      <w:r>
        <w:rPr>
          <w:rFonts w:hint="eastAsia" w:ascii="宋体" w:hAnsi="宋体" w:eastAsia="宋体" w:cs="宋体"/>
          <w:color w:val="auto"/>
          <w:spacing w:val="-5"/>
          <w:sz w:val="21"/>
          <w:szCs w:val="21"/>
          <w:highlight w:val="none"/>
          <w:u w:val="single"/>
        </w:rPr>
        <w:t xml:space="preserve">  </w:t>
      </w:r>
      <w:r>
        <w:rPr>
          <w:rFonts w:hint="eastAsia" w:ascii="宋体" w:hAnsi="宋体" w:eastAsia="宋体" w:cs="宋体"/>
          <w:color w:val="auto"/>
          <w:spacing w:val="13"/>
          <w:sz w:val="21"/>
          <w:szCs w:val="21"/>
          <w:highlight w:val="none"/>
        </w:rPr>
        <w:t xml:space="preserve">  </w:t>
      </w:r>
      <w:r>
        <w:rPr>
          <w:rFonts w:hint="eastAsia" w:ascii="宋体" w:hAnsi="宋体" w:eastAsia="宋体" w:cs="宋体"/>
          <w:color w:val="auto"/>
          <w:spacing w:val="-5"/>
          <w:sz w:val="21"/>
          <w:szCs w:val="21"/>
          <w:highlight w:val="none"/>
        </w:rPr>
        <w:t>邮箱：</w:t>
      </w:r>
      <w:r>
        <w:rPr>
          <w:rFonts w:hint="eastAsia" w:ascii="宋体" w:hAnsi="宋体" w:eastAsia="宋体" w:cs="宋体"/>
          <w:color w:val="auto"/>
          <w:spacing w:val="-5"/>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办公电话：</w:t>
      </w:r>
      <w:r>
        <w:rPr>
          <w:rFonts w:hint="eastAsia" w:ascii="宋体" w:hAnsi="宋体" w:eastAsia="宋体" w:cs="宋体"/>
          <w:color w:val="auto"/>
          <w:spacing w:val="-1"/>
          <w:sz w:val="21"/>
          <w:szCs w:val="21"/>
          <w:highlight w:val="none"/>
          <w:u w:val="single"/>
        </w:rPr>
        <w:t xml:space="preserve">                </w:t>
      </w:r>
      <w:r>
        <w:rPr>
          <w:rFonts w:hint="eastAsia" w:ascii="宋体" w:hAnsi="宋体" w:eastAsia="宋体" w:cs="宋体"/>
          <w:color w:val="auto"/>
          <w:spacing w:val="-1"/>
          <w:sz w:val="21"/>
          <w:szCs w:val="21"/>
          <w:highlight w:val="none"/>
        </w:rPr>
        <w:t xml:space="preserve">   传真：</w:t>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16"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rPr>
        <w:t>委托代理人联系电话：</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0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0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开户银行：</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08"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账号：</w:t>
      </w:r>
      <w:r>
        <w:rPr>
          <w:rFonts w:hint="eastAsia" w:ascii="宋体" w:hAnsi="宋体" w:eastAsia="宋体" w:cs="宋体"/>
          <w:color w:val="auto"/>
          <w:spacing w:val="-3"/>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12"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供应商[公章(CA</w:t>
      </w:r>
      <w:r>
        <w:rPr>
          <w:rFonts w:hint="eastAsia" w:ascii="宋体" w:hAnsi="宋体" w:eastAsia="宋体" w:cs="宋体"/>
          <w:color w:val="auto"/>
          <w:spacing w:val="-43"/>
          <w:sz w:val="21"/>
          <w:szCs w:val="21"/>
          <w:highlight w:val="none"/>
        </w:rPr>
        <w:t xml:space="preserve"> </w:t>
      </w:r>
      <w:r>
        <w:rPr>
          <w:rFonts w:hint="eastAsia" w:ascii="宋体" w:hAnsi="宋体" w:eastAsia="宋体" w:cs="宋体"/>
          <w:color w:val="auto"/>
          <w:spacing w:val="-2"/>
          <w:sz w:val="21"/>
          <w:szCs w:val="21"/>
          <w:highlight w:val="none"/>
        </w:rPr>
        <w:t>签章)]：</w:t>
      </w:r>
      <w:r>
        <w:rPr>
          <w:rFonts w:hint="eastAsia" w:ascii="宋体" w:hAnsi="宋体" w:eastAsia="宋体" w:cs="宋体"/>
          <w:color w:val="auto"/>
          <w:sz w:val="21"/>
          <w:szCs w:val="21"/>
          <w:highlight w:val="none"/>
          <w:u w:val="single"/>
        </w:rPr>
        <w:t xml:space="preserve">                       </w:t>
      </w:r>
    </w:p>
    <w:p>
      <w:pPr>
        <w:pStyle w:val="11"/>
        <w:keepNext w:val="0"/>
        <w:keepLines w:val="0"/>
        <w:pageBreakBefore w:val="0"/>
        <w:widowControl w:val="0"/>
        <w:kinsoku/>
        <w:wordWrap/>
        <w:overflowPunct/>
        <w:topLinePunct w:val="0"/>
        <w:autoSpaceDE/>
        <w:autoSpaceDN/>
        <w:bidi w:val="0"/>
        <w:adjustRightInd/>
        <w:snapToGrid/>
        <w:spacing w:line="380" w:lineRule="exact"/>
        <w:ind w:left="0" w:firstLine="420" w:firstLineChars="2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法定代表人、负责人、自然人或相应的委托代理人签字[或盖章(CA签章)]（属自然人的应在签名处加盖大拇指指印或个人CA签章）：</w:t>
      </w:r>
      <w:r>
        <w:rPr>
          <w:rFonts w:hint="eastAsia" w:ascii="宋体" w:hAnsi="宋体" w:eastAsia="宋体" w:cs="宋体"/>
          <w:color w:val="auto"/>
          <w:sz w:val="21"/>
          <w:szCs w:val="21"/>
          <w:highlight w:val="none"/>
          <w:u w:val="single"/>
        </w:rPr>
        <w:t xml:space="preserve">              </w:t>
      </w:r>
    </w:p>
    <w:p>
      <w:pPr>
        <w:pStyle w:val="8"/>
        <w:keepNext w:val="0"/>
        <w:keepLines w:val="0"/>
        <w:pageBreakBefore w:val="0"/>
        <w:widowControl w:val="0"/>
        <w:kinsoku/>
        <w:wordWrap/>
        <w:overflowPunct/>
        <w:topLinePunct w:val="0"/>
        <w:autoSpaceDE/>
        <w:autoSpaceDN/>
        <w:bidi w:val="0"/>
        <w:adjustRightInd/>
        <w:snapToGrid/>
        <w:spacing w:after="0" w:line="380" w:lineRule="exact"/>
        <w:ind w:left="0" w:firstLine="400" w:firstLineChars="200"/>
        <w:textAlignment w:val="auto"/>
        <w:rPr>
          <w:rFonts w:hint="eastAsia" w:ascii="宋体" w:hAnsi="宋体" w:eastAsia="宋体" w:cs="宋体"/>
          <w:b/>
          <w:color w:val="auto"/>
          <w:sz w:val="21"/>
          <w:szCs w:val="21"/>
          <w:highlight w:val="none"/>
          <w:lang w:val="en-US" w:eastAsia="zh-CN"/>
        </w:rPr>
      </w:pPr>
      <w:r>
        <w:rPr>
          <w:rFonts w:hint="eastAsia" w:ascii="宋体" w:hAnsi="宋体" w:eastAsia="宋体" w:cs="宋体"/>
          <w:color w:val="auto"/>
          <w:spacing w:val="-5"/>
          <w:sz w:val="21"/>
          <w:szCs w:val="21"/>
          <w:highlight w:val="none"/>
        </w:rPr>
        <w:t>响应日期：</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5"/>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8"/>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8"/>
        <w:rPr>
          <w:rFonts w:hint="eastAsia"/>
          <w:color w:val="auto"/>
          <w:highlight w:val="none"/>
          <w:lang w:val="en-US" w:eastAsia="zh-CN"/>
        </w:rPr>
      </w:pPr>
    </w:p>
    <w:p>
      <w:pPr>
        <w:pStyle w:val="11"/>
        <w:numPr>
          <w:ilvl w:val="0"/>
          <w:numId w:val="0"/>
        </w:numPr>
        <w:spacing w:line="340" w:lineRule="exact"/>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lang w:val="en-US" w:eastAsia="zh-CN"/>
        </w:rPr>
        <w:t>2.工程报价汇总表</w:t>
      </w:r>
      <w:r>
        <w:rPr>
          <w:rFonts w:hint="eastAsia" w:ascii="宋体" w:hAnsi="宋体" w:eastAsia="宋体" w:cs="宋体"/>
          <w:b/>
          <w:color w:val="auto"/>
          <w:sz w:val="24"/>
          <w:szCs w:val="24"/>
          <w:highlight w:val="none"/>
        </w:rPr>
        <w:t>（必须提供）；</w:t>
      </w:r>
    </w:p>
    <w:p>
      <w:pPr>
        <w:pStyle w:val="11"/>
        <w:spacing w:line="320" w:lineRule="exact"/>
        <w:jc w:val="left"/>
        <w:rPr>
          <w:rFonts w:hint="eastAsia" w:ascii="宋体" w:hAnsi="宋体" w:eastAsia="宋体" w:cs="宋体"/>
          <w:b/>
          <w:color w:val="auto"/>
          <w:sz w:val="21"/>
          <w:szCs w:val="21"/>
          <w:highlight w:val="none"/>
        </w:rPr>
      </w:pPr>
    </w:p>
    <w:p>
      <w:pPr>
        <w:widowControl/>
        <w:jc w:val="center"/>
        <w:rPr>
          <w:rFonts w:hint="eastAsia" w:ascii="宋体" w:hAnsi="宋体" w:eastAsia="宋体" w:cs="宋体"/>
          <w:b/>
          <w:color w:val="auto"/>
          <w:kern w:val="0"/>
          <w:sz w:val="21"/>
          <w:szCs w:val="21"/>
          <w:highlight w:val="none"/>
          <w:lang w:eastAsia="zh-CN"/>
        </w:rPr>
      </w:pPr>
      <w:r>
        <w:rPr>
          <w:rFonts w:hint="eastAsia" w:ascii="宋体" w:hAnsi="宋体" w:eastAsia="宋体" w:cs="宋体"/>
          <w:b/>
          <w:color w:val="auto"/>
          <w:kern w:val="0"/>
          <w:sz w:val="21"/>
          <w:szCs w:val="21"/>
          <w:highlight w:val="none"/>
        </w:rPr>
        <w:t>工程报价汇总表</w:t>
      </w:r>
      <w:r>
        <w:rPr>
          <w:rFonts w:hint="eastAsia" w:ascii="宋体" w:hAnsi="宋体" w:eastAsia="宋体" w:cs="宋体"/>
          <w:b/>
          <w:color w:val="auto"/>
          <w:kern w:val="0"/>
          <w:sz w:val="21"/>
          <w:szCs w:val="21"/>
          <w:highlight w:val="none"/>
          <w:lang w:eastAsia="zh-CN"/>
        </w:rPr>
        <w:t>（</w:t>
      </w:r>
      <w:r>
        <w:rPr>
          <w:rFonts w:hint="eastAsia" w:ascii="宋体" w:hAnsi="宋体" w:eastAsia="宋体" w:cs="宋体"/>
          <w:b/>
          <w:color w:val="auto"/>
          <w:kern w:val="0"/>
          <w:sz w:val="21"/>
          <w:szCs w:val="21"/>
          <w:highlight w:val="none"/>
          <w:lang w:val="en-US" w:eastAsia="zh-CN"/>
        </w:rPr>
        <w:t>格式</w:t>
      </w:r>
      <w:r>
        <w:rPr>
          <w:rFonts w:hint="eastAsia" w:ascii="宋体" w:hAnsi="宋体" w:eastAsia="宋体" w:cs="宋体"/>
          <w:b/>
          <w:color w:val="auto"/>
          <w:kern w:val="0"/>
          <w:sz w:val="21"/>
          <w:szCs w:val="21"/>
          <w:highlight w:val="none"/>
          <w:lang w:eastAsia="zh-CN"/>
        </w:rPr>
        <w:t>）</w:t>
      </w:r>
    </w:p>
    <w:p>
      <w:pPr>
        <w:widowControl/>
        <w:jc w:val="center"/>
        <w:rPr>
          <w:rFonts w:hint="eastAsia" w:ascii="宋体" w:hAnsi="宋体" w:eastAsia="宋体" w:cs="宋体"/>
          <w:color w:val="auto"/>
          <w:kern w:val="0"/>
          <w:sz w:val="21"/>
          <w:szCs w:val="21"/>
          <w:highlight w:val="none"/>
        </w:rPr>
      </w:pPr>
    </w:p>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工程名称: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币种：人民币</w:t>
      </w:r>
    </w:p>
    <w:tbl>
      <w:tblPr>
        <w:tblStyle w:val="19"/>
        <w:tblW w:w="9184" w:type="dxa"/>
        <w:tblInd w:w="108" w:type="dxa"/>
        <w:tblLayout w:type="fixed"/>
        <w:tblCellMar>
          <w:top w:w="0" w:type="dxa"/>
          <w:left w:w="108" w:type="dxa"/>
          <w:bottom w:w="0" w:type="dxa"/>
          <w:right w:w="108" w:type="dxa"/>
        </w:tblCellMar>
      </w:tblPr>
      <w:tblGrid>
        <w:gridCol w:w="720"/>
        <w:gridCol w:w="5944"/>
        <w:gridCol w:w="2520"/>
      </w:tblGrid>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一</w:t>
            </w:r>
          </w:p>
        </w:tc>
        <w:tc>
          <w:tcPr>
            <w:tcW w:w="5944" w:type="dxa"/>
            <w:tcBorders>
              <w:top w:val="single" w:color="auto" w:sz="8" w:space="0"/>
              <w:left w:val="nil"/>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磋商报价</w:t>
            </w:r>
            <w:r>
              <w:rPr>
                <w:rFonts w:hint="eastAsia" w:ascii="宋体" w:hAnsi="宋体" w:eastAsia="宋体" w:cs="宋体"/>
                <w:color w:val="auto"/>
                <w:kern w:val="0"/>
                <w:sz w:val="21"/>
                <w:szCs w:val="21"/>
                <w:highlight w:val="none"/>
              </w:rPr>
              <w:t>：二＋三＋四＋五</w:t>
            </w:r>
          </w:p>
        </w:tc>
        <w:tc>
          <w:tcPr>
            <w:tcW w:w="2520" w:type="dxa"/>
            <w:tcBorders>
              <w:top w:val="single" w:color="auto" w:sz="8" w:space="0"/>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tblPrEx>
          <w:tblCellMar>
            <w:top w:w="0" w:type="dxa"/>
            <w:left w:w="108" w:type="dxa"/>
            <w:bottom w:w="0" w:type="dxa"/>
            <w:right w:w="108" w:type="dxa"/>
          </w:tblCellMar>
        </w:tblPrEx>
        <w:trPr>
          <w:trHeight w:val="454" w:hRule="atLeast"/>
        </w:trPr>
        <w:tc>
          <w:tcPr>
            <w:tcW w:w="720"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w:t>
            </w:r>
          </w:p>
        </w:tc>
        <w:tc>
          <w:tcPr>
            <w:tcW w:w="59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预算价</w:t>
            </w:r>
            <w:r>
              <w:rPr>
                <w:rFonts w:hint="eastAsia" w:ascii="宋体" w:hAnsi="宋体" w:eastAsia="宋体" w:cs="宋体"/>
                <w:color w:val="auto"/>
                <w:kern w:val="0"/>
                <w:sz w:val="21"/>
                <w:szCs w:val="21"/>
                <w:highlight w:val="none"/>
              </w:rPr>
              <w:t>：</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三</w:t>
            </w:r>
          </w:p>
        </w:tc>
        <w:tc>
          <w:tcPr>
            <w:tcW w:w="59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rPr>
              <w:t>安全文明施工费</w:t>
            </w:r>
            <w:r>
              <w:rPr>
                <w:rFonts w:hint="eastAsia" w:ascii="宋体" w:hAnsi="宋体" w:cs="宋体"/>
                <w:color w:val="auto"/>
                <w:kern w:val="0"/>
                <w:sz w:val="21"/>
                <w:szCs w:val="21"/>
                <w:highlight w:val="none"/>
                <w:lang w:eastAsia="zh-CN"/>
              </w:rPr>
              <w:t>：</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tblPrEx>
          <w:tblCellMar>
            <w:top w:w="0" w:type="dxa"/>
            <w:left w:w="108" w:type="dxa"/>
            <w:bottom w:w="0" w:type="dxa"/>
            <w:right w:w="108" w:type="dxa"/>
          </w:tblCellMar>
        </w:tblPrEx>
        <w:trPr>
          <w:trHeight w:val="454" w:hRule="atLeast"/>
        </w:trPr>
        <w:tc>
          <w:tcPr>
            <w:tcW w:w="720" w:type="dxa"/>
            <w:tcBorders>
              <w:top w:val="nil"/>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w:t>
            </w:r>
          </w:p>
        </w:tc>
        <w:tc>
          <w:tcPr>
            <w:tcW w:w="59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规费：</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tblPrEx>
          <w:tblCellMar>
            <w:top w:w="0" w:type="dxa"/>
            <w:left w:w="108" w:type="dxa"/>
            <w:bottom w:w="0" w:type="dxa"/>
            <w:right w:w="108" w:type="dxa"/>
          </w:tblCellMar>
        </w:tblPrEx>
        <w:trPr>
          <w:trHeight w:val="454" w:hRule="atLeast"/>
        </w:trPr>
        <w:tc>
          <w:tcPr>
            <w:tcW w:w="72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w:t>
            </w:r>
          </w:p>
        </w:tc>
        <w:tc>
          <w:tcPr>
            <w:tcW w:w="594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增值税</w:t>
            </w:r>
            <w:r>
              <w:rPr>
                <w:rFonts w:hint="eastAsia" w:ascii="宋体" w:hAnsi="宋体" w:eastAsia="宋体" w:cs="宋体"/>
                <w:color w:val="auto"/>
                <w:kern w:val="0"/>
                <w:sz w:val="21"/>
                <w:szCs w:val="21"/>
                <w:highlight w:val="none"/>
                <w:lang w:val="en-US" w:eastAsia="zh-CN"/>
              </w:rPr>
              <w:t>/税金</w:t>
            </w:r>
            <w:r>
              <w:rPr>
                <w:rFonts w:hint="eastAsia" w:ascii="宋体" w:hAnsi="宋体" w:cs="宋体"/>
                <w:color w:val="auto"/>
                <w:kern w:val="0"/>
                <w:sz w:val="21"/>
                <w:szCs w:val="21"/>
                <w:highlight w:val="none"/>
                <w:lang w:val="en-US" w:eastAsia="zh-CN"/>
              </w:rPr>
              <w:t>：</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（元）</w:t>
            </w:r>
          </w:p>
        </w:tc>
      </w:tr>
      <w:tr>
        <w:tblPrEx>
          <w:tblCellMar>
            <w:top w:w="0" w:type="dxa"/>
            <w:left w:w="108" w:type="dxa"/>
            <w:bottom w:w="0" w:type="dxa"/>
            <w:right w:w="108" w:type="dxa"/>
          </w:tblCellMar>
        </w:tblPrEx>
        <w:trPr>
          <w:trHeight w:val="454" w:hRule="atLeast"/>
        </w:trPr>
        <w:tc>
          <w:tcPr>
            <w:tcW w:w="6664"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承诺工期</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天（日历日）</w:t>
            </w:r>
          </w:p>
        </w:tc>
      </w:tr>
      <w:tr>
        <w:tblPrEx>
          <w:tblCellMar>
            <w:top w:w="0" w:type="dxa"/>
            <w:left w:w="108" w:type="dxa"/>
            <w:bottom w:w="0" w:type="dxa"/>
            <w:right w:w="108" w:type="dxa"/>
          </w:tblCellMar>
        </w:tblPrEx>
        <w:trPr>
          <w:trHeight w:val="454" w:hRule="atLeast"/>
        </w:trPr>
        <w:tc>
          <w:tcPr>
            <w:tcW w:w="6664" w:type="dxa"/>
            <w:gridSpan w:val="2"/>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承诺质量等级</w:t>
            </w:r>
          </w:p>
        </w:tc>
        <w:tc>
          <w:tcPr>
            <w:tcW w:w="2520" w:type="dxa"/>
            <w:tcBorders>
              <w:top w:val="nil"/>
              <w:left w:val="nil"/>
              <w:bottom w:val="single" w:color="auto" w:sz="4"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righ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w:t>
            </w:r>
          </w:p>
        </w:tc>
      </w:tr>
      <w:tr>
        <w:tblPrEx>
          <w:tblCellMar>
            <w:top w:w="0" w:type="dxa"/>
            <w:left w:w="108" w:type="dxa"/>
            <w:bottom w:w="0" w:type="dxa"/>
            <w:right w:w="108" w:type="dxa"/>
          </w:tblCellMar>
        </w:tblPrEx>
        <w:trPr>
          <w:trHeight w:val="1104" w:hRule="atLeast"/>
        </w:trPr>
        <w:tc>
          <w:tcPr>
            <w:tcW w:w="9184" w:type="dxa"/>
            <w:gridSpan w:val="3"/>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p>
        </w:tc>
      </w:tr>
    </w:tbl>
    <w:p>
      <w:pPr>
        <w:spacing w:line="340" w:lineRule="exact"/>
        <w:rPr>
          <w:rFonts w:hint="eastAsia" w:ascii="宋体" w:hAnsi="宋体" w:eastAsia="宋体" w:cs="宋体"/>
          <w:color w:val="auto"/>
          <w:sz w:val="21"/>
          <w:szCs w:val="21"/>
          <w:highlight w:val="none"/>
        </w:rPr>
      </w:pPr>
    </w:p>
    <w:p>
      <w:pPr>
        <w:spacing w:line="3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，自然人除外）：</w:t>
      </w:r>
      <w:r>
        <w:rPr>
          <w:rFonts w:hint="eastAsia" w:ascii="宋体" w:hAnsi="宋体" w:eastAsia="宋体" w:cs="宋体"/>
          <w:color w:val="auto"/>
          <w:sz w:val="21"/>
          <w:szCs w:val="21"/>
          <w:highlight w:val="none"/>
          <w:u w:val="single"/>
        </w:rPr>
        <w:t xml:space="preserve">                                        </w:t>
      </w:r>
    </w:p>
    <w:p>
      <w:pPr>
        <w:spacing w:line="34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法定代表人、负责人、自然人或相应的委托代理人签字或</w:t>
      </w:r>
      <w:r>
        <w:rPr>
          <w:rFonts w:hint="eastAsia" w:ascii="宋体" w:hAnsi="宋体" w:eastAsia="宋体" w:cs="宋体"/>
          <w:color w:val="auto"/>
          <w:sz w:val="21"/>
          <w:szCs w:val="21"/>
          <w:highlight w:val="none"/>
          <w:lang w:eastAsia="zh-CN"/>
        </w:rPr>
        <w:t>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（属自然人的应在签名处加盖食指指印</w:t>
      </w:r>
      <w:r>
        <w:rPr>
          <w:rFonts w:hint="eastAsia" w:ascii="宋体" w:hAnsi="宋体" w:eastAsia="宋体" w:cs="宋体"/>
          <w:color w:val="auto"/>
          <w:sz w:val="21"/>
          <w:szCs w:val="21"/>
          <w:highlight w:val="none"/>
          <w:lang w:eastAsia="zh-CN"/>
        </w:rPr>
        <w:t>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tabs>
          <w:tab w:val="left" w:pos="1305"/>
        </w:tabs>
        <w:spacing w:line="340" w:lineRule="exact"/>
        <w:rPr>
          <w:rFonts w:hint="eastAsia" w:ascii="宋体" w:hAnsi="宋体" w:eastAsia="宋体" w:cs="宋体"/>
          <w:bCs/>
          <w:color w:val="auto"/>
          <w:sz w:val="21"/>
          <w:szCs w:val="21"/>
          <w:highlight w:val="none"/>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5"/>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ascii="宋体" w:hAnsi="宋体" w:eastAsia="宋体" w:cs="宋体"/>
          <w:b/>
          <w:color w:val="auto"/>
          <w:sz w:val="21"/>
          <w:szCs w:val="21"/>
          <w:highlight w:val="none"/>
          <w:lang w:val="en-US" w:eastAsia="zh-CN"/>
        </w:rPr>
      </w:pPr>
    </w:p>
    <w:p>
      <w:pPr>
        <w:rPr>
          <w:rFonts w:hint="eastAsia"/>
          <w:color w:val="auto"/>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3.已标价工程量清单（必须提供）</w:t>
      </w:r>
    </w:p>
    <w:p>
      <w:pPr>
        <w:snapToGrid w:val="0"/>
        <w:spacing w:line="240" w:lineRule="auto"/>
        <w:ind w:firstLine="420"/>
        <w:jc w:val="right"/>
        <w:rPr>
          <w:rFonts w:hint="eastAsia" w:ascii="宋体" w:hAnsi="宋体" w:eastAsia="宋体" w:cs="宋体"/>
          <w:color w:val="auto"/>
          <w:sz w:val="21"/>
          <w:szCs w:val="21"/>
          <w:highlight w:val="none"/>
        </w:rPr>
      </w:pPr>
    </w:p>
    <w:p>
      <w:pPr>
        <w:pStyle w:val="5"/>
        <w:spacing w:line="240" w:lineRule="auto"/>
        <w:jc w:val="center"/>
        <w:rPr>
          <w:rFonts w:hint="eastAsia" w:ascii="宋体" w:hAnsi="宋体" w:eastAsia="宋体" w:cs="宋体"/>
          <w:color w:val="auto"/>
          <w:sz w:val="21"/>
          <w:szCs w:val="21"/>
          <w:highlight w:val="none"/>
        </w:rPr>
      </w:pPr>
      <w:bookmarkStart w:id="1979" w:name="_Toc446943082"/>
      <w:bookmarkStart w:id="1980" w:name="_Toc394929435"/>
      <w:bookmarkStart w:id="1981" w:name="_Toc271557289"/>
      <w:bookmarkStart w:id="1982" w:name="_Toc234659851"/>
      <w:r>
        <w:rPr>
          <w:rFonts w:hint="eastAsia" w:ascii="宋体" w:hAnsi="宋体" w:eastAsia="宋体" w:cs="宋体"/>
          <w:color w:val="auto"/>
          <w:sz w:val="21"/>
          <w:szCs w:val="21"/>
          <w:highlight w:val="none"/>
        </w:rPr>
        <w:t>已标价工程量清单</w:t>
      </w:r>
      <w:bookmarkEnd w:id="1979"/>
      <w:bookmarkEnd w:id="1980"/>
      <w:bookmarkEnd w:id="1981"/>
      <w:bookmarkEnd w:id="1982"/>
    </w:p>
    <w:p>
      <w:pPr>
        <w:spacing w:line="240" w:lineRule="auto"/>
        <w:ind w:firstLine="420"/>
        <w:jc w:val="center"/>
        <w:rPr>
          <w:rFonts w:hint="eastAsia" w:ascii="宋体" w:hAnsi="宋体" w:eastAsia="宋体" w:cs="宋体"/>
          <w:color w:val="auto"/>
          <w:sz w:val="21"/>
          <w:szCs w:val="21"/>
          <w:highlight w:val="none"/>
        </w:rPr>
      </w:pPr>
    </w:p>
    <w:p>
      <w:pPr>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应按照第</w:t>
      </w:r>
      <w:r>
        <w:rPr>
          <w:rFonts w:hint="eastAsia" w:ascii="宋体" w:hAnsi="宋体" w:eastAsia="宋体" w:cs="宋体"/>
          <w:color w:val="auto"/>
          <w:sz w:val="21"/>
          <w:szCs w:val="21"/>
          <w:highlight w:val="none"/>
          <w:lang w:eastAsia="zh-CN"/>
        </w:rPr>
        <w:t>三</w:t>
      </w:r>
      <w:r>
        <w:rPr>
          <w:rFonts w:hint="eastAsia" w:ascii="宋体" w:hAnsi="宋体" w:eastAsia="宋体" w:cs="宋体"/>
          <w:color w:val="auto"/>
          <w:sz w:val="21"/>
          <w:szCs w:val="21"/>
          <w:highlight w:val="none"/>
        </w:rPr>
        <w:t>章“工程量清单”的要求逐项填报工程量清单，包括工程量清单说明、</w:t>
      </w:r>
      <w:r>
        <w:rPr>
          <w:rFonts w:hint="eastAsia" w:ascii="宋体" w:hAnsi="宋体" w:eastAsia="宋体" w:cs="宋体"/>
          <w:color w:val="auto"/>
          <w:sz w:val="21"/>
          <w:szCs w:val="21"/>
          <w:highlight w:val="none"/>
          <w:lang w:eastAsia="zh-CN"/>
        </w:rPr>
        <w:t>磋商报价</w:t>
      </w:r>
      <w:r>
        <w:rPr>
          <w:rFonts w:hint="eastAsia" w:ascii="宋体" w:hAnsi="宋体" w:eastAsia="宋体" w:cs="宋体"/>
          <w:color w:val="auto"/>
          <w:sz w:val="21"/>
          <w:szCs w:val="21"/>
          <w:highlight w:val="none"/>
        </w:rPr>
        <w:t>说明及工程量清单各项表格</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采购人</w:t>
      </w:r>
      <w:r>
        <w:rPr>
          <w:rFonts w:hint="eastAsia" w:ascii="宋体" w:hAnsi="宋体" w:eastAsia="宋体" w:cs="宋体"/>
          <w:b/>
          <w:bCs/>
          <w:color w:val="auto"/>
          <w:sz w:val="21"/>
          <w:szCs w:val="21"/>
          <w:highlight w:val="none"/>
        </w:rPr>
        <w:t>提供的工程量清单）。</w:t>
      </w:r>
    </w:p>
    <w:p>
      <w:pPr>
        <w:spacing w:line="340" w:lineRule="exact"/>
        <w:rPr>
          <w:rFonts w:hint="eastAsia" w:ascii="宋体" w:hAnsi="宋体" w:eastAsia="宋体" w:cs="宋体"/>
          <w:color w:val="auto"/>
          <w:sz w:val="21"/>
          <w:szCs w:val="21"/>
          <w:highlight w:val="none"/>
        </w:rPr>
      </w:pPr>
    </w:p>
    <w:p>
      <w:pPr>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w:t>
      </w:r>
      <w:r>
        <w:rPr>
          <w:rFonts w:hint="eastAsia" w:ascii="宋体" w:hAnsi="宋体" w:eastAsia="宋体" w:cs="宋体"/>
          <w:b/>
          <w:color w:val="auto"/>
          <w:sz w:val="21"/>
          <w:szCs w:val="21"/>
          <w:highlight w:val="none"/>
        </w:rPr>
        <w:t>当本</w:t>
      </w:r>
      <w:r>
        <w:rPr>
          <w:rFonts w:hint="eastAsia" w:ascii="宋体" w:hAnsi="宋体" w:eastAsia="宋体" w:cs="宋体"/>
          <w:b/>
          <w:color w:val="auto"/>
          <w:sz w:val="21"/>
          <w:szCs w:val="21"/>
          <w:highlight w:val="none"/>
          <w:lang w:eastAsia="zh-CN"/>
        </w:rPr>
        <w:t>清单</w:t>
      </w:r>
      <w:r>
        <w:rPr>
          <w:rFonts w:hint="eastAsia" w:ascii="宋体" w:hAnsi="宋体" w:eastAsia="宋体" w:cs="宋体"/>
          <w:b/>
          <w:color w:val="auto"/>
          <w:sz w:val="21"/>
          <w:szCs w:val="21"/>
          <w:highlight w:val="none"/>
        </w:rPr>
        <w:t>由多页构成时，需逐页加盖</w:t>
      </w:r>
      <w:r>
        <w:rPr>
          <w:rFonts w:hint="eastAsia" w:ascii="宋体" w:hAnsi="宋体" w:eastAsia="宋体" w:cs="宋体"/>
          <w:b/>
          <w:color w:val="auto"/>
          <w:sz w:val="21"/>
          <w:szCs w:val="21"/>
          <w:highlight w:val="none"/>
          <w:lang w:eastAsia="zh-CN"/>
        </w:rPr>
        <w:t>磋商供应商</w:t>
      </w:r>
      <w:r>
        <w:rPr>
          <w:rFonts w:hint="eastAsia" w:ascii="宋体" w:hAnsi="宋体" w:eastAsia="宋体" w:cs="宋体"/>
          <w:b/>
          <w:color w:val="auto"/>
          <w:sz w:val="21"/>
          <w:szCs w:val="21"/>
          <w:highlight w:val="none"/>
        </w:rPr>
        <w:t>公章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CA签章</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（属自然人的须逐页签字</w:t>
      </w:r>
      <w:r>
        <w:rPr>
          <w:rFonts w:hint="eastAsia" w:ascii="宋体" w:hAnsi="宋体" w:eastAsia="宋体" w:cs="宋体"/>
          <w:b/>
          <w:color w:val="auto"/>
          <w:sz w:val="21"/>
          <w:szCs w:val="21"/>
          <w:highlight w:val="none"/>
          <w:lang w:eastAsia="zh-CN"/>
        </w:rPr>
        <w:t>或</w:t>
      </w:r>
      <w:r>
        <w:rPr>
          <w:rFonts w:hint="eastAsia" w:ascii="宋体" w:hAnsi="宋体" w:eastAsia="宋体" w:cs="宋体"/>
          <w:b/>
          <w:color w:val="auto"/>
          <w:sz w:val="21"/>
          <w:szCs w:val="21"/>
          <w:highlight w:val="none"/>
          <w:lang w:val="en-US" w:eastAsia="zh-CN"/>
        </w:rPr>
        <w:t>个人CA签章</w:t>
      </w:r>
      <w:r>
        <w:rPr>
          <w:rFonts w:hint="eastAsia" w:ascii="宋体" w:hAnsi="宋体" w:eastAsia="宋体" w:cs="宋体"/>
          <w:b/>
          <w:color w:val="auto"/>
          <w:sz w:val="21"/>
          <w:szCs w:val="21"/>
          <w:highlight w:val="none"/>
        </w:rPr>
        <w:t>）。</w:t>
      </w: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26"/>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pStyle w:val="1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pStyle w:val="10"/>
        <w:rPr>
          <w:rFonts w:hint="eastAsia" w:ascii="宋体" w:hAnsi="宋体" w:eastAsia="宋体" w:cs="宋体"/>
          <w:color w:val="auto"/>
          <w:sz w:val="21"/>
          <w:szCs w:val="21"/>
          <w:highlight w:val="none"/>
        </w:rPr>
      </w:pPr>
    </w:p>
    <w:p>
      <w:pPr>
        <w:spacing w:line="240" w:lineRule="auto"/>
        <w:rPr>
          <w:rFonts w:hint="eastAsia" w:ascii="宋体" w:hAnsi="宋体" w:eastAsia="宋体" w:cs="宋体"/>
          <w:b/>
          <w:bCs/>
          <w:iCs/>
          <w:color w:val="auto"/>
          <w:kern w:val="2"/>
          <w:sz w:val="24"/>
          <w:szCs w:val="24"/>
          <w:highlight w:val="none"/>
          <w:lang w:val="en-US" w:eastAsia="zh-CN" w:bidi="ar-SA"/>
        </w:rPr>
      </w:pPr>
      <w:r>
        <w:rPr>
          <w:rFonts w:hint="eastAsia" w:ascii="宋体" w:hAnsi="宋体" w:eastAsia="宋体" w:cs="宋体"/>
          <w:b/>
          <w:color w:val="auto"/>
          <w:sz w:val="24"/>
          <w:szCs w:val="24"/>
          <w:highlight w:val="none"/>
          <w:lang w:val="en-US" w:eastAsia="zh-CN"/>
        </w:rPr>
        <w:t xml:space="preserve">4. </w:t>
      </w:r>
      <w:r>
        <w:rPr>
          <w:rFonts w:hint="eastAsia" w:ascii="宋体" w:hAnsi="宋体" w:eastAsia="宋体" w:cs="宋体"/>
          <w:b/>
          <w:bCs/>
          <w:iCs/>
          <w:color w:val="auto"/>
          <w:kern w:val="2"/>
          <w:sz w:val="24"/>
          <w:szCs w:val="24"/>
          <w:highlight w:val="none"/>
          <w:lang w:val="en-US" w:eastAsia="zh-CN" w:bidi="ar-SA"/>
        </w:rPr>
        <w:t>拟投入本工程主要施工管理人员表（必须提供）；</w:t>
      </w:r>
    </w:p>
    <w:p>
      <w:pPr>
        <w:spacing w:line="500" w:lineRule="exact"/>
        <w:jc w:val="center"/>
        <w:rPr>
          <w:rFonts w:hint="eastAsia" w:ascii="宋体" w:hAnsi="宋体" w:eastAsia="宋体" w:cs="宋体"/>
          <w:b/>
          <w:color w:val="auto"/>
          <w:sz w:val="21"/>
          <w:szCs w:val="21"/>
          <w:highlight w:val="none"/>
          <w:lang w:val="en-US" w:eastAsia="zh-CN"/>
        </w:rPr>
      </w:pPr>
    </w:p>
    <w:p>
      <w:pPr>
        <w:spacing w:line="500" w:lineRule="exact"/>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主要施工管理人员表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工程名称：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tbl>
      <w:tblPr>
        <w:tblStyle w:val="19"/>
        <w:tblW w:w="98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50"/>
        <w:gridCol w:w="793"/>
        <w:gridCol w:w="792"/>
        <w:gridCol w:w="1447"/>
        <w:gridCol w:w="3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姓名</w:t>
            </w: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资质/职称</w:t>
            </w: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执业资格证号/上岗证号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一、总部</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1.项目主管</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2.其他人员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二、现场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项目经理</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2.项目副经理（如有）</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3.技术负责人</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4.施工员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5.质检</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6.专职安全生产管理人员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7.材料员</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31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w:t>
            </w:r>
          </w:p>
        </w:tc>
        <w:tc>
          <w:tcPr>
            <w:tcW w:w="7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14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c>
          <w:tcPr>
            <w:tcW w:w="367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1"/>
                <w:szCs w:val="21"/>
                <w:highlight w:val="none"/>
              </w:rPr>
            </w:pPr>
          </w:p>
        </w:tc>
      </w:tr>
    </w:tbl>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pacing w:val="-2"/>
          <w:kern w:val="0"/>
          <w:sz w:val="21"/>
          <w:szCs w:val="21"/>
          <w:highlight w:val="none"/>
        </w:rPr>
      </w:pPr>
      <w:r>
        <w:rPr>
          <w:rFonts w:hint="eastAsia" w:ascii="宋体" w:hAnsi="宋体" w:eastAsia="宋体" w:cs="宋体"/>
          <w:bCs/>
          <w:color w:val="auto"/>
          <w:spacing w:val="-2"/>
          <w:sz w:val="21"/>
          <w:szCs w:val="21"/>
          <w:highlight w:val="none"/>
        </w:rPr>
        <w:t>注：人员配备</w:t>
      </w:r>
      <w:r>
        <w:rPr>
          <w:rFonts w:hint="eastAsia" w:ascii="宋体" w:hAnsi="宋体" w:eastAsia="宋体" w:cs="宋体"/>
          <w:color w:val="auto"/>
          <w:spacing w:val="-2"/>
          <w:sz w:val="21"/>
          <w:szCs w:val="21"/>
          <w:highlight w:val="none"/>
        </w:rPr>
        <w:t>应按桂林市建设与规划委员会市建规〔2006〕270号文《关于调整建筑施工现场项目部管理的通知》的规定执行，须满足最低要求。</w:t>
      </w:r>
      <w:r>
        <w:rPr>
          <w:rFonts w:hint="eastAsia" w:ascii="宋体" w:hAnsi="宋体" w:eastAsia="宋体" w:cs="宋体"/>
          <w:color w:val="auto"/>
          <w:spacing w:val="-2"/>
          <w:kern w:val="0"/>
          <w:sz w:val="21"/>
          <w:szCs w:val="21"/>
          <w:highlight w:val="none"/>
        </w:rPr>
        <w:t>其中，</w:t>
      </w:r>
      <w:r>
        <w:rPr>
          <w:rFonts w:hint="eastAsia" w:ascii="宋体" w:hAnsi="宋体" w:eastAsia="宋体" w:cs="宋体"/>
          <w:color w:val="auto"/>
          <w:spacing w:val="-2"/>
          <w:kern w:val="0"/>
          <w:sz w:val="21"/>
          <w:szCs w:val="21"/>
          <w:highlight w:val="none"/>
          <w:lang w:eastAsia="zh-CN"/>
        </w:rPr>
        <w:t>项目经理</w:t>
      </w:r>
      <w:r>
        <w:rPr>
          <w:rFonts w:hint="eastAsia" w:ascii="宋体" w:hAnsi="宋体" w:eastAsia="宋体" w:cs="宋体"/>
          <w:color w:val="auto"/>
          <w:spacing w:val="-2"/>
          <w:kern w:val="0"/>
          <w:sz w:val="21"/>
          <w:szCs w:val="21"/>
          <w:highlight w:val="none"/>
        </w:rPr>
        <w:t>至少应附身份证复印件、</w:t>
      </w:r>
      <w:r>
        <w:rPr>
          <w:rFonts w:hint="eastAsia" w:ascii="宋体" w:hAnsi="宋体" w:eastAsia="宋体" w:cs="宋体"/>
          <w:color w:val="auto"/>
          <w:spacing w:val="-2"/>
          <w:kern w:val="0"/>
          <w:sz w:val="21"/>
          <w:szCs w:val="21"/>
          <w:highlight w:val="none"/>
          <w:lang w:val="en-US" w:eastAsia="zh-CN"/>
        </w:rPr>
        <w:t>建造师注册证书</w:t>
      </w:r>
      <w:r>
        <w:rPr>
          <w:rFonts w:hint="eastAsia" w:ascii="宋体" w:hAnsi="宋体" w:eastAsia="宋体" w:cs="宋体"/>
          <w:color w:val="auto"/>
          <w:spacing w:val="-2"/>
          <w:kern w:val="0"/>
          <w:sz w:val="21"/>
          <w:szCs w:val="21"/>
          <w:highlight w:val="none"/>
        </w:rPr>
        <w:t>复印件、安全生产考核合格证书（B类）复印件；技术负责人应附身份证复印件、职称证复印件；专职安全生产管理人员至少应附身份证复印件、专职安全员安全生产考核合格证书（C类）复印件；其他主要人员（施工员、质检</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lang w:val="en-US" w:eastAsia="zh-CN"/>
        </w:rPr>
        <w:t>量</w:t>
      </w:r>
      <w:r>
        <w:rPr>
          <w:rFonts w:hint="eastAsia" w:ascii="宋体" w:hAnsi="宋体" w:eastAsia="宋体" w:cs="宋体"/>
          <w:color w:val="auto"/>
          <w:spacing w:val="-2"/>
          <w:kern w:val="0"/>
          <w:sz w:val="21"/>
          <w:szCs w:val="21"/>
          <w:highlight w:val="none"/>
          <w:lang w:eastAsia="zh-CN"/>
        </w:rPr>
        <w:t>）</w:t>
      </w:r>
      <w:r>
        <w:rPr>
          <w:rFonts w:hint="eastAsia" w:ascii="宋体" w:hAnsi="宋体" w:eastAsia="宋体" w:cs="宋体"/>
          <w:color w:val="auto"/>
          <w:spacing w:val="-2"/>
          <w:kern w:val="0"/>
          <w:sz w:val="21"/>
          <w:szCs w:val="21"/>
          <w:highlight w:val="none"/>
        </w:rPr>
        <w:t>员、材料员）应附执业证或上岗证书复印件。</w:t>
      </w:r>
      <w:r>
        <w:rPr>
          <w:rFonts w:hint="eastAsia" w:ascii="宋体" w:hAnsi="宋体" w:eastAsia="宋体" w:cs="宋体"/>
          <w:color w:val="auto"/>
          <w:kern w:val="0"/>
          <w:sz w:val="21"/>
          <w:szCs w:val="21"/>
          <w:highlight w:val="none"/>
        </w:rPr>
        <w:t>同时还需提供社保部门出具</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为项目管理机构成员（包含项目经理、技术负责人、专职安全员、施工员、质检</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量</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员、材料员）缴纳的响应文件递交截止时间前半年内任意连续三个月社保证明复印件。若为近期新聘员工的，以提供劳动合同证明材料复印件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若</w:t>
      </w:r>
      <w:r>
        <w:rPr>
          <w:rFonts w:hint="eastAsia" w:ascii="宋体" w:hAnsi="宋体" w:eastAsia="宋体" w:cs="宋体"/>
          <w:color w:val="auto"/>
          <w:kern w:val="0"/>
          <w:sz w:val="21"/>
          <w:szCs w:val="21"/>
          <w:highlight w:val="none"/>
          <w:lang w:val="en-US" w:eastAsia="zh-CN"/>
        </w:rPr>
        <w:t>为退休员工则需提供退休证明及劳动合同</w:t>
      </w:r>
      <w:r>
        <w:rPr>
          <w:rFonts w:hint="eastAsia" w:ascii="宋体" w:hAnsi="宋体" w:eastAsia="宋体" w:cs="宋体"/>
          <w:color w:val="auto"/>
          <w:kern w:val="0"/>
          <w:sz w:val="21"/>
          <w:szCs w:val="21"/>
          <w:highlight w:val="none"/>
        </w:rPr>
        <w:t>为准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pacing w:val="-2"/>
          <w:kern w:val="0"/>
          <w:sz w:val="21"/>
          <w:szCs w:val="21"/>
          <w:highlight w:val="none"/>
        </w:rPr>
        <w:t>上述复印件均需加盖</w:t>
      </w:r>
      <w:r>
        <w:rPr>
          <w:rFonts w:hint="eastAsia" w:ascii="宋体" w:hAnsi="宋体" w:eastAsia="宋体" w:cs="宋体"/>
          <w:color w:val="auto"/>
          <w:spacing w:val="-2"/>
          <w:kern w:val="0"/>
          <w:sz w:val="21"/>
          <w:szCs w:val="21"/>
          <w:highlight w:val="none"/>
          <w:lang w:val="en-US" w:eastAsia="zh-CN"/>
        </w:rPr>
        <w:t>供应商</w:t>
      </w:r>
      <w:r>
        <w:rPr>
          <w:rFonts w:hint="eastAsia" w:ascii="宋体" w:hAnsi="宋体" w:eastAsia="宋体" w:cs="宋体"/>
          <w:color w:val="auto"/>
          <w:spacing w:val="-2"/>
          <w:kern w:val="0"/>
          <w:sz w:val="21"/>
          <w:szCs w:val="21"/>
          <w:highlight w:val="none"/>
        </w:rPr>
        <w:t>公章。</w:t>
      </w:r>
    </w:p>
    <w:p>
      <w:pPr>
        <w:pStyle w:val="11"/>
        <w:spacing w:line="340" w:lineRule="exact"/>
        <w:jc w:val="center"/>
        <w:rPr>
          <w:rFonts w:hint="eastAsia" w:ascii="宋体" w:hAnsi="宋体" w:eastAsia="宋体" w:cs="宋体"/>
          <w:b/>
          <w:color w:val="auto"/>
          <w:sz w:val="21"/>
          <w:szCs w:val="21"/>
          <w:highlight w:val="none"/>
        </w:rPr>
      </w:pPr>
    </w:p>
    <w:p>
      <w:pPr>
        <w:pStyle w:val="6"/>
        <w:rPr>
          <w:rFonts w:hint="eastAsia" w:ascii="宋体" w:hAnsi="宋体" w:eastAsia="宋体" w:cs="宋体"/>
          <w:color w:val="auto"/>
          <w:sz w:val="21"/>
          <w:szCs w:val="21"/>
          <w:highlight w:val="none"/>
        </w:rPr>
      </w:pP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1890" w:firstLineChars="900"/>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lang w:eastAsia="zh-CN"/>
        </w:rPr>
        <w:t>日</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期：</w:t>
      </w:r>
      <w:r>
        <w:rPr>
          <w:rFonts w:hint="eastAsia" w:ascii="宋体" w:hAnsi="宋体" w:eastAsia="宋体" w:cs="宋体"/>
          <w:color w:val="auto"/>
          <w:sz w:val="21"/>
          <w:szCs w:val="21"/>
          <w:highlight w:val="none"/>
          <w:u w:val="single"/>
        </w:rPr>
        <w:t xml:space="preserve">                            </w:t>
      </w:r>
    </w:p>
    <w:p>
      <w:pPr>
        <w:pStyle w:val="8"/>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11"/>
        <w:numPr>
          <w:ilvl w:val="0"/>
          <w:numId w:val="0"/>
        </w:numPr>
        <w:spacing w:line="340" w:lineRule="exact"/>
        <w:ind w:left="0" w:firstLine="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5.担任本工程的项目经理简历表（应附相关证书、身份证复印件）（必须提供）</w:t>
      </w:r>
      <w:r>
        <w:rPr>
          <w:rFonts w:hint="eastAsia" w:ascii="宋体" w:hAnsi="宋体" w:eastAsia="宋体" w:cs="宋体"/>
          <w:b/>
          <w:color w:val="auto"/>
          <w:sz w:val="24"/>
          <w:szCs w:val="24"/>
          <w:highlight w:val="none"/>
        </w:rPr>
        <w:t>；</w:t>
      </w:r>
    </w:p>
    <w:p>
      <w:pPr>
        <w:rPr>
          <w:rFonts w:hint="eastAsia" w:ascii="宋体" w:hAnsi="宋体" w:eastAsia="宋体" w:cs="宋体"/>
          <w:color w:val="auto"/>
          <w:sz w:val="21"/>
          <w:szCs w:val="21"/>
          <w:highlight w:val="none"/>
        </w:rPr>
      </w:pPr>
    </w:p>
    <w:p>
      <w:pPr>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担任本工程的项目经理简历表</w:t>
      </w:r>
    </w:p>
    <w:p>
      <w:pPr>
        <w:jc w:val="center"/>
        <w:rPr>
          <w:rFonts w:hint="eastAsia" w:ascii="宋体" w:hAnsi="宋体" w:eastAsia="宋体" w:cs="宋体"/>
          <w:b/>
          <w:color w:val="auto"/>
          <w:sz w:val="21"/>
          <w:szCs w:val="21"/>
          <w:highlight w:val="none"/>
        </w:rPr>
      </w:pPr>
    </w:p>
    <w:tbl>
      <w:tblPr>
        <w:tblStyle w:val="19"/>
        <w:tblW w:w="8416"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08"/>
        <w:gridCol w:w="1072"/>
        <w:gridCol w:w="28"/>
        <w:gridCol w:w="508"/>
        <w:gridCol w:w="536"/>
        <w:gridCol w:w="1072"/>
        <w:gridCol w:w="268"/>
        <w:gridCol w:w="496"/>
        <w:gridCol w:w="442"/>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top w:val="single" w:color="auto" w:sz="8" w:space="0"/>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姓  名</w:t>
            </w:r>
          </w:p>
        </w:tc>
        <w:tc>
          <w:tcPr>
            <w:tcW w:w="1608" w:type="dxa"/>
            <w:tcBorders>
              <w:top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072" w:type="dxa"/>
            <w:tcBorders>
              <w:top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性  别</w:t>
            </w:r>
          </w:p>
        </w:tc>
        <w:tc>
          <w:tcPr>
            <w:tcW w:w="1072" w:type="dxa"/>
            <w:gridSpan w:val="3"/>
            <w:tcBorders>
              <w:top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340" w:type="dxa"/>
            <w:gridSpan w:val="2"/>
            <w:tcBorders>
              <w:top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  龄</w:t>
            </w:r>
          </w:p>
        </w:tc>
        <w:tc>
          <w:tcPr>
            <w:tcW w:w="2144" w:type="dxa"/>
            <w:gridSpan w:val="3"/>
            <w:tcBorders>
              <w:top w:val="single" w:color="auto" w:sz="8" w:space="0"/>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072" w:type="dxa"/>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称</w:t>
            </w:r>
          </w:p>
        </w:tc>
        <w:tc>
          <w:tcPr>
            <w:tcW w:w="1072" w:type="dxa"/>
            <w:gridSpan w:val="3"/>
            <w:vAlign w:val="top"/>
          </w:tcPr>
          <w:p>
            <w:pPr>
              <w:spacing w:line="440" w:lineRule="exact"/>
              <w:jc w:val="center"/>
              <w:rPr>
                <w:rFonts w:hint="eastAsia" w:ascii="宋体" w:hAnsi="宋体" w:eastAsia="宋体" w:cs="宋体"/>
                <w:color w:val="auto"/>
                <w:sz w:val="21"/>
                <w:szCs w:val="21"/>
                <w:highlight w:val="none"/>
              </w:rPr>
            </w:pPr>
          </w:p>
        </w:tc>
        <w:tc>
          <w:tcPr>
            <w:tcW w:w="1340" w:type="dxa"/>
            <w:gridSpan w:val="2"/>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学  历</w:t>
            </w:r>
          </w:p>
        </w:tc>
        <w:tc>
          <w:tcPr>
            <w:tcW w:w="2144" w:type="dxa"/>
            <w:gridSpan w:val="3"/>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  业</w:t>
            </w:r>
          </w:p>
        </w:tc>
        <w:tc>
          <w:tcPr>
            <w:tcW w:w="2708" w:type="dxa"/>
            <w:gridSpan w:val="3"/>
            <w:vAlign w:val="top"/>
          </w:tcPr>
          <w:p>
            <w:pPr>
              <w:spacing w:line="440" w:lineRule="exact"/>
              <w:rPr>
                <w:rFonts w:hint="eastAsia" w:ascii="宋体" w:hAnsi="宋体" w:eastAsia="宋体" w:cs="宋体"/>
                <w:color w:val="auto"/>
                <w:sz w:val="21"/>
                <w:szCs w:val="21"/>
                <w:highlight w:val="none"/>
              </w:rPr>
            </w:pPr>
          </w:p>
        </w:tc>
        <w:tc>
          <w:tcPr>
            <w:tcW w:w="2880" w:type="dxa"/>
            <w:gridSpan w:val="5"/>
            <w:vAlign w:val="top"/>
          </w:tcPr>
          <w:p>
            <w:pPr>
              <w:spacing w:line="4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从事项目经理或建造师年限</w:t>
            </w:r>
          </w:p>
        </w:tc>
        <w:tc>
          <w:tcPr>
            <w:tcW w:w="1648" w:type="dxa"/>
            <w:gridSpan w:val="2"/>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416" w:type="dxa"/>
            <w:gridSpan w:val="11"/>
            <w:tcBorders>
              <w:left w:val="single" w:color="auto" w:sz="8" w:space="0"/>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已完工程项目情况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建设单位</w:t>
            </w:r>
          </w:p>
        </w:tc>
        <w:tc>
          <w:tcPr>
            <w:tcW w:w="1608" w:type="dxa"/>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建设规模</w:t>
            </w: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开、竣工日期</w:t>
            </w: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工程质量</w:t>
            </w: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vAlign w:val="top"/>
          </w:tcPr>
          <w:p>
            <w:pPr>
              <w:spacing w:line="440" w:lineRule="exact"/>
              <w:jc w:val="center"/>
              <w:rPr>
                <w:rFonts w:hint="eastAsia" w:ascii="宋体" w:hAnsi="宋体" w:eastAsia="宋体" w:cs="宋体"/>
                <w:color w:val="auto"/>
                <w:sz w:val="21"/>
                <w:szCs w:val="21"/>
                <w:highlight w:val="none"/>
              </w:rPr>
            </w:pPr>
          </w:p>
        </w:tc>
        <w:tc>
          <w:tcPr>
            <w:tcW w:w="1206" w:type="dxa"/>
            <w:tcBorders>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0" w:type="dxa"/>
            <w:tcBorders>
              <w:left w:val="single" w:color="auto" w:sz="8" w:space="0"/>
              <w:bottom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tcBorders>
              <w:bottom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3"/>
            <w:tcBorders>
              <w:bottom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608" w:type="dxa"/>
            <w:gridSpan w:val="2"/>
            <w:tcBorders>
              <w:bottom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206" w:type="dxa"/>
            <w:gridSpan w:val="3"/>
            <w:tcBorders>
              <w:bottom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c>
          <w:tcPr>
            <w:tcW w:w="1206" w:type="dxa"/>
            <w:tcBorders>
              <w:bottom w:val="single" w:color="auto" w:sz="8" w:space="0"/>
              <w:right w:val="single" w:color="auto" w:sz="8" w:space="0"/>
            </w:tcBorders>
            <w:vAlign w:val="top"/>
          </w:tcPr>
          <w:p>
            <w:pPr>
              <w:spacing w:line="440" w:lineRule="exact"/>
              <w:jc w:val="center"/>
              <w:rPr>
                <w:rFonts w:hint="eastAsia" w:ascii="宋体" w:hAnsi="宋体" w:eastAsia="宋体" w:cs="宋体"/>
                <w:color w:val="auto"/>
                <w:sz w:val="21"/>
                <w:szCs w:val="21"/>
                <w:highlight w:val="none"/>
              </w:rPr>
            </w:pPr>
          </w:p>
        </w:tc>
      </w:tr>
    </w:tbl>
    <w:p>
      <w:pPr>
        <w:snapToGrid w:val="0"/>
        <w:spacing w:line="400" w:lineRule="exact"/>
        <w:outlineLvl w:val="4"/>
        <w:rPr>
          <w:rFonts w:hint="eastAsia" w:ascii="宋体" w:hAnsi="宋体" w:eastAsia="宋体" w:cs="宋体"/>
          <w:b/>
          <w:color w:val="auto"/>
          <w:sz w:val="21"/>
          <w:szCs w:val="21"/>
          <w:highlight w:val="none"/>
        </w:rPr>
      </w:pPr>
    </w:p>
    <w:p>
      <w:pPr>
        <w:widowControl/>
        <w:ind w:firstLine="2319" w:firstLineChars="1100"/>
        <w:jc w:val="left"/>
        <w:rPr>
          <w:rFonts w:hint="eastAsia" w:ascii="宋体" w:hAnsi="宋体" w:eastAsia="宋体" w:cs="宋体"/>
          <w:b/>
          <w:color w:val="auto"/>
          <w:kern w:val="0"/>
          <w:sz w:val="21"/>
          <w:szCs w:val="21"/>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pStyle w:val="11"/>
        <w:spacing w:line="300" w:lineRule="exact"/>
        <w:ind w:firstLine="3479" w:firstLineChars="16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Style w:val="11"/>
        <w:spacing w:line="300" w:lineRule="exact"/>
        <w:rPr>
          <w:rFonts w:hint="eastAsia" w:ascii="宋体" w:hAnsi="宋体" w:eastAsia="宋体" w:cs="宋体"/>
          <w:b/>
          <w:color w:val="auto"/>
          <w:sz w:val="21"/>
          <w:szCs w:val="21"/>
          <w:highlight w:val="none"/>
        </w:rPr>
      </w:pPr>
    </w:p>
    <w:p>
      <w:pPr>
        <w:snapToGrid w:val="0"/>
        <w:spacing w:line="300" w:lineRule="exact"/>
        <w:ind w:firstLine="4830" w:firstLineChars="23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snapToGrid w:val="0"/>
        <w:spacing w:line="300" w:lineRule="exact"/>
        <w:ind w:firstLine="3570" w:firstLineChars="1700"/>
        <w:rPr>
          <w:rFonts w:hint="eastAsia" w:ascii="宋体" w:hAnsi="宋体" w:eastAsia="宋体" w:cs="宋体"/>
          <w:color w:val="auto"/>
          <w:sz w:val="21"/>
          <w:szCs w:val="21"/>
          <w:highlight w:val="none"/>
          <w:u w:val="single"/>
        </w:rPr>
      </w:pPr>
    </w:p>
    <w:p>
      <w:pPr>
        <w:pStyle w:val="8"/>
        <w:rPr>
          <w:rFonts w:hint="eastAsia" w:ascii="宋体" w:hAnsi="宋体" w:eastAsia="宋体" w:cs="宋体"/>
          <w:color w:val="auto"/>
          <w:sz w:val="21"/>
          <w:szCs w:val="21"/>
          <w:highlight w:val="none"/>
          <w:u w:val="single"/>
        </w:rPr>
      </w:pPr>
    </w:p>
    <w:p>
      <w:pPr>
        <w:pStyle w:val="8"/>
        <w:rPr>
          <w:rFonts w:hint="eastAsia" w:ascii="宋体" w:hAnsi="宋体" w:eastAsia="宋体" w:cs="宋体"/>
          <w:color w:val="auto"/>
          <w:sz w:val="21"/>
          <w:szCs w:val="21"/>
          <w:highlight w:val="none"/>
          <w:u w:val="singl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8"/>
        <w:rPr>
          <w:rFonts w:hint="eastAsia" w:ascii="宋体" w:hAnsi="宋体" w:eastAsia="宋体" w:cs="宋体"/>
          <w:b/>
          <w:bCs/>
          <w:color w:val="auto"/>
          <w:sz w:val="21"/>
          <w:szCs w:val="21"/>
          <w:highlight w:val="none"/>
        </w:rPr>
      </w:pPr>
    </w:p>
    <w:p>
      <w:pPr>
        <w:pStyle w:val="11"/>
        <w:numPr>
          <w:ilvl w:val="0"/>
          <w:numId w:val="0"/>
        </w:numPr>
        <w:spacing w:line="340" w:lineRule="exact"/>
        <w:ind w:left="0" w:firstLine="0"/>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ind w:left="0" w:firstLine="0"/>
        <w:rPr>
          <w:rFonts w:hint="eastAsia" w:ascii="宋体" w:hAnsi="宋体" w:eastAsia="宋体" w:cs="宋体"/>
          <w:b/>
          <w:color w:val="auto"/>
          <w:sz w:val="24"/>
          <w:szCs w:val="24"/>
          <w:highlight w:val="none"/>
          <w:lang w:val="en-US" w:eastAsia="zh-CN"/>
        </w:rPr>
      </w:pPr>
    </w:p>
    <w:p>
      <w:pPr>
        <w:pStyle w:val="11"/>
        <w:numPr>
          <w:ilvl w:val="0"/>
          <w:numId w:val="0"/>
        </w:numPr>
        <w:spacing w:line="340" w:lineRule="exact"/>
        <w:ind w:left="0" w:firstLine="0"/>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6.施工组织设计方案（必须提供）；</w:t>
      </w:r>
    </w:p>
    <w:p>
      <w:pPr>
        <w:snapToGrid w:val="0"/>
        <w:spacing w:line="400" w:lineRule="exact"/>
        <w:jc w:val="center"/>
        <w:outlineLvl w:val="4"/>
        <w:rPr>
          <w:rFonts w:hint="eastAsia" w:ascii="宋体" w:hAnsi="宋体" w:eastAsia="宋体" w:cs="宋体"/>
          <w:b/>
          <w:color w:val="auto"/>
          <w:sz w:val="21"/>
          <w:szCs w:val="21"/>
          <w:highlight w:val="none"/>
          <w:lang w:val="en-US" w:eastAsia="zh-CN"/>
        </w:rPr>
      </w:pPr>
    </w:p>
    <w:p>
      <w:pPr>
        <w:snapToGrid w:val="0"/>
        <w:spacing w:line="400" w:lineRule="exact"/>
        <w:jc w:val="center"/>
        <w:outlineLvl w:val="4"/>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val="en-US" w:eastAsia="zh-CN"/>
        </w:rPr>
        <w:t>施工组织设计方案</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格式</w:t>
      </w:r>
      <w:r>
        <w:rPr>
          <w:rFonts w:hint="eastAsia" w:ascii="宋体" w:hAnsi="宋体" w:eastAsia="宋体" w:cs="宋体"/>
          <w:b/>
          <w:color w:val="auto"/>
          <w:sz w:val="21"/>
          <w:szCs w:val="21"/>
          <w:highlight w:val="none"/>
          <w:lang w:eastAsia="zh-CN"/>
        </w:rPr>
        <w:t>）</w:t>
      </w:r>
    </w:p>
    <w:p>
      <w:pPr>
        <w:snapToGrid w:val="0"/>
        <w:spacing w:line="400" w:lineRule="exact"/>
        <w:jc w:val="center"/>
        <w:outlineLvl w:val="4"/>
        <w:rPr>
          <w:rFonts w:hint="eastAsia" w:ascii="宋体" w:hAnsi="宋体" w:eastAsia="宋体" w:cs="宋体"/>
          <w:b/>
          <w:color w:val="auto"/>
          <w:sz w:val="21"/>
          <w:szCs w:val="21"/>
          <w:highlight w:val="none"/>
        </w:rPr>
      </w:pPr>
    </w:p>
    <w:p>
      <w:pPr>
        <w:pStyle w:val="29"/>
        <w:spacing w:line="300" w:lineRule="exact"/>
        <w:ind w:firstLine="425"/>
        <w:rPr>
          <w:rFonts w:hint="eastAsia" w:ascii="宋体" w:hAnsi="宋体" w:eastAsia="宋体" w:cs="宋体"/>
          <w:color w:val="auto"/>
          <w:sz w:val="21"/>
          <w:szCs w:val="21"/>
          <w:highlight w:val="none"/>
        </w:rPr>
      </w:pP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编制施工组织设计的要求：</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编制时应按以下章顺序采用文字并结合图表形式进行说明：</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第一章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总体概述；</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第二章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主要施工方法；</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第三章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施工进度、施工进度计划和各阶段进度的保证措施；</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第四章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劳动力和材料投入计划及其保证措施；</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第五章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施工平面布置和临时设施布置；</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第六章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关键施工技术、工艺及工程实施的重点、难点和解决方案；</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第七章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安全文明施工措施；</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第八章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lang w:eastAsia="zh-CN"/>
        </w:rPr>
        <w:t>质量保证与承诺；</w:t>
      </w:r>
    </w:p>
    <w:p>
      <w:pPr>
        <w:pStyle w:val="29"/>
        <w:numPr>
          <w:ilvl w:val="0"/>
          <w:numId w:val="0"/>
        </w:numPr>
        <w:spacing w:line="300" w:lineRule="exact"/>
        <w:ind w:left="0" w:leftChars="0" w:firstLine="425" w:firstLineChars="0"/>
        <w:jc w:val="left"/>
        <w:rPr>
          <w:rFonts w:hint="eastAsia" w:ascii="宋体" w:hAnsi="宋体" w:eastAsia="宋体" w:cs="宋体"/>
          <w:color w:val="auto"/>
          <w:sz w:val="21"/>
          <w:szCs w:val="21"/>
          <w:highlight w:val="none"/>
        </w:rPr>
      </w:pPr>
      <w:r>
        <w:rPr>
          <w:rFonts w:hint="default" w:ascii="Times New Roman" w:hAnsi="Times New Roman" w:eastAsia="宋体" w:cs="Times New Roman"/>
          <w:color w:val="auto"/>
          <w:kern w:val="0"/>
          <w:sz w:val="21"/>
          <w:szCs w:val="21"/>
          <w:highlight w:val="none"/>
          <w:lang w:val="en-US" w:eastAsia="zh-CN" w:bidi="ar-SA"/>
        </w:rPr>
        <w:t>第九章</w:t>
      </w:r>
      <w:r>
        <w:rPr>
          <w:rFonts w:hint="eastAsia" w:ascii="Times New Roman" w:hAnsi="Times New Roman" w:cs="Times New Roman"/>
          <w:color w:val="auto"/>
          <w:kern w:val="0"/>
          <w:sz w:val="21"/>
          <w:szCs w:val="21"/>
          <w:highlight w:val="none"/>
          <w:lang w:val="en-US" w:eastAsia="zh-CN" w:bidi="ar-SA"/>
        </w:rPr>
        <w:t xml:space="preserve">  </w:t>
      </w:r>
      <w:r>
        <w:rPr>
          <w:rFonts w:hint="eastAsia" w:ascii="宋体" w:hAnsi="宋体" w:eastAsia="宋体" w:cs="宋体"/>
          <w:color w:val="auto"/>
          <w:sz w:val="21"/>
          <w:szCs w:val="21"/>
          <w:highlight w:val="none"/>
        </w:rPr>
        <w:t>新技术应用与承诺</w:t>
      </w:r>
      <w:r>
        <w:rPr>
          <w:rFonts w:hint="eastAsia" w:ascii="宋体" w:hAnsi="宋体" w:cs="宋体"/>
          <w:color w:val="auto"/>
          <w:sz w:val="21"/>
          <w:szCs w:val="21"/>
          <w:highlight w:val="none"/>
          <w:lang w:eastAsia="zh-CN"/>
        </w:rPr>
        <w:t>。</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15"/>
          <w:sz w:val="21"/>
          <w:szCs w:val="21"/>
          <w:highlight w:val="none"/>
        </w:rPr>
        <w:t xml:space="preserve"> </w:t>
      </w:r>
      <w:r>
        <w:rPr>
          <w:rFonts w:hint="eastAsia" w:ascii="宋体" w:hAnsi="宋体" w:eastAsia="宋体" w:cs="宋体"/>
          <w:color w:val="auto"/>
          <w:sz w:val="21"/>
          <w:szCs w:val="21"/>
          <w:highlight w:val="none"/>
        </w:rPr>
        <w:t>施工组织设计除采用文字表述外可附下列图表，图表及格式要求附后。</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附表一</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投入本项目的主要施工设备表</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附表二</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拟</w:t>
      </w:r>
      <w:r>
        <w:rPr>
          <w:rFonts w:hint="eastAsia" w:ascii="宋体" w:hAnsi="宋体" w:eastAsia="宋体" w:cs="宋体"/>
          <w:color w:val="auto"/>
          <w:sz w:val="21"/>
          <w:szCs w:val="21"/>
          <w:highlight w:val="none"/>
        </w:rPr>
        <w:t>配备本项目的试验和检测仪器设备表</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附表三</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劳</w:t>
      </w:r>
      <w:r>
        <w:rPr>
          <w:rFonts w:hint="eastAsia" w:ascii="宋体" w:hAnsi="宋体" w:eastAsia="宋体" w:cs="宋体"/>
          <w:color w:val="auto"/>
          <w:sz w:val="21"/>
          <w:szCs w:val="21"/>
          <w:highlight w:val="none"/>
        </w:rPr>
        <w:t>动力计划表</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附表四</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计划开、竣工日期和施工进度网络图</w:t>
      </w:r>
      <w:r>
        <w:rPr>
          <w:rFonts w:hint="eastAsia" w:ascii="宋体" w:hAnsi="宋体" w:eastAsia="宋体" w:cs="宋体"/>
          <w:color w:val="auto"/>
          <w:sz w:val="21"/>
          <w:szCs w:val="21"/>
          <w:highlight w:val="none"/>
          <w:lang w:val="en-US" w:eastAsia="zh-CN"/>
        </w:rPr>
        <w:t>或</w:t>
      </w:r>
      <w:r>
        <w:rPr>
          <w:rFonts w:hint="eastAsia" w:ascii="宋体" w:hAnsi="宋体" w:eastAsia="宋体" w:cs="宋体"/>
          <w:color w:val="auto"/>
          <w:sz w:val="21"/>
          <w:szCs w:val="21"/>
          <w:highlight w:val="none"/>
        </w:rPr>
        <w:t>横道图</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附表五</w:t>
      </w:r>
      <w:r>
        <w:rPr>
          <w:rFonts w:hint="eastAsia" w:ascii="宋体" w:hAnsi="宋体" w:eastAsia="宋体" w:cs="宋体"/>
          <w:color w:val="auto"/>
          <w:sz w:val="21"/>
          <w:szCs w:val="21"/>
          <w:highlight w:val="none"/>
        </w:rPr>
        <w:tab/>
      </w:r>
      <w:r>
        <w:rPr>
          <w:rFonts w:hint="eastAsia" w:ascii="宋体" w:hAnsi="宋体" w:eastAsia="宋体" w:cs="宋体"/>
          <w:color w:val="auto"/>
          <w:spacing w:val="-1"/>
          <w:sz w:val="21"/>
          <w:szCs w:val="21"/>
          <w:highlight w:val="none"/>
        </w:rPr>
        <w:t>施</w:t>
      </w:r>
      <w:r>
        <w:rPr>
          <w:rFonts w:hint="eastAsia" w:ascii="宋体" w:hAnsi="宋体" w:eastAsia="宋体" w:cs="宋体"/>
          <w:color w:val="auto"/>
          <w:sz w:val="21"/>
          <w:szCs w:val="21"/>
          <w:highlight w:val="none"/>
        </w:rPr>
        <w:t>工总平面图</w:t>
      </w:r>
    </w:p>
    <w:p>
      <w:pPr>
        <w:pStyle w:val="29"/>
        <w:spacing w:line="300" w:lineRule="exact"/>
        <w:ind w:firstLine="425"/>
        <w:rPr>
          <w:rFonts w:hint="eastAsia" w:ascii="宋体" w:hAnsi="宋体" w:eastAsia="宋体" w:cs="宋体"/>
          <w:color w:val="auto"/>
          <w:sz w:val="21"/>
          <w:szCs w:val="21"/>
          <w:highlight w:val="none"/>
        </w:rPr>
      </w:pPr>
      <w:r>
        <w:rPr>
          <w:rFonts w:hint="eastAsia" w:ascii="宋体" w:hAnsi="宋体" w:eastAsia="宋体" w:cs="宋体"/>
          <w:color w:val="auto"/>
          <w:position w:val="-2"/>
          <w:sz w:val="21"/>
          <w:szCs w:val="21"/>
          <w:highlight w:val="none"/>
        </w:rPr>
        <w:t>附表六</w:t>
      </w:r>
      <w:r>
        <w:rPr>
          <w:rFonts w:hint="eastAsia" w:ascii="宋体" w:hAnsi="宋体" w:eastAsia="宋体" w:cs="宋体"/>
          <w:color w:val="auto"/>
          <w:position w:val="-2"/>
          <w:sz w:val="21"/>
          <w:szCs w:val="21"/>
          <w:highlight w:val="none"/>
        </w:rPr>
        <w:tab/>
      </w:r>
      <w:r>
        <w:rPr>
          <w:rFonts w:hint="eastAsia" w:ascii="宋体" w:hAnsi="宋体" w:eastAsia="宋体" w:cs="宋体"/>
          <w:color w:val="auto"/>
          <w:spacing w:val="-1"/>
          <w:position w:val="-2"/>
          <w:sz w:val="21"/>
          <w:szCs w:val="21"/>
          <w:highlight w:val="none"/>
        </w:rPr>
        <w:t>临</w:t>
      </w:r>
      <w:r>
        <w:rPr>
          <w:rFonts w:hint="eastAsia" w:ascii="宋体" w:hAnsi="宋体" w:eastAsia="宋体" w:cs="宋体"/>
          <w:color w:val="auto"/>
          <w:position w:val="-2"/>
          <w:sz w:val="21"/>
          <w:szCs w:val="21"/>
          <w:highlight w:val="none"/>
        </w:rPr>
        <w:t>时用地表</w:t>
      </w:r>
    </w:p>
    <w:p>
      <w:pPr>
        <w:rPr>
          <w:rFonts w:hint="eastAsia" w:ascii="宋体" w:hAnsi="宋体" w:eastAsia="宋体" w:cs="宋体"/>
          <w:color w:val="auto"/>
          <w:sz w:val="21"/>
          <w:szCs w:val="21"/>
          <w:highlight w:val="none"/>
        </w:rPr>
      </w:pPr>
      <w:bookmarkStart w:id="1983" w:name="_Toc418752351"/>
      <w:bookmarkStart w:id="1984" w:name="_Toc483317224"/>
      <w:bookmarkStart w:id="1985" w:name="_Toc418751905"/>
    </w:p>
    <w:p>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附表一：拟投入本项目的主要施工设备表</w:t>
      </w:r>
      <w:bookmarkEnd w:id="1983"/>
      <w:bookmarkEnd w:id="1984"/>
      <w:bookmarkEnd w:id="1985"/>
    </w:p>
    <w:tbl>
      <w:tblPr>
        <w:tblStyle w:val="19"/>
        <w:tblW w:w="9648" w:type="dxa"/>
        <w:tblInd w:w="-5" w:type="dxa"/>
        <w:tblLayout w:type="fixed"/>
        <w:tblCellMar>
          <w:top w:w="0" w:type="dxa"/>
          <w:left w:w="0" w:type="dxa"/>
          <w:bottom w:w="0" w:type="dxa"/>
          <w:right w:w="0" w:type="dxa"/>
        </w:tblCellMar>
      </w:tblPr>
      <w:tblGrid>
        <w:gridCol w:w="734"/>
        <w:gridCol w:w="1198"/>
        <w:gridCol w:w="839"/>
        <w:gridCol w:w="1092"/>
        <w:gridCol w:w="741"/>
        <w:gridCol w:w="814"/>
        <w:gridCol w:w="1337"/>
        <w:gridCol w:w="965"/>
        <w:gridCol w:w="1164"/>
        <w:gridCol w:w="764"/>
      </w:tblGrid>
      <w:tr>
        <w:tblPrEx>
          <w:tblCellMar>
            <w:top w:w="0" w:type="dxa"/>
            <w:left w:w="0" w:type="dxa"/>
            <w:bottom w:w="0" w:type="dxa"/>
            <w:right w:w="0" w:type="dxa"/>
          </w:tblCellMar>
        </w:tblPrEx>
        <w:trPr>
          <w:trHeight w:val="827" w:hRule="atLeast"/>
        </w:trPr>
        <w:tc>
          <w:tcPr>
            <w:tcW w:w="734" w:type="dxa"/>
            <w:tcBorders>
              <w:top w:val="single" w:color="000000" w:sz="4" w:space="0"/>
              <w:left w:val="single" w:color="000000" w:sz="4" w:space="0"/>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198"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设备名称</w:t>
            </w:r>
          </w:p>
        </w:tc>
        <w:tc>
          <w:tcPr>
            <w:tcW w:w="839"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092"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41"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14"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37"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额定功率</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（KW）</w:t>
            </w:r>
          </w:p>
        </w:tc>
        <w:tc>
          <w:tcPr>
            <w:tcW w:w="965"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生产</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能力</w:t>
            </w:r>
          </w:p>
        </w:tc>
        <w:tc>
          <w:tcPr>
            <w:tcW w:w="1164"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用于施</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工部位</w:t>
            </w:r>
          </w:p>
        </w:tc>
        <w:tc>
          <w:tcPr>
            <w:tcW w:w="764"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34"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9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09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1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37"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96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bl>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86" w:name="_Toc418751906"/>
      <w:bookmarkStart w:id="1987" w:name="_Toc483317225"/>
      <w:bookmarkStart w:id="1988" w:name="_Toc418752352"/>
      <w:r>
        <w:rPr>
          <w:rFonts w:hint="eastAsia" w:ascii="宋体" w:hAnsi="宋体" w:eastAsia="宋体" w:cs="宋体"/>
          <w:b/>
          <w:color w:val="auto"/>
          <w:sz w:val="21"/>
          <w:szCs w:val="21"/>
          <w:highlight w:val="none"/>
        </w:rPr>
        <w:t>附表二：拟配备本项目的试验和检测仪器设备表</w:t>
      </w:r>
      <w:bookmarkEnd w:id="1986"/>
      <w:bookmarkEnd w:id="1987"/>
      <w:bookmarkEnd w:id="1988"/>
    </w:p>
    <w:tbl>
      <w:tblPr>
        <w:tblStyle w:val="19"/>
        <w:tblW w:w="9648" w:type="dxa"/>
        <w:tblInd w:w="-5" w:type="dxa"/>
        <w:tblLayout w:type="fixed"/>
        <w:tblCellMar>
          <w:top w:w="0" w:type="dxa"/>
          <w:left w:w="0" w:type="dxa"/>
          <w:bottom w:w="0" w:type="dxa"/>
          <w:right w:w="0" w:type="dxa"/>
        </w:tblCellMar>
      </w:tblPr>
      <w:tblGrid>
        <w:gridCol w:w="759"/>
        <w:gridCol w:w="1239"/>
        <w:gridCol w:w="866"/>
        <w:gridCol w:w="1129"/>
        <w:gridCol w:w="766"/>
        <w:gridCol w:w="841"/>
        <w:gridCol w:w="1382"/>
        <w:gridCol w:w="1885"/>
        <w:gridCol w:w="781"/>
      </w:tblGrid>
      <w:tr>
        <w:tblPrEx>
          <w:tblCellMar>
            <w:top w:w="0" w:type="dxa"/>
            <w:left w:w="0" w:type="dxa"/>
            <w:bottom w:w="0" w:type="dxa"/>
            <w:right w:w="0" w:type="dxa"/>
          </w:tblCellMar>
        </w:tblPrEx>
        <w:trPr>
          <w:trHeight w:val="889" w:hRule="atLeast"/>
        </w:trPr>
        <w:tc>
          <w:tcPr>
            <w:tcW w:w="759" w:type="dxa"/>
            <w:tcBorders>
              <w:top w:val="single" w:color="000000" w:sz="4" w:space="0"/>
              <w:left w:val="single" w:color="000000" w:sz="4" w:space="0"/>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239"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仪器设备</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名称</w:t>
            </w:r>
          </w:p>
        </w:tc>
        <w:tc>
          <w:tcPr>
            <w:tcW w:w="866"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型号</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规格</w:t>
            </w:r>
          </w:p>
        </w:tc>
        <w:tc>
          <w:tcPr>
            <w:tcW w:w="1129"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数量</w:t>
            </w:r>
          </w:p>
        </w:tc>
        <w:tc>
          <w:tcPr>
            <w:tcW w:w="766"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国别</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产地</w:t>
            </w:r>
          </w:p>
        </w:tc>
        <w:tc>
          <w:tcPr>
            <w:tcW w:w="841"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制造</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年份</w:t>
            </w:r>
          </w:p>
        </w:tc>
        <w:tc>
          <w:tcPr>
            <w:tcW w:w="1382"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已使用</w:t>
            </w:r>
          </w:p>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台时数</w:t>
            </w:r>
          </w:p>
        </w:tc>
        <w:tc>
          <w:tcPr>
            <w:tcW w:w="1885"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用途</w:t>
            </w:r>
          </w:p>
        </w:tc>
        <w:tc>
          <w:tcPr>
            <w:tcW w:w="781"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759"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3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129"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6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84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38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885"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781"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bl>
    <w:p>
      <w:pPr>
        <w:pStyle w:val="2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 xml:space="preserve"> </w:t>
      </w:r>
      <w:bookmarkStart w:id="1989" w:name="_Toc418751907"/>
      <w:bookmarkStart w:id="1990" w:name="_Toc483317226"/>
      <w:bookmarkStart w:id="1991" w:name="_Toc418752353"/>
      <w:r>
        <w:rPr>
          <w:rFonts w:hint="eastAsia" w:ascii="宋体" w:hAnsi="宋体" w:eastAsia="宋体" w:cs="宋体"/>
          <w:b/>
          <w:color w:val="auto"/>
          <w:sz w:val="21"/>
          <w:szCs w:val="21"/>
          <w:highlight w:val="none"/>
        </w:rPr>
        <w:t>附表三：劳动力计划表</w:t>
      </w:r>
      <w:bookmarkEnd w:id="1989"/>
      <w:bookmarkEnd w:id="1990"/>
      <w:bookmarkEnd w:id="1991"/>
    </w:p>
    <w:p>
      <w:pPr>
        <w:pStyle w:val="29"/>
        <w:jc w:val="righ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单位：人</w:t>
      </w:r>
    </w:p>
    <w:tbl>
      <w:tblPr>
        <w:tblStyle w:val="19"/>
        <w:tblW w:w="9648" w:type="dxa"/>
        <w:tblInd w:w="-5" w:type="dxa"/>
        <w:tblLayout w:type="fixed"/>
        <w:tblCellMar>
          <w:top w:w="0" w:type="dxa"/>
          <w:left w:w="0" w:type="dxa"/>
          <w:bottom w:w="0" w:type="dxa"/>
          <w:right w:w="0" w:type="dxa"/>
        </w:tblCellMar>
      </w:tblPr>
      <w:tblGrid>
        <w:gridCol w:w="938"/>
        <w:gridCol w:w="1478"/>
        <w:gridCol w:w="1204"/>
        <w:gridCol w:w="1206"/>
        <w:gridCol w:w="1204"/>
        <w:gridCol w:w="1206"/>
        <w:gridCol w:w="1204"/>
        <w:gridCol w:w="1208"/>
      </w:tblGrid>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工种</w:t>
            </w:r>
          </w:p>
        </w:tc>
        <w:tc>
          <w:tcPr>
            <w:tcW w:w="8710" w:type="dxa"/>
            <w:gridSpan w:val="7"/>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按工程施工阶段投入劳动力情况</w:t>
            </w: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938"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47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6"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4"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1208"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bl>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2" w:name="_Toc418752354"/>
      <w:bookmarkStart w:id="1993" w:name="_Toc418751908"/>
      <w:bookmarkStart w:id="1994" w:name="_Toc483317227"/>
      <w:r>
        <w:rPr>
          <w:rFonts w:hint="eastAsia" w:ascii="宋体" w:hAnsi="宋体" w:eastAsia="宋体" w:cs="宋体"/>
          <w:b/>
          <w:color w:val="auto"/>
          <w:sz w:val="21"/>
          <w:szCs w:val="21"/>
          <w:highlight w:val="none"/>
        </w:rPr>
        <w:t>附表四：计划开、竣工日期和施工进度网络图</w:t>
      </w:r>
      <w:r>
        <w:rPr>
          <w:rFonts w:hint="eastAsia" w:ascii="宋体" w:hAnsi="宋体" w:eastAsia="宋体" w:cs="宋体"/>
          <w:b/>
          <w:color w:val="auto"/>
          <w:sz w:val="21"/>
          <w:szCs w:val="21"/>
          <w:highlight w:val="none"/>
          <w:lang w:val="en-US" w:eastAsia="zh-CN"/>
        </w:rPr>
        <w:t>或</w:t>
      </w:r>
      <w:r>
        <w:rPr>
          <w:rFonts w:hint="eastAsia" w:ascii="宋体" w:hAnsi="宋体" w:eastAsia="宋体" w:cs="宋体"/>
          <w:b/>
          <w:color w:val="auto"/>
          <w:sz w:val="21"/>
          <w:szCs w:val="21"/>
          <w:highlight w:val="none"/>
        </w:rPr>
        <w:t>横道图</w:t>
      </w:r>
      <w:bookmarkEnd w:id="1992"/>
      <w:bookmarkEnd w:id="1993"/>
      <w:bookmarkEnd w:id="1994"/>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9"/>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应递交施工进度网络图</w:t>
      </w:r>
      <w:r>
        <w:rPr>
          <w:rFonts w:hint="eastAsia" w:ascii="宋体" w:hAnsi="宋体" w:eastAsia="宋体" w:cs="宋体"/>
          <w:color w:val="auto"/>
          <w:sz w:val="21"/>
          <w:szCs w:val="21"/>
          <w:highlight w:val="none"/>
          <w:lang w:eastAsia="zh-CN"/>
        </w:rPr>
        <w:t>或</w:t>
      </w:r>
      <w:r>
        <w:rPr>
          <w:rFonts w:hint="eastAsia" w:ascii="宋体" w:hAnsi="宋体" w:eastAsia="宋体" w:cs="宋体"/>
          <w:color w:val="auto"/>
          <w:sz w:val="21"/>
          <w:szCs w:val="21"/>
          <w:highlight w:val="none"/>
        </w:rPr>
        <w:t>横道图</w:t>
      </w:r>
      <w:r>
        <w:rPr>
          <w:rFonts w:hint="eastAsia" w:ascii="宋体" w:hAnsi="宋体" w:eastAsia="宋体" w:cs="宋体"/>
          <w:color w:val="auto"/>
          <w:spacing w:val="1"/>
          <w:sz w:val="21"/>
          <w:szCs w:val="21"/>
          <w:highlight w:val="none"/>
        </w:rPr>
        <w:t>，说</w:t>
      </w:r>
      <w:r>
        <w:rPr>
          <w:rFonts w:hint="eastAsia" w:ascii="宋体" w:hAnsi="宋体" w:eastAsia="宋体" w:cs="宋体"/>
          <w:color w:val="auto"/>
          <w:spacing w:val="2"/>
          <w:sz w:val="21"/>
          <w:szCs w:val="21"/>
          <w:highlight w:val="none"/>
        </w:rPr>
        <w:t>明</w:t>
      </w:r>
      <w:r>
        <w:rPr>
          <w:rFonts w:hint="eastAsia" w:ascii="宋体" w:hAnsi="宋体" w:eastAsia="宋体" w:cs="宋体"/>
          <w:color w:val="auto"/>
          <w:spacing w:val="1"/>
          <w:sz w:val="21"/>
          <w:szCs w:val="21"/>
          <w:highlight w:val="none"/>
        </w:rPr>
        <w:t>按</w:t>
      </w:r>
      <w:r>
        <w:rPr>
          <w:rFonts w:hint="eastAsia" w:ascii="宋体" w:hAnsi="宋体" w:eastAsia="宋体" w:cs="宋体"/>
          <w:color w:val="auto"/>
          <w:spacing w:val="2"/>
          <w:sz w:val="21"/>
          <w:szCs w:val="21"/>
          <w:highlight w:val="none"/>
          <w:lang w:val="en-US" w:eastAsia="zh-CN"/>
        </w:rPr>
        <w:t>竞争性磋商</w:t>
      </w:r>
      <w:r>
        <w:rPr>
          <w:rFonts w:hint="eastAsia" w:ascii="宋体" w:hAnsi="宋体" w:eastAsia="宋体" w:cs="宋体"/>
          <w:color w:val="auto"/>
          <w:spacing w:val="1"/>
          <w:sz w:val="21"/>
          <w:szCs w:val="21"/>
          <w:highlight w:val="none"/>
        </w:rPr>
        <w:t>文</w:t>
      </w:r>
      <w:r>
        <w:rPr>
          <w:rFonts w:hint="eastAsia" w:ascii="宋体" w:hAnsi="宋体" w:eastAsia="宋体" w:cs="宋体"/>
          <w:color w:val="auto"/>
          <w:spacing w:val="2"/>
          <w:sz w:val="21"/>
          <w:szCs w:val="21"/>
          <w:highlight w:val="none"/>
        </w:rPr>
        <w:t>件</w:t>
      </w:r>
      <w:r>
        <w:rPr>
          <w:rFonts w:hint="eastAsia" w:ascii="宋体" w:hAnsi="宋体" w:eastAsia="宋体" w:cs="宋体"/>
          <w:color w:val="auto"/>
          <w:spacing w:val="1"/>
          <w:sz w:val="21"/>
          <w:szCs w:val="21"/>
          <w:highlight w:val="none"/>
        </w:rPr>
        <w:t>要</w:t>
      </w:r>
      <w:r>
        <w:rPr>
          <w:rFonts w:hint="eastAsia" w:ascii="宋体" w:hAnsi="宋体" w:eastAsia="宋体" w:cs="宋体"/>
          <w:color w:val="auto"/>
          <w:spacing w:val="2"/>
          <w:sz w:val="21"/>
          <w:szCs w:val="21"/>
          <w:highlight w:val="none"/>
        </w:rPr>
        <w:t>求</w:t>
      </w:r>
      <w:r>
        <w:rPr>
          <w:rFonts w:hint="eastAsia" w:ascii="宋体" w:hAnsi="宋体" w:eastAsia="宋体" w:cs="宋体"/>
          <w:color w:val="auto"/>
          <w:spacing w:val="1"/>
          <w:sz w:val="21"/>
          <w:szCs w:val="21"/>
          <w:highlight w:val="none"/>
        </w:rPr>
        <w:t>的计</w:t>
      </w:r>
      <w:r>
        <w:rPr>
          <w:rFonts w:hint="eastAsia" w:ascii="宋体" w:hAnsi="宋体" w:eastAsia="宋体" w:cs="宋体"/>
          <w:color w:val="auto"/>
          <w:spacing w:val="2"/>
          <w:sz w:val="21"/>
          <w:szCs w:val="21"/>
          <w:highlight w:val="none"/>
        </w:rPr>
        <w:t>划</w:t>
      </w:r>
      <w:r>
        <w:rPr>
          <w:rFonts w:hint="eastAsia" w:ascii="宋体" w:hAnsi="宋体" w:eastAsia="宋体" w:cs="宋体"/>
          <w:color w:val="auto"/>
          <w:spacing w:val="1"/>
          <w:sz w:val="21"/>
          <w:szCs w:val="21"/>
          <w:highlight w:val="none"/>
        </w:rPr>
        <w:t>工</w:t>
      </w:r>
      <w:r>
        <w:rPr>
          <w:rFonts w:hint="eastAsia" w:ascii="宋体" w:hAnsi="宋体" w:eastAsia="宋体" w:cs="宋体"/>
          <w:color w:val="auto"/>
          <w:spacing w:val="4"/>
          <w:sz w:val="21"/>
          <w:szCs w:val="21"/>
          <w:highlight w:val="none"/>
        </w:rPr>
        <w:t>期</w:t>
      </w:r>
      <w:r>
        <w:rPr>
          <w:rFonts w:hint="eastAsia" w:ascii="宋体" w:hAnsi="宋体" w:eastAsia="宋体" w:cs="宋体"/>
          <w:color w:val="auto"/>
          <w:spacing w:val="2"/>
          <w:sz w:val="21"/>
          <w:szCs w:val="21"/>
          <w:highlight w:val="none"/>
        </w:rPr>
        <w:t>进</w:t>
      </w:r>
      <w:r>
        <w:rPr>
          <w:rFonts w:hint="eastAsia" w:ascii="宋体" w:hAnsi="宋体" w:eastAsia="宋体" w:cs="宋体"/>
          <w:color w:val="auto"/>
          <w:spacing w:val="1"/>
          <w:sz w:val="21"/>
          <w:szCs w:val="21"/>
          <w:highlight w:val="none"/>
        </w:rPr>
        <w:t>行</w:t>
      </w:r>
      <w:r>
        <w:rPr>
          <w:rFonts w:hint="eastAsia" w:ascii="宋体" w:hAnsi="宋体" w:eastAsia="宋体" w:cs="宋体"/>
          <w:color w:val="auto"/>
          <w:sz w:val="21"/>
          <w:szCs w:val="21"/>
          <w:highlight w:val="none"/>
        </w:rPr>
        <w:t>施工的各个关键日期。</w:t>
      </w:r>
    </w:p>
    <w:p>
      <w:pPr>
        <w:pStyle w:val="29"/>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2.计划开工日期：</w:t>
      </w:r>
      <w:r>
        <w:rPr>
          <w:rFonts w:hint="eastAsia" w:ascii="宋体" w:hAnsi="宋体" w:eastAsia="宋体" w:cs="宋体"/>
          <w:color w:val="auto"/>
          <w:sz w:val="21"/>
          <w:szCs w:val="21"/>
          <w:highlight w:val="none"/>
          <w:lang w:val="en-US" w:eastAsia="zh-CN"/>
        </w:rPr>
        <w:t>自合同签订之日起至 年 月 日</w:t>
      </w:r>
      <w:r>
        <w:rPr>
          <w:rFonts w:hint="eastAsia" w:ascii="宋体" w:hAnsi="宋体" w:eastAsia="宋体" w:cs="宋体"/>
          <w:i w:val="0"/>
          <w:iCs w:val="0"/>
          <w:color w:val="auto"/>
          <w:sz w:val="21"/>
          <w:szCs w:val="21"/>
          <w:highlight w:val="none"/>
          <w:lang w:val="en-US" w:eastAsia="zh-CN"/>
        </w:rPr>
        <w:t>。</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5" w:name="_Toc483317228"/>
      <w:bookmarkStart w:id="1996" w:name="_Toc418751909"/>
      <w:bookmarkStart w:id="1997" w:name="_Toc418752355"/>
      <w:r>
        <w:rPr>
          <w:rFonts w:hint="eastAsia" w:ascii="宋体" w:hAnsi="宋体" w:eastAsia="宋体" w:cs="宋体"/>
          <w:b/>
          <w:color w:val="auto"/>
          <w:sz w:val="21"/>
          <w:szCs w:val="21"/>
          <w:highlight w:val="none"/>
        </w:rPr>
        <w:t>附表五：施工总平面图</w:t>
      </w:r>
      <w:bookmarkEnd w:id="1995"/>
      <w:bookmarkEnd w:id="1996"/>
      <w:bookmarkEnd w:id="1997"/>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9"/>
        <w:ind w:firstLine="424"/>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rPr>
        <w:t>应递交一份施工总平面图</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绘出现场临时设施布置图表并附文字说明</w:t>
      </w:r>
      <w:r>
        <w:rPr>
          <w:rFonts w:hint="eastAsia" w:ascii="宋体" w:hAnsi="宋体" w:eastAsia="宋体" w:cs="宋体"/>
          <w:color w:val="auto"/>
          <w:spacing w:val="-47"/>
          <w:sz w:val="21"/>
          <w:szCs w:val="21"/>
          <w:highlight w:val="none"/>
        </w:rPr>
        <w:t>，</w:t>
      </w:r>
      <w:r>
        <w:rPr>
          <w:rFonts w:hint="eastAsia" w:ascii="宋体" w:hAnsi="宋体" w:eastAsia="宋体" w:cs="宋体"/>
          <w:color w:val="auto"/>
          <w:sz w:val="21"/>
          <w:szCs w:val="21"/>
          <w:highlight w:val="none"/>
        </w:rPr>
        <w:t>说明临时设施</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加工车间</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现场办公</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设备及仓储</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供电</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供水</w:t>
      </w:r>
      <w:r>
        <w:rPr>
          <w:rFonts w:hint="eastAsia" w:ascii="宋体" w:hAnsi="宋体" w:eastAsia="宋体" w:cs="宋体"/>
          <w:color w:val="auto"/>
          <w:spacing w:val="-10"/>
          <w:sz w:val="21"/>
          <w:szCs w:val="21"/>
          <w:highlight w:val="none"/>
        </w:rPr>
        <w:t>、</w:t>
      </w:r>
      <w:r>
        <w:rPr>
          <w:rFonts w:hint="eastAsia" w:ascii="宋体" w:hAnsi="宋体" w:eastAsia="宋体" w:cs="宋体"/>
          <w:color w:val="auto"/>
          <w:sz w:val="21"/>
          <w:szCs w:val="21"/>
          <w:highlight w:val="none"/>
        </w:rPr>
        <w:t>卫生</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生活</w:t>
      </w:r>
      <w:r>
        <w:rPr>
          <w:rFonts w:hint="eastAsia" w:ascii="宋体" w:hAnsi="宋体" w:eastAsia="宋体" w:cs="宋体"/>
          <w:color w:val="auto"/>
          <w:spacing w:val="-11"/>
          <w:sz w:val="21"/>
          <w:szCs w:val="21"/>
          <w:highlight w:val="none"/>
        </w:rPr>
        <w:t>、</w:t>
      </w:r>
      <w:r>
        <w:rPr>
          <w:rFonts w:hint="eastAsia" w:ascii="宋体" w:hAnsi="宋体" w:eastAsia="宋体" w:cs="宋体"/>
          <w:color w:val="auto"/>
          <w:sz w:val="21"/>
          <w:szCs w:val="21"/>
          <w:highlight w:val="none"/>
        </w:rPr>
        <w:t>道路</w:t>
      </w:r>
      <w:r>
        <w:rPr>
          <w:rFonts w:hint="eastAsia" w:ascii="宋体" w:hAnsi="宋体" w:eastAsia="宋体" w:cs="宋体"/>
          <w:color w:val="auto"/>
          <w:spacing w:val="-11"/>
          <w:sz w:val="21"/>
          <w:szCs w:val="21"/>
          <w:highlight w:val="none"/>
        </w:rPr>
        <w:t>、</w:t>
      </w:r>
      <w:r>
        <w:rPr>
          <w:rFonts w:hint="eastAsia" w:ascii="宋体" w:hAnsi="宋体" w:eastAsia="宋体" w:cs="宋体"/>
          <w:color w:val="auto"/>
          <w:spacing w:val="1"/>
          <w:sz w:val="21"/>
          <w:szCs w:val="21"/>
          <w:highlight w:val="none"/>
        </w:rPr>
        <w:t>消</w:t>
      </w:r>
      <w:r>
        <w:rPr>
          <w:rFonts w:hint="eastAsia" w:ascii="宋体" w:hAnsi="宋体" w:eastAsia="宋体" w:cs="宋体"/>
          <w:color w:val="auto"/>
          <w:sz w:val="21"/>
          <w:szCs w:val="21"/>
          <w:highlight w:val="none"/>
        </w:rPr>
        <w:t>防等设施的情况和布置。</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rPr>
          <w:rFonts w:hint="eastAsia" w:ascii="宋体" w:hAnsi="宋体" w:eastAsia="宋体" w:cs="宋体"/>
          <w:b/>
          <w:color w:val="auto"/>
          <w:sz w:val="21"/>
          <w:szCs w:val="21"/>
          <w:highlight w:val="none"/>
        </w:rPr>
      </w:pPr>
      <w:bookmarkStart w:id="1998" w:name="_Toc418751910"/>
      <w:bookmarkStart w:id="1999" w:name="_Toc483317229"/>
      <w:bookmarkStart w:id="2000" w:name="_Toc418752356"/>
      <w:r>
        <w:rPr>
          <w:rFonts w:hint="eastAsia" w:ascii="宋体" w:hAnsi="宋体" w:eastAsia="宋体" w:cs="宋体"/>
          <w:b/>
          <w:color w:val="auto"/>
          <w:sz w:val="21"/>
          <w:szCs w:val="21"/>
          <w:highlight w:val="none"/>
        </w:rPr>
        <w:t>附表六：临时用地表</w:t>
      </w:r>
      <w:bookmarkEnd w:id="1998"/>
      <w:bookmarkEnd w:id="1999"/>
      <w:bookmarkEnd w:id="2000"/>
    </w:p>
    <w:tbl>
      <w:tblPr>
        <w:tblStyle w:val="19"/>
        <w:tblW w:w="9648" w:type="dxa"/>
        <w:tblInd w:w="-5" w:type="dxa"/>
        <w:tblLayout w:type="fixed"/>
        <w:tblCellMar>
          <w:top w:w="0" w:type="dxa"/>
          <w:left w:w="0" w:type="dxa"/>
          <w:bottom w:w="0" w:type="dxa"/>
          <w:right w:w="0" w:type="dxa"/>
        </w:tblCellMar>
      </w:tblPr>
      <w:tblGrid>
        <w:gridCol w:w="2412"/>
        <w:gridCol w:w="2412"/>
        <w:gridCol w:w="2412"/>
        <w:gridCol w:w="2412"/>
      </w:tblGrid>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用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途</w:t>
            </w:r>
          </w:p>
        </w:tc>
        <w:tc>
          <w:tcPr>
            <w:tcW w:w="2412"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积（平</w:t>
            </w:r>
            <w:r>
              <w:rPr>
                <w:rFonts w:hint="eastAsia" w:ascii="宋体" w:hAnsi="宋体" w:eastAsia="宋体" w:cs="宋体"/>
                <w:color w:val="auto"/>
                <w:spacing w:val="-1"/>
                <w:sz w:val="21"/>
                <w:szCs w:val="21"/>
                <w:highlight w:val="none"/>
              </w:rPr>
              <w:t>方</w:t>
            </w:r>
            <w:r>
              <w:rPr>
                <w:rFonts w:hint="eastAsia" w:ascii="宋体" w:hAnsi="宋体" w:eastAsia="宋体" w:cs="宋体"/>
                <w:color w:val="auto"/>
                <w:sz w:val="21"/>
                <w:szCs w:val="21"/>
                <w:highlight w:val="none"/>
              </w:rPr>
              <w:t>米）</w:t>
            </w:r>
          </w:p>
        </w:tc>
        <w:tc>
          <w:tcPr>
            <w:tcW w:w="2412"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位 </w:t>
            </w:r>
            <w:r>
              <w:rPr>
                <w:rFonts w:hint="eastAsia" w:ascii="宋体" w:hAnsi="宋体" w:eastAsia="宋体" w:cs="宋体"/>
                <w:color w:val="auto"/>
                <w:spacing w:val="1"/>
                <w:sz w:val="21"/>
                <w:szCs w:val="21"/>
                <w:highlight w:val="none"/>
              </w:rPr>
              <w:t> </w:t>
            </w:r>
            <w:r>
              <w:rPr>
                <w:rFonts w:hint="eastAsia" w:ascii="宋体" w:hAnsi="宋体" w:eastAsia="宋体" w:cs="宋体"/>
                <w:color w:val="auto"/>
                <w:sz w:val="21"/>
                <w:szCs w:val="21"/>
                <w:highlight w:val="none"/>
              </w:rPr>
              <w:t>置</w:t>
            </w:r>
          </w:p>
        </w:tc>
        <w:tc>
          <w:tcPr>
            <w:tcW w:w="2412" w:type="dxa"/>
            <w:tcBorders>
              <w:top w:val="single" w:color="000000" w:sz="4" w:space="0"/>
              <w:left w:val="nil"/>
              <w:bottom w:val="single" w:color="000000" w:sz="4" w:space="0"/>
              <w:right w:val="single" w:color="000000" w:sz="4" w:space="0"/>
            </w:tcBorders>
            <w:vAlign w:val="center"/>
          </w:tcPr>
          <w:p>
            <w:pPr>
              <w:pStyle w:val="29"/>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需用时间</w:t>
            </w: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r>
        <w:tblPrEx>
          <w:tblCellMar>
            <w:top w:w="0" w:type="dxa"/>
            <w:left w:w="0" w:type="dxa"/>
            <w:bottom w:w="0" w:type="dxa"/>
            <w:right w:w="0" w:type="dxa"/>
          </w:tblCellMar>
        </w:tblPrEx>
        <w:trPr>
          <w:trHeight w:val="450" w:hRule="atLeast"/>
        </w:trPr>
        <w:tc>
          <w:tcPr>
            <w:tcW w:w="2412" w:type="dxa"/>
            <w:tcBorders>
              <w:top w:val="single" w:color="000000" w:sz="4" w:space="0"/>
              <w:left w:val="single" w:color="000000" w:sz="4" w:space="0"/>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c>
          <w:tcPr>
            <w:tcW w:w="2412" w:type="dxa"/>
            <w:tcBorders>
              <w:top w:val="single" w:color="000000" w:sz="4" w:space="0"/>
              <w:left w:val="nil"/>
              <w:bottom w:val="single" w:color="000000" w:sz="4" w:space="0"/>
              <w:right w:val="single" w:color="000000" w:sz="4" w:space="0"/>
            </w:tcBorders>
            <w:vAlign w:val="top"/>
          </w:tcPr>
          <w:p>
            <w:pPr>
              <w:pStyle w:val="29"/>
              <w:rPr>
                <w:rFonts w:hint="eastAsia" w:ascii="宋体" w:hAnsi="宋体" w:eastAsia="宋体" w:cs="宋体"/>
                <w:color w:val="auto"/>
                <w:sz w:val="21"/>
                <w:szCs w:val="21"/>
                <w:highlight w:val="none"/>
              </w:rPr>
            </w:pPr>
          </w:p>
        </w:tc>
      </w:tr>
    </w:tbl>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pStyle w:val="29"/>
        <w:rPr>
          <w:rFonts w:hint="eastAsia" w:ascii="宋体" w:hAnsi="宋体" w:eastAsia="宋体" w:cs="宋体"/>
          <w:color w:val="auto"/>
          <w:sz w:val="21"/>
          <w:szCs w:val="21"/>
          <w:highlight w:val="none"/>
        </w:rPr>
      </w:pPr>
    </w:p>
    <w:p>
      <w:pPr>
        <w:pStyle w:val="6"/>
        <w:widowControl w:val="0"/>
        <w:numPr>
          <w:ilvl w:val="0"/>
          <w:numId w:val="0"/>
        </w:numPr>
        <w:jc w:val="both"/>
        <w:rPr>
          <w:rFonts w:hint="eastAsia" w:ascii="宋体" w:hAnsi="宋体" w:eastAsia="宋体" w:cs="宋体"/>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pStyle w:val="11"/>
        <w:spacing w:line="300" w:lineRule="exact"/>
        <w:ind w:firstLine="3479" w:firstLineChars="165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 </w:t>
      </w:r>
    </w:p>
    <w:p>
      <w:pPr>
        <w:pStyle w:val="11"/>
        <w:spacing w:line="300" w:lineRule="exact"/>
        <w:rPr>
          <w:rFonts w:hint="eastAsia" w:ascii="宋体" w:hAnsi="宋体" w:eastAsia="宋体" w:cs="宋体"/>
          <w:b/>
          <w:color w:val="auto"/>
          <w:sz w:val="21"/>
          <w:szCs w:val="21"/>
          <w:highlight w:val="none"/>
        </w:rPr>
      </w:pPr>
    </w:p>
    <w:p>
      <w:pPr>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2"/>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11"/>
        <w:numPr>
          <w:ilvl w:val="0"/>
          <w:numId w:val="0"/>
        </w:numPr>
        <w:spacing w:line="340" w:lineRule="exact"/>
        <w:rPr>
          <w:rFonts w:hint="eastAsia" w:ascii="宋体" w:hAnsi="宋体" w:eastAsia="宋体" w:cs="宋体"/>
          <w:b/>
          <w:color w:val="auto"/>
          <w:sz w:val="21"/>
          <w:szCs w:val="21"/>
          <w:highlight w:val="none"/>
          <w:lang w:val="en-US" w:eastAsia="zh-CN"/>
        </w:rPr>
      </w:pPr>
    </w:p>
    <w:p>
      <w:pPr>
        <w:pStyle w:val="5"/>
        <w:rPr>
          <w:rFonts w:hint="eastAsia" w:ascii="宋体" w:hAnsi="宋体" w:eastAsia="宋体" w:cs="宋体"/>
          <w:b/>
          <w:color w:val="auto"/>
          <w:sz w:val="21"/>
          <w:szCs w:val="21"/>
          <w:highlight w:val="none"/>
          <w:lang w:val="en-US" w:eastAsia="zh-CN"/>
        </w:rPr>
      </w:pPr>
    </w:p>
    <w:p>
      <w:pPr>
        <w:rPr>
          <w:rFonts w:hint="eastAsia" w:ascii="宋体" w:hAnsi="宋体" w:eastAsia="宋体" w:cs="宋体"/>
          <w:b/>
          <w:color w:val="auto"/>
          <w:sz w:val="21"/>
          <w:szCs w:val="21"/>
          <w:highlight w:val="none"/>
          <w:lang w:val="en-US" w:eastAsia="zh-CN"/>
        </w:rPr>
      </w:pPr>
    </w:p>
    <w:p>
      <w:pPr>
        <w:pStyle w:val="8"/>
        <w:rPr>
          <w:rFonts w:hint="eastAsia" w:ascii="宋体" w:hAnsi="宋体" w:eastAsia="宋体" w:cs="宋体"/>
          <w:b/>
          <w:color w:val="auto"/>
          <w:sz w:val="21"/>
          <w:szCs w:val="21"/>
          <w:highlight w:val="none"/>
          <w:lang w:val="en-US" w:eastAsia="zh-CN"/>
        </w:rPr>
      </w:pPr>
    </w:p>
    <w:p>
      <w:pPr>
        <w:rPr>
          <w:rFonts w:hint="eastAsia"/>
          <w:color w:val="auto"/>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lang w:val="en-US" w:eastAsia="zh-CN"/>
        </w:rPr>
        <w:t>7.工程完工服务承诺书（必须提供）</w:t>
      </w:r>
      <w:r>
        <w:rPr>
          <w:rFonts w:hint="eastAsia" w:ascii="宋体" w:hAnsi="宋体" w:eastAsia="宋体" w:cs="宋体"/>
          <w:b/>
          <w:color w:val="auto"/>
          <w:sz w:val="24"/>
          <w:szCs w:val="24"/>
          <w:highlight w:val="none"/>
        </w:rPr>
        <w:t>；</w:t>
      </w:r>
    </w:p>
    <w:p>
      <w:pPr>
        <w:spacing w:line="360" w:lineRule="auto"/>
        <w:jc w:val="center"/>
        <w:rPr>
          <w:rFonts w:hint="eastAsia" w:ascii="宋体" w:hAnsi="宋体" w:eastAsia="宋体" w:cs="宋体"/>
          <w:b/>
          <w:color w:val="auto"/>
          <w:sz w:val="21"/>
          <w:szCs w:val="21"/>
          <w:highlight w:val="none"/>
        </w:rPr>
      </w:pPr>
    </w:p>
    <w:p>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工程完工服务承诺书（格式）</w:t>
      </w:r>
    </w:p>
    <w:p>
      <w:pPr>
        <w:pStyle w:val="11"/>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（由供应商按《工程量清单》中工程完工服务及要求自行分别填写）</w:t>
      </w:r>
    </w:p>
    <w:p>
      <w:pPr>
        <w:pStyle w:val="11"/>
        <w:rPr>
          <w:rFonts w:hint="eastAsia" w:ascii="宋体" w:hAnsi="宋体" w:eastAsia="宋体" w:cs="宋体"/>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lang w:eastAsia="zh-CN"/>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ind w:firstLine="1470" w:firstLineChars="7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2"/>
        <w:rPr>
          <w:rFonts w:hint="eastAsia" w:ascii="宋体" w:hAnsi="宋体" w:eastAsia="宋体" w:cs="宋体"/>
          <w:b/>
          <w:color w:val="auto"/>
          <w:sz w:val="21"/>
          <w:szCs w:val="21"/>
          <w:highlight w:val="none"/>
          <w:lang w:val="en-US" w:eastAsia="zh-CN"/>
        </w:rPr>
      </w:pPr>
    </w:p>
    <w:p>
      <w:pPr>
        <w:rPr>
          <w:rFonts w:hint="eastAsia"/>
          <w:color w:val="auto"/>
          <w:highlight w:val="none"/>
          <w:lang w:val="en-US" w:eastAsia="zh-CN"/>
        </w:rPr>
      </w:pPr>
    </w:p>
    <w:p>
      <w:pPr>
        <w:pStyle w:val="11"/>
        <w:numPr>
          <w:ilvl w:val="0"/>
          <w:numId w:val="0"/>
        </w:numPr>
        <w:spacing w:line="340" w:lineRule="exact"/>
        <w:rPr>
          <w:rFonts w:hint="eastAsia" w:ascii="宋体" w:hAnsi="宋体" w:eastAsia="宋体" w:cs="宋体"/>
          <w:b/>
          <w:color w:val="auto"/>
          <w:sz w:val="24"/>
          <w:szCs w:val="24"/>
          <w:highlight w:val="none"/>
          <w:lang w:val="en-US" w:eastAsia="zh-CN"/>
        </w:rPr>
      </w:pPr>
      <w:bookmarkStart w:id="2001" w:name="_Toc32582"/>
      <w:bookmarkStart w:id="2002" w:name="_Toc24798"/>
      <w:bookmarkStart w:id="2003" w:name="_Toc9582"/>
      <w:r>
        <w:rPr>
          <w:rFonts w:hint="eastAsia" w:ascii="宋体" w:hAnsi="宋体" w:eastAsia="宋体" w:cs="宋体"/>
          <w:b/>
          <w:color w:val="auto"/>
          <w:sz w:val="24"/>
          <w:szCs w:val="24"/>
          <w:highlight w:val="none"/>
          <w:lang w:val="en-US" w:eastAsia="zh-CN"/>
        </w:rPr>
        <w:t>8.农民工工资保障金交纳与使用承诺书（必须提供）</w:t>
      </w:r>
      <w:bookmarkEnd w:id="2001"/>
      <w:bookmarkEnd w:id="2002"/>
      <w:r>
        <w:rPr>
          <w:rFonts w:hint="eastAsia" w:ascii="宋体" w:hAnsi="宋体" w:eastAsia="宋体" w:cs="宋体"/>
          <w:b/>
          <w:color w:val="auto"/>
          <w:sz w:val="24"/>
          <w:szCs w:val="24"/>
          <w:highlight w:val="none"/>
          <w:lang w:val="en-US" w:eastAsia="zh-CN"/>
        </w:rPr>
        <w:t>；</w:t>
      </w:r>
      <w:bookmarkEnd w:id="2003"/>
    </w:p>
    <w:p>
      <w:pPr>
        <w:spacing w:line="420" w:lineRule="exact"/>
        <w:ind w:firstLine="422" w:firstLineChars="200"/>
        <w:jc w:val="center"/>
        <w:rPr>
          <w:rFonts w:hint="eastAsia" w:ascii="宋体" w:hAnsi="宋体" w:eastAsia="宋体" w:cs="宋体"/>
          <w:b/>
          <w:color w:val="auto"/>
          <w:kern w:val="0"/>
          <w:sz w:val="21"/>
          <w:szCs w:val="21"/>
          <w:highlight w:val="none"/>
        </w:rPr>
      </w:pPr>
    </w:p>
    <w:p>
      <w:pPr>
        <w:spacing w:line="420" w:lineRule="exact"/>
        <w:ind w:firstLine="422" w:firstLineChars="200"/>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农民工工资保证金交纳与使用承诺书</w:t>
      </w:r>
      <w:r>
        <w:rPr>
          <w:rFonts w:hint="eastAsia" w:ascii="宋体" w:hAnsi="宋体" w:eastAsia="宋体" w:cs="宋体"/>
          <w:b/>
          <w:color w:val="auto"/>
          <w:kern w:val="0"/>
          <w:sz w:val="21"/>
          <w:szCs w:val="21"/>
          <w:highlight w:val="none"/>
          <w:lang w:val="en-US" w:eastAsia="zh-CN"/>
        </w:rPr>
        <w:t>（格式）</w:t>
      </w:r>
    </w:p>
    <w:p>
      <w:pPr>
        <w:spacing w:line="420" w:lineRule="exact"/>
        <w:rPr>
          <w:rFonts w:hint="eastAsia" w:ascii="宋体" w:hAnsi="宋体" w:eastAsia="宋体" w:cs="宋体"/>
          <w:color w:val="auto"/>
          <w:kern w:val="0"/>
          <w:sz w:val="21"/>
          <w:szCs w:val="21"/>
          <w:highlight w:val="none"/>
        </w:rPr>
      </w:pPr>
    </w:p>
    <w:p>
      <w:pPr>
        <w:spacing w:line="400" w:lineRule="exact"/>
        <w:rPr>
          <w:rFonts w:hint="eastAsia" w:ascii="宋体" w:hAnsi="宋体" w:eastAsia="宋体" w:cs="宋体"/>
          <w:color w:val="auto"/>
          <w:sz w:val="21"/>
          <w:szCs w:val="21"/>
          <w:highlight w:val="none"/>
          <w:u w:val="single"/>
          <w:lang w:eastAsia="zh-CN"/>
        </w:rPr>
      </w:pPr>
      <w:r>
        <w:rPr>
          <w:rFonts w:hint="eastAsia" w:ascii="宋体" w:hAnsi="宋体" w:eastAsia="宋体" w:cs="宋体"/>
          <w:color w:val="auto"/>
          <w:kern w:val="0"/>
          <w:sz w:val="21"/>
          <w:szCs w:val="21"/>
          <w:highlight w:val="none"/>
        </w:rPr>
        <w:t>致：</w:t>
      </w:r>
      <w:r>
        <w:rPr>
          <w:rFonts w:hint="eastAsia" w:ascii="宋体" w:hAnsi="宋体" w:cs="宋体"/>
          <w:color w:val="auto"/>
          <w:highlight w:val="none"/>
          <w:u w:val="single"/>
          <w:lang w:val="en-US" w:eastAsia="zh-CN"/>
        </w:rPr>
        <w:t>广西高质建设管理咨询有限公司</w:t>
      </w:r>
    </w:p>
    <w:p>
      <w:pPr>
        <w:spacing w:line="420" w:lineRule="exact"/>
        <w:jc w:val="center"/>
        <w:rPr>
          <w:rFonts w:hint="eastAsia" w:ascii="宋体" w:hAnsi="宋体" w:eastAsia="宋体" w:cs="宋体"/>
          <w:b/>
          <w:color w:val="auto"/>
          <w:kern w:val="0"/>
          <w:sz w:val="21"/>
          <w:szCs w:val="21"/>
          <w:highlight w:val="none"/>
          <w:u w:val="single"/>
        </w:rPr>
      </w:pPr>
    </w:p>
    <w:p>
      <w:pPr>
        <w:spacing w:line="420" w:lineRule="exact"/>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我方在此承诺：</w:t>
      </w:r>
    </w:p>
    <w:p>
      <w:pPr>
        <w:spacing w:line="420" w:lineRule="exact"/>
        <w:ind w:firstLine="525" w:firstLineChars="25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1.我方在本项目</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（项目名称及编号）响应文件递交截止之日前所承建工程中，无拖欠或克扣农民工工资的行为。</w:t>
      </w:r>
    </w:p>
    <w:p>
      <w:pPr>
        <w:spacing w:line="420" w:lineRule="exact"/>
        <w:ind w:firstLine="49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 我方参与</w:t>
      </w:r>
      <w:r>
        <w:rPr>
          <w:rFonts w:hint="eastAsia" w:ascii="宋体" w:hAnsi="宋体" w:eastAsia="宋体" w:cs="宋体"/>
          <w:color w:val="auto"/>
          <w:kern w:val="0"/>
          <w:sz w:val="21"/>
          <w:szCs w:val="21"/>
          <w:highlight w:val="none"/>
          <w:lang w:val="en-US" w:eastAsia="zh-CN"/>
        </w:rPr>
        <w:t>磋商</w:t>
      </w:r>
      <w:r>
        <w:rPr>
          <w:rFonts w:hint="eastAsia" w:ascii="宋体" w:hAnsi="宋体" w:eastAsia="宋体" w:cs="宋体"/>
          <w:color w:val="auto"/>
          <w:kern w:val="0"/>
          <w:sz w:val="21"/>
          <w:szCs w:val="21"/>
          <w:highlight w:val="none"/>
        </w:rPr>
        <w:t>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项目，一旦成交，我方保证在签订施工合同后，及时并足额将农民工工资保证金足额存入指定的账户，作为本项目农民工工资保证金。</w:t>
      </w:r>
    </w:p>
    <w:p>
      <w:pPr>
        <w:spacing w:line="420" w:lineRule="exact"/>
        <w:ind w:firstLine="495"/>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 如我方在承包的</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项目中出现拖欠农民工和工人工资情况的，由相关部门从其农民工工资保证金中先予划支。</w:t>
      </w:r>
    </w:p>
    <w:p>
      <w:pPr>
        <w:numPr>
          <w:ilvl w:val="0"/>
          <w:numId w:val="0"/>
        </w:numPr>
        <w:ind w:leftChars="200"/>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4. 如我方不按时、足额存入农民工工资保证金，采购人有权取消我方承包资格。</w:t>
      </w:r>
    </w:p>
    <w:p>
      <w:pPr>
        <w:pStyle w:val="11"/>
        <w:spacing w:line="340" w:lineRule="exact"/>
        <w:rPr>
          <w:rFonts w:hint="eastAsia" w:ascii="宋体" w:hAnsi="宋体" w:eastAsia="宋体" w:cs="宋体"/>
          <w:b/>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bookmarkStart w:id="2004" w:name="_Toc9339"/>
      <w:bookmarkStart w:id="2005" w:name="_Toc28672"/>
      <w:bookmarkStart w:id="2006" w:name="_Toc497927084"/>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b/>
          <w:bCs/>
          <w:color w:val="auto"/>
          <w:sz w:val="21"/>
          <w:szCs w:val="21"/>
          <w:highlight w:val="none"/>
        </w:rPr>
      </w:pPr>
    </w:p>
    <w:p>
      <w:pPr>
        <w:widowControl/>
        <w:ind w:firstLine="1470" w:firstLineChars="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磋商供应商</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公章</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，自然人</w:t>
      </w:r>
      <w:r>
        <w:rPr>
          <w:rFonts w:hint="eastAsia" w:ascii="宋体" w:hAnsi="宋体" w:eastAsia="宋体" w:cs="宋体"/>
          <w:color w:val="auto"/>
          <w:sz w:val="21"/>
          <w:szCs w:val="21"/>
          <w:highlight w:val="none"/>
          <w:lang w:eastAsia="zh-CN"/>
        </w:rPr>
        <w:t>签字或个人</w:t>
      </w:r>
      <w:r>
        <w:rPr>
          <w:rFonts w:hint="eastAsia" w:ascii="宋体" w:hAnsi="宋体" w:eastAsia="宋体" w:cs="宋体"/>
          <w:color w:val="auto"/>
          <w:sz w:val="21"/>
          <w:szCs w:val="21"/>
          <w:highlight w:val="none"/>
          <w:lang w:val="en-US" w:eastAsia="zh-CN"/>
        </w:rPr>
        <w:t>CA签章]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pPr>
        <w:pStyle w:val="11"/>
        <w:spacing w:line="300" w:lineRule="exact"/>
        <w:ind w:left="2940" w:leftChars="1400" w:firstLine="630" w:firstLineChars="300"/>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left="420" w:leftChars="0"/>
        <w:jc w:val="center"/>
        <w:textAlignment w:val="auto"/>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pPr>
        <w:pStyle w:val="8"/>
        <w:rPr>
          <w:rFonts w:hint="eastAsia" w:ascii="宋体" w:hAnsi="宋体" w:eastAsia="宋体" w:cs="宋体"/>
          <w:color w:val="auto"/>
          <w:sz w:val="21"/>
          <w:szCs w:val="21"/>
          <w:highlight w:val="none"/>
          <w:u w:val="single"/>
        </w:rPr>
      </w:pPr>
    </w:p>
    <w:p>
      <w:pPr>
        <w:rPr>
          <w:rFonts w:hint="eastAsia" w:ascii="宋体" w:hAnsi="宋体" w:eastAsia="宋体" w:cs="宋体"/>
          <w:color w:val="auto"/>
          <w:sz w:val="21"/>
          <w:szCs w:val="21"/>
          <w:highlight w:val="none"/>
          <w:lang w:val="en-US" w:eastAsia="zh-CN"/>
        </w:rPr>
      </w:pPr>
    </w:p>
    <w:p>
      <w:pPr>
        <w:pStyle w:val="2"/>
        <w:numPr>
          <w:ilvl w:val="0"/>
          <w:numId w:val="0"/>
        </w:numPr>
        <w:rPr>
          <w:rFonts w:hint="eastAsia" w:ascii="宋体" w:hAnsi="宋体" w:eastAsia="宋体" w:cs="宋体"/>
          <w:b/>
          <w:color w:val="auto"/>
          <w:sz w:val="21"/>
          <w:szCs w:val="21"/>
          <w:highlight w:val="none"/>
          <w:lang w:val="en-US" w:eastAsia="zh-CN"/>
        </w:rPr>
      </w:pPr>
      <w:bookmarkStart w:id="2007" w:name="_Toc10529"/>
      <w:bookmarkStart w:id="2008" w:name="_Toc26788"/>
      <w:bookmarkStart w:id="2009" w:name="_Toc21352"/>
      <w:r>
        <w:rPr>
          <w:rFonts w:hint="eastAsia" w:ascii="宋体" w:hAnsi="宋体" w:eastAsia="宋体" w:cs="宋体"/>
          <w:b/>
          <w:color w:val="auto"/>
          <w:sz w:val="21"/>
          <w:szCs w:val="21"/>
          <w:highlight w:val="none"/>
          <w:lang w:val="en-US" w:eastAsia="zh-CN"/>
        </w:rPr>
        <w:t>9.城乡清洁工程渣土清运承诺书（必须提供）。</w:t>
      </w:r>
      <w:bookmarkEnd w:id="2007"/>
      <w:bookmarkEnd w:id="2008"/>
      <w:bookmarkEnd w:id="2009"/>
    </w:p>
    <w:p>
      <w:pPr>
        <w:widowControl w:val="0"/>
        <w:numPr>
          <w:ilvl w:val="0"/>
          <w:numId w:val="0"/>
        </w:numPr>
        <w:jc w:val="both"/>
        <w:rPr>
          <w:rFonts w:hint="eastAsia" w:ascii="宋体" w:hAnsi="宋体" w:eastAsia="宋体" w:cs="宋体"/>
          <w:color w:val="auto"/>
          <w:sz w:val="21"/>
          <w:szCs w:val="21"/>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340" w:lineRule="exact"/>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）其</w:t>
      </w:r>
      <w:r>
        <w:rPr>
          <w:rFonts w:hint="eastAsia" w:ascii="宋体" w:hAnsi="宋体" w:eastAsia="宋体" w:cs="宋体"/>
          <w:b/>
          <w:bCs/>
          <w:color w:val="auto"/>
          <w:sz w:val="21"/>
          <w:szCs w:val="21"/>
          <w:highlight w:val="none"/>
          <w:lang w:eastAsia="zh-CN"/>
        </w:rPr>
        <w:t>他</w:t>
      </w:r>
      <w:r>
        <w:rPr>
          <w:rFonts w:hint="eastAsia" w:ascii="宋体" w:hAnsi="宋体" w:eastAsia="宋体" w:cs="宋体"/>
          <w:b/>
          <w:bCs/>
          <w:color w:val="auto"/>
          <w:sz w:val="21"/>
          <w:szCs w:val="21"/>
          <w:highlight w:val="none"/>
        </w:rPr>
        <w:t>有效证明材料目录</w:t>
      </w:r>
      <w:bookmarkEnd w:id="2004"/>
      <w:bookmarkEnd w:id="2005"/>
      <w:bookmarkEnd w:id="2006"/>
    </w:p>
    <w:p>
      <w:pPr>
        <w:pStyle w:val="25"/>
        <w:rPr>
          <w:rFonts w:hint="eastAsia" w:ascii="宋体" w:hAnsi="宋体" w:eastAsia="宋体" w:cs="宋体"/>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lang w:eastAsia="zh-CN"/>
        </w:rPr>
        <w:t>20</w:t>
      </w:r>
      <w:r>
        <w:rPr>
          <w:rFonts w:hint="eastAsia" w:ascii="宋体" w:hAnsi="宋体" w:eastAsia="宋体" w:cs="宋体"/>
          <w:color w:val="auto"/>
          <w:sz w:val="21"/>
          <w:szCs w:val="21"/>
          <w:highlight w:val="none"/>
          <w:lang w:val="en-US" w:eastAsia="zh-CN"/>
        </w:rPr>
        <w:t>2</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年1月1日</w:t>
      </w:r>
      <w:r>
        <w:rPr>
          <w:rFonts w:hint="eastAsia" w:ascii="宋体" w:hAnsi="宋体" w:eastAsia="宋体" w:cs="宋体"/>
          <w:color w:val="auto"/>
          <w:sz w:val="21"/>
          <w:szCs w:val="21"/>
          <w:highlight w:val="none"/>
          <w:lang w:eastAsia="zh-CN"/>
        </w:rPr>
        <w:t>以来</w:t>
      </w:r>
      <w:r>
        <w:rPr>
          <w:rFonts w:hint="eastAsia" w:ascii="宋体" w:hAnsi="宋体" w:eastAsia="宋体" w:cs="宋体"/>
          <w:color w:val="auto"/>
          <w:sz w:val="21"/>
          <w:szCs w:val="21"/>
          <w:highlight w:val="none"/>
          <w:lang w:eastAsia="zh-CN"/>
        </w:rPr>
        <w:t>具有与本工程同类项目</w:t>
      </w:r>
      <w:r>
        <w:rPr>
          <w:rFonts w:hint="eastAsia" w:ascii="宋体" w:hAnsi="宋体" w:eastAsia="宋体" w:cs="宋体"/>
          <w:color w:val="auto"/>
          <w:sz w:val="21"/>
          <w:szCs w:val="21"/>
          <w:highlight w:val="none"/>
        </w:rPr>
        <w:t>业绩相关证明材料（</w:t>
      </w:r>
      <w:r>
        <w:rPr>
          <w:rFonts w:hint="eastAsia" w:ascii="宋体" w:hAnsi="宋体" w:eastAsia="宋体" w:cs="宋体"/>
          <w:color w:val="auto"/>
          <w:sz w:val="21"/>
          <w:szCs w:val="21"/>
          <w:highlight w:val="none"/>
        </w:rPr>
        <w:t>无不良记录，以中标、成交通知书或签订的合同</w:t>
      </w:r>
      <w:r>
        <w:rPr>
          <w:rFonts w:hint="eastAsia" w:ascii="宋体" w:hAnsi="宋体" w:cs="宋体"/>
          <w:color w:val="auto"/>
          <w:sz w:val="21"/>
          <w:szCs w:val="21"/>
          <w:highlight w:val="none"/>
          <w:lang w:eastAsia="zh-CN"/>
        </w:rPr>
        <w:t>复印件</w:t>
      </w:r>
      <w:r>
        <w:rPr>
          <w:rFonts w:hint="eastAsia" w:ascii="宋体" w:hAnsi="宋体" w:eastAsia="宋体" w:cs="宋体"/>
          <w:color w:val="auto"/>
          <w:sz w:val="21"/>
          <w:szCs w:val="21"/>
          <w:highlight w:val="none"/>
        </w:rPr>
        <w:t>为准，并能清晰反映</w:t>
      </w:r>
      <w:r>
        <w:rPr>
          <w:rFonts w:hint="eastAsia" w:ascii="宋体" w:hAnsi="宋体" w:eastAsia="宋体" w:cs="宋体"/>
          <w:color w:val="auto"/>
          <w:sz w:val="21"/>
          <w:szCs w:val="21"/>
          <w:highlight w:val="none"/>
          <w:lang w:eastAsia="zh-CN"/>
        </w:rPr>
        <w:t>项目</w:t>
      </w:r>
      <w:r>
        <w:rPr>
          <w:rFonts w:hint="eastAsia" w:ascii="宋体" w:hAnsi="宋体" w:eastAsia="宋体" w:cs="宋体"/>
          <w:color w:val="auto"/>
          <w:sz w:val="21"/>
          <w:szCs w:val="21"/>
          <w:highlight w:val="none"/>
        </w:rPr>
        <w:t>的名称、</w:t>
      </w:r>
      <w:r>
        <w:rPr>
          <w:rFonts w:hint="eastAsia" w:ascii="宋体" w:hAnsi="宋体" w:eastAsia="宋体" w:cs="宋体"/>
          <w:color w:val="auto"/>
          <w:sz w:val="21"/>
          <w:szCs w:val="21"/>
          <w:highlight w:val="none"/>
          <w:lang w:eastAsia="zh-CN"/>
        </w:rPr>
        <w:t>采购内容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金额</w:t>
      </w:r>
      <w:r>
        <w:rPr>
          <w:rFonts w:hint="eastAsia" w:ascii="宋体" w:hAnsi="宋体" w:eastAsia="宋体" w:cs="宋体"/>
          <w:color w:val="auto"/>
          <w:sz w:val="21"/>
          <w:szCs w:val="21"/>
          <w:highlight w:val="none"/>
          <w:lang w:eastAsia="zh-CN"/>
        </w:rPr>
        <w:t>、采购时间</w:t>
      </w: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（如有，请提供）；</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供应商可结合本项目的评审办法视自身情况自行提交其它相关证明材料。</w:t>
      </w:r>
    </w:p>
    <w:p>
      <w:pPr>
        <w:spacing w:line="360" w:lineRule="auto"/>
        <w:ind w:firstLine="420" w:firstLineChars="200"/>
        <w:rPr>
          <w:rFonts w:hint="eastAsia" w:ascii="宋体" w:hAnsi="宋体" w:eastAsia="宋体" w:cs="宋体"/>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26"/>
        <w:rPr>
          <w:rFonts w:hint="eastAsia" w:ascii="宋体" w:hAnsi="宋体" w:eastAsia="宋体" w:cs="宋体"/>
          <w:b/>
          <w:bCs/>
          <w:color w:val="auto"/>
          <w:sz w:val="21"/>
          <w:szCs w:val="21"/>
          <w:highlight w:val="none"/>
        </w:rPr>
      </w:pPr>
    </w:p>
    <w:p>
      <w:pPr>
        <w:pStyle w:val="8"/>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ascii="宋体" w:hAnsi="宋体" w:eastAsia="宋体" w:cs="宋体"/>
          <w:b/>
          <w:bCs/>
          <w:iCs/>
          <w:color w:val="auto"/>
          <w:kern w:val="2"/>
          <w:sz w:val="21"/>
          <w:szCs w:val="21"/>
          <w:highlight w:val="none"/>
          <w:lang w:val="en-US" w:eastAsia="zh-CN" w:bidi="ar-SA"/>
        </w:rPr>
      </w:pPr>
    </w:p>
    <w:p>
      <w:pPr>
        <w:rPr>
          <w:rFonts w:hint="eastAsia" w:ascii="宋体" w:hAnsi="宋体" w:eastAsia="宋体" w:cs="宋体"/>
          <w:b/>
          <w:bCs/>
          <w:iCs/>
          <w:color w:val="auto"/>
          <w:kern w:val="2"/>
          <w:sz w:val="21"/>
          <w:szCs w:val="21"/>
          <w:highlight w:val="none"/>
          <w:lang w:val="en-US" w:eastAsia="zh-CN" w:bidi="ar-SA"/>
        </w:rPr>
      </w:pPr>
    </w:p>
    <w:p>
      <w:pPr>
        <w:pStyle w:val="8"/>
        <w:rPr>
          <w:rFonts w:hint="eastAsia"/>
          <w:color w:val="auto"/>
          <w:highlight w:val="none"/>
          <w:lang w:val="en-US" w:eastAsia="zh-CN"/>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r>
        <w:rPr>
          <w:rFonts w:hint="eastAsia" w:ascii="宋体" w:hAnsi="宋体" w:eastAsia="宋体" w:cs="宋体"/>
          <w:b/>
          <w:bCs/>
          <w:iCs/>
          <w:color w:val="auto"/>
          <w:kern w:val="2"/>
          <w:sz w:val="21"/>
          <w:szCs w:val="21"/>
          <w:highlight w:val="none"/>
          <w:lang w:val="en-US" w:eastAsia="zh-CN" w:bidi="ar-SA"/>
        </w:rPr>
        <w:t>1.供应商</w:t>
      </w:r>
      <w:r>
        <w:rPr>
          <w:rFonts w:hint="eastAsia" w:ascii="宋体" w:hAnsi="宋体" w:eastAsia="宋体" w:cs="宋体"/>
          <w:b/>
          <w:bCs/>
          <w:iCs/>
          <w:color w:val="auto"/>
          <w:kern w:val="2"/>
          <w:sz w:val="21"/>
          <w:szCs w:val="21"/>
          <w:highlight w:val="none"/>
          <w:lang w:val="en-US" w:eastAsia="zh-CN" w:bidi="ar-SA"/>
        </w:rPr>
        <w:t>2021年1月1日</w:t>
      </w:r>
      <w:r>
        <w:rPr>
          <w:rFonts w:hint="eastAsia" w:ascii="宋体" w:hAnsi="宋体" w:eastAsia="宋体" w:cs="宋体"/>
          <w:b/>
          <w:bCs/>
          <w:iCs/>
          <w:color w:val="auto"/>
          <w:kern w:val="2"/>
          <w:sz w:val="21"/>
          <w:szCs w:val="21"/>
          <w:highlight w:val="none"/>
          <w:lang w:val="en-US" w:eastAsia="zh-CN" w:bidi="ar-SA"/>
        </w:rPr>
        <w:t>以来具有与本工程同类项目业绩相关证明材料（无不良记录，以中标、成交通知书或签订的合同复印件为准，并能清晰反映项目的名称、采购内容、采购金额、采购时间）（如有，请提供）</w:t>
      </w:r>
    </w:p>
    <w:p>
      <w:pPr>
        <w:spacing w:line="240" w:lineRule="auto"/>
        <w:rPr>
          <w:rFonts w:hint="eastAsia" w:ascii="宋体" w:hAnsi="宋体" w:eastAsia="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p>
    <w:p>
      <w:pPr>
        <w:pStyle w:val="8"/>
        <w:rPr>
          <w:rFonts w:hint="eastAsia"/>
          <w:color w:val="auto"/>
          <w:highlight w:val="none"/>
          <w:lang w:val="en-US" w:eastAsia="zh-CN"/>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rPr>
          <w:rFonts w:hint="eastAsia" w:ascii="宋体" w:hAnsi="宋体" w:cs="宋体"/>
          <w:b/>
          <w:bCs/>
          <w:iCs/>
          <w:color w:val="auto"/>
          <w:kern w:val="2"/>
          <w:sz w:val="21"/>
          <w:szCs w:val="21"/>
          <w:highlight w:val="none"/>
          <w:lang w:val="en-US" w:eastAsia="zh-CN" w:bidi="ar-SA"/>
        </w:rPr>
      </w:pPr>
    </w:p>
    <w:p>
      <w:pPr>
        <w:spacing w:line="240" w:lineRule="auto"/>
        <w:rPr>
          <w:rFonts w:hint="eastAsia" w:ascii="宋体" w:hAnsi="宋体" w:eastAsia="宋体" w:cs="宋体"/>
          <w:b/>
          <w:bCs/>
          <w:iCs/>
          <w:color w:val="auto"/>
          <w:kern w:val="2"/>
          <w:sz w:val="21"/>
          <w:szCs w:val="21"/>
          <w:highlight w:val="none"/>
          <w:lang w:val="en-US" w:eastAsia="zh-CN" w:bidi="ar-SA"/>
        </w:rPr>
      </w:pPr>
      <w:r>
        <w:rPr>
          <w:rFonts w:hint="eastAsia" w:ascii="宋体" w:hAnsi="宋体" w:cs="宋体"/>
          <w:b/>
          <w:bCs/>
          <w:iCs/>
          <w:color w:val="auto"/>
          <w:kern w:val="2"/>
          <w:sz w:val="21"/>
          <w:szCs w:val="21"/>
          <w:highlight w:val="none"/>
          <w:lang w:val="en-US" w:eastAsia="zh-CN" w:bidi="ar-SA"/>
        </w:rPr>
        <w:t>2</w:t>
      </w:r>
      <w:r>
        <w:rPr>
          <w:rFonts w:hint="eastAsia" w:ascii="宋体" w:hAnsi="宋体" w:eastAsia="宋体" w:cs="宋体"/>
          <w:b/>
          <w:bCs/>
          <w:iCs/>
          <w:color w:val="auto"/>
          <w:kern w:val="2"/>
          <w:sz w:val="21"/>
          <w:szCs w:val="21"/>
          <w:highlight w:val="none"/>
          <w:lang w:val="en-US" w:eastAsia="zh-CN" w:bidi="ar-SA"/>
        </w:rPr>
        <w:t>.供应商可结合本项目自身情况自行提交其它相关证明材料。</w:t>
      </w:r>
    </w:p>
    <w:p>
      <w:pPr>
        <w:bidi w:val="0"/>
        <w:rPr>
          <w:rFonts w:hint="eastAsia" w:ascii="宋体" w:hAnsi="宋体" w:eastAsia="宋体" w:cs="宋体"/>
          <w:color w:val="auto"/>
          <w:sz w:val="21"/>
          <w:szCs w:val="21"/>
          <w:highlight w:val="none"/>
          <w:lang w:val="en-US" w:eastAsia="zh-CN"/>
        </w:rPr>
      </w:pPr>
    </w:p>
    <w:p>
      <w:pPr>
        <w:rPr>
          <w:rFonts w:hint="eastAsia" w:ascii="宋体" w:hAnsi="宋体" w:eastAsia="宋体" w:cs="宋体"/>
          <w:color w:val="auto"/>
          <w:sz w:val="21"/>
          <w:szCs w:val="21"/>
          <w:highlight w:val="none"/>
          <w:lang w:val="en-US" w:eastAsia="zh-CN"/>
        </w:rPr>
      </w:pPr>
    </w:p>
    <w:p>
      <w:pPr>
        <w:pStyle w:val="3"/>
        <w:spacing w:line="240" w:lineRule="auto"/>
        <w:jc w:val="center"/>
        <w:rPr>
          <w:rFonts w:hint="eastAsia" w:ascii="宋体" w:hAnsi="宋体" w:eastAsia="宋体" w:cs="宋体"/>
          <w:color w:val="auto"/>
          <w:sz w:val="21"/>
          <w:szCs w:val="21"/>
          <w:highlight w:val="none"/>
        </w:rPr>
      </w:pPr>
      <w:bookmarkStart w:id="2010" w:name="_Toc16390"/>
      <w:bookmarkStart w:id="2011" w:name="_Toc18780"/>
      <w:bookmarkStart w:id="2012" w:name="_Toc6973"/>
      <w:bookmarkStart w:id="2013" w:name="_Toc12385"/>
      <w:bookmarkStart w:id="2014" w:name="_Toc2237"/>
      <w:bookmarkStart w:id="2015" w:name="_Toc22545"/>
      <w:bookmarkStart w:id="2016" w:name="_Toc1637952"/>
    </w:p>
    <w:p>
      <w:pPr>
        <w:pStyle w:val="3"/>
        <w:spacing w:line="240" w:lineRule="auto"/>
        <w:jc w:val="center"/>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ascii="宋体" w:hAnsi="宋体" w:eastAsia="宋体" w:cs="宋体"/>
          <w:color w:val="auto"/>
          <w:sz w:val="21"/>
          <w:szCs w:val="21"/>
          <w:highlight w:val="none"/>
        </w:rPr>
      </w:pPr>
    </w:p>
    <w:p>
      <w:pPr>
        <w:pStyle w:val="8"/>
        <w:rPr>
          <w:rFonts w:hint="eastAsia" w:ascii="宋体" w:hAnsi="宋体" w:eastAsia="宋体" w:cs="宋体"/>
          <w:color w:val="auto"/>
          <w:sz w:val="21"/>
          <w:szCs w:val="21"/>
          <w:highlight w:val="none"/>
        </w:rPr>
      </w:pPr>
    </w:p>
    <w:p>
      <w:pPr>
        <w:rPr>
          <w:rFonts w:hint="eastAsia"/>
          <w:color w:val="auto"/>
          <w:highlight w:val="none"/>
        </w:rPr>
      </w:pPr>
    </w:p>
    <w:p>
      <w:pPr>
        <w:pStyle w:val="3"/>
        <w:spacing w:line="240" w:lineRule="auto"/>
        <w:jc w:val="center"/>
        <w:rPr>
          <w:rFonts w:hint="eastAsia" w:ascii="宋体" w:hAnsi="宋体" w:eastAsia="宋体" w:cs="宋体"/>
          <w:color w:val="auto"/>
          <w:sz w:val="24"/>
          <w:szCs w:val="24"/>
          <w:highlight w:val="none"/>
        </w:rPr>
      </w:pPr>
      <w:bookmarkStart w:id="2017" w:name="_Toc15967"/>
    </w:p>
    <w:p>
      <w:pPr>
        <w:pStyle w:val="3"/>
        <w:spacing w:line="240" w:lineRule="auto"/>
        <w:jc w:val="center"/>
        <w:rPr>
          <w:rFonts w:hint="eastAsia" w:ascii="宋体" w:hAnsi="宋体" w:eastAsia="宋体" w:cs="宋体"/>
          <w:color w:val="auto"/>
          <w:sz w:val="24"/>
          <w:szCs w:val="24"/>
          <w:highlight w:val="none"/>
        </w:rPr>
      </w:pPr>
    </w:p>
    <w:p>
      <w:pPr>
        <w:pStyle w:val="3"/>
        <w:spacing w:line="240" w:lineRule="auto"/>
        <w:jc w:val="center"/>
        <w:rPr>
          <w:rFonts w:hint="eastAsia" w:ascii="宋体" w:hAnsi="宋体" w:eastAsia="宋体" w:cs="宋体"/>
          <w:color w:val="auto"/>
          <w:sz w:val="24"/>
          <w:szCs w:val="24"/>
          <w:highlight w:val="none"/>
        </w:rPr>
      </w:pPr>
    </w:p>
    <w:p>
      <w:pPr>
        <w:pStyle w:val="3"/>
        <w:spacing w:line="240" w:lineRule="auto"/>
        <w:jc w:val="center"/>
        <w:rPr>
          <w:rFonts w:hint="eastAsia" w:ascii="宋体" w:hAnsi="宋体" w:eastAsia="宋体" w:cs="宋体"/>
          <w:color w:val="auto"/>
          <w:sz w:val="24"/>
          <w:szCs w:val="24"/>
          <w:highlight w:val="none"/>
        </w:rPr>
      </w:pPr>
    </w:p>
    <w:p>
      <w:pPr>
        <w:pStyle w:val="3"/>
        <w:spacing w:line="240" w:lineRule="auto"/>
        <w:jc w:val="center"/>
        <w:rPr>
          <w:rFonts w:hint="eastAsia" w:ascii="宋体" w:hAnsi="宋体" w:eastAsia="宋体" w:cs="宋体"/>
          <w:color w:val="auto"/>
          <w:sz w:val="24"/>
          <w:szCs w:val="24"/>
          <w:highlight w:val="none"/>
        </w:rPr>
      </w:pPr>
    </w:p>
    <w:p>
      <w:pPr>
        <w:pStyle w:val="3"/>
        <w:spacing w:line="240" w:lineRule="auto"/>
        <w:jc w:val="center"/>
        <w:rPr>
          <w:rFonts w:hint="eastAsia" w:ascii="宋体" w:hAnsi="宋体" w:eastAsia="宋体" w:cs="宋体"/>
          <w:color w:val="auto"/>
          <w:sz w:val="24"/>
          <w:szCs w:val="24"/>
          <w:highlight w:val="none"/>
        </w:rPr>
      </w:pPr>
    </w:p>
    <w:p>
      <w:pPr>
        <w:pStyle w:val="3"/>
        <w:spacing w:line="24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图纸</w:t>
      </w:r>
      <w:bookmarkEnd w:id="2010"/>
      <w:bookmarkEnd w:id="2011"/>
      <w:bookmarkEnd w:id="2012"/>
      <w:bookmarkEnd w:id="2013"/>
      <w:bookmarkEnd w:id="2014"/>
      <w:bookmarkEnd w:id="2015"/>
      <w:bookmarkEnd w:id="2017"/>
    </w:p>
    <w:bookmarkEnd w:id="2016"/>
    <w:p>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另附</w:t>
      </w:r>
    </w:p>
    <w:sectPr>
      <w:headerReference r:id="rId11" w:type="default"/>
      <w:footerReference r:id="rId12" w:type="default"/>
      <w:pgSz w:w="11910" w:h="16850"/>
      <w:pgMar w:top="1417" w:right="1417" w:bottom="1417" w:left="1417" w:header="876" w:footer="86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fldChar w:fldCharType="begin"/>
    </w:r>
    <w:r>
      <w:rPr>
        <w:rStyle w:val="22"/>
      </w:rPr>
      <w:instrText xml:space="preserve">PAGE  </w:instrTex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1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22</w:t>
                    </w:r>
                    <w:r>
                      <w:fldChar w:fldCharType="end"/>
                    </w:r>
                  </w:p>
                </w:txbxContent>
              </v:textbox>
            </v:shape>
          </w:pict>
        </mc:Fallback>
      </mc:AlternateContent>
    </w:r>
    <w:r>
      <w:rPr>
        <w:rFonts w:ascii="Times New Roman" w:hAnsi="Times New Roman" w:eastAsia="Times New Roman" w:cs="Times New Roman"/>
        <w:spacing w:val="-2"/>
        <w:sz w:val="18"/>
        <w:szCs w:val="18"/>
      </w:rPr>
      <w:t>24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63</w:t>
                    </w:r>
                    <w:r>
                      <w:fldChar w:fldCharType="end"/>
                    </w:r>
                  </w:p>
                </w:txbxContent>
              </v:textbox>
            </v:shape>
          </w:pict>
        </mc:Fallback>
      </mc:AlternateContent>
    </w:r>
  </w:p>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ind w:firstLine="0" w:firstLineChars="0"/>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C1EFA"/>
    <w:multiLevelType w:val="singleLevel"/>
    <w:tmpl w:val="B88C1EFA"/>
    <w:lvl w:ilvl="0" w:tentative="0">
      <w:start w:val="3"/>
      <w:numFmt w:val="chineseCounting"/>
      <w:suff w:val="nothing"/>
      <w:lvlText w:val="%1、"/>
      <w:lvlJc w:val="left"/>
      <w:rPr>
        <w:rFonts w:hint="eastAsia"/>
      </w:rPr>
    </w:lvl>
  </w:abstractNum>
  <w:abstractNum w:abstractNumId="1">
    <w:nsid w:val="DD2484BF"/>
    <w:multiLevelType w:val="singleLevel"/>
    <w:tmpl w:val="DD2484BF"/>
    <w:lvl w:ilvl="0" w:tentative="0">
      <w:start w:val="8"/>
      <w:numFmt w:val="chineseCounting"/>
      <w:suff w:val="nothing"/>
      <w:lvlText w:val="%1、"/>
      <w:lvlJc w:val="left"/>
      <w:rPr>
        <w:rFonts w:hint="eastAsia"/>
      </w:rPr>
    </w:lvl>
  </w:abstractNum>
  <w:abstractNum w:abstractNumId="2">
    <w:nsid w:val="00000003"/>
    <w:multiLevelType w:val="singleLevel"/>
    <w:tmpl w:val="00000003"/>
    <w:lvl w:ilvl="0" w:tentative="0">
      <w:start w:val="1"/>
      <w:numFmt w:val="chineseCounting"/>
      <w:suff w:val="space"/>
      <w:lvlText w:val="第%1部分"/>
      <w:lvlJc w:val="left"/>
      <w:rPr>
        <w:rFonts w:hint="eastAsia"/>
      </w:rPr>
    </w:lvl>
  </w:abstractNum>
  <w:abstractNum w:abstractNumId="3">
    <w:nsid w:val="00000005"/>
    <w:multiLevelType w:val="multilevel"/>
    <w:tmpl w:val="00000005"/>
    <w:lvl w:ilvl="0" w:tentative="0">
      <w:start w:val="1"/>
      <w:numFmt w:val="chineseCounting"/>
      <w:suff w:val="nothing"/>
      <w:lvlText w:val="第%1章　"/>
      <w:lvlJc w:val="left"/>
      <w:pPr>
        <w:ind w:left="0" w:firstLine="402"/>
      </w:pPr>
      <w:rPr>
        <w:rFonts w:hint="eastAsia"/>
      </w:rPr>
    </w:lvl>
    <w:lvl w:ilvl="1" w:tentative="0">
      <w:start w:val="1"/>
      <w:numFmt w:val="chineseCounting"/>
      <w:suff w:val="nothing"/>
      <w:lvlText w:val="第%2节　"/>
      <w:lvlJc w:val="left"/>
      <w:pPr>
        <w:ind w:left="0" w:firstLine="402"/>
      </w:pPr>
      <w:rPr>
        <w:rFonts w:hint="eastAsia"/>
      </w:rPr>
    </w:lvl>
    <w:lvl w:ilvl="2" w:tentative="0">
      <w:start w:val="1"/>
      <w:numFmt w:val="chineseCounting"/>
      <w:suff w:val="nothing"/>
      <w:lvlText w:val="第%3条　"/>
      <w:lvlJc w:val="left"/>
      <w:pPr>
        <w:ind w:left="0" w:firstLine="402"/>
      </w:pPr>
      <w:rPr>
        <w:rFonts w:hint="eastAsia"/>
      </w:rPr>
    </w:lvl>
    <w:lvl w:ilvl="3" w:tentative="0">
      <w:start w:val="1"/>
      <w:numFmt w:val="chineseCounting"/>
      <w:suff w:val="nothing"/>
      <w:lvlText w:val="（%4）"/>
      <w:lvlJc w:val="left"/>
      <w:pPr>
        <w:ind w:left="0" w:firstLine="402"/>
      </w:pPr>
      <w:rPr>
        <w:rFonts w:hint="eastAsia"/>
      </w:rPr>
    </w:lvl>
    <w:lvl w:ilvl="4" w:tentative="0">
      <w:start w:val="1"/>
      <w:numFmt w:val="decimal"/>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decimalEnclosedCircleChinese"/>
      <w:suff w:val="nothing"/>
      <w:lvlText w:val="%7 "/>
      <w:lvlJc w:val="left"/>
      <w:pPr>
        <w:ind w:left="0" w:firstLine="402"/>
      </w:pPr>
      <w:rPr>
        <w:rFonts w:hint="eastAsia"/>
      </w:rPr>
    </w:lvl>
    <w:lvl w:ilvl="7" w:tentative="0">
      <w:start w:val="1"/>
      <w:numFmt w:val="decimal"/>
      <w:suff w:val="nothing"/>
      <w:lvlText w:val="%8）"/>
      <w:lvlJc w:val="left"/>
      <w:pPr>
        <w:ind w:left="0" w:firstLine="402"/>
      </w:pPr>
      <w:rPr>
        <w:rFonts w:hint="eastAsia"/>
      </w:rPr>
    </w:lvl>
    <w:lvl w:ilvl="8" w:tentative="0">
      <w:start w:val="1"/>
      <w:numFmt w:val="lowerLetter"/>
      <w:suff w:val="nothing"/>
      <w:lvlText w:val="%9．"/>
      <w:lvlJc w:val="left"/>
      <w:pPr>
        <w:ind w:left="0" w:firstLine="402"/>
      </w:pPr>
      <w:rPr>
        <w:rFonts w:hint="eastAsia"/>
      </w:rPr>
    </w:lvl>
  </w:abstractNum>
  <w:abstractNum w:abstractNumId="4">
    <w:nsid w:val="00000008"/>
    <w:multiLevelType w:val="singleLevel"/>
    <w:tmpl w:val="00000008"/>
    <w:lvl w:ilvl="0" w:tentative="0">
      <w:start w:val="26"/>
      <w:numFmt w:val="decimal"/>
      <w:suff w:val="space"/>
      <w:lvlText w:val="%1."/>
      <w:lvlJc w:val="left"/>
    </w:lvl>
  </w:abstractNum>
  <w:abstractNum w:abstractNumId="5">
    <w:nsid w:val="00000009"/>
    <w:multiLevelType w:val="singleLevel"/>
    <w:tmpl w:val="00000009"/>
    <w:lvl w:ilvl="0" w:tentative="0">
      <w:start w:val="4"/>
      <w:numFmt w:val="decimal"/>
      <w:suff w:val="nothing"/>
      <w:lvlText w:val="（%1）"/>
      <w:lvlJc w:val="left"/>
    </w:lvl>
  </w:abstractNum>
  <w:abstractNum w:abstractNumId="6">
    <w:nsid w:val="0000000A"/>
    <w:multiLevelType w:val="singleLevel"/>
    <w:tmpl w:val="0000000A"/>
    <w:lvl w:ilvl="0" w:tentative="0">
      <w:start w:val="2"/>
      <w:numFmt w:val="decimal"/>
      <w:suff w:val="nothing"/>
      <w:lvlText w:val="（%1）"/>
      <w:lvlJc w:val="left"/>
    </w:lvl>
  </w:abstractNum>
  <w:abstractNum w:abstractNumId="7">
    <w:nsid w:val="0000000B"/>
    <w:multiLevelType w:val="singleLevel"/>
    <w:tmpl w:val="0000000B"/>
    <w:lvl w:ilvl="0" w:tentative="0">
      <w:start w:val="8"/>
      <w:numFmt w:val="decimal"/>
      <w:suff w:val="space"/>
      <w:lvlText w:val="%1."/>
      <w:lvlJc w:val="left"/>
    </w:lvl>
  </w:abstractNum>
  <w:abstractNum w:abstractNumId="8">
    <w:nsid w:val="34D014F5"/>
    <w:multiLevelType w:val="singleLevel"/>
    <w:tmpl w:val="34D014F5"/>
    <w:lvl w:ilvl="0" w:tentative="0">
      <w:start w:val="2"/>
      <w:numFmt w:val="decimal"/>
      <w:suff w:val="nothing"/>
      <w:lvlText w:val="%1、"/>
      <w:lvlJc w:val="left"/>
    </w:lvl>
  </w:abstractNum>
  <w:abstractNum w:abstractNumId="9">
    <w:nsid w:val="45209809"/>
    <w:multiLevelType w:val="singleLevel"/>
    <w:tmpl w:val="45209809"/>
    <w:lvl w:ilvl="0" w:tentative="0">
      <w:start w:val="5"/>
      <w:numFmt w:val="decimal"/>
      <w:suff w:val="space"/>
      <w:lvlText w:val="%1."/>
      <w:lvlJc w:val="left"/>
    </w:lvl>
  </w:abstractNum>
  <w:num w:numId="1">
    <w:abstractNumId w:val="3"/>
  </w:num>
  <w:num w:numId="2">
    <w:abstractNumId w:val="1"/>
  </w:num>
  <w:num w:numId="3">
    <w:abstractNumId w:val="9"/>
  </w:num>
  <w:num w:numId="4">
    <w:abstractNumId w:val="4"/>
  </w:num>
  <w:num w:numId="5">
    <w:abstractNumId w:val="8"/>
  </w:num>
  <w:num w:numId="6">
    <w:abstractNumId w:val="0"/>
  </w:num>
  <w:num w:numId="7">
    <w:abstractNumId w:val="2"/>
  </w:num>
  <w:num w:numId="8">
    <w:abstractNumId w:val="5"/>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djNzNjOGM3NzJmZDFkMTNlNDE0ZTJjMzZkNDRhNmQifQ=="/>
    <w:docVar w:name="KSO_WPS_MARK_KEY" w:val="a565c4c6-cdbb-421b-a993-67cfb3d4f25f"/>
  </w:docVars>
  <w:rsids>
    <w:rsidRoot w:val="5EF00040"/>
    <w:rsid w:val="000507AF"/>
    <w:rsid w:val="00455F50"/>
    <w:rsid w:val="00733E26"/>
    <w:rsid w:val="00757B9E"/>
    <w:rsid w:val="00813A17"/>
    <w:rsid w:val="00BA37FE"/>
    <w:rsid w:val="010A478A"/>
    <w:rsid w:val="010D1AC6"/>
    <w:rsid w:val="012832B8"/>
    <w:rsid w:val="0183453D"/>
    <w:rsid w:val="01987FE8"/>
    <w:rsid w:val="01E574A6"/>
    <w:rsid w:val="02013399"/>
    <w:rsid w:val="02A9590D"/>
    <w:rsid w:val="034B3E47"/>
    <w:rsid w:val="038E67AE"/>
    <w:rsid w:val="03A04F32"/>
    <w:rsid w:val="03C22016"/>
    <w:rsid w:val="03EB630D"/>
    <w:rsid w:val="040000C7"/>
    <w:rsid w:val="040A684F"/>
    <w:rsid w:val="046B508B"/>
    <w:rsid w:val="04DE21B6"/>
    <w:rsid w:val="04E723E0"/>
    <w:rsid w:val="05234E03"/>
    <w:rsid w:val="05A36F5B"/>
    <w:rsid w:val="05F15F19"/>
    <w:rsid w:val="066F5090"/>
    <w:rsid w:val="068D0299"/>
    <w:rsid w:val="06BD404D"/>
    <w:rsid w:val="06ED3844"/>
    <w:rsid w:val="07153E89"/>
    <w:rsid w:val="076B7C79"/>
    <w:rsid w:val="0772074A"/>
    <w:rsid w:val="07893C2B"/>
    <w:rsid w:val="08A234FA"/>
    <w:rsid w:val="08B51B6E"/>
    <w:rsid w:val="08BE3EF5"/>
    <w:rsid w:val="08F31FA8"/>
    <w:rsid w:val="090C523D"/>
    <w:rsid w:val="092E1232"/>
    <w:rsid w:val="092E2FE0"/>
    <w:rsid w:val="09997BB9"/>
    <w:rsid w:val="0A74381B"/>
    <w:rsid w:val="0B2840D1"/>
    <w:rsid w:val="0B2E3105"/>
    <w:rsid w:val="0B3222C4"/>
    <w:rsid w:val="0B770C6E"/>
    <w:rsid w:val="0BA15CEB"/>
    <w:rsid w:val="0BCF7E8A"/>
    <w:rsid w:val="0BD40DA4"/>
    <w:rsid w:val="0C1B382B"/>
    <w:rsid w:val="0C630709"/>
    <w:rsid w:val="0D584ACF"/>
    <w:rsid w:val="0D896876"/>
    <w:rsid w:val="0D996408"/>
    <w:rsid w:val="0DCB34F3"/>
    <w:rsid w:val="0EAF2A15"/>
    <w:rsid w:val="0EBA46A3"/>
    <w:rsid w:val="0EE83C31"/>
    <w:rsid w:val="0F2904D1"/>
    <w:rsid w:val="0F36499C"/>
    <w:rsid w:val="0F5C492A"/>
    <w:rsid w:val="0F733B5B"/>
    <w:rsid w:val="0FC95811"/>
    <w:rsid w:val="0FD42EAB"/>
    <w:rsid w:val="102D7ECC"/>
    <w:rsid w:val="105510DD"/>
    <w:rsid w:val="106A1193"/>
    <w:rsid w:val="10843F90"/>
    <w:rsid w:val="109776BD"/>
    <w:rsid w:val="11F62D5C"/>
    <w:rsid w:val="122B4561"/>
    <w:rsid w:val="1238629D"/>
    <w:rsid w:val="12552003"/>
    <w:rsid w:val="126B3346"/>
    <w:rsid w:val="12AC01B1"/>
    <w:rsid w:val="13960100"/>
    <w:rsid w:val="142B4CEC"/>
    <w:rsid w:val="149E2DF8"/>
    <w:rsid w:val="14FF3F1F"/>
    <w:rsid w:val="1504385E"/>
    <w:rsid w:val="154F67B8"/>
    <w:rsid w:val="156264EB"/>
    <w:rsid w:val="1565422D"/>
    <w:rsid w:val="15935560"/>
    <w:rsid w:val="15BA6327"/>
    <w:rsid w:val="15FD7FC2"/>
    <w:rsid w:val="16573B76"/>
    <w:rsid w:val="169150FA"/>
    <w:rsid w:val="16A6065A"/>
    <w:rsid w:val="16FA5506"/>
    <w:rsid w:val="171C00F0"/>
    <w:rsid w:val="172F3566"/>
    <w:rsid w:val="176D18F5"/>
    <w:rsid w:val="17992095"/>
    <w:rsid w:val="179A6980"/>
    <w:rsid w:val="187355C6"/>
    <w:rsid w:val="18736C61"/>
    <w:rsid w:val="18770500"/>
    <w:rsid w:val="18AC0FBE"/>
    <w:rsid w:val="191D44A7"/>
    <w:rsid w:val="19257911"/>
    <w:rsid w:val="194C7917"/>
    <w:rsid w:val="19546C0C"/>
    <w:rsid w:val="19617762"/>
    <w:rsid w:val="19C37D1A"/>
    <w:rsid w:val="1A30271F"/>
    <w:rsid w:val="1A8B2040"/>
    <w:rsid w:val="1A930EF5"/>
    <w:rsid w:val="1A98475D"/>
    <w:rsid w:val="1A9A2DBB"/>
    <w:rsid w:val="1AE35E18"/>
    <w:rsid w:val="1B09565B"/>
    <w:rsid w:val="1B9B4505"/>
    <w:rsid w:val="1BA809D0"/>
    <w:rsid w:val="1C464130"/>
    <w:rsid w:val="1C8541A0"/>
    <w:rsid w:val="1E330A0C"/>
    <w:rsid w:val="1EBD0C36"/>
    <w:rsid w:val="1EC43D73"/>
    <w:rsid w:val="1ECD4AB3"/>
    <w:rsid w:val="1ED52081"/>
    <w:rsid w:val="1F5570C1"/>
    <w:rsid w:val="1FF754EA"/>
    <w:rsid w:val="205D25EC"/>
    <w:rsid w:val="213827F6"/>
    <w:rsid w:val="217A0AD8"/>
    <w:rsid w:val="21A63C04"/>
    <w:rsid w:val="23503E27"/>
    <w:rsid w:val="23627FFE"/>
    <w:rsid w:val="237328F7"/>
    <w:rsid w:val="23931F66"/>
    <w:rsid w:val="239F6AF1"/>
    <w:rsid w:val="241E3F25"/>
    <w:rsid w:val="246A0F18"/>
    <w:rsid w:val="253F23A5"/>
    <w:rsid w:val="25534FFB"/>
    <w:rsid w:val="258601E0"/>
    <w:rsid w:val="25A2609B"/>
    <w:rsid w:val="25C24D84"/>
    <w:rsid w:val="264F6618"/>
    <w:rsid w:val="26B4291F"/>
    <w:rsid w:val="26D4495E"/>
    <w:rsid w:val="26EB3E67"/>
    <w:rsid w:val="26F23447"/>
    <w:rsid w:val="271931E2"/>
    <w:rsid w:val="273E72B0"/>
    <w:rsid w:val="27A91D58"/>
    <w:rsid w:val="27B07790"/>
    <w:rsid w:val="27C2106B"/>
    <w:rsid w:val="27FA4B70"/>
    <w:rsid w:val="28060F58"/>
    <w:rsid w:val="28212236"/>
    <w:rsid w:val="284058F6"/>
    <w:rsid w:val="28425D08"/>
    <w:rsid w:val="287B7B98"/>
    <w:rsid w:val="28BC3A57"/>
    <w:rsid w:val="29341AF5"/>
    <w:rsid w:val="29392739"/>
    <w:rsid w:val="29453D02"/>
    <w:rsid w:val="29863A77"/>
    <w:rsid w:val="29CE620A"/>
    <w:rsid w:val="2A0E5353"/>
    <w:rsid w:val="2A3873C3"/>
    <w:rsid w:val="2ABD7112"/>
    <w:rsid w:val="2ACC6349"/>
    <w:rsid w:val="2B2D0EF2"/>
    <w:rsid w:val="2B557467"/>
    <w:rsid w:val="2B681F2A"/>
    <w:rsid w:val="2B715282"/>
    <w:rsid w:val="2C2426F0"/>
    <w:rsid w:val="2CB15EA6"/>
    <w:rsid w:val="2D1A60C1"/>
    <w:rsid w:val="2DEC59F1"/>
    <w:rsid w:val="2E0A46C0"/>
    <w:rsid w:val="2E150441"/>
    <w:rsid w:val="2E162111"/>
    <w:rsid w:val="2E562A17"/>
    <w:rsid w:val="2E644C2A"/>
    <w:rsid w:val="2E9A4AF0"/>
    <w:rsid w:val="2EDE2C2F"/>
    <w:rsid w:val="2EF336DC"/>
    <w:rsid w:val="2F307202"/>
    <w:rsid w:val="2F32242C"/>
    <w:rsid w:val="2F554149"/>
    <w:rsid w:val="2F972939"/>
    <w:rsid w:val="2FC736C3"/>
    <w:rsid w:val="305F38FB"/>
    <w:rsid w:val="30850630"/>
    <w:rsid w:val="30882505"/>
    <w:rsid w:val="3089305D"/>
    <w:rsid w:val="30BD7020"/>
    <w:rsid w:val="31A55C86"/>
    <w:rsid w:val="32132053"/>
    <w:rsid w:val="3220530C"/>
    <w:rsid w:val="3249282A"/>
    <w:rsid w:val="327318E0"/>
    <w:rsid w:val="327F2033"/>
    <w:rsid w:val="32837286"/>
    <w:rsid w:val="333077D1"/>
    <w:rsid w:val="33662EFE"/>
    <w:rsid w:val="338D077F"/>
    <w:rsid w:val="34520411"/>
    <w:rsid w:val="34532B23"/>
    <w:rsid w:val="34A1626D"/>
    <w:rsid w:val="34B36291"/>
    <w:rsid w:val="34F12F90"/>
    <w:rsid w:val="353510CF"/>
    <w:rsid w:val="354511B0"/>
    <w:rsid w:val="35A45811"/>
    <w:rsid w:val="35FB4B7E"/>
    <w:rsid w:val="360630D9"/>
    <w:rsid w:val="36232DC2"/>
    <w:rsid w:val="369D517D"/>
    <w:rsid w:val="36AB4D47"/>
    <w:rsid w:val="36B3591A"/>
    <w:rsid w:val="37EB2F17"/>
    <w:rsid w:val="37F05781"/>
    <w:rsid w:val="37F214F9"/>
    <w:rsid w:val="38387E65"/>
    <w:rsid w:val="38404593"/>
    <w:rsid w:val="38547ABE"/>
    <w:rsid w:val="38631FB3"/>
    <w:rsid w:val="38C033A5"/>
    <w:rsid w:val="38C31254"/>
    <w:rsid w:val="38F52C52"/>
    <w:rsid w:val="393242EC"/>
    <w:rsid w:val="39553D5C"/>
    <w:rsid w:val="3A5B5D7C"/>
    <w:rsid w:val="3A685AA2"/>
    <w:rsid w:val="3A9C2D2A"/>
    <w:rsid w:val="3AB531AD"/>
    <w:rsid w:val="3B131EB2"/>
    <w:rsid w:val="3B484019"/>
    <w:rsid w:val="3B516536"/>
    <w:rsid w:val="3B796F44"/>
    <w:rsid w:val="3B8701AA"/>
    <w:rsid w:val="3C3A2D02"/>
    <w:rsid w:val="3C9568F7"/>
    <w:rsid w:val="3CDC5C48"/>
    <w:rsid w:val="3E9820B8"/>
    <w:rsid w:val="3EB05C6A"/>
    <w:rsid w:val="3EF3324B"/>
    <w:rsid w:val="3F1C1B1A"/>
    <w:rsid w:val="3F3146B5"/>
    <w:rsid w:val="3F3A29B5"/>
    <w:rsid w:val="3FB12D7B"/>
    <w:rsid w:val="3FD33ACF"/>
    <w:rsid w:val="40A02991"/>
    <w:rsid w:val="40A40C32"/>
    <w:rsid w:val="419F0A7B"/>
    <w:rsid w:val="41EF14D0"/>
    <w:rsid w:val="427F1F50"/>
    <w:rsid w:val="4341737A"/>
    <w:rsid w:val="439A7D6E"/>
    <w:rsid w:val="43AA2C88"/>
    <w:rsid w:val="447B63D2"/>
    <w:rsid w:val="448B4FEE"/>
    <w:rsid w:val="44DF2E05"/>
    <w:rsid w:val="45390767"/>
    <w:rsid w:val="45592BB7"/>
    <w:rsid w:val="45643A38"/>
    <w:rsid w:val="459B6790"/>
    <w:rsid w:val="46096450"/>
    <w:rsid w:val="46344867"/>
    <w:rsid w:val="463D3D36"/>
    <w:rsid w:val="46B06807"/>
    <w:rsid w:val="476D430C"/>
    <w:rsid w:val="478C4C87"/>
    <w:rsid w:val="479C3360"/>
    <w:rsid w:val="47AC7348"/>
    <w:rsid w:val="47AD21BF"/>
    <w:rsid w:val="47F81D88"/>
    <w:rsid w:val="47FA3CDB"/>
    <w:rsid w:val="47FB627E"/>
    <w:rsid w:val="480908C5"/>
    <w:rsid w:val="481B6607"/>
    <w:rsid w:val="484D62D8"/>
    <w:rsid w:val="48DA5DBD"/>
    <w:rsid w:val="48EE1869"/>
    <w:rsid w:val="48EE7ABB"/>
    <w:rsid w:val="49144504"/>
    <w:rsid w:val="49272E20"/>
    <w:rsid w:val="4929310F"/>
    <w:rsid w:val="4929464F"/>
    <w:rsid w:val="495F4514"/>
    <w:rsid w:val="49C56A6D"/>
    <w:rsid w:val="49ED1B20"/>
    <w:rsid w:val="4A1264D9"/>
    <w:rsid w:val="4AAA655F"/>
    <w:rsid w:val="4B1112E1"/>
    <w:rsid w:val="4B967CA0"/>
    <w:rsid w:val="4B982181"/>
    <w:rsid w:val="4BA27C60"/>
    <w:rsid w:val="4BCD736F"/>
    <w:rsid w:val="4C4D76AC"/>
    <w:rsid w:val="4D472C4C"/>
    <w:rsid w:val="4E236FAC"/>
    <w:rsid w:val="4E807407"/>
    <w:rsid w:val="4EA36C51"/>
    <w:rsid w:val="4EFB083B"/>
    <w:rsid w:val="4F4D6A91"/>
    <w:rsid w:val="4FB41ED2"/>
    <w:rsid w:val="4FBA3327"/>
    <w:rsid w:val="502C494D"/>
    <w:rsid w:val="50487AB0"/>
    <w:rsid w:val="504F0E3F"/>
    <w:rsid w:val="50E33C7D"/>
    <w:rsid w:val="510F39DF"/>
    <w:rsid w:val="51DA0BDC"/>
    <w:rsid w:val="51E732F9"/>
    <w:rsid w:val="522919DD"/>
    <w:rsid w:val="525B6CEF"/>
    <w:rsid w:val="534F3F30"/>
    <w:rsid w:val="539A6875"/>
    <w:rsid w:val="53D524B6"/>
    <w:rsid w:val="53E14A15"/>
    <w:rsid w:val="54B06E11"/>
    <w:rsid w:val="54C935A0"/>
    <w:rsid w:val="54E56216"/>
    <w:rsid w:val="54EC46B9"/>
    <w:rsid w:val="554A0159"/>
    <w:rsid w:val="55816FCE"/>
    <w:rsid w:val="55A75279"/>
    <w:rsid w:val="55C951EF"/>
    <w:rsid w:val="55E44620"/>
    <w:rsid w:val="55E72D6A"/>
    <w:rsid w:val="5606767B"/>
    <w:rsid w:val="567C6706"/>
    <w:rsid w:val="568E01E7"/>
    <w:rsid w:val="56A456C1"/>
    <w:rsid w:val="576616F1"/>
    <w:rsid w:val="57B8376D"/>
    <w:rsid w:val="585A0B36"/>
    <w:rsid w:val="58782EFD"/>
    <w:rsid w:val="58797859"/>
    <w:rsid w:val="588F30E3"/>
    <w:rsid w:val="58B043B9"/>
    <w:rsid w:val="58FA5D24"/>
    <w:rsid w:val="593B71D3"/>
    <w:rsid w:val="596671F9"/>
    <w:rsid w:val="596820CB"/>
    <w:rsid w:val="59A73A9A"/>
    <w:rsid w:val="59F1740B"/>
    <w:rsid w:val="5A44753A"/>
    <w:rsid w:val="5A5F03A4"/>
    <w:rsid w:val="5A98127F"/>
    <w:rsid w:val="5ADE798F"/>
    <w:rsid w:val="5B2E188E"/>
    <w:rsid w:val="5C0C2D5D"/>
    <w:rsid w:val="5C1B251D"/>
    <w:rsid w:val="5C215F1B"/>
    <w:rsid w:val="5C2528EA"/>
    <w:rsid w:val="5C9A5B38"/>
    <w:rsid w:val="5D600B2F"/>
    <w:rsid w:val="5DA276A7"/>
    <w:rsid w:val="5DA94ECA"/>
    <w:rsid w:val="5E0F0A83"/>
    <w:rsid w:val="5E2E29DB"/>
    <w:rsid w:val="5E354142"/>
    <w:rsid w:val="5E9D6065"/>
    <w:rsid w:val="5ECA1FD8"/>
    <w:rsid w:val="5EF00040"/>
    <w:rsid w:val="5F7C2472"/>
    <w:rsid w:val="5F9D6EEC"/>
    <w:rsid w:val="5FA22D09"/>
    <w:rsid w:val="5FA82319"/>
    <w:rsid w:val="602045A6"/>
    <w:rsid w:val="604F6C39"/>
    <w:rsid w:val="60786190"/>
    <w:rsid w:val="608C7E04"/>
    <w:rsid w:val="612358BE"/>
    <w:rsid w:val="614E6EF1"/>
    <w:rsid w:val="61891CD7"/>
    <w:rsid w:val="61AD1E69"/>
    <w:rsid w:val="61C3343B"/>
    <w:rsid w:val="61E4459E"/>
    <w:rsid w:val="61EB2991"/>
    <w:rsid w:val="62986BDB"/>
    <w:rsid w:val="62AB3E7A"/>
    <w:rsid w:val="641A1520"/>
    <w:rsid w:val="652C7549"/>
    <w:rsid w:val="65BD4645"/>
    <w:rsid w:val="667967BE"/>
    <w:rsid w:val="66C57C55"/>
    <w:rsid w:val="66FB5425"/>
    <w:rsid w:val="686D54A1"/>
    <w:rsid w:val="68E5013A"/>
    <w:rsid w:val="691E175E"/>
    <w:rsid w:val="69203758"/>
    <w:rsid w:val="69601EB7"/>
    <w:rsid w:val="6A835E5D"/>
    <w:rsid w:val="6A876ECF"/>
    <w:rsid w:val="6A9B1E8D"/>
    <w:rsid w:val="6ADF2F7C"/>
    <w:rsid w:val="6AFE7291"/>
    <w:rsid w:val="6B0F4348"/>
    <w:rsid w:val="6B1765A5"/>
    <w:rsid w:val="6B2F1B41"/>
    <w:rsid w:val="6B8D36C3"/>
    <w:rsid w:val="6B985938"/>
    <w:rsid w:val="6BDB5825"/>
    <w:rsid w:val="6BFF7765"/>
    <w:rsid w:val="6C824A7F"/>
    <w:rsid w:val="6D667493"/>
    <w:rsid w:val="6DB63E53"/>
    <w:rsid w:val="6DD54C21"/>
    <w:rsid w:val="6E192634"/>
    <w:rsid w:val="6E1F649C"/>
    <w:rsid w:val="6E414C6E"/>
    <w:rsid w:val="6E666A33"/>
    <w:rsid w:val="6ED66437"/>
    <w:rsid w:val="6EE756FF"/>
    <w:rsid w:val="6F834209"/>
    <w:rsid w:val="6FF260E6"/>
    <w:rsid w:val="7021086D"/>
    <w:rsid w:val="7091132F"/>
    <w:rsid w:val="70F27898"/>
    <w:rsid w:val="7105540B"/>
    <w:rsid w:val="71A820FF"/>
    <w:rsid w:val="71B96608"/>
    <w:rsid w:val="71BF3A88"/>
    <w:rsid w:val="72457E9C"/>
    <w:rsid w:val="724A54B2"/>
    <w:rsid w:val="72606E89"/>
    <w:rsid w:val="72D134DE"/>
    <w:rsid w:val="72F541D6"/>
    <w:rsid w:val="73734595"/>
    <w:rsid w:val="739B4217"/>
    <w:rsid w:val="73A43E98"/>
    <w:rsid w:val="740E3197"/>
    <w:rsid w:val="740F0761"/>
    <w:rsid w:val="75526B58"/>
    <w:rsid w:val="75B55115"/>
    <w:rsid w:val="75C018B9"/>
    <w:rsid w:val="75C45344"/>
    <w:rsid w:val="761D55D2"/>
    <w:rsid w:val="767C2D4B"/>
    <w:rsid w:val="76932CC2"/>
    <w:rsid w:val="76A21419"/>
    <w:rsid w:val="76DC7606"/>
    <w:rsid w:val="77020109"/>
    <w:rsid w:val="770976EA"/>
    <w:rsid w:val="774424D0"/>
    <w:rsid w:val="775C13BB"/>
    <w:rsid w:val="77621C12"/>
    <w:rsid w:val="77640DC4"/>
    <w:rsid w:val="77752FD1"/>
    <w:rsid w:val="77866F8C"/>
    <w:rsid w:val="783E7867"/>
    <w:rsid w:val="78B5342E"/>
    <w:rsid w:val="78CC09CF"/>
    <w:rsid w:val="79A457A7"/>
    <w:rsid w:val="7A5A50FB"/>
    <w:rsid w:val="7AEA15E0"/>
    <w:rsid w:val="7AEE65ED"/>
    <w:rsid w:val="7BAE6AB2"/>
    <w:rsid w:val="7BCE0F02"/>
    <w:rsid w:val="7BDD1CD9"/>
    <w:rsid w:val="7C4420A4"/>
    <w:rsid w:val="7C503581"/>
    <w:rsid w:val="7C621BBC"/>
    <w:rsid w:val="7C9020F0"/>
    <w:rsid w:val="7CCD740C"/>
    <w:rsid w:val="7DA1085A"/>
    <w:rsid w:val="7DF22173"/>
    <w:rsid w:val="7E9755DB"/>
    <w:rsid w:val="7F156D37"/>
    <w:rsid w:val="7F285C21"/>
    <w:rsid w:val="7F80223B"/>
    <w:rsid w:val="7FCE40DF"/>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36"/>
      <w:szCs w:val="44"/>
    </w:rPr>
  </w:style>
  <w:style w:type="paragraph" w:styleId="2">
    <w:name w:val="heading 2"/>
    <w:basedOn w:val="1"/>
    <w:next w:val="1"/>
    <w:autoRedefine/>
    <w:qFormat/>
    <w:uiPriority w:val="0"/>
    <w:pPr>
      <w:keepNext/>
      <w:keepLines/>
      <w:spacing w:before="260" w:after="260" w:line="415" w:lineRule="auto"/>
      <w:outlineLvl w:val="1"/>
    </w:pPr>
    <w:rPr>
      <w:rFonts w:ascii="Cambria" w:hAnsi="Cambria"/>
      <w:b/>
      <w:bCs/>
      <w:sz w:val="32"/>
      <w:szCs w:val="32"/>
    </w:rPr>
  </w:style>
  <w:style w:type="paragraph" w:styleId="4">
    <w:name w:val="heading 3"/>
    <w:basedOn w:val="1"/>
    <w:next w:val="1"/>
    <w:link w:val="28"/>
    <w:autoRedefine/>
    <w:qFormat/>
    <w:uiPriority w:val="0"/>
    <w:pPr>
      <w:keepNext/>
      <w:keepLines/>
      <w:widowControl/>
      <w:spacing w:before="260" w:after="260" w:line="416" w:lineRule="auto"/>
      <w:outlineLvl w:val="2"/>
    </w:pPr>
    <w:rPr>
      <w:b/>
      <w:bCs/>
      <w:sz w:val="24"/>
      <w:szCs w:val="32"/>
    </w:rPr>
  </w:style>
  <w:style w:type="paragraph" w:styleId="5">
    <w:name w:val="heading 4"/>
    <w:basedOn w:val="1"/>
    <w:next w:val="1"/>
    <w:autoRedefine/>
    <w:qFormat/>
    <w:uiPriority w:val="0"/>
    <w:pPr>
      <w:keepNext/>
      <w:keepLines/>
      <w:widowControl/>
      <w:spacing w:before="200" w:line="276" w:lineRule="auto"/>
      <w:jc w:val="left"/>
      <w:outlineLvl w:val="3"/>
    </w:pPr>
    <w:rPr>
      <w:rFonts w:ascii="Calibri Light" w:hAnsi="Calibri Light" w:cs="Times New Roman"/>
      <w:b/>
      <w:bCs/>
      <w:iCs/>
      <w:szCs w:val="22"/>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6">
    <w:name w:val="index 8"/>
    <w:basedOn w:val="1"/>
    <w:next w:val="1"/>
    <w:autoRedefine/>
    <w:qFormat/>
    <w:uiPriority w:val="0"/>
    <w:pPr>
      <w:ind w:left="1400" w:leftChars="1400" w:firstLine="0"/>
    </w:pPr>
  </w:style>
  <w:style w:type="paragraph" w:styleId="7">
    <w:name w:val="annotation text"/>
    <w:basedOn w:val="1"/>
    <w:autoRedefine/>
    <w:qFormat/>
    <w:uiPriority w:val="0"/>
    <w:pPr>
      <w:widowControl/>
      <w:jc w:val="left"/>
    </w:pPr>
    <w:rPr>
      <w:rFonts w:ascii="Calibri" w:hAnsi="Calibri" w:eastAsia="宋体" w:cs="Times New Roman"/>
    </w:rPr>
  </w:style>
  <w:style w:type="paragraph" w:styleId="8">
    <w:name w:val="Body Text"/>
    <w:basedOn w:val="1"/>
    <w:next w:val="1"/>
    <w:autoRedefine/>
    <w:qFormat/>
    <w:uiPriority w:val="0"/>
    <w:pPr>
      <w:spacing w:after="120"/>
    </w:pPr>
  </w:style>
  <w:style w:type="paragraph" w:styleId="9">
    <w:name w:val="Body Text Indent"/>
    <w:basedOn w:val="1"/>
    <w:autoRedefine/>
    <w:qFormat/>
    <w:uiPriority w:val="0"/>
    <w:pPr>
      <w:spacing w:after="120" w:line="360" w:lineRule="exact"/>
      <w:ind w:left="420" w:leftChars="200" w:firstLine="200" w:firstLineChars="200"/>
    </w:pPr>
  </w:style>
  <w:style w:type="paragraph" w:styleId="10">
    <w:name w:val="Block Text"/>
    <w:basedOn w:val="1"/>
    <w:autoRedefine/>
    <w:qFormat/>
    <w:uiPriority w:val="0"/>
    <w:pPr>
      <w:widowControl/>
      <w:overflowPunct w:val="0"/>
      <w:autoSpaceDE w:val="0"/>
      <w:autoSpaceDN w:val="0"/>
      <w:adjustRightInd w:val="0"/>
      <w:snapToGrid w:val="0"/>
      <w:spacing w:line="360" w:lineRule="auto"/>
      <w:ind w:left="1440" w:right="-510" w:hanging="759"/>
      <w:textAlignment w:val="baseline"/>
    </w:pPr>
    <w:rPr>
      <w:kern w:val="0"/>
      <w:sz w:val="24"/>
      <w:szCs w:val="20"/>
    </w:rPr>
  </w:style>
  <w:style w:type="paragraph" w:styleId="11">
    <w:name w:val="Plain Text"/>
    <w:basedOn w:val="1"/>
    <w:next w:val="5"/>
    <w:autoRedefine/>
    <w:qFormat/>
    <w:uiPriority w:val="0"/>
    <w:rPr>
      <w:rFonts w:ascii="宋体" w:hAnsi="Courier New" w:cs="Times New Roman"/>
      <w:szCs w:val="22"/>
    </w:rPr>
  </w:style>
  <w:style w:type="paragraph" w:styleId="12">
    <w:name w:val="footer"/>
    <w:basedOn w:val="1"/>
    <w:autoRedefine/>
    <w:qFormat/>
    <w:uiPriority w:val="0"/>
    <w:pPr>
      <w:tabs>
        <w:tab w:val="center" w:pos="4153"/>
        <w:tab w:val="right" w:pos="8306"/>
      </w:tabs>
      <w:snapToGrid w:val="0"/>
      <w:jc w:val="left"/>
    </w:pPr>
    <w:rPr>
      <w:sz w:val="18"/>
      <w:szCs w:val="18"/>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qFormat/>
    <w:uiPriority w:val="39"/>
  </w:style>
  <w:style w:type="paragraph" w:styleId="15">
    <w:name w:val="toc 2"/>
    <w:basedOn w:val="1"/>
    <w:next w:val="1"/>
    <w:autoRedefine/>
    <w:qFormat/>
    <w:uiPriority w:val="39"/>
    <w:pPr>
      <w:ind w:left="420" w:leftChars="200"/>
    </w:pPr>
  </w:style>
  <w:style w:type="paragraph" w:styleId="16">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7">
    <w:name w:val="Body Text First Indent"/>
    <w:basedOn w:val="8"/>
    <w:autoRedefine/>
    <w:qFormat/>
    <w:uiPriority w:val="99"/>
    <w:pPr>
      <w:ind w:firstLine="420" w:firstLineChars="100"/>
    </w:pPr>
  </w:style>
  <w:style w:type="paragraph" w:styleId="18">
    <w:name w:val="Body Text First Indent 2"/>
    <w:basedOn w:val="9"/>
    <w:autoRedefine/>
    <w:qFormat/>
    <w:uiPriority w:val="99"/>
    <w:pPr>
      <w:ind w:firstLine="420" w:firstLineChars="200"/>
    </w:pPr>
  </w:style>
  <w:style w:type="table" w:styleId="20">
    <w:name w:val="Table Grid"/>
    <w:basedOn w:val="19"/>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page number"/>
    <w:basedOn w:val="21"/>
    <w:autoRedefine/>
    <w:qFormat/>
    <w:uiPriority w:val="99"/>
  </w:style>
  <w:style w:type="character" w:styleId="23">
    <w:name w:val="Hyperlink"/>
    <w:basedOn w:val="21"/>
    <w:autoRedefine/>
    <w:qFormat/>
    <w:uiPriority w:val="0"/>
    <w:rPr>
      <w:color w:val="0000FF"/>
      <w:u w:val="single"/>
    </w:rPr>
  </w:style>
  <w:style w:type="character" w:styleId="24">
    <w:name w:val="HTML Sample"/>
    <w:basedOn w:val="21"/>
    <w:autoRedefine/>
    <w:qFormat/>
    <w:uiPriority w:val="0"/>
    <w:rPr>
      <w:rFonts w:ascii="Courier New" w:hAnsi="Courier New"/>
    </w:rPr>
  </w:style>
  <w:style w:type="paragraph" w:customStyle="1" w:styleId="25">
    <w:name w:val="表格文字"/>
    <w:basedOn w:val="1"/>
    <w:autoRedefine/>
    <w:qFormat/>
    <w:uiPriority w:val="0"/>
    <w:pPr>
      <w:spacing w:before="25" w:after="25" w:line="240" w:lineRule="auto"/>
      <w:ind w:firstLine="0"/>
      <w:jc w:val="left"/>
    </w:pPr>
    <w:rPr>
      <w:bCs/>
      <w:spacing w:val="10"/>
      <w:kern w:val="0"/>
      <w:sz w:val="24"/>
    </w:rPr>
  </w:style>
  <w:style w:type="paragraph" w:customStyle="1" w:styleId="26">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styleId="27">
    <w:name w:val="List Paragraph"/>
    <w:basedOn w:val="1"/>
    <w:autoRedefine/>
    <w:qFormat/>
    <w:uiPriority w:val="0"/>
    <w:pPr>
      <w:ind w:firstLine="420" w:firstLineChars="200"/>
    </w:pPr>
  </w:style>
  <w:style w:type="character" w:customStyle="1" w:styleId="28">
    <w:name w:val="标题 3 字符"/>
    <w:link w:val="4"/>
    <w:autoRedefine/>
    <w:qFormat/>
    <w:uiPriority w:val="0"/>
    <w:rPr>
      <w:b/>
      <w:bCs/>
      <w:sz w:val="24"/>
      <w:szCs w:val="32"/>
    </w:rPr>
  </w:style>
  <w:style w:type="paragraph" w:customStyle="1" w:styleId="29">
    <w:name w:val="p0"/>
    <w:basedOn w:val="1"/>
    <w:autoRedefine/>
    <w:qFormat/>
    <w:uiPriority w:val="0"/>
    <w:pPr>
      <w:widowControl/>
    </w:pPr>
    <w:rPr>
      <w:rFonts w:ascii="Calibri" w:hAnsi="Calibri" w:cs="宋体"/>
      <w:kern w:val="0"/>
      <w:szCs w:val="21"/>
    </w:rPr>
  </w:style>
  <w:style w:type="paragraph" w:customStyle="1" w:styleId="30">
    <w:name w:val="首行缩进"/>
    <w:basedOn w:val="1"/>
    <w:autoRedefine/>
    <w:qFormat/>
    <w:uiPriority w:val="0"/>
    <w:pPr>
      <w:spacing w:line="360" w:lineRule="auto"/>
      <w:ind w:firstLine="480" w:firstLineChars="200"/>
    </w:pPr>
    <w:rPr>
      <w:rFonts w:ascii="宋体" w:hAnsi="宋体"/>
      <w:kern w:val="0"/>
      <w:sz w:val="24"/>
    </w:rPr>
  </w:style>
  <w:style w:type="paragraph" w:customStyle="1" w:styleId="31">
    <w:name w:val="正文小标题_0"/>
    <w:basedOn w:val="32"/>
    <w:autoRedefine/>
    <w:qFormat/>
    <w:uiPriority w:val="0"/>
    <w:pPr>
      <w:spacing w:line="420" w:lineRule="exact"/>
    </w:pPr>
    <w:rPr>
      <w:rFonts w:hAnsi="宋体" w:eastAsia="宋体"/>
      <w:sz w:val="21"/>
      <w:szCs w:val="21"/>
    </w:rPr>
  </w:style>
  <w:style w:type="paragraph" w:customStyle="1" w:styleId="32">
    <w:name w:val="标题 1_0"/>
    <w:basedOn w:val="33"/>
    <w:next w:val="33"/>
    <w:autoRedefine/>
    <w:qFormat/>
    <w:uiPriority w:val="99"/>
    <w:pPr>
      <w:keepNext/>
      <w:keepLines/>
      <w:spacing w:line="360" w:lineRule="auto"/>
      <w:outlineLvl w:val="0"/>
    </w:pPr>
    <w:rPr>
      <w:rFonts w:eastAsia="黑体"/>
      <w:b/>
      <w:bCs/>
      <w:kern w:val="44"/>
      <w:sz w:val="32"/>
      <w:szCs w:val="44"/>
    </w:rPr>
  </w:style>
  <w:style w:type="paragraph" w:customStyle="1" w:styleId="33">
    <w:name w:val="正文_0"/>
    <w:next w:val="34"/>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4">
    <w:name w:val="正文文本_0"/>
    <w:basedOn w:val="33"/>
    <w:autoRedefine/>
    <w:qFormat/>
    <w:uiPriority w:val="99"/>
    <w:pPr>
      <w:adjustRightInd w:val="0"/>
      <w:spacing w:after="60" w:line="360" w:lineRule="atLeast"/>
      <w:ind w:left="72" w:leftChars="30" w:right="30" w:rightChars="30"/>
      <w:jc w:val="center"/>
    </w:pPr>
    <w:rPr>
      <w:rFonts w:ascii="Calibri" w:hAnsi="Calibri"/>
      <w:kern w:val="0"/>
      <w:sz w:val="20"/>
      <w:szCs w:val="20"/>
      <w:lang w:val="zh-CN" w:eastAsia="zh-CN"/>
    </w:rPr>
  </w:style>
  <w:style w:type="paragraph" w:customStyle="1" w:styleId="35">
    <w:name w:val="正文_1_0"/>
    <w:autoRedefine/>
    <w:qFormat/>
    <w:uiPriority w:val="99"/>
    <w:pPr>
      <w:widowControl w:val="0"/>
      <w:jc w:val="both"/>
    </w:pPr>
    <w:rPr>
      <w:rFonts w:ascii="Times New Roman" w:hAnsi="Times New Roman" w:eastAsia="宋体" w:cs="Times New Roman"/>
      <w:kern w:val="2"/>
      <w:sz w:val="21"/>
      <w:szCs w:val="20"/>
      <w:lang w:val="en-US" w:eastAsia="zh-CN" w:bidi="ar-SA"/>
    </w:rPr>
  </w:style>
  <w:style w:type="paragraph" w:customStyle="1" w:styleId="36">
    <w:name w:val="正文呀2_0"/>
    <w:basedOn w:val="37"/>
    <w:autoRedefine/>
    <w:qFormat/>
    <w:uiPriority w:val="0"/>
    <w:rPr>
      <w:rFonts w:ascii="Times New Roman" w:hAnsi="Times New Roman"/>
    </w:rPr>
  </w:style>
  <w:style w:type="paragraph" w:customStyle="1" w:styleId="37">
    <w:name w:val="正文呀_0"/>
    <w:basedOn w:val="35"/>
    <w:autoRedefine/>
    <w:qFormat/>
    <w:uiPriority w:val="0"/>
    <w:pPr>
      <w:spacing w:line="420" w:lineRule="exact"/>
      <w:ind w:firstLine="420" w:firstLineChars="200"/>
    </w:pPr>
    <w:rPr>
      <w:rFonts w:ascii="宋体" w:hAnsi="宋体"/>
      <w:szCs w:val="21"/>
    </w:rPr>
  </w:style>
  <w:style w:type="paragraph" w:customStyle="1" w:styleId="38">
    <w:name w:val="正文呀2_1"/>
    <w:basedOn w:val="39"/>
    <w:autoRedefine/>
    <w:qFormat/>
    <w:uiPriority w:val="0"/>
    <w:rPr>
      <w:rFonts w:ascii="Times New Roman" w:hAnsi="Times New Roman" w:eastAsia="宋体" w:cs="Times New Roman"/>
      <w:kern w:val="2"/>
      <w:sz w:val="21"/>
      <w:lang w:val="en-US" w:eastAsia="zh-CN"/>
    </w:rPr>
  </w:style>
  <w:style w:type="paragraph" w:customStyle="1" w:styleId="39">
    <w:name w:val="正文呀_1"/>
    <w:basedOn w:val="33"/>
    <w:autoRedefine/>
    <w:qFormat/>
    <w:uiPriority w:val="0"/>
    <w:pPr>
      <w:spacing w:line="420" w:lineRule="exact"/>
      <w:ind w:firstLine="420" w:firstLineChars="200"/>
    </w:pPr>
    <w:rPr>
      <w:rFonts w:ascii="宋体" w:hAnsi="宋体"/>
      <w:kern w:val="0"/>
      <w:sz w:val="20"/>
      <w:szCs w:val="21"/>
      <w:lang w:val="zh-CN" w:eastAsia="zh-CN"/>
    </w:rPr>
  </w:style>
  <w:style w:type="paragraph" w:customStyle="1" w:styleId="40">
    <w:name w:val="纯文本_0"/>
    <w:basedOn w:val="33"/>
    <w:autoRedefine/>
    <w:qFormat/>
    <w:uiPriority w:val="0"/>
    <w:rPr>
      <w:rFonts w:ascii="宋体" w:hAnsi="Courier New"/>
      <w:szCs w:val="24"/>
    </w:rPr>
  </w:style>
  <w:style w:type="paragraph" w:customStyle="1" w:styleId="41">
    <w:name w:val="无间隔_0"/>
    <w:autoRedefine/>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NormalCharacter"/>
    <w:qFormat/>
    <w:uiPriority w:val="0"/>
  </w:style>
  <w:style w:type="paragraph" w:customStyle="1" w:styleId="44">
    <w:name w:val="BodyText"/>
    <w:basedOn w:val="1"/>
    <w:autoRedefine/>
    <w:qFormat/>
    <w:uiPriority w:val="0"/>
    <w:pPr>
      <w:spacing w:after="60" w:line="360" w:lineRule="atLeast"/>
      <w:ind w:left="72" w:leftChars="30" w:right="30" w:rightChars="30"/>
      <w:jc w:val="center"/>
    </w:pPr>
    <w:rPr>
      <w:kern w:val="0"/>
      <w:sz w:val="20"/>
      <w:szCs w:val="20"/>
    </w:rPr>
  </w:style>
  <w:style w:type="paragraph" w:customStyle="1" w:styleId="45">
    <w:name w:val="PlainText"/>
    <w:basedOn w:val="1"/>
    <w:next w:val="46"/>
    <w:autoRedefine/>
    <w:qFormat/>
    <w:uiPriority w:val="0"/>
    <w:rPr>
      <w:rFonts w:ascii="宋体" w:hAnsi="Courier New"/>
      <w:szCs w:val="20"/>
    </w:rPr>
  </w:style>
  <w:style w:type="paragraph" w:customStyle="1" w:styleId="46">
    <w:name w:val="Index8"/>
    <w:basedOn w:val="1"/>
    <w:next w:val="1"/>
    <w:autoRedefine/>
    <w:qFormat/>
    <w:uiPriority w:val="0"/>
    <w:pPr>
      <w:ind w:left="2940"/>
    </w:pPr>
  </w:style>
  <w:style w:type="paragraph" w:customStyle="1" w:styleId="47">
    <w:name w:val="style4"/>
    <w:basedOn w:val="1"/>
    <w:next w:val="48"/>
    <w:autoRedefine/>
    <w:qFormat/>
    <w:uiPriority w:val="0"/>
    <w:pPr>
      <w:widowControl/>
      <w:spacing w:before="280" w:after="280"/>
    </w:pPr>
    <w:rPr>
      <w:rFonts w:ascii="宋体"/>
      <w:sz w:val="18"/>
    </w:rPr>
  </w:style>
  <w:style w:type="paragraph" w:customStyle="1" w:styleId="48">
    <w:name w:val="2"/>
    <w:basedOn w:val="4"/>
    <w:next w:val="1"/>
    <w:autoRedefine/>
    <w:qFormat/>
    <w:uiPriority w:val="0"/>
    <w:pPr>
      <w:widowControl w:val="0"/>
      <w:spacing w:before="120" w:beforeLines="50" w:after="120" w:afterLines="50" w:line="240" w:lineRule="auto"/>
      <w:jc w:val="center"/>
    </w:pPr>
    <w:rPr>
      <w:rFonts w:ascii="黑体" w:eastAsia="黑体"/>
      <w:sz w:val="44"/>
      <w:szCs w:val="28"/>
    </w:rPr>
  </w:style>
  <w:style w:type="paragraph" w:customStyle="1" w:styleId="49">
    <w:name w:val="Table Text"/>
    <w:basedOn w:val="1"/>
    <w:semiHidden/>
    <w:qFormat/>
    <w:uiPriority w:val="0"/>
    <w:rPr>
      <w:rFonts w:ascii="宋体" w:hAnsi="宋体" w:eastAsia="宋体" w:cs="宋体"/>
      <w:sz w:val="20"/>
      <w:szCs w:val="20"/>
      <w:lang w:val="en-US" w:eastAsia="en-US" w:bidi="ar-SA"/>
    </w:rPr>
  </w:style>
  <w:style w:type="table" w:customStyle="1" w:styleId="50">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62205</Words>
  <Characters>65653</Characters>
  <Lines>0</Lines>
  <Paragraphs>0</Paragraphs>
  <TotalTime>0</TotalTime>
  <ScaleCrop>false</ScaleCrop>
  <LinksUpToDate>false</LinksUpToDate>
  <CharactersWithSpaces>71036</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2023-10-09T06:18:00Z</dcterms:created>
  <dc:creator>歪歪</dc:creator>
  <cp:lastModifiedBy>★旗木★ζ</cp:lastModifiedBy>
  <cp:lastPrinted>2024-04-15T03:53:00Z</cp:lastPrinted>
  <dcterms:modified xsi:type="dcterms:W3CDTF">2024-04-30T14:00:53Z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3B3E3A45971E4AB8A136DFD97A33AAEF_13</vt:lpwstr>
  </property>
</Properties>
</file>