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D7D2D6">
      <w:pPr>
        <w:keepNext w:val="0"/>
        <w:keepLines w:val="0"/>
        <w:pageBreakBefore w:val="0"/>
        <w:widowControl w:val="0"/>
        <w:wordWrap/>
        <w:topLinePunct w:val="0"/>
        <w:bidi w:val="0"/>
        <w:spacing w:line="1000" w:lineRule="exact"/>
        <w:jc w:val="center"/>
        <w:rPr>
          <w:rFonts w:hint="eastAsia" w:ascii="宋体" w:hAnsi="宋体" w:cs="宋体"/>
          <w:b/>
          <w:bCs/>
          <w:color w:val="auto"/>
          <w:sz w:val="56"/>
          <w:szCs w:val="22"/>
          <w:highlight w:val="none"/>
          <w:lang w:eastAsia="zh-CN"/>
        </w:rPr>
      </w:pPr>
    </w:p>
    <w:p w14:paraId="18B886F9">
      <w:pPr>
        <w:keepNext w:val="0"/>
        <w:keepLines w:val="0"/>
        <w:pageBreakBefore w:val="0"/>
        <w:widowControl w:val="0"/>
        <w:wordWrap/>
        <w:topLinePunct w:val="0"/>
        <w:bidi w:val="0"/>
        <w:spacing w:line="1000" w:lineRule="exact"/>
        <w:jc w:val="center"/>
        <w:rPr>
          <w:rFonts w:hint="eastAsia" w:ascii="宋体" w:hAnsi="宋体" w:eastAsia="宋体" w:cs="宋体"/>
          <w:b/>
          <w:bCs/>
          <w:color w:val="auto"/>
          <w:sz w:val="72"/>
          <w:highlight w:val="none"/>
        </w:rPr>
      </w:pPr>
      <w:r>
        <w:rPr>
          <w:rFonts w:hint="eastAsia" w:ascii="宋体" w:hAnsi="宋体" w:cs="宋体"/>
          <w:b/>
          <w:bCs/>
          <w:color w:val="auto"/>
          <w:sz w:val="56"/>
          <w:szCs w:val="22"/>
          <w:highlight w:val="none"/>
          <w:lang w:eastAsia="zh-CN"/>
        </w:rPr>
        <w:t>广西晟鑫项目管理有限公司</w:t>
      </w:r>
      <w:r>
        <w:rPr>
          <w:rFonts w:hint="eastAsia" w:ascii="宋体" w:hAnsi="宋体" w:eastAsia="宋体" w:cs="宋体"/>
          <w:b/>
          <w:bCs/>
          <w:color w:val="auto"/>
          <w:sz w:val="72"/>
          <w:highlight w:val="none"/>
        </w:rPr>
        <w:cr/>
      </w:r>
    </w:p>
    <w:p w14:paraId="5FFE3ACA">
      <w:pPr>
        <w:keepNext w:val="0"/>
        <w:keepLines w:val="0"/>
        <w:pageBreakBefore w:val="0"/>
        <w:widowControl w:val="0"/>
        <w:wordWrap/>
        <w:topLinePunct w:val="0"/>
        <w:bidi w:val="0"/>
        <w:spacing w:line="1000" w:lineRule="exact"/>
        <w:jc w:val="center"/>
        <w:rPr>
          <w:rFonts w:hint="eastAsia" w:ascii="宋体" w:hAnsi="宋体" w:eastAsia="宋体" w:cs="宋体"/>
          <w:b/>
          <w:bCs/>
          <w:color w:val="auto"/>
          <w:sz w:val="72"/>
          <w:highlight w:val="none"/>
        </w:rPr>
      </w:pPr>
    </w:p>
    <w:p w14:paraId="616A3651">
      <w:pPr>
        <w:keepNext w:val="0"/>
        <w:keepLines w:val="0"/>
        <w:pageBreakBefore w:val="0"/>
        <w:widowControl w:val="0"/>
        <w:wordWrap/>
        <w:topLinePunct w:val="0"/>
        <w:bidi w:val="0"/>
        <w:spacing w:line="1000" w:lineRule="exact"/>
        <w:jc w:val="center"/>
        <w:rPr>
          <w:rFonts w:hint="eastAsia" w:ascii="宋体" w:hAnsi="宋体" w:eastAsia="宋体" w:cs="宋体"/>
          <w:b/>
          <w:color w:val="auto"/>
          <w:sz w:val="84"/>
          <w:szCs w:val="84"/>
          <w:highlight w:val="none"/>
        </w:rPr>
      </w:pPr>
      <w:r>
        <w:rPr>
          <w:rFonts w:hint="eastAsia" w:ascii="宋体" w:hAnsi="宋体" w:eastAsia="宋体" w:cs="宋体"/>
          <w:b/>
          <w:color w:val="auto"/>
          <w:sz w:val="84"/>
          <w:szCs w:val="84"/>
          <w:highlight w:val="none"/>
        </w:rPr>
        <w:t>竞争性磋商文件</w:t>
      </w:r>
      <w:r>
        <w:rPr>
          <w:rFonts w:hint="eastAsia" w:ascii="宋体" w:hAnsi="宋体" w:eastAsia="宋体" w:cs="宋体"/>
          <w:b/>
          <w:color w:val="auto"/>
          <w:sz w:val="84"/>
          <w:szCs w:val="84"/>
          <w:highlight w:val="none"/>
        </w:rPr>
        <w:cr/>
      </w:r>
      <w:r>
        <w:rPr>
          <w:rFonts w:hint="eastAsia" w:ascii="宋体" w:hAnsi="宋体" w:eastAsia="宋体" w:cs="宋体"/>
          <w:b/>
          <w:color w:val="auto"/>
          <w:sz w:val="84"/>
          <w:szCs w:val="84"/>
          <w:highlight w:val="none"/>
        </w:rPr>
        <w:cr/>
      </w:r>
    </w:p>
    <w:p w14:paraId="32667819">
      <w:pPr>
        <w:pStyle w:val="12"/>
        <w:keepNext w:val="0"/>
        <w:keepLines w:val="0"/>
        <w:pageBreakBefore w:val="0"/>
        <w:widowControl w:val="0"/>
        <w:wordWrap/>
        <w:topLinePunct w:val="0"/>
        <w:bidi w:val="0"/>
        <w:ind w:firstLine="3990" w:firstLineChars="1900"/>
        <w:rPr>
          <w:rFonts w:hint="eastAsia" w:ascii="宋体" w:hAnsi="宋体" w:eastAsia="宋体" w:cs="宋体"/>
          <w:color w:val="auto"/>
          <w:highlight w:val="none"/>
        </w:rPr>
      </w:pPr>
    </w:p>
    <w:p w14:paraId="473C13E6">
      <w:pPr>
        <w:pStyle w:val="12"/>
        <w:keepNext w:val="0"/>
        <w:keepLines w:val="0"/>
        <w:pageBreakBefore w:val="0"/>
        <w:widowControl w:val="0"/>
        <w:wordWrap/>
        <w:topLinePunct w:val="0"/>
        <w:bidi w:val="0"/>
        <w:rPr>
          <w:rFonts w:hint="eastAsia" w:ascii="宋体" w:hAnsi="宋体" w:eastAsia="宋体" w:cs="宋体"/>
          <w:color w:val="auto"/>
          <w:highlight w:val="none"/>
        </w:rPr>
      </w:pPr>
    </w:p>
    <w:p w14:paraId="2AF3E8A5">
      <w:pPr>
        <w:keepNext w:val="0"/>
        <w:keepLines w:val="0"/>
        <w:pageBreakBefore w:val="0"/>
        <w:widowControl w:val="0"/>
        <w:wordWrap/>
        <w:topLinePunct w:val="0"/>
        <w:bidi w:val="0"/>
        <w:ind w:left="2081" w:leftChars="800" w:hanging="401" w:hangingChars="111"/>
        <w:rPr>
          <w:rFonts w:hint="eastAsia" w:ascii="宋体" w:hAnsi="宋体" w:eastAsia="宋体" w:cs="宋体"/>
          <w:b/>
          <w:bCs/>
          <w:color w:val="auto"/>
          <w:spacing w:val="40"/>
          <w:sz w:val="28"/>
          <w:szCs w:val="22"/>
          <w:highlight w:val="none"/>
        </w:rPr>
      </w:pPr>
      <w:r>
        <w:rPr>
          <w:rFonts w:hint="eastAsia" w:ascii="宋体" w:hAnsi="宋体" w:eastAsia="宋体" w:cs="宋体"/>
          <w:b/>
          <w:bCs/>
          <w:color w:val="auto"/>
          <w:spacing w:val="40"/>
          <w:sz w:val="28"/>
          <w:szCs w:val="22"/>
          <w:highlight w:val="none"/>
        </w:rPr>
        <w:t>项目名称：资源县武装部专变工程</w:t>
      </w:r>
    </w:p>
    <w:p w14:paraId="1DE3F8ED">
      <w:pPr>
        <w:keepNext w:val="0"/>
        <w:keepLines w:val="0"/>
        <w:pageBreakBefore w:val="0"/>
        <w:widowControl w:val="0"/>
        <w:wordWrap/>
        <w:topLinePunct w:val="0"/>
        <w:bidi w:val="0"/>
        <w:ind w:left="2081" w:leftChars="800" w:hanging="401" w:hangingChars="111"/>
        <w:rPr>
          <w:rFonts w:hint="eastAsia" w:ascii="宋体" w:hAnsi="宋体" w:eastAsia="宋体" w:cs="宋体"/>
          <w:color w:val="auto"/>
          <w:highlight w:val="none"/>
        </w:rPr>
      </w:pPr>
      <w:r>
        <w:rPr>
          <w:rFonts w:hint="eastAsia" w:ascii="宋体" w:hAnsi="宋体" w:eastAsia="宋体" w:cs="宋体"/>
          <w:b/>
          <w:bCs/>
          <w:color w:val="auto"/>
          <w:spacing w:val="40"/>
          <w:sz w:val="28"/>
          <w:szCs w:val="22"/>
          <w:highlight w:val="none"/>
        </w:rPr>
        <w:t>项目编号</w:t>
      </w:r>
      <w:r>
        <w:rPr>
          <w:rFonts w:hint="eastAsia" w:ascii="宋体" w:hAnsi="宋体" w:eastAsia="宋体" w:cs="宋体"/>
          <w:b/>
          <w:bCs/>
          <w:color w:val="auto"/>
          <w:spacing w:val="40"/>
          <w:sz w:val="28"/>
          <w:szCs w:val="22"/>
          <w:highlight w:val="none"/>
          <w:lang w:eastAsia="zh-CN"/>
        </w:rPr>
        <w:t>：</w:t>
      </w:r>
      <w:r>
        <w:rPr>
          <w:rFonts w:hint="eastAsia" w:ascii="宋体" w:hAnsi="宋体" w:cs="宋体"/>
          <w:b/>
          <w:bCs/>
          <w:color w:val="auto"/>
          <w:spacing w:val="40"/>
          <w:sz w:val="28"/>
          <w:szCs w:val="22"/>
          <w:highlight w:val="none"/>
          <w:lang w:eastAsia="zh-CN"/>
        </w:rPr>
        <w:t>GLZC2025-C1-290112-SXXM</w:t>
      </w:r>
    </w:p>
    <w:p w14:paraId="68CCBB5D">
      <w:pPr>
        <w:keepNext w:val="0"/>
        <w:keepLines w:val="0"/>
        <w:pageBreakBefore w:val="0"/>
        <w:widowControl w:val="0"/>
        <w:wordWrap/>
        <w:topLinePunct w:val="0"/>
        <w:bidi w:val="0"/>
        <w:ind w:firstLine="643" w:firstLineChars="200"/>
        <w:jc w:val="center"/>
        <w:rPr>
          <w:rFonts w:hint="eastAsia" w:ascii="宋体" w:hAnsi="宋体" w:eastAsia="宋体" w:cs="宋体"/>
          <w:b/>
          <w:bCs/>
          <w:color w:val="auto"/>
          <w:sz w:val="32"/>
          <w:highlight w:val="none"/>
        </w:rPr>
      </w:pPr>
    </w:p>
    <w:p w14:paraId="3B203BF3">
      <w:pPr>
        <w:keepNext w:val="0"/>
        <w:keepLines w:val="0"/>
        <w:pageBreakBefore w:val="0"/>
        <w:widowControl w:val="0"/>
        <w:wordWrap/>
        <w:topLinePunct w:val="0"/>
        <w:bidi w:val="0"/>
        <w:ind w:firstLine="643" w:firstLineChars="200"/>
        <w:jc w:val="center"/>
        <w:rPr>
          <w:rFonts w:hint="eastAsia" w:ascii="宋体" w:hAnsi="宋体" w:eastAsia="宋体" w:cs="宋体"/>
          <w:b/>
          <w:bCs/>
          <w:color w:val="auto"/>
          <w:sz w:val="32"/>
          <w:highlight w:val="none"/>
        </w:rPr>
      </w:pPr>
    </w:p>
    <w:p w14:paraId="02201316">
      <w:pPr>
        <w:keepNext w:val="0"/>
        <w:keepLines w:val="0"/>
        <w:pageBreakBefore w:val="0"/>
        <w:widowControl w:val="0"/>
        <w:wordWrap/>
        <w:topLinePunct w:val="0"/>
        <w:bidi w:val="0"/>
        <w:ind w:firstLine="643" w:firstLineChars="200"/>
        <w:jc w:val="center"/>
        <w:rPr>
          <w:rFonts w:hint="eastAsia" w:ascii="宋体" w:hAnsi="宋体" w:eastAsia="宋体" w:cs="宋体"/>
          <w:b/>
          <w:bCs/>
          <w:color w:val="auto"/>
          <w:sz w:val="32"/>
          <w:highlight w:val="none"/>
        </w:rPr>
      </w:pPr>
    </w:p>
    <w:p w14:paraId="03383562">
      <w:pPr>
        <w:keepNext w:val="0"/>
        <w:keepLines w:val="0"/>
        <w:pageBreakBefore w:val="0"/>
        <w:widowControl w:val="0"/>
        <w:wordWrap/>
        <w:topLinePunct w:val="0"/>
        <w:bidi w:val="0"/>
        <w:ind w:firstLine="643" w:firstLineChars="200"/>
        <w:jc w:val="center"/>
        <w:rPr>
          <w:rFonts w:hint="eastAsia" w:ascii="宋体" w:hAnsi="宋体" w:eastAsia="宋体" w:cs="宋体"/>
          <w:b/>
          <w:bCs/>
          <w:color w:val="auto"/>
          <w:sz w:val="32"/>
          <w:highlight w:val="none"/>
        </w:rPr>
      </w:pPr>
    </w:p>
    <w:p w14:paraId="0ACE8A90">
      <w:pPr>
        <w:keepNext w:val="0"/>
        <w:keepLines w:val="0"/>
        <w:pageBreakBefore w:val="0"/>
        <w:widowControl w:val="0"/>
        <w:wordWrap/>
        <w:topLinePunct w:val="0"/>
        <w:bidi w:val="0"/>
        <w:ind w:firstLine="643" w:firstLineChars="200"/>
        <w:jc w:val="center"/>
        <w:rPr>
          <w:rFonts w:hint="eastAsia" w:ascii="宋体" w:hAnsi="宋体" w:cs="宋体"/>
          <w:b/>
          <w:bCs/>
          <w:color w:val="auto"/>
          <w:sz w:val="32"/>
          <w:highlight w:val="none"/>
          <w:lang w:eastAsia="zh-CN"/>
        </w:rPr>
      </w:pPr>
      <w:r>
        <w:rPr>
          <w:rFonts w:hint="eastAsia" w:ascii="宋体" w:hAnsi="宋体" w:eastAsia="宋体" w:cs="宋体"/>
          <w:b/>
          <w:bCs/>
          <w:color w:val="auto"/>
          <w:sz w:val="32"/>
          <w:highlight w:val="none"/>
        </w:rPr>
        <w:t>采购代理机构：</w:t>
      </w:r>
      <w:r>
        <w:rPr>
          <w:rFonts w:hint="eastAsia" w:ascii="宋体" w:hAnsi="宋体" w:cs="宋体"/>
          <w:b/>
          <w:bCs/>
          <w:color w:val="auto"/>
          <w:sz w:val="32"/>
          <w:highlight w:val="none"/>
          <w:lang w:eastAsia="zh-CN"/>
        </w:rPr>
        <w:t>广西晟鑫项目管理有限公司</w:t>
      </w:r>
    </w:p>
    <w:p w14:paraId="6A3394BF">
      <w:pPr>
        <w:keepNext w:val="0"/>
        <w:keepLines w:val="0"/>
        <w:pageBreakBefore w:val="0"/>
        <w:widowControl w:val="0"/>
        <w:wordWrap/>
        <w:topLinePunct w:val="0"/>
        <w:bidi w:val="0"/>
        <w:ind w:firstLine="3694" w:firstLineChars="1150"/>
        <w:rPr>
          <w:rFonts w:hint="eastAsia" w:ascii="宋体" w:hAnsi="宋体" w:eastAsia="宋体" w:cs="宋体"/>
          <w:color w:val="auto"/>
          <w:sz w:val="32"/>
          <w:highlight w:val="none"/>
        </w:rPr>
      </w:pPr>
      <w:r>
        <w:rPr>
          <w:rFonts w:hint="eastAsia" w:ascii="宋体" w:hAnsi="宋体" w:cs="宋体"/>
          <w:b/>
          <w:bCs/>
          <w:color w:val="auto"/>
          <w:sz w:val="32"/>
          <w:highlight w:val="none"/>
          <w:lang w:val="en-US" w:eastAsia="zh-CN"/>
        </w:rPr>
        <w:t>2025年10月</w:t>
      </w:r>
    </w:p>
    <w:p w14:paraId="7B0AC085">
      <w:pPr>
        <w:pStyle w:val="15"/>
        <w:keepNext w:val="0"/>
        <w:keepLines w:val="0"/>
        <w:pageBreakBefore w:val="0"/>
        <w:widowControl w:val="0"/>
        <w:tabs>
          <w:tab w:val="right" w:leader="dot" w:pos="9660"/>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pacing w:val="-6"/>
          <w:kern w:val="0"/>
          <w:sz w:val="30"/>
          <w:szCs w:val="30"/>
          <w:highlight w:val="none"/>
          <w:lang w:eastAsia="zh-CN"/>
        </w:rPr>
      </w:pPr>
    </w:p>
    <w:p w14:paraId="0448717D">
      <w:pPr>
        <w:pStyle w:val="15"/>
        <w:keepNext w:val="0"/>
        <w:keepLines w:val="0"/>
        <w:pageBreakBefore w:val="0"/>
        <w:widowControl w:val="0"/>
        <w:tabs>
          <w:tab w:val="right" w:leader="dot" w:pos="966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color w:val="auto"/>
          <w:spacing w:val="-6"/>
          <w:kern w:val="0"/>
          <w:sz w:val="30"/>
          <w:szCs w:val="30"/>
          <w:highlight w:val="none"/>
          <w:lang w:eastAsia="zh-CN"/>
        </w:rPr>
        <w:sectPr>
          <w:pgSz w:w="11906" w:h="16838"/>
          <w:pgMar w:top="1418" w:right="1191" w:bottom="1304" w:left="1304" w:header="851" w:footer="992" w:gutter="0"/>
          <w:pgNumType w:fmt="decimal" w:start="1"/>
          <w:cols w:space="720" w:num="1"/>
          <w:titlePg/>
          <w:docGrid w:type="lines" w:linePitch="312" w:charSpace="0"/>
        </w:sectPr>
      </w:pPr>
    </w:p>
    <w:p w14:paraId="589AC3CA">
      <w:pPr>
        <w:keepNext w:val="0"/>
        <w:keepLines w:val="0"/>
        <w:pageBreakBefore w:val="0"/>
        <w:widowControl w:val="0"/>
        <w:wordWrap/>
        <w:topLinePunct w:val="0"/>
        <w:bidi w:val="0"/>
        <w:rPr>
          <w:rFonts w:hint="eastAsia"/>
          <w:color w:val="auto"/>
          <w:highlight w:val="none"/>
          <w:lang w:eastAsia="zh-CN"/>
        </w:rPr>
      </w:pPr>
    </w:p>
    <w:p w14:paraId="7511FAFD">
      <w:pPr>
        <w:pStyle w:val="15"/>
        <w:keepNext w:val="0"/>
        <w:keepLines w:val="0"/>
        <w:pageBreakBefore w:val="0"/>
        <w:widowControl w:val="0"/>
        <w:tabs>
          <w:tab w:val="right" w:leader="dot" w:pos="9660"/>
        </w:tabs>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color w:val="auto"/>
          <w:spacing w:val="-6"/>
          <w:kern w:val="0"/>
          <w:sz w:val="48"/>
          <w:szCs w:val="48"/>
          <w:highlight w:val="none"/>
          <w:lang w:eastAsia="zh-CN"/>
        </w:rPr>
      </w:pPr>
      <w:bookmarkStart w:id="0" w:name="_Toc22866"/>
      <w:r>
        <w:rPr>
          <w:rFonts w:hint="eastAsia" w:ascii="宋体" w:hAnsi="宋体" w:eastAsia="宋体" w:cs="宋体"/>
          <w:b/>
          <w:color w:val="auto"/>
          <w:spacing w:val="-6"/>
          <w:kern w:val="0"/>
          <w:sz w:val="48"/>
          <w:szCs w:val="48"/>
          <w:highlight w:val="none"/>
          <w:lang w:eastAsia="zh-CN"/>
        </w:rPr>
        <w:t>目</w:t>
      </w:r>
      <w:r>
        <w:rPr>
          <w:rFonts w:hint="eastAsia" w:ascii="宋体" w:hAnsi="宋体" w:eastAsia="宋体" w:cs="宋体"/>
          <w:b/>
          <w:color w:val="auto"/>
          <w:spacing w:val="-6"/>
          <w:kern w:val="0"/>
          <w:sz w:val="48"/>
          <w:szCs w:val="48"/>
          <w:highlight w:val="none"/>
          <w:lang w:val="en-US" w:eastAsia="zh-CN"/>
        </w:rPr>
        <w:t xml:space="preserve">  </w:t>
      </w:r>
      <w:r>
        <w:rPr>
          <w:rFonts w:hint="eastAsia" w:ascii="宋体" w:hAnsi="宋体" w:eastAsia="宋体" w:cs="宋体"/>
          <w:b/>
          <w:color w:val="auto"/>
          <w:spacing w:val="-6"/>
          <w:kern w:val="0"/>
          <w:sz w:val="48"/>
          <w:szCs w:val="48"/>
          <w:highlight w:val="none"/>
          <w:lang w:eastAsia="zh-CN"/>
        </w:rPr>
        <w:t>录</w:t>
      </w:r>
      <w:bookmarkEnd w:id="0"/>
    </w:p>
    <w:p w14:paraId="4182647D">
      <w:pPr>
        <w:keepNext w:val="0"/>
        <w:keepLines w:val="0"/>
        <w:pageBreakBefore w:val="0"/>
        <w:widowControl w:val="0"/>
        <w:wordWrap/>
        <w:topLinePunct w:val="0"/>
        <w:bidi w:val="0"/>
        <w:rPr>
          <w:rFonts w:hint="eastAsia"/>
          <w:color w:val="auto"/>
          <w:highlight w:val="none"/>
          <w:lang w:eastAsia="zh-CN"/>
        </w:rPr>
      </w:pPr>
    </w:p>
    <w:p w14:paraId="41428466">
      <w:pPr>
        <w:pStyle w:val="15"/>
        <w:tabs>
          <w:tab w:val="right" w:leader="dot" w:pos="9072"/>
        </w:tabs>
        <w:rPr>
          <w:color w:val="auto"/>
        </w:rPr>
      </w:pPr>
      <w:r>
        <w:rPr>
          <w:rFonts w:hint="eastAsia" w:ascii="宋体" w:hAnsi="宋体" w:eastAsia="宋体" w:cs="宋体"/>
          <w:b/>
          <w:color w:val="auto"/>
          <w:spacing w:val="-6"/>
          <w:kern w:val="0"/>
          <w:sz w:val="36"/>
          <w:szCs w:val="36"/>
          <w:highlight w:val="none"/>
        </w:rPr>
        <w:fldChar w:fldCharType="begin"/>
      </w:r>
      <w:r>
        <w:rPr>
          <w:rFonts w:hint="eastAsia" w:ascii="宋体" w:hAnsi="宋体" w:eastAsia="宋体" w:cs="宋体"/>
          <w:b/>
          <w:color w:val="auto"/>
          <w:spacing w:val="-6"/>
          <w:kern w:val="0"/>
          <w:sz w:val="36"/>
          <w:szCs w:val="36"/>
          <w:highlight w:val="none"/>
        </w:rPr>
        <w:instrText xml:space="preserve">TOC \o "1-2" \h \u </w:instrText>
      </w:r>
      <w:r>
        <w:rPr>
          <w:rFonts w:hint="eastAsia" w:ascii="宋体" w:hAnsi="宋体" w:eastAsia="宋体" w:cs="宋体"/>
          <w:b/>
          <w:color w:val="auto"/>
          <w:spacing w:val="-6"/>
          <w:kern w:val="0"/>
          <w:sz w:val="36"/>
          <w:szCs w:val="36"/>
          <w:highlight w:val="none"/>
        </w:rPr>
        <w:fldChar w:fldCharType="separate"/>
      </w:r>
    </w:p>
    <w:p w14:paraId="1257A2B5">
      <w:pPr>
        <w:pStyle w:val="15"/>
        <w:keepNext w:val="0"/>
        <w:keepLines w:val="0"/>
        <w:pageBreakBefore w:val="0"/>
        <w:widowControl w:val="0"/>
        <w:tabs>
          <w:tab w:val="right" w:leader="dot" w:pos="9072"/>
        </w:tabs>
        <w:kinsoku/>
        <w:wordWrap/>
        <w:overflowPunct/>
        <w:topLinePunct w:val="0"/>
        <w:autoSpaceDE/>
        <w:autoSpaceDN/>
        <w:bidi w:val="0"/>
        <w:adjustRightInd/>
        <w:snapToGrid/>
        <w:spacing w:line="720" w:lineRule="auto"/>
        <w:textAlignment w:val="auto"/>
        <w:rPr>
          <w:color w:val="auto"/>
          <w:sz w:val="28"/>
          <w:szCs w:val="28"/>
        </w:rPr>
      </w:pPr>
      <w:r>
        <w:rPr>
          <w:rFonts w:hint="eastAsia" w:ascii="宋体" w:hAnsi="宋体" w:eastAsia="宋体" w:cs="宋体"/>
          <w:color w:val="auto"/>
          <w:spacing w:val="-6"/>
          <w:kern w:val="0"/>
          <w:sz w:val="28"/>
          <w:szCs w:val="28"/>
          <w:highlight w:val="none"/>
        </w:rPr>
        <w:fldChar w:fldCharType="begin"/>
      </w:r>
      <w:r>
        <w:rPr>
          <w:rFonts w:hint="eastAsia" w:ascii="宋体" w:hAnsi="宋体" w:eastAsia="宋体" w:cs="宋体"/>
          <w:color w:val="auto"/>
          <w:spacing w:val="-6"/>
          <w:kern w:val="0"/>
          <w:sz w:val="28"/>
          <w:szCs w:val="28"/>
          <w:highlight w:val="none"/>
        </w:rPr>
        <w:instrText xml:space="preserve"> HYPERLINK \l _Toc17218 </w:instrText>
      </w:r>
      <w:r>
        <w:rPr>
          <w:rFonts w:hint="eastAsia" w:ascii="宋体" w:hAnsi="宋体" w:eastAsia="宋体" w:cs="宋体"/>
          <w:color w:val="auto"/>
          <w:spacing w:val="-6"/>
          <w:kern w:val="0"/>
          <w:sz w:val="28"/>
          <w:szCs w:val="28"/>
          <w:highlight w:val="none"/>
        </w:rPr>
        <w:fldChar w:fldCharType="separate"/>
      </w:r>
      <w:r>
        <w:rPr>
          <w:rFonts w:hint="eastAsia" w:ascii="宋体" w:hAnsi="宋体" w:eastAsia="宋体" w:cs="宋体"/>
          <w:color w:val="auto"/>
          <w:sz w:val="28"/>
          <w:szCs w:val="28"/>
          <w:highlight w:val="none"/>
          <w:lang w:eastAsia="zh-CN"/>
        </w:rPr>
        <w:t>第一章</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竞争性磋商公告</w:t>
      </w:r>
      <w:r>
        <w:rPr>
          <w:color w:val="auto"/>
          <w:sz w:val="28"/>
          <w:szCs w:val="28"/>
        </w:rPr>
        <w:tab/>
      </w:r>
      <w:r>
        <w:rPr>
          <w:color w:val="auto"/>
          <w:sz w:val="28"/>
          <w:szCs w:val="28"/>
        </w:rPr>
        <w:fldChar w:fldCharType="begin"/>
      </w:r>
      <w:r>
        <w:rPr>
          <w:color w:val="auto"/>
          <w:sz w:val="28"/>
          <w:szCs w:val="28"/>
        </w:rPr>
        <w:instrText xml:space="preserve"> PAGEREF _Toc17218 \h </w:instrText>
      </w:r>
      <w:r>
        <w:rPr>
          <w:color w:val="auto"/>
          <w:sz w:val="28"/>
          <w:szCs w:val="28"/>
        </w:rPr>
        <w:fldChar w:fldCharType="separate"/>
      </w:r>
      <w:r>
        <w:rPr>
          <w:color w:val="auto"/>
          <w:sz w:val="28"/>
          <w:szCs w:val="28"/>
        </w:rPr>
        <w:t>2</w:t>
      </w:r>
      <w:r>
        <w:rPr>
          <w:color w:val="auto"/>
          <w:sz w:val="28"/>
          <w:szCs w:val="28"/>
        </w:rPr>
        <w:fldChar w:fldCharType="end"/>
      </w:r>
      <w:r>
        <w:rPr>
          <w:rFonts w:hint="eastAsia" w:ascii="宋体" w:hAnsi="宋体" w:eastAsia="宋体" w:cs="宋体"/>
          <w:color w:val="auto"/>
          <w:spacing w:val="-6"/>
          <w:kern w:val="0"/>
          <w:sz w:val="28"/>
          <w:szCs w:val="28"/>
          <w:highlight w:val="none"/>
        </w:rPr>
        <w:fldChar w:fldCharType="end"/>
      </w:r>
    </w:p>
    <w:p w14:paraId="570BA967">
      <w:pPr>
        <w:pStyle w:val="15"/>
        <w:keepNext w:val="0"/>
        <w:keepLines w:val="0"/>
        <w:pageBreakBefore w:val="0"/>
        <w:widowControl w:val="0"/>
        <w:tabs>
          <w:tab w:val="right" w:leader="dot" w:pos="9072"/>
        </w:tabs>
        <w:kinsoku/>
        <w:wordWrap/>
        <w:overflowPunct/>
        <w:topLinePunct w:val="0"/>
        <w:autoSpaceDE/>
        <w:autoSpaceDN/>
        <w:bidi w:val="0"/>
        <w:adjustRightInd/>
        <w:snapToGrid/>
        <w:spacing w:line="720" w:lineRule="auto"/>
        <w:textAlignment w:val="auto"/>
        <w:rPr>
          <w:color w:val="auto"/>
          <w:sz w:val="28"/>
          <w:szCs w:val="28"/>
        </w:rPr>
      </w:pPr>
      <w:r>
        <w:rPr>
          <w:rFonts w:hint="eastAsia" w:ascii="宋体" w:hAnsi="宋体" w:eastAsia="宋体" w:cs="宋体"/>
          <w:color w:val="auto"/>
          <w:spacing w:val="-6"/>
          <w:kern w:val="0"/>
          <w:sz w:val="28"/>
          <w:szCs w:val="28"/>
          <w:highlight w:val="none"/>
        </w:rPr>
        <w:fldChar w:fldCharType="begin"/>
      </w:r>
      <w:r>
        <w:rPr>
          <w:rFonts w:hint="eastAsia" w:ascii="宋体" w:hAnsi="宋体" w:eastAsia="宋体" w:cs="宋体"/>
          <w:color w:val="auto"/>
          <w:spacing w:val="-6"/>
          <w:kern w:val="0"/>
          <w:sz w:val="28"/>
          <w:szCs w:val="28"/>
          <w:highlight w:val="none"/>
        </w:rPr>
        <w:instrText xml:space="preserve"> HYPERLINK \l _Toc30987 </w:instrText>
      </w:r>
      <w:r>
        <w:rPr>
          <w:rFonts w:hint="eastAsia" w:ascii="宋体" w:hAnsi="宋体" w:eastAsia="宋体" w:cs="宋体"/>
          <w:color w:val="auto"/>
          <w:spacing w:val="-6"/>
          <w:kern w:val="0"/>
          <w:sz w:val="28"/>
          <w:szCs w:val="28"/>
          <w:highlight w:val="none"/>
        </w:rPr>
        <w:fldChar w:fldCharType="separate"/>
      </w:r>
      <w:r>
        <w:rPr>
          <w:rFonts w:hint="eastAsia" w:ascii="宋体" w:hAnsi="宋体" w:eastAsia="宋体" w:cs="宋体"/>
          <w:color w:val="auto"/>
          <w:sz w:val="28"/>
          <w:szCs w:val="28"/>
          <w:highlight w:val="none"/>
          <w:lang w:eastAsia="zh-CN"/>
        </w:rPr>
        <w:t>第二章</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供应商须知</w:t>
      </w:r>
      <w:r>
        <w:rPr>
          <w:color w:val="auto"/>
          <w:sz w:val="28"/>
          <w:szCs w:val="28"/>
        </w:rPr>
        <w:tab/>
      </w:r>
      <w:r>
        <w:rPr>
          <w:color w:val="auto"/>
          <w:sz w:val="28"/>
          <w:szCs w:val="28"/>
        </w:rPr>
        <w:fldChar w:fldCharType="begin"/>
      </w:r>
      <w:r>
        <w:rPr>
          <w:color w:val="auto"/>
          <w:sz w:val="28"/>
          <w:szCs w:val="28"/>
        </w:rPr>
        <w:instrText xml:space="preserve"> PAGEREF _Toc30987 \h </w:instrText>
      </w:r>
      <w:r>
        <w:rPr>
          <w:color w:val="auto"/>
          <w:sz w:val="28"/>
          <w:szCs w:val="28"/>
        </w:rPr>
        <w:fldChar w:fldCharType="separate"/>
      </w:r>
      <w:r>
        <w:rPr>
          <w:color w:val="auto"/>
          <w:sz w:val="28"/>
          <w:szCs w:val="28"/>
        </w:rPr>
        <w:t>5</w:t>
      </w:r>
      <w:r>
        <w:rPr>
          <w:color w:val="auto"/>
          <w:sz w:val="28"/>
          <w:szCs w:val="28"/>
        </w:rPr>
        <w:fldChar w:fldCharType="end"/>
      </w:r>
      <w:r>
        <w:rPr>
          <w:rFonts w:hint="eastAsia" w:ascii="宋体" w:hAnsi="宋体" w:eastAsia="宋体" w:cs="宋体"/>
          <w:color w:val="auto"/>
          <w:spacing w:val="-6"/>
          <w:kern w:val="0"/>
          <w:sz w:val="28"/>
          <w:szCs w:val="28"/>
          <w:highlight w:val="none"/>
        </w:rPr>
        <w:fldChar w:fldCharType="end"/>
      </w:r>
    </w:p>
    <w:p w14:paraId="193EEB17">
      <w:pPr>
        <w:pStyle w:val="15"/>
        <w:keepNext w:val="0"/>
        <w:keepLines w:val="0"/>
        <w:pageBreakBefore w:val="0"/>
        <w:widowControl w:val="0"/>
        <w:tabs>
          <w:tab w:val="right" w:leader="dot" w:pos="9072"/>
        </w:tabs>
        <w:kinsoku/>
        <w:wordWrap/>
        <w:overflowPunct/>
        <w:topLinePunct w:val="0"/>
        <w:autoSpaceDE/>
        <w:autoSpaceDN/>
        <w:bidi w:val="0"/>
        <w:adjustRightInd/>
        <w:snapToGrid/>
        <w:spacing w:line="720" w:lineRule="auto"/>
        <w:textAlignment w:val="auto"/>
        <w:rPr>
          <w:color w:val="auto"/>
          <w:sz w:val="28"/>
          <w:szCs w:val="28"/>
        </w:rPr>
      </w:pPr>
      <w:r>
        <w:rPr>
          <w:rFonts w:hint="eastAsia" w:ascii="宋体" w:hAnsi="宋体" w:eastAsia="宋体" w:cs="宋体"/>
          <w:color w:val="auto"/>
          <w:spacing w:val="-6"/>
          <w:kern w:val="0"/>
          <w:sz w:val="28"/>
          <w:szCs w:val="28"/>
          <w:highlight w:val="none"/>
        </w:rPr>
        <w:fldChar w:fldCharType="begin"/>
      </w:r>
      <w:r>
        <w:rPr>
          <w:rFonts w:hint="eastAsia" w:ascii="宋体" w:hAnsi="宋体" w:eastAsia="宋体" w:cs="宋体"/>
          <w:color w:val="auto"/>
          <w:spacing w:val="-6"/>
          <w:kern w:val="0"/>
          <w:sz w:val="28"/>
          <w:szCs w:val="28"/>
          <w:highlight w:val="none"/>
        </w:rPr>
        <w:instrText xml:space="preserve"> HYPERLINK \l _Toc5924 </w:instrText>
      </w:r>
      <w:r>
        <w:rPr>
          <w:rFonts w:hint="eastAsia" w:ascii="宋体" w:hAnsi="宋体" w:eastAsia="宋体" w:cs="宋体"/>
          <w:color w:val="auto"/>
          <w:spacing w:val="-6"/>
          <w:kern w:val="0"/>
          <w:sz w:val="28"/>
          <w:szCs w:val="28"/>
          <w:highlight w:val="none"/>
        </w:rPr>
        <w:fldChar w:fldCharType="separate"/>
      </w:r>
      <w:r>
        <w:rPr>
          <w:rFonts w:hint="eastAsia"/>
          <w:color w:val="auto"/>
          <w:sz w:val="28"/>
          <w:szCs w:val="28"/>
          <w:highlight w:val="none"/>
        </w:rPr>
        <w:t xml:space="preserve">第三章 </w:t>
      </w:r>
      <w:r>
        <w:rPr>
          <w:rFonts w:hint="eastAsia"/>
          <w:color w:val="auto"/>
          <w:sz w:val="28"/>
          <w:szCs w:val="28"/>
          <w:highlight w:val="none"/>
          <w:lang w:eastAsia="zh-CN"/>
        </w:rPr>
        <w:t>工程量清单</w:t>
      </w:r>
      <w:r>
        <w:rPr>
          <w:color w:val="auto"/>
          <w:sz w:val="28"/>
          <w:szCs w:val="28"/>
        </w:rPr>
        <w:tab/>
      </w:r>
      <w:r>
        <w:rPr>
          <w:color w:val="auto"/>
          <w:sz w:val="28"/>
          <w:szCs w:val="28"/>
        </w:rPr>
        <w:fldChar w:fldCharType="begin"/>
      </w:r>
      <w:r>
        <w:rPr>
          <w:color w:val="auto"/>
          <w:sz w:val="28"/>
          <w:szCs w:val="28"/>
        </w:rPr>
        <w:instrText xml:space="preserve"> PAGEREF _Toc5924 \h </w:instrText>
      </w:r>
      <w:r>
        <w:rPr>
          <w:color w:val="auto"/>
          <w:sz w:val="28"/>
          <w:szCs w:val="28"/>
        </w:rPr>
        <w:fldChar w:fldCharType="separate"/>
      </w:r>
      <w:r>
        <w:rPr>
          <w:color w:val="auto"/>
          <w:sz w:val="28"/>
          <w:szCs w:val="28"/>
        </w:rPr>
        <w:t>29</w:t>
      </w:r>
      <w:r>
        <w:rPr>
          <w:color w:val="auto"/>
          <w:sz w:val="28"/>
          <w:szCs w:val="28"/>
        </w:rPr>
        <w:fldChar w:fldCharType="end"/>
      </w:r>
      <w:r>
        <w:rPr>
          <w:rFonts w:hint="eastAsia" w:ascii="宋体" w:hAnsi="宋体" w:eastAsia="宋体" w:cs="宋体"/>
          <w:color w:val="auto"/>
          <w:spacing w:val="-6"/>
          <w:kern w:val="0"/>
          <w:sz w:val="28"/>
          <w:szCs w:val="28"/>
          <w:highlight w:val="none"/>
        </w:rPr>
        <w:fldChar w:fldCharType="end"/>
      </w:r>
    </w:p>
    <w:p w14:paraId="2AB9AD15">
      <w:pPr>
        <w:pStyle w:val="15"/>
        <w:keepNext w:val="0"/>
        <w:keepLines w:val="0"/>
        <w:pageBreakBefore w:val="0"/>
        <w:widowControl w:val="0"/>
        <w:tabs>
          <w:tab w:val="right" w:leader="dot" w:pos="9072"/>
        </w:tabs>
        <w:kinsoku/>
        <w:wordWrap/>
        <w:overflowPunct/>
        <w:topLinePunct w:val="0"/>
        <w:autoSpaceDE/>
        <w:autoSpaceDN/>
        <w:bidi w:val="0"/>
        <w:adjustRightInd/>
        <w:snapToGrid/>
        <w:spacing w:line="720" w:lineRule="auto"/>
        <w:textAlignment w:val="auto"/>
        <w:rPr>
          <w:color w:val="auto"/>
          <w:sz w:val="28"/>
          <w:szCs w:val="28"/>
        </w:rPr>
      </w:pPr>
      <w:r>
        <w:rPr>
          <w:rFonts w:hint="eastAsia" w:ascii="宋体" w:hAnsi="宋体" w:eastAsia="宋体" w:cs="宋体"/>
          <w:color w:val="auto"/>
          <w:spacing w:val="-6"/>
          <w:kern w:val="0"/>
          <w:sz w:val="28"/>
          <w:szCs w:val="28"/>
          <w:highlight w:val="none"/>
        </w:rPr>
        <w:fldChar w:fldCharType="begin"/>
      </w:r>
      <w:r>
        <w:rPr>
          <w:rFonts w:hint="eastAsia" w:ascii="宋体" w:hAnsi="宋体" w:eastAsia="宋体" w:cs="宋体"/>
          <w:color w:val="auto"/>
          <w:spacing w:val="-6"/>
          <w:kern w:val="0"/>
          <w:sz w:val="28"/>
          <w:szCs w:val="28"/>
          <w:highlight w:val="none"/>
        </w:rPr>
        <w:instrText xml:space="preserve"> HYPERLINK \l _Toc3036 </w:instrText>
      </w:r>
      <w:r>
        <w:rPr>
          <w:rFonts w:hint="eastAsia" w:ascii="宋体" w:hAnsi="宋体" w:eastAsia="宋体" w:cs="宋体"/>
          <w:color w:val="auto"/>
          <w:spacing w:val="-6"/>
          <w:kern w:val="0"/>
          <w:sz w:val="28"/>
          <w:szCs w:val="28"/>
          <w:highlight w:val="none"/>
        </w:rPr>
        <w:fldChar w:fldCharType="separate"/>
      </w:r>
      <w:r>
        <w:rPr>
          <w:rFonts w:hint="eastAsia" w:ascii="宋体" w:hAnsi="宋体" w:eastAsia="宋体" w:cs="宋体"/>
          <w:color w:val="auto"/>
          <w:sz w:val="28"/>
          <w:szCs w:val="28"/>
          <w:highlight w:val="none"/>
          <w:lang w:eastAsia="zh-CN"/>
        </w:rPr>
        <w:t>第四章</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评审办法</w:t>
      </w:r>
      <w:r>
        <w:rPr>
          <w:color w:val="auto"/>
          <w:sz w:val="28"/>
          <w:szCs w:val="28"/>
        </w:rPr>
        <w:tab/>
      </w:r>
      <w:r>
        <w:rPr>
          <w:color w:val="auto"/>
          <w:sz w:val="28"/>
          <w:szCs w:val="28"/>
        </w:rPr>
        <w:fldChar w:fldCharType="begin"/>
      </w:r>
      <w:r>
        <w:rPr>
          <w:color w:val="auto"/>
          <w:sz w:val="28"/>
          <w:szCs w:val="28"/>
        </w:rPr>
        <w:instrText xml:space="preserve"> PAGEREF _Toc3036 \h </w:instrText>
      </w:r>
      <w:r>
        <w:rPr>
          <w:color w:val="auto"/>
          <w:sz w:val="28"/>
          <w:szCs w:val="28"/>
        </w:rPr>
        <w:fldChar w:fldCharType="separate"/>
      </w:r>
      <w:r>
        <w:rPr>
          <w:color w:val="auto"/>
          <w:sz w:val="28"/>
          <w:szCs w:val="28"/>
        </w:rPr>
        <w:t>31</w:t>
      </w:r>
      <w:r>
        <w:rPr>
          <w:color w:val="auto"/>
          <w:sz w:val="28"/>
          <w:szCs w:val="28"/>
        </w:rPr>
        <w:fldChar w:fldCharType="end"/>
      </w:r>
      <w:r>
        <w:rPr>
          <w:rFonts w:hint="eastAsia" w:ascii="宋体" w:hAnsi="宋体" w:eastAsia="宋体" w:cs="宋体"/>
          <w:color w:val="auto"/>
          <w:spacing w:val="-6"/>
          <w:kern w:val="0"/>
          <w:sz w:val="28"/>
          <w:szCs w:val="28"/>
          <w:highlight w:val="none"/>
        </w:rPr>
        <w:fldChar w:fldCharType="end"/>
      </w:r>
    </w:p>
    <w:p w14:paraId="3B8581A5">
      <w:pPr>
        <w:pStyle w:val="15"/>
        <w:keepNext w:val="0"/>
        <w:keepLines w:val="0"/>
        <w:pageBreakBefore w:val="0"/>
        <w:widowControl w:val="0"/>
        <w:tabs>
          <w:tab w:val="right" w:leader="dot" w:pos="9072"/>
        </w:tabs>
        <w:kinsoku/>
        <w:wordWrap/>
        <w:overflowPunct/>
        <w:topLinePunct w:val="0"/>
        <w:autoSpaceDE/>
        <w:autoSpaceDN/>
        <w:bidi w:val="0"/>
        <w:adjustRightInd/>
        <w:snapToGrid/>
        <w:spacing w:line="720" w:lineRule="auto"/>
        <w:textAlignment w:val="auto"/>
        <w:rPr>
          <w:color w:val="auto"/>
          <w:sz w:val="28"/>
          <w:szCs w:val="28"/>
        </w:rPr>
      </w:pPr>
      <w:r>
        <w:rPr>
          <w:rFonts w:hint="eastAsia" w:ascii="宋体" w:hAnsi="宋体" w:eastAsia="宋体" w:cs="宋体"/>
          <w:color w:val="auto"/>
          <w:spacing w:val="-6"/>
          <w:kern w:val="0"/>
          <w:sz w:val="28"/>
          <w:szCs w:val="28"/>
          <w:highlight w:val="none"/>
        </w:rPr>
        <w:fldChar w:fldCharType="begin"/>
      </w:r>
      <w:r>
        <w:rPr>
          <w:rFonts w:hint="eastAsia" w:ascii="宋体" w:hAnsi="宋体" w:eastAsia="宋体" w:cs="宋体"/>
          <w:color w:val="auto"/>
          <w:spacing w:val="-6"/>
          <w:kern w:val="0"/>
          <w:sz w:val="28"/>
          <w:szCs w:val="28"/>
          <w:highlight w:val="none"/>
        </w:rPr>
        <w:instrText xml:space="preserve"> HYPERLINK \l _Toc31422 </w:instrText>
      </w:r>
      <w:r>
        <w:rPr>
          <w:rFonts w:hint="eastAsia" w:ascii="宋体" w:hAnsi="宋体" w:eastAsia="宋体" w:cs="宋体"/>
          <w:color w:val="auto"/>
          <w:spacing w:val="-6"/>
          <w:kern w:val="0"/>
          <w:sz w:val="28"/>
          <w:szCs w:val="28"/>
          <w:highlight w:val="none"/>
        </w:rPr>
        <w:fldChar w:fldCharType="separate"/>
      </w:r>
      <w:r>
        <w:rPr>
          <w:rFonts w:hint="eastAsia" w:ascii="宋体" w:hAnsi="宋体" w:eastAsia="宋体" w:cs="宋体"/>
          <w:color w:val="auto"/>
          <w:sz w:val="28"/>
          <w:szCs w:val="28"/>
          <w:highlight w:val="none"/>
          <w:lang w:eastAsia="zh-CN"/>
        </w:rPr>
        <w:t>第五章</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采购合同（合同主要条款及格式）</w:t>
      </w:r>
      <w:r>
        <w:rPr>
          <w:color w:val="auto"/>
          <w:sz w:val="28"/>
          <w:szCs w:val="28"/>
        </w:rPr>
        <w:tab/>
      </w:r>
      <w:r>
        <w:rPr>
          <w:color w:val="auto"/>
          <w:sz w:val="28"/>
          <w:szCs w:val="28"/>
        </w:rPr>
        <w:fldChar w:fldCharType="begin"/>
      </w:r>
      <w:r>
        <w:rPr>
          <w:color w:val="auto"/>
          <w:sz w:val="28"/>
          <w:szCs w:val="28"/>
        </w:rPr>
        <w:instrText xml:space="preserve"> PAGEREF _Toc31422 \h </w:instrText>
      </w:r>
      <w:r>
        <w:rPr>
          <w:color w:val="auto"/>
          <w:sz w:val="28"/>
          <w:szCs w:val="28"/>
        </w:rPr>
        <w:fldChar w:fldCharType="separate"/>
      </w:r>
      <w:r>
        <w:rPr>
          <w:color w:val="auto"/>
          <w:sz w:val="28"/>
          <w:szCs w:val="28"/>
        </w:rPr>
        <w:t>37</w:t>
      </w:r>
      <w:r>
        <w:rPr>
          <w:color w:val="auto"/>
          <w:sz w:val="28"/>
          <w:szCs w:val="28"/>
        </w:rPr>
        <w:fldChar w:fldCharType="end"/>
      </w:r>
      <w:r>
        <w:rPr>
          <w:rFonts w:hint="eastAsia" w:ascii="宋体" w:hAnsi="宋体" w:eastAsia="宋体" w:cs="宋体"/>
          <w:color w:val="auto"/>
          <w:spacing w:val="-6"/>
          <w:kern w:val="0"/>
          <w:sz w:val="28"/>
          <w:szCs w:val="28"/>
          <w:highlight w:val="none"/>
        </w:rPr>
        <w:fldChar w:fldCharType="end"/>
      </w:r>
    </w:p>
    <w:p w14:paraId="39D3517D">
      <w:pPr>
        <w:pStyle w:val="15"/>
        <w:keepNext w:val="0"/>
        <w:keepLines w:val="0"/>
        <w:pageBreakBefore w:val="0"/>
        <w:widowControl w:val="0"/>
        <w:tabs>
          <w:tab w:val="right" w:leader="dot" w:pos="9072"/>
        </w:tabs>
        <w:kinsoku/>
        <w:wordWrap/>
        <w:overflowPunct/>
        <w:topLinePunct w:val="0"/>
        <w:autoSpaceDE/>
        <w:autoSpaceDN/>
        <w:bidi w:val="0"/>
        <w:adjustRightInd/>
        <w:snapToGrid/>
        <w:spacing w:line="720" w:lineRule="auto"/>
        <w:textAlignment w:val="auto"/>
        <w:rPr>
          <w:color w:val="auto"/>
          <w:sz w:val="28"/>
          <w:szCs w:val="28"/>
        </w:rPr>
      </w:pPr>
      <w:r>
        <w:rPr>
          <w:rFonts w:hint="eastAsia" w:ascii="宋体" w:hAnsi="宋体" w:eastAsia="宋体" w:cs="宋体"/>
          <w:color w:val="auto"/>
          <w:spacing w:val="-6"/>
          <w:kern w:val="0"/>
          <w:sz w:val="28"/>
          <w:szCs w:val="28"/>
          <w:highlight w:val="none"/>
        </w:rPr>
        <w:fldChar w:fldCharType="begin"/>
      </w:r>
      <w:r>
        <w:rPr>
          <w:rFonts w:hint="eastAsia" w:ascii="宋体" w:hAnsi="宋体" w:eastAsia="宋体" w:cs="宋体"/>
          <w:color w:val="auto"/>
          <w:spacing w:val="-6"/>
          <w:kern w:val="0"/>
          <w:sz w:val="28"/>
          <w:szCs w:val="28"/>
          <w:highlight w:val="none"/>
        </w:rPr>
        <w:instrText xml:space="preserve"> HYPERLINK \l _Toc24304 </w:instrText>
      </w:r>
      <w:r>
        <w:rPr>
          <w:rFonts w:hint="eastAsia" w:ascii="宋体" w:hAnsi="宋体" w:eastAsia="宋体" w:cs="宋体"/>
          <w:color w:val="auto"/>
          <w:spacing w:val="-6"/>
          <w:kern w:val="0"/>
          <w:sz w:val="28"/>
          <w:szCs w:val="28"/>
          <w:highlight w:val="none"/>
        </w:rPr>
        <w:fldChar w:fldCharType="separate"/>
      </w:r>
      <w:r>
        <w:rPr>
          <w:rFonts w:hint="eastAsia" w:ascii="宋体" w:hAnsi="宋体" w:eastAsia="宋体" w:cs="宋体"/>
          <w:bCs/>
          <w:color w:val="auto"/>
          <w:kern w:val="44"/>
          <w:sz w:val="28"/>
          <w:szCs w:val="28"/>
          <w:highlight w:val="none"/>
        </w:rPr>
        <w:t xml:space="preserve">第六章 </w:t>
      </w:r>
      <w:r>
        <w:rPr>
          <w:rFonts w:hint="eastAsia" w:ascii="宋体" w:hAnsi="宋体" w:eastAsia="宋体" w:cs="宋体"/>
          <w:bCs/>
          <w:color w:val="auto"/>
          <w:sz w:val="28"/>
          <w:szCs w:val="28"/>
          <w:highlight w:val="none"/>
        </w:rPr>
        <w:t>响应文件（格式）</w:t>
      </w:r>
      <w:r>
        <w:rPr>
          <w:color w:val="auto"/>
          <w:sz w:val="28"/>
          <w:szCs w:val="28"/>
        </w:rPr>
        <w:tab/>
      </w:r>
      <w:r>
        <w:rPr>
          <w:color w:val="auto"/>
          <w:sz w:val="28"/>
          <w:szCs w:val="28"/>
        </w:rPr>
        <w:fldChar w:fldCharType="begin"/>
      </w:r>
      <w:r>
        <w:rPr>
          <w:color w:val="auto"/>
          <w:sz w:val="28"/>
          <w:szCs w:val="28"/>
        </w:rPr>
        <w:instrText xml:space="preserve"> PAGEREF _Toc24304 \h </w:instrText>
      </w:r>
      <w:r>
        <w:rPr>
          <w:color w:val="auto"/>
          <w:sz w:val="28"/>
          <w:szCs w:val="28"/>
        </w:rPr>
        <w:fldChar w:fldCharType="separate"/>
      </w:r>
      <w:r>
        <w:rPr>
          <w:color w:val="auto"/>
          <w:sz w:val="28"/>
          <w:szCs w:val="28"/>
        </w:rPr>
        <w:t>123</w:t>
      </w:r>
      <w:r>
        <w:rPr>
          <w:color w:val="auto"/>
          <w:sz w:val="28"/>
          <w:szCs w:val="28"/>
        </w:rPr>
        <w:fldChar w:fldCharType="end"/>
      </w:r>
      <w:r>
        <w:rPr>
          <w:rFonts w:hint="eastAsia" w:ascii="宋体" w:hAnsi="宋体" w:eastAsia="宋体" w:cs="宋体"/>
          <w:color w:val="auto"/>
          <w:spacing w:val="-6"/>
          <w:kern w:val="0"/>
          <w:sz w:val="28"/>
          <w:szCs w:val="28"/>
          <w:highlight w:val="none"/>
        </w:rPr>
        <w:fldChar w:fldCharType="end"/>
      </w:r>
    </w:p>
    <w:p w14:paraId="3B9B6C65">
      <w:pPr>
        <w:pStyle w:val="15"/>
        <w:keepNext w:val="0"/>
        <w:keepLines w:val="0"/>
        <w:pageBreakBefore w:val="0"/>
        <w:widowControl w:val="0"/>
        <w:tabs>
          <w:tab w:val="right" w:leader="dot" w:pos="9072"/>
        </w:tabs>
        <w:kinsoku/>
        <w:wordWrap/>
        <w:overflowPunct/>
        <w:topLinePunct w:val="0"/>
        <w:autoSpaceDE/>
        <w:autoSpaceDN/>
        <w:bidi w:val="0"/>
        <w:adjustRightInd/>
        <w:snapToGrid/>
        <w:spacing w:line="720" w:lineRule="auto"/>
        <w:textAlignment w:val="auto"/>
        <w:rPr>
          <w:color w:val="auto"/>
        </w:rPr>
      </w:pPr>
      <w:r>
        <w:rPr>
          <w:rFonts w:hint="eastAsia" w:ascii="宋体" w:hAnsi="宋体" w:eastAsia="宋体" w:cs="宋体"/>
          <w:color w:val="auto"/>
          <w:spacing w:val="-6"/>
          <w:kern w:val="0"/>
          <w:sz w:val="28"/>
          <w:szCs w:val="28"/>
          <w:highlight w:val="none"/>
        </w:rPr>
        <w:fldChar w:fldCharType="begin"/>
      </w:r>
      <w:r>
        <w:rPr>
          <w:rFonts w:hint="eastAsia" w:ascii="宋体" w:hAnsi="宋体" w:eastAsia="宋体" w:cs="宋体"/>
          <w:color w:val="auto"/>
          <w:spacing w:val="-6"/>
          <w:kern w:val="0"/>
          <w:sz w:val="28"/>
          <w:szCs w:val="28"/>
          <w:highlight w:val="none"/>
        </w:rPr>
        <w:instrText xml:space="preserve"> HYPERLINK \l _Toc25736 </w:instrText>
      </w:r>
      <w:r>
        <w:rPr>
          <w:rFonts w:hint="eastAsia" w:ascii="宋体" w:hAnsi="宋体" w:eastAsia="宋体" w:cs="宋体"/>
          <w:color w:val="auto"/>
          <w:spacing w:val="-6"/>
          <w:kern w:val="0"/>
          <w:sz w:val="28"/>
          <w:szCs w:val="28"/>
          <w:highlight w:val="none"/>
        </w:rPr>
        <w:fldChar w:fldCharType="separate"/>
      </w:r>
      <w:r>
        <w:rPr>
          <w:rFonts w:hint="eastAsia"/>
          <w:color w:val="auto"/>
          <w:sz w:val="28"/>
          <w:szCs w:val="28"/>
          <w:highlight w:val="none"/>
        </w:rPr>
        <w:t>第七章</w:t>
      </w:r>
      <w:r>
        <w:rPr>
          <w:rFonts w:hint="eastAsia"/>
          <w:color w:val="auto"/>
          <w:sz w:val="28"/>
          <w:szCs w:val="28"/>
          <w:highlight w:val="none"/>
          <w:lang w:val="en-US" w:eastAsia="zh-CN"/>
        </w:rPr>
        <w:t xml:space="preserve"> </w:t>
      </w:r>
      <w:r>
        <w:rPr>
          <w:rFonts w:hint="eastAsia"/>
          <w:color w:val="auto"/>
          <w:sz w:val="28"/>
          <w:szCs w:val="28"/>
          <w:highlight w:val="none"/>
        </w:rPr>
        <w:t>图纸</w:t>
      </w:r>
      <w:r>
        <w:rPr>
          <w:color w:val="auto"/>
          <w:sz w:val="28"/>
          <w:szCs w:val="28"/>
        </w:rPr>
        <w:tab/>
      </w:r>
      <w:r>
        <w:rPr>
          <w:color w:val="auto"/>
          <w:sz w:val="28"/>
          <w:szCs w:val="28"/>
        </w:rPr>
        <w:fldChar w:fldCharType="begin"/>
      </w:r>
      <w:r>
        <w:rPr>
          <w:color w:val="auto"/>
          <w:sz w:val="28"/>
          <w:szCs w:val="28"/>
        </w:rPr>
        <w:instrText xml:space="preserve"> PAGEREF _Toc25736 \h </w:instrText>
      </w:r>
      <w:r>
        <w:rPr>
          <w:color w:val="auto"/>
          <w:sz w:val="28"/>
          <w:szCs w:val="28"/>
        </w:rPr>
        <w:fldChar w:fldCharType="separate"/>
      </w:r>
      <w:r>
        <w:rPr>
          <w:color w:val="auto"/>
          <w:sz w:val="28"/>
          <w:szCs w:val="28"/>
        </w:rPr>
        <w:t>144</w:t>
      </w:r>
      <w:r>
        <w:rPr>
          <w:color w:val="auto"/>
          <w:sz w:val="28"/>
          <w:szCs w:val="28"/>
        </w:rPr>
        <w:fldChar w:fldCharType="end"/>
      </w:r>
      <w:r>
        <w:rPr>
          <w:rFonts w:hint="eastAsia" w:ascii="宋体" w:hAnsi="宋体" w:eastAsia="宋体" w:cs="宋体"/>
          <w:color w:val="auto"/>
          <w:spacing w:val="-6"/>
          <w:kern w:val="0"/>
          <w:sz w:val="28"/>
          <w:szCs w:val="28"/>
          <w:highlight w:val="none"/>
        </w:rPr>
        <w:fldChar w:fldCharType="end"/>
      </w:r>
    </w:p>
    <w:p w14:paraId="6D485830">
      <w:pPr>
        <w:keepNext w:val="0"/>
        <w:keepLines w:val="0"/>
        <w:pageBreakBefore w:val="0"/>
        <w:widowControl w:val="0"/>
        <w:kinsoku/>
        <w:wordWrap/>
        <w:overflowPunct/>
        <w:topLinePunct w:val="0"/>
        <w:autoSpaceDE/>
        <w:autoSpaceDN/>
        <w:bidi w:val="0"/>
        <w:adjustRightInd/>
        <w:snapToGrid/>
        <w:spacing w:line="720" w:lineRule="auto"/>
        <w:jc w:val="center"/>
        <w:textAlignment w:val="auto"/>
        <w:outlineLvl w:val="9"/>
        <w:rPr>
          <w:rFonts w:hint="eastAsia" w:ascii="宋体" w:hAnsi="宋体" w:eastAsia="宋体" w:cs="宋体"/>
          <w:color w:val="auto"/>
          <w:spacing w:val="-6"/>
          <w:kern w:val="0"/>
          <w:sz w:val="36"/>
          <w:szCs w:val="36"/>
          <w:highlight w:val="none"/>
        </w:rPr>
      </w:pPr>
      <w:r>
        <w:rPr>
          <w:rFonts w:hint="eastAsia" w:ascii="宋体" w:hAnsi="宋体" w:eastAsia="宋体" w:cs="宋体"/>
          <w:color w:val="auto"/>
          <w:spacing w:val="-6"/>
          <w:kern w:val="0"/>
          <w:szCs w:val="36"/>
          <w:highlight w:val="none"/>
        </w:rPr>
        <w:fldChar w:fldCharType="end"/>
      </w:r>
      <w:bookmarkStart w:id="2425" w:name="_GoBack"/>
      <w:bookmarkEnd w:id="2425"/>
    </w:p>
    <w:p w14:paraId="6D22AD3F">
      <w:pPr>
        <w:keepNext w:val="0"/>
        <w:keepLines w:val="0"/>
        <w:pageBreakBefore w:val="0"/>
        <w:widowControl w:val="0"/>
        <w:wordWrap/>
        <w:topLinePunct w:val="0"/>
        <w:bidi w:val="0"/>
        <w:outlineLvl w:val="9"/>
        <w:rPr>
          <w:rFonts w:hint="eastAsia" w:ascii="宋体" w:hAnsi="宋体" w:eastAsia="宋体" w:cs="宋体"/>
          <w:color w:val="auto"/>
          <w:spacing w:val="-6"/>
          <w:kern w:val="0"/>
          <w:sz w:val="24"/>
          <w:szCs w:val="24"/>
          <w:highlight w:val="none"/>
        </w:rPr>
      </w:pPr>
    </w:p>
    <w:p w14:paraId="039F91AA">
      <w:pPr>
        <w:keepNext w:val="0"/>
        <w:keepLines w:val="0"/>
        <w:pageBreakBefore w:val="0"/>
        <w:widowControl w:val="0"/>
        <w:wordWrap/>
        <w:topLinePunct w:val="0"/>
        <w:bidi w:val="0"/>
        <w:rPr>
          <w:color w:val="auto"/>
          <w:highlight w:val="none"/>
        </w:rPr>
      </w:pPr>
    </w:p>
    <w:p w14:paraId="34BB1C07">
      <w:pPr>
        <w:pStyle w:val="2"/>
        <w:keepNext w:val="0"/>
        <w:keepLines w:val="0"/>
        <w:pageBreakBefore w:val="0"/>
        <w:widowControl w:val="0"/>
        <w:numPr>
          <w:ilvl w:val="0"/>
          <w:numId w:val="1"/>
        </w:numPr>
        <w:tabs>
          <w:tab w:val="left" w:pos="0"/>
        </w:tabs>
        <w:wordWrap/>
        <w:topLinePunct w:val="0"/>
        <w:autoSpaceDE w:val="0"/>
        <w:autoSpaceDN w:val="0"/>
        <w:bidi w:val="0"/>
        <w:adjustRightInd w:val="0"/>
        <w:spacing w:before="0" w:after="0" w:line="360" w:lineRule="auto"/>
        <w:ind w:firstLine="425"/>
        <w:jc w:val="center"/>
        <w:rPr>
          <w:rFonts w:hint="eastAsia" w:ascii="宋体" w:hAnsi="宋体" w:eastAsia="宋体" w:cs="宋体"/>
          <w:color w:val="auto"/>
          <w:sz w:val="32"/>
          <w:szCs w:val="32"/>
          <w:highlight w:val="none"/>
        </w:rPr>
        <w:sectPr>
          <w:footerReference r:id="rId4" w:type="first"/>
          <w:footerReference r:id="rId3" w:type="default"/>
          <w:pgSz w:w="11906" w:h="16838"/>
          <w:pgMar w:top="1418" w:right="1417" w:bottom="1418" w:left="1417" w:header="851" w:footer="992" w:gutter="0"/>
          <w:pgNumType w:fmt="decimal" w:start="1"/>
          <w:cols w:space="720" w:num="1"/>
          <w:titlePg/>
          <w:docGrid w:type="lines" w:linePitch="312" w:charSpace="0"/>
        </w:sectPr>
      </w:pPr>
      <w:bookmarkStart w:id="1" w:name="_Toc30170"/>
      <w:bookmarkStart w:id="2" w:name="_Toc26809"/>
      <w:bookmarkStart w:id="3" w:name="_Toc35393797"/>
      <w:bookmarkStart w:id="4" w:name="_Toc21930"/>
      <w:bookmarkStart w:id="5" w:name="_Toc28359011"/>
    </w:p>
    <w:p w14:paraId="5A5FBDE9">
      <w:pPr>
        <w:pStyle w:val="2"/>
        <w:keepNext w:val="0"/>
        <w:keepLines w:val="0"/>
        <w:pageBreakBefore w:val="0"/>
        <w:widowControl w:val="0"/>
        <w:numPr>
          <w:ilvl w:val="0"/>
          <w:numId w:val="0"/>
        </w:numPr>
        <w:tabs>
          <w:tab w:val="left" w:pos="0"/>
        </w:tabs>
        <w:wordWrap/>
        <w:topLinePunct w:val="0"/>
        <w:autoSpaceDE w:val="0"/>
        <w:autoSpaceDN w:val="0"/>
        <w:bidi w:val="0"/>
        <w:adjustRightInd w:val="0"/>
        <w:spacing w:before="0" w:after="0" w:line="360" w:lineRule="auto"/>
        <w:ind w:left="425" w:leftChars="0"/>
        <w:jc w:val="center"/>
        <w:rPr>
          <w:rFonts w:hint="eastAsia" w:ascii="宋体" w:hAnsi="宋体" w:eastAsia="宋体" w:cs="宋体"/>
          <w:color w:val="auto"/>
          <w:sz w:val="32"/>
          <w:szCs w:val="32"/>
          <w:highlight w:val="none"/>
        </w:rPr>
      </w:pPr>
      <w:bookmarkStart w:id="6" w:name="_Toc17218"/>
      <w:r>
        <w:rPr>
          <w:rFonts w:hint="eastAsia" w:ascii="宋体" w:hAnsi="宋体" w:eastAsia="宋体" w:cs="宋体"/>
          <w:color w:val="auto"/>
          <w:sz w:val="32"/>
          <w:szCs w:val="32"/>
          <w:highlight w:val="none"/>
          <w:lang w:eastAsia="zh-CN"/>
        </w:rPr>
        <w:t>第一章</w:t>
      </w: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rPr>
        <w:t>竞争性磋商公告</w:t>
      </w:r>
      <w:bookmarkEnd w:id="1"/>
      <w:bookmarkEnd w:id="2"/>
      <w:bookmarkEnd w:id="3"/>
      <w:bookmarkEnd w:id="4"/>
      <w:bookmarkEnd w:id="5"/>
      <w:bookmarkEnd w:id="6"/>
    </w:p>
    <w:tbl>
      <w:tblPr>
        <w:tblStyle w:val="28"/>
        <w:tblpPr w:leftFromText="180" w:rightFromText="180" w:vertAnchor="text" w:tblpX="38" w:tblpY="134"/>
        <w:tblOverlap w:val="never"/>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0"/>
      </w:tblGrid>
      <w:tr w14:paraId="7C4E6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9320" w:type="dxa"/>
            <w:noWrap w:val="0"/>
            <w:vAlign w:val="top"/>
          </w:tcPr>
          <w:p w14:paraId="75D55C9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项目概况</w:t>
            </w:r>
          </w:p>
          <w:p w14:paraId="078AD93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源县武装部专变工程采购项目的潜在供应商应在供应商登录广西政府采购云平台（https：//www.gcy.zfcg.gxzf.gov.cn/）在线申请获取采购文件（进入“项目采购”应用，在获取采购文件菜单中选择项目，申请获取采购文件，否则，有可能导致无法在线编制响应文件并参与磋商，其不利后果由供应商自行承担）。获取采购文件，并于2025年11月11日 09:30（北京时间）前提交响应文件。</w:t>
            </w:r>
          </w:p>
        </w:tc>
      </w:tr>
    </w:tbl>
    <w:p w14:paraId="054AD54A">
      <w:pPr>
        <w:keepNext w:val="0"/>
        <w:keepLines w:val="0"/>
        <w:pageBreakBefore w:val="0"/>
        <w:widowControl w:val="0"/>
        <w:kinsoku/>
        <w:wordWrap/>
        <w:overflowPunct/>
        <w:topLinePunct w:val="0"/>
        <w:autoSpaceDE/>
        <w:autoSpaceDN/>
        <w:bidi w:val="0"/>
        <w:adjustRightInd/>
        <w:snapToGrid/>
        <w:spacing w:line="288" w:lineRule="auto"/>
        <w:textAlignment w:val="auto"/>
        <w:outlineLvl w:val="1"/>
        <w:rPr>
          <w:rFonts w:hint="eastAsia" w:ascii="宋体" w:hAnsi="宋体" w:eastAsia="宋体" w:cs="宋体"/>
          <w:color w:val="auto"/>
          <w:sz w:val="21"/>
          <w:szCs w:val="21"/>
          <w:highlight w:val="none"/>
        </w:rPr>
      </w:pPr>
      <w:bookmarkStart w:id="7" w:name="_Toc28359012"/>
      <w:bookmarkStart w:id="8" w:name="_Toc28359089"/>
      <w:bookmarkStart w:id="9" w:name="_Toc35393629"/>
      <w:bookmarkStart w:id="10" w:name="_Toc35393798"/>
      <w:r>
        <w:rPr>
          <w:rFonts w:hint="eastAsia" w:ascii="宋体" w:hAnsi="宋体" w:eastAsia="宋体" w:cs="宋体"/>
          <w:b/>
          <w:bCs/>
          <w:color w:val="auto"/>
          <w:sz w:val="21"/>
          <w:szCs w:val="21"/>
          <w:highlight w:val="none"/>
        </w:rPr>
        <w:t>一、项目基本情况</w:t>
      </w:r>
      <w:bookmarkEnd w:id="7"/>
      <w:bookmarkEnd w:id="8"/>
      <w:bookmarkEnd w:id="9"/>
      <w:bookmarkEnd w:id="10"/>
    </w:p>
    <w:p w14:paraId="0C183AEB">
      <w:pPr>
        <w:keepNext w:val="0"/>
        <w:keepLines w:val="0"/>
        <w:pageBreakBefore w:val="0"/>
        <w:widowControl w:val="0"/>
        <w:kinsoku/>
        <w:wordWrap/>
        <w:overflowPunct/>
        <w:topLinePunct w:val="0"/>
        <w:autoSpaceDE/>
        <w:autoSpaceDN/>
        <w:bidi w:val="0"/>
        <w:adjustRightInd/>
        <w:snapToGrid/>
        <w:spacing w:line="288" w:lineRule="auto"/>
        <w:ind w:firstLine="540"/>
        <w:textAlignment w:val="auto"/>
        <w:rPr>
          <w:rFonts w:hint="eastAsia" w:ascii="宋体" w:hAnsi="宋体" w:eastAsia="宋体" w:cs="宋体"/>
          <w:bCs/>
          <w:color w:val="auto"/>
          <w:sz w:val="21"/>
          <w:szCs w:val="21"/>
          <w:highlight w:val="none"/>
          <w:lang w:val="en-US" w:eastAsia="zh-CN"/>
        </w:rPr>
      </w:pPr>
      <w:bookmarkStart w:id="11" w:name="_Toc35393799"/>
      <w:bookmarkStart w:id="12" w:name="_Toc35393630"/>
      <w:bookmarkStart w:id="13" w:name="_Toc28359090"/>
      <w:bookmarkStart w:id="14" w:name="_Toc28359013"/>
      <w:r>
        <w:rPr>
          <w:rFonts w:hint="eastAsia" w:ascii="宋体" w:hAnsi="宋体" w:eastAsia="宋体" w:cs="宋体"/>
          <w:bCs/>
          <w:color w:val="auto"/>
          <w:sz w:val="21"/>
          <w:szCs w:val="21"/>
          <w:highlight w:val="none"/>
          <w:lang w:val="en-US" w:eastAsia="zh-CN"/>
        </w:rPr>
        <w:t>项目编号：</w:t>
      </w:r>
      <w:r>
        <w:rPr>
          <w:rFonts w:hint="eastAsia" w:ascii="宋体" w:hAnsi="宋体" w:cs="宋体"/>
          <w:bCs/>
          <w:color w:val="auto"/>
          <w:sz w:val="21"/>
          <w:szCs w:val="21"/>
          <w:highlight w:val="none"/>
          <w:lang w:val="en-US" w:eastAsia="zh-CN"/>
        </w:rPr>
        <w:t>GLZC2025-C1-290112-SXXM</w:t>
      </w:r>
    </w:p>
    <w:p w14:paraId="6E81707C">
      <w:pPr>
        <w:keepNext w:val="0"/>
        <w:keepLines w:val="0"/>
        <w:pageBreakBefore w:val="0"/>
        <w:widowControl w:val="0"/>
        <w:kinsoku/>
        <w:wordWrap/>
        <w:overflowPunct/>
        <w:topLinePunct w:val="0"/>
        <w:autoSpaceDE/>
        <w:autoSpaceDN/>
        <w:bidi w:val="0"/>
        <w:adjustRightInd/>
        <w:snapToGrid/>
        <w:spacing w:line="288" w:lineRule="auto"/>
        <w:ind w:firstLine="54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项目名称：</w:t>
      </w:r>
      <w:r>
        <w:rPr>
          <w:rFonts w:hint="eastAsia" w:ascii="宋体" w:hAnsi="宋体" w:cs="宋体"/>
          <w:bCs/>
          <w:color w:val="auto"/>
          <w:sz w:val="21"/>
          <w:szCs w:val="21"/>
          <w:highlight w:val="none"/>
          <w:lang w:val="en-US" w:eastAsia="zh-CN"/>
        </w:rPr>
        <w:t>资源县武装部专变工程</w:t>
      </w:r>
    </w:p>
    <w:p w14:paraId="1AC22EB3">
      <w:pPr>
        <w:keepNext w:val="0"/>
        <w:keepLines w:val="0"/>
        <w:pageBreakBefore w:val="0"/>
        <w:widowControl w:val="0"/>
        <w:kinsoku/>
        <w:wordWrap/>
        <w:overflowPunct/>
        <w:topLinePunct w:val="0"/>
        <w:autoSpaceDE/>
        <w:autoSpaceDN/>
        <w:bidi w:val="0"/>
        <w:adjustRightInd/>
        <w:snapToGrid/>
        <w:spacing w:line="288" w:lineRule="auto"/>
        <w:ind w:firstLine="54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采购方式：竞争性磋商</w:t>
      </w:r>
    </w:p>
    <w:p w14:paraId="332B11E3">
      <w:pPr>
        <w:keepNext w:val="0"/>
        <w:keepLines w:val="0"/>
        <w:pageBreakBefore w:val="0"/>
        <w:widowControl w:val="0"/>
        <w:kinsoku/>
        <w:wordWrap/>
        <w:overflowPunct/>
        <w:topLinePunct w:val="0"/>
        <w:autoSpaceDE/>
        <w:autoSpaceDN/>
        <w:bidi w:val="0"/>
        <w:adjustRightInd/>
        <w:snapToGrid/>
        <w:spacing w:line="288" w:lineRule="auto"/>
        <w:ind w:firstLine="54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预算总金额（元）：</w:t>
      </w:r>
      <w:r>
        <w:rPr>
          <w:rFonts w:hint="eastAsia" w:ascii="宋体" w:hAnsi="宋体" w:cs="宋体"/>
          <w:bCs/>
          <w:color w:val="auto"/>
          <w:sz w:val="21"/>
          <w:szCs w:val="21"/>
          <w:highlight w:val="none"/>
          <w:lang w:val="en-US" w:eastAsia="zh-CN"/>
        </w:rPr>
        <w:t>1061171.64元</w:t>
      </w:r>
    </w:p>
    <w:p w14:paraId="27761075">
      <w:pPr>
        <w:keepNext w:val="0"/>
        <w:keepLines w:val="0"/>
        <w:pageBreakBefore w:val="0"/>
        <w:widowControl w:val="0"/>
        <w:kinsoku/>
        <w:wordWrap/>
        <w:overflowPunct/>
        <w:topLinePunct w:val="0"/>
        <w:autoSpaceDE/>
        <w:autoSpaceDN/>
        <w:bidi w:val="0"/>
        <w:adjustRightInd/>
        <w:snapToGrid/>
        <w:spacing w:line="288" w:lineRule="auto"/>
        <w:ind w:firstLine="54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采购需求：</w:t>
      </w:r>
    </w:p>
    <w:p w14:paraId="589488A7">
      <w:pPr>
        <w:keepNext w:val="0"/>
        <w:keepLines w:val="0"/>
        <w:pageBreakBefore w:val="0"/>
        <w:widowControl w:val="0"/>
        <w:kinsoku/>
        <w:wordWrap/>
        <w:overflowPunct/>
        <w:topLinePunct w:val="0"/>
        <w:autoSpaceDE/>
        <w:autoSpaceDN/>
        <w:bidi w:val="0"/>
        <w:adjustRightInd/>
        <w:snapToGrid/>
        <w:spacing w:line="288" w:lineRule="auto"/>
        <w:ind w:firstLine="54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标项名称：</w:t>
      </w:r>
      <w:r>
        <w:rPr>
          <w:rFonts w:hint="eastAsia" w:ascii="宋体" w:hAnsi="宋体" w:cs="宋体"/>
          <w:bCs/>
          <w:color w:val="auto"/>
          <w:sz w:val="21"/>
          <w:szCs w:val="21"/>
          <w:highlight w:val="none"/>
          <w:lang w:val="en-US" w:eastAsia="zh-CN"/>
        </w:rPr>
        <w:t>资源县武装部专变工程</w:t>
      </w:r>
    </w:p>
    <w:p w14:paraId="18BF8D41">
      <w:pPr>
        <w:keepNext w:val="0"/>
        <w:keepLines w:val="0"/>
        <w:pageBreakBefore w:val="0"/>
        <w:widowControl w:val="0"/>
        <w:kinsoku/>
        <w:wordWrap/>
        <w:overflowPunct/>
        <w:topLinePunct w:val="0"/>
        <w:autoSpaceDE/>
        <w:autoSpaceDN/>
        <w:bidi w:val="0"/>
        <w:adjustRightInd/>
        <w:snapToGrid/>
        <w:spacing w:line="288" w:lineRule="auto"/>
        <w:ind w:firstLine="54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数量</w:t>
      </w:r>
      <w:r>
        <w:rPr>
          <w:rFonts w:hint="eastAsia" w:ascii="宋体" w:hAnsi="宋体" w:cs="宋体"/>
          <w:bCs/>
          <w:color w:val="auto"/>
          <w:sz w:val="21"/>
          <w:szCs w:val="21"/>
          <w:highlight w:val="none"/>
          <w:lang w:val="en-US" w:eastAsia="zh-CN"/>
        </w:rPr>
        <w:t>：1</w:t>
      </w:r>
    </w:p>
    <w:p w14:paraId="55671AF7">
      <w:pPr>
        <w:keepNext w:val="0"/>
        <w:keepLines w:val="0"/>
        <w:pageBreakBefore w:val="0"/>
        <w:widowControl w:val="0"/>
        <w:kinsoku/>
        <w:wordWrap/>
        <w:overflowPunct/>
        <w:topLinePunct w:val="0"/>
        <w:autoSpaceDE/>
        <w:autoSpaceDN/>
        <w:bidi w:val="0"/>
        <w:adjustRightInd/>
        <w:snapToGrid/>
        <w:spacing w:line="288" w:lineRule="auto"/>
        <w:ind w:firstLine="54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预算金额（元）：</w:t>
      </w:r>
      <w:r>
        <w:rPr>
          <w:rFonts w:hint="eastAsia" w:ascii="宋体" w:hAnsi="宋体" w:cs="宋体"/>
          <w:bCs/>
          <w:color w:val="auto"/>
          <w:sz w:val="21"/>
          <w:szCs w:val="21"/>
          <w:highlight w:val="none"/>
          <w:lang w:val="en-US" w:eastAsia="zh-CN"/>
        </w:rPr>
        <w:t>1061171.64元</w:t>
      </w:r>
    </w:p>
    <w:p w14:paraId="16C3DFBB">
      <w:pPr>
        <w:keepNext w:val="0"/>
        <w:keepLines w:val="0"/>
        <w:pageBreakBefore w:val="0"/>
        <w:widowControl w:val="0"/>
        <w:kinsoku/>
        <w:wordWrap/>
        <w:overflowPunct/>
        <w:topLinePunct w:val="0"/>
        <w:autoSpaceDE/>
        <w:autoSpaceDN/>
        <w:bidi w:val="0"/>
        <w:adjustRightInd/>
        <w:snapToGrid/>
        <w:spacing w:line="288" w:lineRule="auto"/>
        <w:ind w:firstLine="54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简要规格描述或项目基本概况介绍、用途：安装1台2进4出开闭所；安装1台1000kVA欧式箱变，1台400kw发电机,搬迁1个250kVA台变；敷设YJV22-8.7/15kV-3*95电缆150米,YJV22-8.7/15kV-3*240电缆222米，VV22-0.6/1KW-4*240电缆20米；开挖4排管电缆沟110米,敷设电缆保护管(PVC-Cφ167x8.0 )440m；制作3个电缆井，弃土运距10公里；制作1个箱变基础,1个开闭所基础等</w:t>
      </w:r>
      <w:r>
        <w:rPr>
          <w:rFonts w:hint="eastAsia" w:ascii="宋体" w:hAnsi="宋体" w:cs="宋体"/>
          <w:bCs/>
          <w:color w:val="auto"/>
          <w:sz w:val="21"/>
          <w:szCs w:val="21"/>
          <w:highlight w:val="none"/>
          <w:lang w:val="en-US" w:eastAsia="zh-CN"/>
        </w:rPr>
        <w:t>；</w:t>
      </w:r>
      <w:r>
        <w:rPr>
          <w:rFonts w:hint="eastAsia" w:ascii="宋体" w:hAnsi="宋体" w:eastAsia="宋体" w:cs="宋体"/>
          <w:bCs/>
          <w:color w:val="auto"/>
          <w:sz w:val="21"/>
          <w:szCs w:val="21"/>
          <w:highlight w:val="none"/>
          <w:lang w:val="en-US" w:eastAsia="zh-CN"/>
        </w:rPr>
        <w:t>具体详见施工图纸及工程量清单。</w:t>
      </w:r>
    </w:p>
    <w:p w14:paraId="79F2A2F3">
      <w:pPr>
        <w:keepNext w:val="0"/>
        <w:keepLines w:val="0"/>
        <w:pageBreakBefore w:val="0"/>
        <w:widowControl w:val="0"/>
        <w:kinsoku/>
        <w:wordWrap/>
        <w:overflowPunct/>
        <w:topLinePunct w:val="0"/>
        <w:autoSpaceDE/>
        <w:autoSpaceDN/>
        <w:bidi w:val="0"/>
        <w:adjustRightInd/>
        <w:snapToGrid/>
        <w:spacing w:line="288" w:lineRule="auto"/>
        <w:ind w:firstLine="54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最高限价（如有）：</w:t>
      </w:r>
      <w:r>
        <w:rPr>
          <w:rFonts w:hint="eastAsia" w:ascii="宋体" w:hAnsi="宋体" w:cs="宋体"/>
          <w:bCs/>
          <w:color w:val="auto"/>
          <w:sz w:val="21"/>
          <w:szCs w:val="21"/>
          <w:highlight w:val="none"/>
          <w:lang w:val="en-US" w:eastAsia="zh-CN"/>
        </w:rPr>
        <w:t>1008113.05元</w:t>
      </w:r>
    </w:p>
    <w:p w14:paraId="4E92C6B8">
      <w:pPr>
        <w:keepNext w:val="0"/>
        <w:keepLines w:val="0"/>
        <w:pageBreakBefore w:val="0"/>
        <w:widowControl w:val="0"/>
        <w:kinsoku/>
        <w:wordWrap/>
        <w:overflowPunct/>
        <w:topLinePunct w:val="0"/>
        <w:autoSpaceDE/>
        <w:autoSpaceDN/>
        <w:bidi w:val="0"/>
        <w:adjustRightInd/>
        <w:snapToGrid/>
        <w:spacing w:line="288" w:lineRule="auto"/>
        <w:ind w:firstLine="54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合同履约期限：自合同签订之日起</w:t>
      </w:r>
      <w:r>
        <w:rPr>
          <w:rFonts w:hint="eastAsia" w:ascii="宋体" w:hAnsi="宋体" w:cs="宋体"/>
          <w:bCs/>
          <w:color w:val="auto"/>
          <w:sz w:val="21"/>
          <w:szCs w:val="21"/>
          <w:highlight w:val="none"/>
          <w:lang w:val="en-US" w:eastAsia="zh-CN"/>
        </w:rPr>
        <w:t>60个日历天内完工</w:t>
      </w:r>
    </w:p>
    <w:p w14:paraId="5A7E4B30">
      <w:pPr>
        <w:keepNext w:val="0"/>
        <w:keepLines w:val="0"/>
        <w:pageBreakBefore w:val="0"/>
        <w:widowControl w:val="0"/>
        <w:kinsoku/>
        <w:wordWrap/>
        <w:overflowPunct/>
        <w:topLinePunct w:val="0"/>
        <w:autoSpaceDE/>
        <w:autoSpaceDN/>
        <w:bidi w:val="0"/>
        <w:adjustRightInd/>
        <w:snapToGrid/>
        <w:spacing w:line="288" w:lineRule="auto"/>
        <w:ind w:firstLine="54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本标项（否）接受联合体投标</w:t>
      </w:r>
    </w:p>
    <w:p w14:paraId="3549FFB0">
      <w:pPr>
        <w:keepNext w:val="0"/>
        <w:keepLines w:val="0"/>
        <w:pageBreakBefore w:val="0"/>
        <w:widowControl w:val="0"/>
        <w:kinsoku/>
        <w:wordWrap/>
        <w:overflowPunct/>
        <w:topLinePunct w:val="0"/>
        <w:autoSpaceDE/>
        <w:autoSpaceDN/>
        <w:bidi w:val="0"/>
        <w:adjustRightInd/>
        <w:snapToGrid/>
        <w:spacing w:line="288" w:lineRule="auto"/>
        <w:ind w:firstLine="54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备注：无</w:t>
      </w:r>
    </w:p>
    <w:p w14:paraId="22811360">
      <w:pPr>
        <w:keepNext w:val="0"/>
        <w:keepLines w:val="0"/>
        <w:pageBreakBefore w:val="0"/>
        <w:widowControl w:val="0"/>
        <w:kinsoku/>
        <w:wordWrap/>
        <w:overflowPunct/>
        <w:topLinePunct w:val="0"/>
        <w:autoSpaceDE/>
        <w:autoSpaceDN/>
        <w:bidi w:val="0"/>
        <w:adjustRightInd/>
        <w:snapToGrid/>
        <w:spacing w:line="288" w:lineRule="auto"/>
        <w:textAlignment w:val="auto"/>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二、申请人的资格要求：</w:t>
      </w:r>
      <w:bookmarkEnd w:id="11"/>
      <w:bookmarkEnd w:id="12"/>
      <w:bookmarkEnd w:id="13"/>
      <w:bookmarkEnd w:id="14"/>
    </w:p>
    <w:p w14:paraId="4C255FC2">
      <w:pPr>
        <w:keepNext w:val="0"/>
        <w:keepLines w:val="0"/>
        <w:pageBreakBefore w:val="0"/>
        <w:widowControl w:val="0"/>
        <w:kinsoku/>
        <w:wordWrap/>
        <w:overflowPunct/>
        <w:topLinePunct w:val="0"/>
        <w:autoSpaceDE/>
        <w:autoSpaceDN/>
        <w:bidi w:val="0"/>
        <w:adjustRightInd/>
        <w:snapToGrid/>
        <w:spacing w:line="288" w:lineRule="auto"/>
        <w:ind w:firstLine="54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1、满足《中华人民共和国政府采购法》第二十二条规定；</w:t>
      </w:r>
    </w:p>
    <w:p w14:paraId="28A07E17">
      <w:pPr>
        <w:keepNext w:val="0"/>
        <w:keepLines w:val="0"/>
        <w:pageBreakBefore w:val="0"/>
        <w:widowControl w:val="0"/>
        <w:kinsoku/>
        <w:wordWrap/>
        <w:overflowPunct/>
        <w:topLinePunct w:val="0"/>
        <w:autoSpaceDE/>
        <w:autoSpaceDN/>
        <w:bidi w:val="0"/>
        <w:adjustRightInd/>
        <w:snapToGrid/>
        <w:spacing w:line="288" w:lineRule="auto"/>
        <w:ind w:firstLine="540"/>
        <w:textAlignment w:val="auto"/>
        <w:rPr>
          <w:rFonts w:hint="eastAsia" w:ascii="宋体" w:hAnsi="宋体" w:eastAsia="宋体" w:cs="宋体"/>
          <w:bCs/>
          <w:color w:val="auto"/>
          <w:sz w:val="21"/>
          <w:szCs w:val="21"/>
          <w:highlight w:val="none"/>
          <w:lang w:val="en-US" w:eastAsia="zh-CN"/>
        </w:rPr>
      </w:pPr>
      <w:bookmarkStart w:id="15" w:name="_Toc28359014"/>
      <w:bookmarkStart w:id="16" w:name="_Toc28359091"/>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lang w:eastAsia="zh-CN"/>
        </w:rPr>
        <w:t>落实政府采购政策需满足的资格要求：</w:t>
      </w:r>
      <w:r>
        <w:rPr>
          <w:rFonts w:hint="eastAsia" w:ascii="宋体" w:hAnsi="宋体" w:cs="宋体"/>
          <w:bCs/>
          <w:color w:val="auto"/>
          <w:sz w:val="21"/>
          <w:szCs w:val="21"/>
          <w:highlight w:val="none"/>
          <w:lang w:val="en-US" w:eastAsia="zh-CN"/>
        </w:rPr>
        <w:t>分标1：</w:t>
      </w:r>
      <w:r>
        <w:rPr>
          <w:rFonts w:hint="eastAsia" w:ascii="宋体" w:hAnsi="宋体" w:eastAsia="宋体" w:cs="宋体"/>
          <w:bCs/>
          <w:color w:val="auto"/>
          <w:sz w:val="21"/>
          <w:szCs w:val="21"/>
          <w:highlight w:val="none"/>
          <w:lang w:eastAsia="zh-CN"/>
        </w:rPr>
        <w:t>本项目为专门面向</w:t>
      </w:r>
      <w:r>
        <w:rPr>
          <w:rFonts w:hint="eastAsia" w:ascii="宋体" w:hAnsi="宋体" w:cs="宋体"/>
          <w:bCs/>
          <w:color w:val="auto"/>
          <w:sz w:val="21"/>
          <w:szCs w:val="21"/>
          <w:highlight w:val="none"/>
          <w:lang w:eastAsia="zh-CN"/>
        </w:rPr>
        <w:t>小微企业</w:t>
      </w:r>
      <w:r>
        <w:rPr>
          <w:rFonts w:hint="eastAsia" w:ascii="宋体" w:hAnsi="宋体" w:eastAsia="宋体" w:cs="宋体"/>
          <w:bCs/>
          <w:color w:val="auto"/>
          <w:sz w:val="21"/>
          <w:szCs w:val="21"/>
          <w:highlight w:val="none"/>
          <w:lang w:eastAsia="zh-CN"/>
        </w:rPr>
        <w:t>采购的项目（供应商应为</w:t>
      </w:r>
      <w:r>
        <w:rPr>
          <w:rFonts w:hint="eastAsia" w:ascii="宋体" w:hAnsi="宋体" w:cs="宋体"/>
          <w:bCs/>
          <w:color w:val="auto"/>
          <w:sz w:val="21"/>
          <w:szCs w:val="21"/>
          <w:highlight w:val="none"/>
          <w:lang w:eastAsia="zh-CN"/>
        </w:rPr>
        <w:t>小微企业</w:t>
      </w:r>
      <w:r>
        <w:rPr>
          <w:rFonts w:hint="eastAsia" w:ascii="宋体" w:hAnsi="宋体" w:eastAsia="宋体" w:cs="宋体"/>
          <w:bCs/>
          <w:color w:val="auto"/>
          <w:sz w:val="21"/>
          <w:szCs w:val="21"/>
          <w:highlight w:val="none"/>
          <w:lang w:eastAsia="zh-CN"/>
        </w:rPr>
        <w:t>、监狱企业、残疾人福利性单位)；</w:t>
      </w:r>
    </w:p>
    <w:p w14:paraId="609F3460">
      <w:pPr>
        <w:keepNext w:val="0"/>
        <w:keepLines w:val="0"/>
        <w:pageBreakBefore w:val="0"/>
        <w:widowControl w:val="0"/>
        <w:kinsoku/>
        <w:wordWrap/>
        <w:overflowPunct/>
        <w:topLinePunct w:val="0"/>
        <w:autoSpaceDE/>
        <w:autoSpaceDN/>
        <w:bidi w:val="0"/>
        <w:adjustRightInd/>
        <w:snapToGrid/>
        <w:spacing w:line="288" w:lineRule="auto"/>
        <w:ind w:firstLine="54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lang w:eastAsia="zh-CN"/>
        </w:rPr>
        <w:t>本项目的特定资格要求：</w:t>
      </w:r>
      <w:bookmarkStart w:id="17" w:name="_Toc35393800"/>
      <w:bookmarkStart w:id="18" w:name="_Toc35393631"/>
    </w:p>
    <w:p w14:paraId="5CCEB0FA">
      <w:pPr>
        <w:keepNext w:val="0"/>
        <w:keepLines w:val="0"/>
        <w:pageBreakBefore w:val="0"/>
        <w:widowControl w:val="0"/>
        <w:kinsoku/>
        <w:wordWrap/>
        <w:overflowPunct/>
        <w:topLinePunct w:val="0"/>
        <w:autoSpaceDE/>
        <w:autoSpaceDN/>
        <w:bidi w:val="0"/>
        <w:adjustRightInd/>
        <w:snapToGrid/>
        <w:spacing w:line="288" w:lineRule="auto"/>
        <w:ind w:firstLine="540"/>
        <w:textAlignment w:val="auto"/>
        <w:rPr>
          <w:rFonts w:hint="eastAsia" w:ascii="宋体" w:hAnsi="宋体" w:eastAsia="宋体" w:cs="宋体"/>
          <w:bCs/>
          <w:color w:val="auto"/>
          <w:sz w:val="21"/>
          <w:szCs w:val="21"/>
          <w:highlight w:val="none"/>
          <w:lang w:val="en-US" w:eastAsia="zh-CN"/>
        </w:rPr>
      </w:pPr>
      <w:r>
        <w:rPr>
          <w:rFonts w:ascii="仿宋" w:hAnsi="仿宋" w:eastAsia="仿宋" w:cs="仿宋"/>
          <w:i w:val="0"/>
          <w:iCs w:val="0"/>
          <w:caps w:val="0"/>
          <w:color w:val="000000"/>
          <w:spacing w:val="0"/>
          <w:sz w:val="21"/>
          <w:szCs w:val="21"/>
        </w:rPr>
        <w:t>【分标1】</w:t>
      </w:r>
      <w:r>
        <w:rPr>
          <w:rFonts w:hint="eastAsia" w:ascii="宋体" w:hAnsi="宋体" w:eastAsia="宋体" w:cs="宋体"/>
          <w:bCs/>
          <w:color w:val="auto"/>
          <w:sz w:val="21"/>
          <w:szCs w:val="21"/>
          <w:highlight w:val="none"/>
          <w:lang w:eastAsia="zh-CN"/>
        </w:rPr>
        <w:t>具备电力工程施工总承包叁级以上（含叁级）资质或输变电工程专业承包叁级以上（含叁级）资质，且同时具备《承装（修、试）电力设施许可证》承装类、承修类、承试类三级以上（含三级）资质，并在人员、设备、资金等方面具备相应的施工能力，拟派项目经理须具备</w:t>
      </w:r>
      <w:r>
        <w:rPr>
          <w:rFonts w:hint="eastAsia" w:ascii="宋体" w:hAnsi="宋体" w:eastAsia="宋体" w:cs="宋体"/>
          <w:bCs/>
          <w:color w:val="auto"/>
          <w:sz w:val="21"/>
          <w:szCs w:val="21"/>
          <w:highlight w:val="none"/>
          <w:u w:val="single"/>
          <w:lang w:eastAsia="zh-CN"/>
        </w:rPr>
        <w:t>机电工程专业二级</w:t>
      </w:r>
      <w:r>
        <w:rPr>
          <w:rFonts w:hint="eastAsia" w:ascii="宋体" w:hAnsi="宋体" w:eastAsia="宋体" w:cs="宋体"/>
          <w:bCs/>
          <w:color w:val="auto"/>
          <w:sz w:val="21"/>
          <w:szCs w:val="21"/>
          <w:highlight w:val="none"/>
          <w:lang w:eastAsia="zh-CN"/>
        </w:rPr>
        <w:t>以上（含二级）注册建造师执业资格，具备安全生产考核合格证书（B类），且未担任其他在施建设工程项目的项目经理（符合桂建管﹝2013﹞17号文除外）</w:t>
      </w:r>
      <w:r>
        <w:rPr>
          <w:rFonts w:hint="eastAsia" w:ascii="宋体" w:hAnsi="宋体" w:eastAsia="宋体" w:cs="宋体"/>
          <w:bCs/>
          <w:color w:val="auto"/>
          <w:sz w:val="21"/>
          <w:szCs w:val="21"/>
          <w:highlight w:val="none"/>
          <w:lang w:val="en-US" w:eastAsia="zh-CN"/>
        </w:rPr>
        <w:t>。</w:t>
      </w:r>
    </w:p>
    <w:bookmarkEnd w:id="15"/>
    <w:bookmarkEnd w:id="16"/>
    <w:bookmarkEnd w:id="17"/>
    <w:bookmarkEnd w:id="18"/>
    <w:p w14:paraId="7633D257">
      <w:pPr>
        <w:keepNext w:val="0"/>
        <w:keepLines w:val="0"/>
        <w:pageBreakBefore w:val="0"/>
        <w:widowControl w:val="0"/>
        <w:kinsoku/>
        <w:wordWrap/>
        <w:overflowPunct/>
        <w:topLinePunct w:val="0"/>
        <w:autoSpaceDE/>
        <w:autoSpaceDN/>
        <w:bidi w:val="0"/>
        <w:adjustRightInd/>
        <w:snapToGrid/>
        <w:spacing w:line="288" w:lineRule="auto"/>
        <w:textAlignment w:val="auto"/>
        <w:outlineLvl w:val="1"/>
        <w:rPr>
          <w:rFonts w:hint="eastAsia" w:ascii="宋体" w:hAnsi="宋体" w:eastAsia="宋体" w:cs="宋体"/>
          <w:b/>
          <w:bCs/>
          <w:color w:val="auto"/>
          <w:sz w:val="21"/>
          <w:szCs w:val="21"/>
          <w:highlight w:val="none"/>
          <w:lang w:eastAsia="zh-CN"/>
        </w:rPr>
      </w:pPr>
      <w:bookmarkStart w:id="19" w:name="_Toc35393623"/>
      <w:bookmarkStart w:id="20" w:name="_Toc35393792"/>
      <w:bookmarkStart w:id="21" w:name="_Toc35393636"/>
      <w:bookmarkStart w:id="22" w:name="_Toc28359095"/>
      <w:bookmarkStart w:id="23" w:name="_Toc28359018"/>
      <w:bookmarkStart w:id="24" w:name="_Toc35393805"/>
      <w:r>
        <w:rPr>
          <w:rFonts w:hint="eastAsia" w:ascii="宋体" w:hAnsi="宋体" w:eastAsia="宋体" w:cs="宋体"/>
          <w:b/>
          <w:bCs/>
          <w:color w:val="auto"/>
          <w:sz w:val="21"/>
          <w:szCs w:val="21"/>
          <w:highlight w:val="none"/>
        </w:rPr>
        <w:t>三、获取</w:t>
      </w:r>
      <w:r>
        <w:rPr>
          <w:rFonts w:hint="eastAsia" w:ascii="宋体" w:hAnsi="宋体" w:eastAsia="宋体" w:cs="宋体"/>
          <w:b/>
          <w:bCs/>
          <w:color w:val="auto"/>
          <w:sz w:val="21"/>
          <w:szCs w:val="21"/>
          <w:highlight w:val="none"/>
          <w:lang w:eastAsia="zh-CN"/>
        </w:rPr>
        <w:t>采购</w:t>
      </w:r>
      <w:r>
        <w:rPr>
          <w:rFonts w:hint="eastAsia" w:ascii="宋体" w:hAnsi="宋体" w:eastAsia="宋体" w:cs="宋体"/>
          <w:b/>
          <w:bCs/>
          <w:color w:val="auto"/>
          <w:sz w:val="21"/>
          <w:szCs w:val="21"/>
          <w:highlight w:val="none"/>
        </w:rPr>
        <w:t>文件</w:t>
      </w:r>
      <w:bookmarkEnd w:id="19"/>
      <w:bookmarkEnd w:id="20"/>
      <w:r>
        <w:rPr>
          <w:rFonts w:hint="eastAsia" w:ascii="宋体" w:hAnsi="宋体" w:eastAsia="宋体" w:cs="宋体"/>
          <w:b/>
          <w:bCs/>
          <w:color w:val="auto"/>
          <w:sz w:val="21"/>
          <w:szCs w:val="21"/>
          <w:highlight w:val="none"/>
          <w:lang w:eastAsia="zh-CN"/>
        </w:rPr>
        <w:t>：</w:t>
      </w:r>
    </w:p>
    <w:p w14:paraId="031272DE">
      <w:pPr>
        <w:keepNext w:val="0"/>
        <w:keepLines w:val="0"/>
        <w:pageBreakBefore w:val="0"/>
        <w:widowControl w:val="0"/>
        <w:kinsoku/>
        <w:wordWrap/>
        <w:overflowPunct/>
        <w:topLinePunct w:val="0"/>
        <w:autoSpaceDE/>
        <w:autoSpaceDN/>
        <w:bidi w:val="0"/>
        <w:adjustRightInd/>
        <w:snapToGrid/>
        <w:spacing w:line="288" w:lineRule="auto"/>
        <w:ind w:firstLine="540"/>
        <w:textAlignment w:val="auto"/>
        <w:rPr>
          <w:rFonts w:hint="eastAsia" w:ascii="宋体" w:hAnsi="宋体" w:eastAsia="宋体" w:cs="宋体"/>
          <w:bCs/>
          <w:color w:val="auto"/>
          <w:sz w:val="21"/>
          <w:szCs w:val="21"/>
          <w:highlight w:val="none"/>
          <w:lang w:eastAsia="zh-CN"/>
        </w:rPr>
      </w:pPr>
      <w:bookmarkStart w:id="25" w:name="_Toc28359005"/>
      <w:bookmarkStart w:id="26" w:name="_Toc28359082"/>
      <w:bookmarkStart w:id="27" w:name="_Toc35393624"/>
      <w:bookmarkStart w:id="28" w:name="_Toc35393793"/>
      <w:r>
        <w:rPr>
          <w:rFonts w:hint="eastAsia" w:ascii="宋体" w:hAnsi="宋体" w:eastAsia="宋体" w:cs="宋体"/>
          <w:bCs/>
          <w:color w:val="auto"/>
          <w:sz w:val="21"/>
          <w:szCs w:val="21"/>
          <w:highlight w:val="none"/>
          <w:lang w:eastAsia="zh-CN"/>
        </w:rPr>
        <w:t>时间：</w:t>
      </w:r>
      <w:r>
        <w:rPr>
          <w:rFonts w:hint="eastAsia" w:ascii="宋体" w:hAnsi="宋体" w:cs="宋体"/>
          <w:bCs/>
          <w:color w:val="auto"/>
          <w:sz w:val="21"/>
          <w:szCs w:val="21"/>
          <w:highlight w:val="none"/>
          <w:lang w:eastAsia="zh-CN"/>
        </w:rPr>
        <w:t>2025年1</w:t>
      </w:r>
      <w:r>
        <w:rPr>
          <w:rFonts w:hint="eastAsia" w:ascii="宋体" w:hAnsi="宋体" w:cs="宋体"/>
          <w:bCs/>
          <w:color w:val="auto"/>
          <w:sz w:val="21"/>
          <w:szCs w:val="21"/>
          <w:highlight w:val="none"/>
          <w:lang w:val="en-US" w:eastAsia="zh-CN"/>
        </w:rPr>
        <w:t>0</w:t>
      </w:r>
      <w:r>
        <w:rPr>
          <w:rFonts w:hint="eastAsia" w:ascii="宋体" w:hAnsi="宋体" w:cs="宋体"/>
          <w:bCs/>
          <w:color w:val="auto"/>
          <w:sz w:val="21"/>
          <w:szCs w:val="21"/>
          <w:highlight w:val="none"/>
          <w:lang w:eastAsia="zh-CN"/>
        </w:rPr>
        <w:t>月</w:t>
      </w:r>
      <w:r>
        <w:rPr>
          <w:rFonts w:hint="eastAsia" w:ascii="宋体" w:hAnsi="宋体" w:cs="宋体"/>
          <w:bCs/>
          <w:color w:val="auto"/>
          <w:sz w:val="21"/>
          <w:szCs w:val="21"/>
          <w:highlight w:val="none"/>
          <w:lang w:val="en-US" w:eastAsia="zh-CN"/>
        </w:rPr>
        <w:t>31</w:t>
      </w:r>
      <w:r>
        <w:rPr>
          <w:rFonts w:hint="eastAsia" w:ascii="宋体" w:hAnsi="宋体" w:cs="宋体"/>
          <w:bCs/>
          <w:color w:val="auto"/>
          <w:sz w:val="21"/>
          <w:szCs w:val="21"/>
          <w:highlight w:val="none"/>
          <w:lang w:eastAsia="zh-CN"/>
        </w:rPr>
        <w:t>日</w:t>
      </w:r>
      <w:r>
        <w:rPr>
          <w:rFonts w:hint="eastAsia" w:ascii="宋体" w:hAnsi="宋体" w:eastAsia="宋体" w:cs="宋体"/>
          <w:bCs/>
          <w:color w:val="auto"/>
          <w:sz w:val="21"/>
          <w:szCs w:val="21"/>
          <w:highlight w:val="none"/>
          <w:lang w:eastAsia="zh-CN"/>
        </w:rPr>
        <w:t>起至</w:t>
      </w:r>
      <w:r>
        <w:rPr>
          <w:rFonts w:hint="eastAsia" w:ascii="宋体" w:hAnsi="宋体" w:cs="宋体"/>
          <w:bCs/>
          <w:color w:val="auto"/>
          <w:sz w:val="21"/>
          <w:szCs w:val="21"/>
          <w:highlight w:val="none"/>
          <w:lang w:eastAsia="zh-CN"/>
        </w:rPr>
        <w:t>2025年11月11日，</w:t>
      </w:r>
      <w:r>
        <w:rPr>
          <w:rFonts w:hint="eastAsia" w:ascii="宋体" w:hAnsi="宋体" w:cs="宋体"/>
          <w:bCs/>
          <w:color w:val="auto"/>
          <w:sz w:val="21"/>
          <w:szCs w:val="21"/>
          <w:highlight w:val="none"/>
          <w:lang w:val="en-US" w:eastAsia="zh-CN"/>
        </w:rPr>
        <w:t>每天上午00：00至12：00，下午12：00至23：59</w:t>
      </w:r>
      <w:r>
        <w:rPr>
          <w:rFonts w:hint="eastAsia" w:ascii="宋体" w:hAnsi="宋体" w:eastAsia="宋体" w:cs="宋体"/>
          <w:bCs/>
          <w:color w:val="auto"/>
          <w:sz w:val="21"/>
          <w:szCs w:val="21"/>
          <w:highlight w:val="none"/>
          <w:lang w:eastAsia="zh-CN"/>
        </w:rPr>
        <w:t>（北京时间</w:t>
      </w:r>
      <w:r>
        <w:rPr>
          <w:rFonts w:hint="eastAsia" w:ascii="宋体" w:hAnsi="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法定节假日除外</w:t>
      </w:r>
      <w:r>
        <w:rPr>
          <w:rFonts w:hint="eastAsia" w:ascii="宋体" w:hAnsi="宋体" w:eastAsia="宋体" w:cs="宋体"/>
          <w:bCs/>
          <w:color w:val="auto"/>
          <w:sz w:val="21"/>
          <w:szCs w:val="21"/>
          <w:highlight w:val="none"/>
          <w:lang w:eastAsia="zh-CN"/>
        </w:rPr>
        <w:t>）</w:t>
      </w:r>
      <w:r>
        <w:rPr>
          <w:rFonts w:hint="eastAsia" w:ascii="宋体" w:hAnsi="宋体" w:cs="宋体"/>
          <w:bCs/>
          <w:color w:val="auto"/>
          <w:sz w:val="21"/>
          <w:szCs w:val="21"/>
          <w:highlight w:val="none"/>
          <w:lang w:eastAsia="zh-CN"/>
        </w:rPr>
        <w:t>。</w:t>
      </w:r>
    </w:p>
    <w:p w14:paraId="6A5F2235">
      <w:pPr>
        <w:keepNext w:val="0"/>
        <w:keepLines w:val="0"/>
        <w:pageBreakBefore w:val="0"/>
        <w:widowControl w:val="0"/>
        <w:kinsoku/>
        <w:wordWrap/>
        <w:overflowPunct/>
        <w:topLinePunct w:val="0"/>
        <w:autoSpaceDE/>
        <w:autoSpaceDN/>
        <w:bidi w:val="0"/>
        <w:adjustRightInd/>
        <w:snapToGrid/>
        <w:spacing w:line="288" w:lineRule="auto"/>
        <w:ind w:firstLine="54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地点（网址）：供应商登录广西政府采购云平台（https：//www.gcy.zfcg.gxzf.gov.cn/）在线申请获取采购文件（进入“项目采购”应用，在获取采购文件菜单中选择项目，申请获取采购文件，否则，有可能导致无法在线编制响应文件并参与磋商，其不利后果由供应商自行承担）。</w:t>
      </w:r>
    </w:p>
    <w:p w14:paraId="1F08F066">
      <w:pPr>
        <w:keepNext w:val="0"/>
        <w:keepLines w:val="0"/>
        <w:pageBreakBefore w:val="0"/>
        <w:widowControl w:val="0"/>
        <w:kinsoku/>
        <w:wordWrap/>
        <w:overflowPunct/>
        <w:topLinePunct w:val="0"/>
        <w:autoSpaceDE/>
        <w:autoSpaceDN/>
        <w:bidi w:val="0"/>
        <w:adjustRightInd/>
        <w:snapToGrid/>
        <w:spacing w:line="288" w:lineRule="auto"/>
        <w:ind w:firstLine="54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方式：</w:t>
      </w:r>
      <w:r>
        <w:rPr>
          <w:rFonts w:hint="eastAsia" w:ascii="宋体" w:hAnsi="宋体" w:eastAsia="宋体" w:cs="宋体"/>
          <w:bCs/>
          <w:color w:val="auto"/>
          <w:sz w:val="21"/>
          <w:szCs w:val="21"/>
          <w:highlight w:val="none"/>
          <w:lang w:val="en-US" w:eastAsia="zh-CN"/>
        </w:rPr>
        <w:t>供应商登录广西政府采购云平台（</w:t>
      </w:r>
      <w:r>
        <w:rPr>
          <w:rFonts w:hint="eastAsia" w:ascii="宋体" w:hAnsi="宋体" w:eastAsia="宋体" w:cs="宋体"/>
          <w:bCs/>
          <w:color w:val="auto"/>
          <w:sz w:val="21"/>
          <w:szCs w:val="21"/>
          <w:highlight w:val="none"/>
          <w:lang w:val="en-US" w:eastAsia="zh-CN"/>
        </w:rPr>
        <w:fldChar w:fldCharType="begin"/>
      </w:r>
      <w:r>
        <w:rPr>
          <w:rFonts w:hint="eastAsia" w:ascii="宋体" w:hAnsi="宋体" w:eastAsia="宋体" w:cs="宋体"/>
          <w:bCs/>
          <w:color w:val="auto"/>
          <w:sz w:val="21"/>
          <w:szCs w:val="21"/>
          <w:highlight w:val="none"/>
          <w:lang w:val="en-US" w:eastAsia="zh-CN"/>
        </w:rPr>
        <w:instrText xml:space="preserve"> HYPERLINK "https://www.gcy.zfcg.gxzf.gov.cn/）在线申请获取采购文件（进入\“项目采购\”应用，在获取采购文件菜单中选择项目，申请获取采购文件，否则，有可能导致无法在线编制响应文件并参与磋商，其不利后果由供应商自行承担）。" </w:instrText>
      </w:r>
      <w:r>
        <w:rPr>
          <w:rFonts w:hint="eastAsia" w:ascii="宋体" w:hAnsi="宋体" w:eastAsia="宋体" w:cs="宋体"/>
          <w:bCs/>
          <w:color w:val="auto"/>
          <w:sz w:val="21"/>
          <w:szCs w:val="21"/>
          <w:highlight w:val="none"/>
          <w:lang w:val="en-US" w:eastAsia="zh-CN"/>
        </w:rPr>
        <w:fldChar w:fldCharType="separate"/>
      </w:r>
      <w:r>
        <w:rPr>
          <w:rFonts w:hint="eastAsia" w:ascii="宋体" w:hAnsi="宋体" w:eastAsia="宋体" w:cs="宋体"/>
          <w:bCs/>
          <w:color w:val="auto"/>
          <w:sz w:val="21"/>
          <w:szCs w:val="21"/>
          <w:highlight w:val="none"/>
          <w:lang w:val="en-US" w:eastAsia="zh-CN"/>
        </w:rPr>
        <w:t>https</w:t>
      </w:r>
      <w:r>
        <w:rPr>
          <w:rFonts w:hint="eastAsia" w:ascii="宋体" w:hAnsi="宋体" w:cs="宋体"/>
          <w:bCs/>
          <w:color w:val="auto"/>
          <w:sz w:val="21"/>
          <w:szCs w:val="21"/>
          <w:highlight w:val="none"/>
          <w:lang w:val="en-US" w:eastAsia="zh-CN"/>
        </w:rPr>
        <w:t>：</w:t>
      </w:r>
      <w:r>
        <w:rPr>
          <w:rFonts w:hint="eastAsia" w:ascii="宋体" w:hAnsi="宋体" w:eastAsia="宋体" w:cs="宋体"/>
          <w:bCs/>
          <w:color w:val="auto"/>
          <w:sz w:val="21"/>
          <w:szCs w:val="21"/>
          <w:highlight w:val="none"/>
          <w:lang w:val="en-US" w:eastAsia="zh-CN"/>
        </w:rPr>
        <w:t>//www.gcy.zfcg.gxzf.gov.cn/）在线申请获取采购文件（进入“项目采购”应用，在获取采购文件菜单中选择项目，申请获取采购文件）</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fldChar w:fldCharType="end"/>
      </w:r>
    </w:p>
    <w:p w14:paraId="0B957963">
      <w:pPr>
        <w:keepNext w:val="0"/>
        <w:keepLines w:val="0"/>
        <w:pageBreakBefore w:val="0"/>
        <w:widowControl w:val="0"/>
        <w:kinsoku/>
        <w:wordWrap/>
        <w:overflowPunct/>
        <w:topLinePunct w:val="0"/>
        <w:autoSpaceDE/>
        <w:autoSpaceDN/>
        <w:bidi w:val="0"/>
        <w:adjustRightInd/>
        <w:snapToGrid/>
        <w:spacing w:line="288" w:lineRule="auto"/>
        <w:ind w:firstLine="54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售价（元）：0。</w:t>
      </w:r>
    </w:p>
    <w:p w14:paraId="6007C1C5">
      <w:pPr>
        <w:keepNext w:val="0"/>
        <w:keepLines w:val="0"/>
        <w:pageBreakBefore w:val="0"/>
        <w:widowControl w:val="0"/>
        <w:kinsoku/>
        <w:wordWrap/>
        <w:overflowPunct/>
        <w:topLinePunct w:val="0"/>
        <w:autoSpaceDE/>
        <w:autoSpaceDN/>
        <w:bidi w:val="0"/>
        <w:adjustRightInd/>
        <w:snapToGrid/>
        <w:spacing w:line="288" w:lineRule="auto"/>
        <w:textAlignment w:val="auto"/>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w:t>
      </w:r>
      <w:r>
        <w:rPr>
          <w:rFonts w:hint="eastAsia" w:ascii="宋体" w:hAnsi="宋体" w:eastAsia="宋体" w:cs="宋体"/>
          <w:b/>
          <w:bCs/>
          <w:color w:val="auto"/>
          <w:sz w:val="21"/>
          <w:szCs w:val="21"/>
          <w:highlight w:val="none"/>
          <w:lang w:eastAsia="zh-CN"/>
        </w:rPr>
        <w:t>响应</w:t>
      </w:r>
      <w:r>
        <w:rPr>
          <w:rFonts w:hint="eastAsia" w:ascii="宋体" w:hAnsi="宋体" w:eastAsia="宋体" w:cs="宋体"/>
          <w:b/>
          <w:bCs/>
          <w:color w:val="auto"/>
          <w:sz w:val="21"/>
          <w:szCs w:val="21"/>
          <w:highlight w:val="none"/>
        </w:rPr>
        <w:t>文件</w:t>
      </w:r>
      <w:bookmarkEnd w:id="25"/>
      <w:bookmarkEnd w:id="26"/>
      <w:r>
        <w:rPr>
          <w:rFonts w:hint="eastAsia" w:ascii="宋体" w:hAnsi="宋体" w:eastAsia="宋体" w:cs="宋体"/>
          <w:b/>
          <w:bCs/>
          <w:color w:val="auto"/>
          <w:sz w:val="21"/>
          <w:szCs w:val="21"/>
          <w:highlight w:val="none"/>
          <w:lang w:eastAsia="zh-CN"/>
        </w:rPr>
        <w:t>提交</w:t>
      </w:r>
      <w:r>
        <w:rPr>
          <w:rFonts w:hint="eastAsia" w:ascii="宋体" w:hAnsi="宋体" w:eastAsia="宋体" w:cs="宋体"/>
          <w:b/>
          <w:bCs/>
          <w:color w:val="auto"/>
          <w:sz w:val="21"/>
          <w:szCs w:val="21"/>
          <w:highlight w:val="none"/>
        </w:rPr>
        <w:t>时间和地点</w:t>
      </w:r>
      <w:bookmarkEnd w:id="27"/>
      <w:bookmarkEnd w:id="28"/>
    </w:p>
    <w:p w14:paraId="36E36438">
      <w:pPr>
        <w:keepNext w:val="0"/>
        <w:keepLines w:val="0"/>
        <w:pageBreakBefore w:val="0"/>
        <w:widowControl w:val="0"/>
        <w:kinsoku/>
        <w:wordWrap/>
        <w:overflowPunct/>
        <w:topLinePunct w:val="0"/>
        <w:autoSpaceDE/>
        <w:autoSpaceDN/>
        <w:bidi w:val="0"/>
        <w:adjustRightInd/>
        <w:snapToGrid/>
        <w:spacing w:line="288" w:lineRule="auto"/>
        <w:ind w:firstLine="54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截止时间：</w:t>
      </w:r>
      <w:r>
        <w:rPr>
          <w:rFonts w:hint="eastAsia" w:ascii="宋体" w:hAnsi="宋体" w:cs="宋体"/>
          <w:bCs/>
          <w:color w:val="auto"/>
          <w:sz w:val="21"/>
          <w:szCs w:val="21"/>
          <w:highlight w:val="none"/>
          <w:lang w:eastAsia="zh-CN"/>
        </w:rPr>
        <w:t>2025年11月11日</w:t>
      </w:r>
      <w:r>
        <w:rPr>
          <w:rFonts w:hint="eastAsia" w:ascii="宋体" w:hAnsi="宋体" w:eastAsia="宋体" w:cs="宋体"/>
          <w:bCs/>
          <w:color w:val="auto"/>
          <w:sz w:val="21"/>
          <w:szCs w:val="21"/>
          <w:highlight w:val="none"/>
          <w:lang w:val="en-US" w:eastAsia="zh-CN"/>
        </w:rPr>
        <w:t>9时30分</w:t>
      </w:r>
      <w:r>
        <w:rPr>
          <w:rFonts w:hint="eastAsia" w:ascii="宋体" w:hAnsi="宋体" w:eastAsia="宋体" w:cs="宋体"/>
          <w:bCs/>
          <w:color w:val="auto"/>
          <w:sz w:val="21"/>
          <w:szCs w:val="21"/>
          <w:highlight w:val="none"/>
          <w:lang w:eastAsia="zh-CN"/>
        </w:rPr>
        <w:t>（北京时间）。</w:t>
      </w:r>
    </w:p>
    <w:p w14:paraId="030BC2F6">
      <w:pPr>
        <w:keepNext w:val="0"/>
        <w:keepLines w:val="0"/>
        <w:pageBreakBefore w:val="0"/>
        <w:widowControl w:val="0"/>
        <w:kinsoku/>
        <w:wordWrap/>
        <w:overflowPunct/>
        <w:topLinePunct w:val="0"/>
        <w:autoSpaceDE/>
        <w:autoSpaceDN/>
        <w:bidi w:val="0"/>
        <w:adjustRightInd/>
        <w:snapToGrid/>
        <w:spacing w:line="288" w:lineRule="auto"/>
        <w:ind w:firstLine="540"/>
        <w:textAlignment w:val="auto"/>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eastAsia="zh-CN"/>
        </w:rPr>
        <w:t>地</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lang w:eastAsia="zh-CN"/>
        </w:rPr>
        <w:t>点：通过广西政府</w:t>
      </w:r>
      <w:r>
        <w:rPr>
          <w:rFonts w:hint="eastAsia" w:ascii="宋体" w:hAnsi="宋体" w:eastAsia="宋体" w:cs="宋体"/>
          <w:color w:val="auto"/>
          <w:sz w:val="21"/>
          <w:szCs w:val="21"/>
          <w:highlight w:val="none"/>
        </w:rPr>
        <w:t>采购云平台</w:t>
      </w:r>
      <w:r>
        <w:rPr>
          <w:rFonts w:hint="eastAsia" w:ascii="宋体" w:hAnsi="宋体" w:eastAsia="宋体" w:cs="宋体"/>
          <w:bCs/>
          <w:color w:val="auto"/>
          <w:sz w:val="21"/>
          <w:szCs w:val="21"/>
          <w:highlight w:val="none"/>
          <w:lang w:eastAsia="zh-CN"/>
        </w:rPr>
        <w:t>（https</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lang w:eastAsia="zh-CN"/>
        </w:rPr>
        <w:t>//www.gcy.zfcg.gxzf.gov.cn/）</w:t>
      </w:r>
      <w:r>
        <w:rPr>
          <w:rFonts w:hint="eastAsia" w:ascii="宋体" w:hAnsi="宋体" w:eastAsia="宋体" w:cs="宋体"/>
          <w:color w:val="auto"/>
          <w:sz w:val="21"/>
          <w:szCs w:val="21"/>
          <w:highlight w:val="none"/>
        </w:rPr>
        <w:t>实行</w:t>
      </w:r>
      <w:r>
        <w:rPr>
          <w:rFonts w:hint="eastAsia" w:ascii="宋体" w:hAnsi="宋体" w:cs="宋体"/>
          <w:color w:val="auto"/>
          <w:sz w:val="21"/>
          <w:szCs w:val="21"/>
          <w:highlight w:val="none"/>
          <w:lang w:eastAsia="zh-CN"/>
        </w:rPr>
        <w:t>在线响应</w:t>
      </w:r>
      <w:r>
        <w:rPr>
          <w:rFonts w:hint="eastAsia" w:ascii="宋体" w:hAnsi="宋体" w:cs="Times New Roman"/>
          <w:color w:val="auto"/>
          <w:szCs w:val="21"/>
          <w:highlight w:val="none"/>
          <w:lang w:eastAsia="zh-CN"/>
        </w:rPr>
        <w:t>。</w:t>
      </w:r>
    </w:p>
    <w:p w14:paraId="1CF57271">
      <w:pPr>
        <w:keepNext w:val="0"/>
        <w:keepLines w:val="0"/>
        <w:pageBreakBefore w:val="0"/>
        <w:widowControl w:val="0"/>
        <w:kinsoku/>
        <w:wordWrap/>
        <w:overflowPunct/>
        <w:topLinePunct w:val="0"/>
        <w:autoSpaceDE/>
        <w:autoSpaceDN/>
        <w:bidi w:val="0"/>
        <w:adjustRightInd/>
        <w:snapToGrid/>
        <w:spacing w:line="288" w:lineRule="auto"/>
        <w:textAlignment w:val="auto"/>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五、开启</w:t>
      </w:r>
    </w:p>
    <w:p w14:paraId="6A6989A3">
      <w:pPr>
        <w:keepNext w:val="0"/>
        <w:keepLines w:val="0"/>
        <w:pageBreakBefore w:val="0"/>
        <w:widowControl w:val="0"/>
        <w:kinsoku/>
        <w:wordWrap/>
        <w:overflowPunct/>
        <w:topLinePunct w:val="0"/>
        <w:autoSpaceDE/>
        <w:autoSpaceDN/>
        <w:bidi w:val="0"/>
        <w:adjustRightInd/>
        <w:snapToGrid/>
        <w:spacing w:line="288" w:lineRule="auto"/>
        <w:ind w:firstLine="54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时间：</w:t>
      </w:r>
      <w:r>
        <w:rPr>
          <w:rFonts w:hint="eastAsia" w:ascii="宋体" w:hAnsi="宋体" w:cs="宋体"/>
          <w:bCs/>
          <w:color w:val="auto"/>
          <w:sz w:val="21"/>
          <w:szCs w:val="21"/>
          <w:highlight w:val="none"/>
          <w:lang w:eastAsia="zh-CN"/>
        </w:rPr>
        <w:t>2025年11月11日</w:t>
      </w:r>
      <w:r>
        <w:rPr>
          <w:rFonts w:hint="eastAsia" w:ascii="宋体" w:hAnsi="宋体" w:eastAsia="宋体" w:cs="宋体"/>
          <w:bCs/>
          <w:color w:val="auto"/>
          <w:sz w:val="21"/>
          <w:szCs w:val="21"/>
          <w:highlight w:val="none"/>
          <w:lang w:val="en-US" w:eastAsia="zh-CN"/>
        </w:rPr>
        <w:t>9时30分</w:t>
      </w:r>
      <w:r>
        <w:rPr>
          <w:rFonts w:hint="eastAsia" w:ascii="宋体" w:hAnsi="宋体" w:eastAsia="宋体" w:cs="宋体"/>
          <w:bCs/>
          <w:color w:val="auto"/>
          <w:sz w:val="21"/>
          <w:szCs w:val="21"/>
          <w:highlight w:val="none"/>
          <w:lang w:eastAsia="zh-CN"/>
        </w:rPr>
        <w:t>（北京时间）截标后。</w:t>
      </w:r>
    </w:p>
    <w:p w14:paraId="0A457B8F">
      <w:pPr>
        <w:keepNext w:val="0"/>
        <w:keepLines w:val="0"/>
        <w:pageBreakBefore w:val="0"/>
        <w:widowControl w:val="0"/>
        <w:kinsoku/>
        <w:wordWrap/>
        <w:overflowPunct/>
        <w:topLinePunct w:val="0"/>
        <w:autoSpaceDE/>
        <w:autoSpaceDN/>
        <w:bidi w:val="0"/>
        <w:adjustRightInd/>
        <w:snapToGrid/>
        <w:spacing w:line="288" w:lineRule="auto"/>
        <w:ind w:firstLine="54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eastAsia="zh-CN"/>
        </w:rPr>
        <w:t>地</w:t>
      </w:r>
      <w:r>
        <w:rPr>
          <w:rFonts w:hint="eastAsia" w:ascii="宋体" w:hAnsi="宋体" w:eastAsia="宋体" w:cs="宋体"/>
          <w:bCs/>
          <w:color w:val="auto"/>
          <w:kern w:val="0"/>
          <w:szCs w:val="21"/>
          <w:highlight w:val="none"/>
        </w:rPr>
        <w:t>点</w:t>
      </w:r>
      <w:r>
        <w:rPr>
          <w:rFonts w:hint="eastAsia" w:ascii="宋体" w:hAnsi="宋体" w:eastAsia="宋体" w:cs="宋体"/>
          <w:color w:val="auto"/>
          <w:sz w:val="21"/>
          <w:szCs w:val="21"/>
          <w:highlight w:val="none"/>
        </w:rPr>
        <w:t>：通过广西政府采购云平台</w:t>
      </w:r>
      <w:r>
        <w:rPr>
          <w:rFonts w:hint="eastAsia" w:ascii="宋体" w:hAnsi="宋体" w:eastAsia="宋体" w:cs="宋体"/>
          <w:bCs/>
          <w:color w:val="auto"/>
          <w:sz w:val="21"/>
          <w:szCs w:val="21"/>
          <w:highlight w:val="none"/>
          <w:lang w:eastAsia="zh-CN"/>
        </w:rPr>
        <w:t>（https</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lang w:eastAsia="zh-CN"/>
        </w:rPr>
        <w:t>//www.gcy.zfcg.gxzf.gov.cn/）</w:t>
      </w:r>
      <w:r>
        <w:rPr>
          <w:rFonts w:hint="eastAsia" w:ascii="宋体" w:hAnsi="宋体" w:eastAsia="宋体" w:cs="宋体"/>
          <w:color w:val="auto"/>
          <w:sz w:val="21"/>
          <w:szCs w:val="21"/>
          <w:highlight w:val="none"/>
        </w:rPr>
        <w:t>实行在线解密开启。</w:t>
      </w:r>
    </w:p>
    <w:p w14:paraId="6305FF05">
      <w:pPr>
        <w:keepNext w:val="0"/>
        <w:keepLines w:val="0"/>
        <w:pageBreakBefore w:val="0"/>
        <w:widowControl w:val="0"/>
        <w:kinsoku/>
        <w:wordWrap/>
        <w:overflowPunct/>
        <w:topLinePunct w:val="0"/>
        <w:autoSpaceDE/>
        <w:autoSpaceDN/>
        <w:bidi w:val="0"/>
        <w:adjustRightInd/>
        <w:snapToGrid/>
        <w:spacing w:line="288" w:lineRule="auto"/>
        <w:textAlignment w:val="auto"/>
        <w:outlineLvl w:val="1"/>
        <w:rPr>
          <w:rFonts w:hint="eastAsia" w:ascii="宋体" w:hAnsi="宋体" w:eastAsia="宋体" w:cs="宋体"/>
          <w:b/>
          <w:bCs/>
          <w:color w:val="auto"/>
          <w:sz w:val="21"/>
          <w:szCs w:val="21"/>
          <w:highlight w:val="none"/>
        </w:rPr>
      </w:pPr>
      <w:bookmarkStart w:id="29" w:name="_Toc35393625"/>
      <w:bookmarkStart w:id="30" w:name="_Toc28359084"/>
      <w:bookmarkStart w:id="31" w:name="_Toc28359007"/>
      <w:bookmarkStart w:id="32" w:name="_Toc35393794"/>
      <w:r>
        <w:rPr>
          <w:rFonts w:hint="eastAsia" w:ascii="宋体" w:hAnsi="宋体" w:eastAsia="宋体" w:cs="宋体"/>
          <w:b/>
          <w:bCs/>
          <w:color w:val="auto"/>
          <w:sz w:val="21"/>
          <w:szCs w:val="21"/>
          <w:highlight w:val="none"/>
          <w:lang w:eastAsia="zh-CN"/>
        </w:rPr>
        <w:t>六</w:t>
      </w:r>
      <w:r>
        <w:rPr>
          <w:rFonts w:hint="eastAsia" w:ascii="宋体" w:hAnsi="宋体" w:eastAsia="宋体" w:cs="宋体"/>
          <w:b/>
          <w:bCs/>
          <w:color w:val="auto"/>
          <w:sz w:val="21"/>
          <w:szCs w:val="21"/>
          <w:highlight w:val="none"/>
        </w:rPr>
        <w:t>、公告期限</w:t>
      </w:r>
      <w:bookmarkEnd w:id="29"/>
      <w:bookmarkEnd w:id="30"/>
      <w:bookmarkEnd w:id="31"/>
      <w:bookmarkEnd w:id="32"/>
    </w:p>
    <w:p w14:paraId="067A1743">
      <w:pPr>
        <w:keepNext w:val="0"/>
        <w:keepLines w:val="0"/>
        <w:pageBreakBefore w:val="0"/>
        <w:widowControl w:val="0"/>
        <w:kinsoku/>
        <w:wordWrap/>
        <w:overflowPunct/>
        <w:topLinePunct w:val="0"/>
        <w:autoSpaceDE/>
        <w:autoSpaceDN/>
        <w:bidi w:val="0"/>
        <w:adjustRightInd/>
        <w:snapToGrid/>
        <w:spacing w:line="288" w:lineRule="auto"/>
        <w:ind w:firstLine="54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自本公告发布之日起</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个工作日。</w:t>
      </w:r>
    </w:p>
    <w:p w14:paraId="2C937362">
      <w:pPr>
        <w:keepNext w:val="0"/>
        <w:keepLines w:val="0"/>
        <w:pageBreakBefore w:val="0"/>
        <w:widowControl w:val="0"/>
        <w:kinsoku/>
        <w:wordWrap/>
        <w:overflowPunct/>
        <w:topLinePunct w:val="0"/>
        <w:autoSpaceDE/>
        <w:autoSpaceDN/>
        <w:bidi w:val="0"/>
        <w:adjustRightInd/>
        <w:snapToGrid/>
        <w:spacing w:line="288" w:lineRule="auto"/>
        <w:textAlignment w:val="auto"/>
        <w:outlineLvl w:val="1"/>
        <w:rPr>
          <w:rFonts w:hint="eastAsia" w:ascii="宋体" w:hAnsi="宋体" w:eastAsia="宋体" w:cs="宋体"/>
          <w:b/>
          <w:bCs/>
          <w:color w:val="auto"/>
          <w:sz w:val="21"/>
          <w:szCs w:val="21"/>
          <w:highlight w:val="none"/>
        </w:rPr>
      </w:pPr>
      <w:bookmarkStart w:id="33" w:name="_Toc35393626"/>
      <w:bookmarkStart w:id="34" w:name="_Toc35393795"/>
      <w:r>
        <w:rPr>
          <w:rFonts w:hint="eastAsia" w:ascii="宋体" w:hAnsi="宋体" w:eastAsia="宋体" w:cs="宋体"/>
          <w:b/>
          <w:bCs/>
          <w:color w:val="auto"/>
          <w:sz w:val="21"/>
          <w:szCs w:val="21"/>
          <w:highlight w:val="none"/>
          <w:lang w:eastAsia="zh-CN"/>
        </w:rPr>
        <w:t>七</w:t>
      </w:r>
      <w:r>
        <w:rPr>
          <w:rFonts w:hint="eastAsia" w:ascii="宋体" w:hAnsi="宋体" w:eastAsia="宋体" w:cs="宋体"/>
          <w:b/>
          <w:bCs/>
          <w:color w:val="auto"/>
          <w:sz w:val="21"/>
          <w:szCs w:val="21"/>
          <w:highlight w:val="none"/>
        </w:rPr>
        <w:t>、其他补充事宜</w:t>
      </w:r>
      <w:bookmarkEnd w:id="33"/>
      <w:bookmarkEnd w:id="34"/>
    </w:p>
    <w:p w14:paraId="2D05550C">
      <w:pPr>
        <w:keepNext w:val="0"/>
        <w:keepLines w:val="0"/>
        <w:pageBreakBefore w:val="0"/>
        <w:widowControl w:val="0"/>
        <w:kinsoku/>
        <w:wordWrap/>
        <w:overflowPunct/>
        <w:topLinePunct w:val="0"/>
        <w:autoSpaceDE/>
        <w:autoSpaceDN/>
        <w:bidi w:val="0"/>
        <w:adjustRightInd/>
        <w:snapToGrid/>
        <w:spacing w:line="288" w:lineRule="auto"/>
        <w:ind w:firstLine="540"/>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val="0"/>
          <w:color w:val="auto"/>
          <w:sz w:val="21"/>
          <w:szCs w:val="21"/>
          <w:highlight w:val="none"/>
          <w:lang w:val="en-US" w:eastAsia="zh-CN"/>
        </w:rPr>
        <w:t>、本项目无需缴纳磋商保证金。</w:t>
      </w:r>
    </w:p>
    <w:p w14:paraId="53D2BA2E">
      <w:pPr>
        <w:keepNext w:val="0"/>
        <w:keepLines w:val="0"/>
        <w:pageBreakBefore w:val="0"/>
        <w:widowControl w:val="0"/>
        <w:kinsoku/>
        <w:wordWrap/>
        <w:overflowPunct/>
        <w:topLinePunct w:val="0"/>
        <w:autoSpaceDE/>
        <w:autoSpaceDN/>
        <w:bidi w:val="0"/>
        <w:adjustRightInd/>
        <w:snapToGrid/>
        <w:spacing w:line="288" w:lineRule="auto"/>
        <w:ind w:firstLine="540"/>
        <w:textAlignment w:val="auto"/>
        <w:rPr>
          <w:rFonts w:hint="eastAsia" w:ascii="宋体" w:hAnsi="宋体"/>
          <w:color w:val="auto"/>
          <w:szCs w:val="21"/>
          <w:lang w:val="en-US" w:eastAsia="zh-CN"/>
        </w:rPr>
      </w:pPr>
      <w:r>
        <w:rPr>
          <w:rFonts w:hint="eastAsia" w:ascii="宋体" w:hAnsi="宋体" w:eastAsia="宋体" w:cs="宋体"/>
          <w:b/>
          <w:bCs w:val="0"/>
          <w:color w:val="auto"/>
          <w:sz w:val="21"/>
          <w:szCs w:val="21"/>
          <w:highlight w:val="none"/>
          <w:lang w:val="en-US" w:eastAsia="zh-CN"/>
        </w:rPr>
        <w:t>2、本项目专门面向</w:t>
      </w:r>
      <w:r>
        <w:rPr>
          <w:rFonts w:hint="eastAsia" w:ascii="宋体" w:hAnsi="宋体" w:cs="宋体"/>
          <w:b/>
          <w:bCs w:val="0"/>
          <w:color w:val="auto"/>
          <w:sz w:val="21"/>
          <w:szCs w:val="21"/>
          <w:highlight w:val="none"/>
          <w:lang w:val="en-US" w:eastAsia="zh-CN"/>
        </w:rPr>
        <w:t>小微企业</w:t>
      </w:r>
      <w:r>
        <w:rPr>
          <w:rFonts w:hint="eastAsia" w:ascii="宋体" w:hAnsi="宋体" w:eastAsia="宋体" w:cs="宋体"/>
          <w:b/>
          <w:bCs w:val="0"/>
          <w:color w:val="auto"/>
          <w:sz w:val="21"/>
          <w:szCs w:val="21"/>
          <w:highlight w:val="none"/>
          <w:lang w:val="en-US" w:eastAsia="zh-CN"/>
        </w:rPr>
        <w:t>采购；所属行业为：建筑业</w:t>
      </w:r>
      <w:r>
        <w:rPr>
          <w:rFonts w:hint="eastAsia" w:ascii="宋体" w:hAnsi="宋体" w:eastAsia="宋体" w:cs="宋体"/>
          <w:bCs/>
          <w:color w:val="auto"/>
          <w:sz w:val="21"/>
          <w:szCs w:val="21"/>
          <w:highlight w:val="none"/>
          <w:lang w:val="en-US" w:eastAsia="zh-CN"/>
        </w:rPr>
        <w:t>。</w:t>
      </w:r>
    </w:p>
    <w:p w14:paraId="0548F6E0">
      <w:pPr>
        <w:keepNext w:val="0"/>
        <w:keepLines w:val="0"/>
        <w:pageBreakBefore w:val="0"/>
        <w:widowControl w:val="0"/>
        <w:kinsoku/>
        <w:wordWrap/>
        <w:overflowPunct/>
        <w:topLinePunct w:val="0"/>
        <w:autoSpaceDE/>
        <w:autoSpaceDN/>
        <w:bidi w:val="0"/>
        <w:adjustRightInd/>
        <w:snapToGrid/>
        <w:spacing w:line="288" w:lineRule="auto"/>
        <w:ind w:firstLine="54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lang w:eastAsia="zh-CN"/>
        </w:rPr>
        <w:t>本项目信息发布媒体：中国政府采购网（www.ccgp.gov.cn）；广西壮族自治区政府采购网（www.ccgp-guangxi.gov.cn）；桂林市政府采购网（zfcg.czj.guilin.gov.cn）。</w:t>
      </w:r>
    </w:p>
    <w:p w14:paraId="28710BFA">
      <w:pPr>
        <w:keepNext w:val="0"/>
        <w:keepLines w:val="0"/>
        <w:pageBreakBefore w:val="0"/>
        <w:widowControl w:val="0"/>
        <w:kinsoku/>
        <w:wordWrap/>
        <w:overflowPunct/>
        <w:topLinePunct w:val="0"/>
        <w:autoSpaceDE/>
        <w:autoSpaceDN/>
        <w:bidi w:val="0"/>
        <w:adjustRightInd/>
        <w:snapToGrid/>
        <w:spacing w:line="288" w:lineRule="auto"/>
        <w:ind w:firstLine="54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4、本项目需要落实的政府采购政策：</w:t>
      </w:r>
    </w:p>
    <w:p w14:paraId="0B7DFB28">
      <w:pPr>
        <w:keepNext w:val="0"/>
        <w:keepLines w:val="0"/>
        <w:pageBreakBefore w:val="0"/>
        <w:widowControl w:val="0"/>
        <w:kinsoku/>
        <w:wordWrap/>
        <w:overflowPunct/>
        <w:topLinePunct w:val="0"/>
        <w:autoSpaceDE/>
        <w:autoSpaceDN/>
        <w:bidi w:val="0"/>
        <w:adjustRightInd/>
        <w:snapToGrid/>
        <w:spacing w:line="288" w:lineRule="auto"/>
        <w:ind w:firstLine="54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（1）政府采购促进中小企业发展。</w:t>
      </w:r>
    </w:p>
    <w:p w14:paraId="0E9624A2">
      <w:pPr>
        <w:keepNext w:val="0"/>
        <w:keepLines w:val="0"/>
        <w:pageBreakBefore w:val="0"/>
        <w:widowControl w:val="0"/>
        <w:kinsoku/>
        <w:wordWrap/>
        <w:overflowPunct/>
        <w:topLinePunct w:val="0"/>
        <w:autoSpaceDE/>
        <w:autoSpaceDN/>
        <w:bidi w:val="0"/>
        <w:adjustRightInd/>
        <w:snapToGrid/>
        <w:spacing w:line="288" w:lineRule="auto"/>
        <w:ind w:firstLine="54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（2）政府采购促进残疾人就业政策。</w:t>
      </w:r>
    </w:p>
    <w:p w14:paraId="01861E80">
      <w:pPr>
        <w:keepNext w:val="0"/>
        <w:keepLines w:val="0"/>
        <w:pageBreakBefore w:val="0"/>
        <w:widowControl w:val="0"/>
        <w:kinsoku/>
        <w:wordWrap/>
        <w:overflowPunct/>
        <w:topLinePunct w:val="0"/>
        <w:autoSpaceDE/>
        <w:autoSpaceDN/>
        <w:bidi w:val="0"/>
        <w:adjustRightInd/>
        <w:snapToGrid/>
        <w:spacing w:line="288" w:lineRule="auto"/>
        <w:ind w:firstLine="54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（3）政府采购支持监狱企业发展。</w:t>
      </w:r>
    </w:p>
    <w:p w14:paraId="4BB98313">
      <w:pPr>
        <w:keepNext w:val="0"/>
        <w:keepLines w:val="0"/>
        <w:pageBreakBefore w:val="0"/>
        <w:widowControl w:val="0"/>
        <w:kinsoku/>
        <w:wordWrap/>
        <w:overflowPunct/>
        <w:topLinePunct w:val="0"/>
        <w:autoSpaceDE/>
        <w:autoSpaceDN/>
        <w:bidi w:val="0"/>
        <w:adjustRightInd/>
        <w:snapToGrid/>
        <w:spacing w:line="288" w:lineRule="auto"/>
        <w:ind w:firstLine="54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5、资格要求特别说明：</w:t>
      </w:r>
    </w:p>
    <w:p w14:paraId="18221CCF">
      <w:pPr>
        <w:keepNext w:val="0"/>
        <w:keepLines w:val="0"/>
        <w:pageBreakBefore w:val="0"/>
        <w:widowControl w:val="0"/>
        <w:kinsoku/>
        <w:wordWrap/>
        <w:overflowPunct/>
        <w:topLinePunct w:val="0"/>
        <w:autoSpaceDE/>
        <w:autoSpaceDN/>
        <w:bidi w:val="0"/>
        <w:adjustRightInd/>
        <w:snapToGrid/>
        <w:spacing w:line="288" w:lineRule="auto"/>
        <w:ind w:firstLine="54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7DE76FC4">
      <w:pPr>
        <w:keepNext w:val="0"/>
        <w:keepLines w:val="0"/>
        <w:pageBreakBefore w:val="0"/>
        <w:widowControl w:val="0"/>
        <w:kinsoku/>
        <w:wordWrap/>
        <w:overflowPunct/>
        <w:topLinePunct w:val="0"/>
        <w:autoSpaceDE/>
        <w:autoSpaceDN/>
        <w:bidi w:val="0"/>
        <w:adjustRightInd/>
        <w:snapToGrid/>
        <w:spacing w:line="288" w:lineRule="auto"/>
        <w:ind w:firstLine="54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71F225D3">
      <w:pPr>
        <w:keepNext w:val="0"/>
        <w:keepLines w:val="0"/>
        <w:pageBreakBefore w:val="0"/>
        <w:widowControl w:val="0"/>
        <w:kinsoku/>
        <w:wordWrap/>
        <w:overflowPunct/>
        <w:topLinePunct w:val="0"/>
        <w:autoSpaceDE/>
        <w:autoSpaceDN/>
        <w:bidi w:val="0"/>
        <w:adjustRightInd/>
        <w:snapToGrid/>
        <w:spacing w:line="288" w:lineRule="auto"/>
        <w:ind w:firstLine="54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00B17057">
      <w:pPr>
        <w:keepNext w:val="0"/>
        <w:keepLines w:val="0"/>
        <w:pageBreakBefore w:val="0"/>
        <w:widowControl w:val="0"/>
        <w:kinsoku/>
        <w:wordWrap/>
        <w:overflowPunct/>
        <w:topLinePunct w:val="0"/>
        <w:autoSpaceDE/>
        <w:autoSpaceDN/>
        <w:bidi w:val="0"/>
        <w:adjustRightInd/>
        <w:snapToGrid/>
        <w:spacing w:line="288" w:lineRule="auto"/>
        <w:ind w:firstLine="54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6、“广西政府采购云平台”平台电子磋商相关事宜：</w:t>
      </w:r>
    </w:p>
    <w:p w14:paraId="124782F5">
      <w:pPr>
        <w:keepNext w:val="0"/>
        <w:keepLines w:val="0"/>
        <w:pageBreakBefore w:val="0"/>
        <w:widowControl w:val="0"/>
        <w:kinsoku/>
        <w:wordWrap/>
        <w:overflowPunct/>
        <w:topLinePunct w:val="0"/>
        <w:autoSpaceDE/>
        <w:autoSpaceDN/>
        <w:bidi w:val="0"/>
        <w:adjustRightInd/>
        <w:snapToGrid/>
        <w:spacing w:line="288" w:lineRule="auto"/>
        <w:ind w:firstLine="540"/>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r>
        <w:rPr>
          <w:rFonts w:hint="default" w:ascii="宋体" w:hAnsi="宋体" w:eastAsia="宋体" w:cs="宋体"/>
          <w:bCs/>
          <w:color w:val="auto"/>
          <w:sz w:val="21"/>
          <w:szCs w:val="21"/>
          <w:highlight w:val="none"/>
          <w:lang w:val="en-US" w:eastAsia="zh-CN"/>
        </w:rPr>
        <w:t>1）本项目实行全流程电子化采购，</w:t>
      </w:r>
      <w:r>
        <w:rPr>
          <w:rFonts w:hint="eastAsia" w:ascii="宋体" w:hAnsi="宋体" w:eastAsia="宋体" w:cs="宋体"/>
          <w:bCs/>
          <w:color w:val="auto"/>
          <w:sz w:val="21"/>
          <w:szCs w:val="21"/>
          <w:highlight w:val="none"/>
          <w:lang w:val="en-US" w:eastAsia="zh-CN"/>
        </w:rPr>
        <w:t>磋商供应商</w:t>
      </w:r>
      <w:r>
        <w:rPr>
          <w:rFonts w:hint="default" w:ascii="宋体" w:hAnsi="宋体" w:eastAsia="宋体" w:cs="宋体"/>
          <w:bCs/>
          <w:color w:val="auto"/>
          <w:sz w:val="21"/>
          <w:szCs w:val="21"/>
          <w:highlight w:val="none"/>
          <w:lang w:val="en-US" w:eastAsia="zh-CN"/>
        </w:rPr>
        <w:t>通过“</w:t>
      </w:r>
      <w:r>
        <w:rPr>
          <w:rFonts w:hint="eastAsia" w:ascii="宋体" w:hAnsi="宋体" w:eastAsia="宋体" w:cs="宋体"/>
          <w:bCs/>
          <w:color w:val="auto"/>
          <w:sz w:val="21"/>
          <w:szCs w:val="21"/>
          <w:highlight w:val="none"/>
          <w:lang w:val="en-US" w:eastAsia="zh-CN"/>
        </w:rPr>
        <w:t>广西政府采购云平台</w:t>
      </w:r>
      <w:r>
        <w:rPr>
          <w:rFonts w:hint="default" w:ascii="宋体" w:hAnsi="宋体" w:eastAsia="宋体" w:cs="宋体"/>
          <w:bCs/>
          <w:color w:val="auto"/>
          <w:sz w:val="21"/>
          <w:szCs w:val="21"/>
          <w:highlight w:val="none"/>
          <w:lang w:val="en-US" w:eastAsia="zh-CN"/>
        </w:rPr>
        <w:t>”平台参与电子</w:t>
      </w:r>
      <w:r>
        <w:rPr>
          <w:rFonts w:hint="eastAsia" w:ascii="宋体" w:hAnsi="宋体" w:eastAsia="宋体" w:cs="宋体"/>
          <w:bCs/>
          <w:color w:val="auto"/>
          <w:sz w:val="21"/>
          <w:szCs w:val="21"/>
          <w:highlight w:val="none"/>
          <w:lang w:val="en-US" w:eastAsia="zh-CN"/>
        </w:rPr>
        <w:t>磋商</w:t>
      </w:r>
      <w:r>
        <w:rPr>
          <w:rFonts w:hint="default" w:ascii="宋体" w:hAnsi="宋体" w:eastAsia="宋体" w:cs="宋体"/>
          <w:bCs/>
          <w:color w:val="auto"/>
          <w:sz w:val="21"/>
          <w:szCs w:val="21"/>
          <w:highlight w:val="none"/>
          <w:lang w:val="en-US" w:eastAsia="zh-CN"/>
        </w:rPr>
        <w:t>，并应做好以下相关准备工作：①在“</w:t>
      </w:r>
      <w:r>
        <w:rPr>
          <w:rFonts w:hint="eastAsia" w:ascii="宋体" w:hAnsi="宋体" w:eastAsia="宋体" w:cs="宋体"/>
          <w:bCs/>
          <w:color w:val="auto"/>
          <w:sz w:val="21"/>
          <w:szCs w:val="21"/>
          <w:highlight w:val="none"/>
          <w:lang w:val="en-US" w:eastAsia="zh-CN"/>
        </w:rPr>
        <w:t>广西政府采购云平台</w:t>
      </w:r>
      <w:r>
        <w:rPr>
          <w:rFonts w:hint="default" w:ascii="宋体" w:hAnsi="宋体" w:eastAsia="宋体" w:cs="宋体"/>
          <w:bCs/>
          <w:color w:val="auto"/>
          <w:sz w:val="21"/>
          <w:szCs w:val="21"/>
          <w:highlight w:val="none"/>
          <w:lang w:val="en-US" w:eastAsia="zh-CN"/>
        </w:rPr>
        <w:t>”平台注册成为正式供应商（操作方法详见广西壮族自治区政府采购网—办事服务—办事指南）；②完成CA认证证书申领和绑定（费用由</w:t>
      </w:r>
      <w:r>
        <w:rPr>
          <w:rFonts w:hint="eastAsia" w:ascii="宋体" w:hAnsi="宋体" w:eastAsia="宋体" w:cs="宋体"/>
          <w:bCs/>
          <w:color w:val="auto"/>
          <w:sz w:val="21"/>
          <w:szCs w:val="21"/>
          <w:highlight w:val="none"/>
          <w:lang w:val="en-US" w:eastAsia="zh-CN"/>
        </w:rPr>
        <w:t>磋商供应商</w:t>
      </w:r>
      <w:r>
        <w:rPr>
          <w:rFonts w:hint="default" w:ascii="宋体" w:hAnsi="宋体" w:eastAsia="宋体" w:cs="宋体"/>
          <w:bCs/>
          <w:color w:val="auto"/>
          <w:sz w:val="21"/>
          <w:szCs w:val="21"/>
          <w:highlight w:val="none"/>
          <w:lang w:val="en-US" w:eastAsia="zh-CN"/>
        </w:rPr>
        <w:t>自行承担，办理流程详见广西壮族自治区政府采购网—办事服务—下载专区，完成CA认证证书办理预计一周左右，建议供应商尽快办理）；③下载“广西壮族自治区全流程电子招投标项目管理系统--供应商客户端”（操作方法详见广西壮族自治区政府采购网—办事服务—下载专区，以下称“</w:t>
      </w:r>
      <w:r>
        <w:rPr>
          <w:rFonts w:hint="eastAsia" w:ascii="宋体" w:hAnsi="宋体" w:eastAsia="宋体" w:cs="宋体"/>
          <w:bCs/>
          <w:color w:val="auto"/>
          <w:sz w:val="21"/>
          <w:szCs w:val="21"/>
          <w:highlight w:val="none"/>
          <w:lang w:val="en-US" w:eastAsia="zh-CN"/>
        </w:rPr>
        <w:t>广西政府采购云平台</w:t>
      </w:r>
      <w:r>
        <w:rPr>
          <w:rFonts w:hint="default" w:ascii="宋体" w:hAnsi="宋体" w:eastAsia="宋体" w:cs="宋体"/>
          <w:bCs/>
          <w:color w:val="auto"/>
          <w:sz w:val="21"/>
          <w:szCs w:val="21"/>
          <w:highlight w:val="none"/>
          <w:lang w:val="en-US" w:eastAsia="zh-CN"/>
        </w:rPr>
        <w:t>电子投标客户端”）并安装成功，</w:t>
      </w:r>
      <w:r>
        <w:rPr>
          <w:rFonts w:hint="eastAsia" w:ascii="宋体" w:hAnsi="宋体" w:eastAsia="宋体" w:cs="宋体"/>
          <w:bCs/>
          <w:color w:val="auto"/>
          <w:sz w:val="21"/>
          <w:szCs w:val="21"/>
          <w:highlight w:val="none"/>
          <w:lang w:val="en-US" w:eastAsia="zh-CN"/>
        </w:rPr>
        <w:t>磋商供应商</w:t>
      </w:r>
      <w:r>
        <w:rPr>
          <w:rFonts w:hint="default" w:ascii="宋体" w:hAnsi="宋体" w:eastAsia="宋体" w:cs="宋体"/>
          <w:bCs/>
          <w:color w:val="auto"/>
          <w:sz w:val="21"/>
          <w:szCs w:val="21"/>
          <w:highlight w:val="none"/>
          <w:lang w:val="en-US" w:eastAsia="zh-CN"/>
        </w:rPr>
        <w:t>应当在</w:t>
      </w:r>
      <w:r>
        <w:rPr>
          <w:rFonts w:hint="eastAsia" w:ascii="宋体" w:hAnsi="宋体" w:eastAsia="宋体" w:cs="宋体"/>
          <w:bCs/>
          <w:color w:val="auto"/>
          <w:sz w:val="21"/>
          <w:szCs w:val="21"/>
          <w:highlight w:val="none"/>
          <w:lang w:val="en-US" w:eastAsia="zh-CN"/>
        </w:rPr>
        <w:t>响应</w:t>
      </w:r>
      <w:r>
        <w:rPr>
          <w:rFonts w:hint="default" w:ascii="宋体" w:hAnsi="宋体" w:eastAsia="宋体" w:cs="宋体"/>
          <w:bCs/>
          <w:color w:val="auto"/>
          <w:sz w:val="21"/>
          <w:szCs w:val="21"/>
          <w:highlight w:val="none"/>
          <w:lang w:val="en-US" w:eastAsia="zh-CN"/>
        </w:rPr>
        <w:t>文件提交截止时间前在“</w:t>
      </w:r>
      <w:r>
        <w:rPr>
          <w:rFonts w:hint="eastAsia" w:ascii="宋体" w:hAnsi="宋体" w:eastAsia="宋体" w:cs="宋体"/>
          <w:bCs/>
          <w:color w:val="auto"/>
          <w:sz w:val="21"/>
          <w:szCs w:val="21"/>
          <w:highlight w:val="none"/>
          <w:lang w:val="en-US" w:eastAsia="zh-CN"/>
        </w:rPr>
        <w:t>广西政府采购云平台</w:t>
      </w:r>
      <w:r>
        <w:rPr>
          <w:rFonts w:hint="default" w:ascii="宋体" w:hAnsi="宋体" w:eastAsia="宋体" w:cs="宋体"/>
          <w:bCs/>
          <w:color w:val="auto"/>
          <w:sz w:val="21"/>
          <w:szCs w:val="21"/>
          <w:highlight w:val="none"/>
          <w:lang w:val="en-US" w:eastAsia="zh-CN"/>
        </w:rPr>
        <w:t>”平台完成的身份认证，确保能够对相关数据电文进行加密和使用电子签章；④自备计算机和网络设备并确保能接入互联网（费用由</w:t>
      </w:r>
      <w:r>
        <w:rPr>
          <w:rFonts w:hint="eastAsia" w:ascii="宋体" w:hAnsi="宋体" w:eastAsia="宋体" w:cs="宋体"/>
          <w:bCs/>
          <w:color w:val="auto"/>
          <w:sz w:val="21"/>
          <w:szCs w:val="21"/>
          <w:highlight w:val="none"/>
          <w:lang w:val="en-US" w:eastAsia="zh-CN"/>
        </w:rPr>
        <w:t>磋商供应商</w:t>
      </w:r>
      <w:r>
        <w:rPr>
          <w:rFonts w:hint="default" w:ascii="宋体" w:hAnsi="宋体" w:eastAsia="宋体" w:cs="宋体"/>
          <w:bCs/>
          <w:color w:val="auto"/>
          <w:sz w:val="21"/>
          <w:szCs w:val="21"/>
          <w:highlight w:val="none"/>
          <w:lang w:val="en-US" w:eastAsia="zh-CN"/>
        </w:rPr>
        <w:t>自行承担，设备确保可进行视频通话和读取</w:t>
      </w:r>
      <w:r>
        <w:rPr>
          <w:rFonts w:hint="eastAsia" w:ascii="宋体" w:hAnsi="宋体" w:eastAsia="宋体" w:cs="宋体"/>
          <w:bCs/>
          <w:color w:val="auto"/>
          <w:sz w:val="21"/>
          <w:szCs w:val="21"/>
          <w:highlight w:val="none"/>
          <w:lang w:val="en-US" w:eastAsia="zh-CN"/>
        </w:rPr>
        <w:t>广西政府采购云平台</w:t>
      </w:r>
      <w:r>
        <w:rPr>
          <w:rFonts w:hint="default" w:ascii="宋体" w:hAnsi="宋体" w:eastAsia="宋体" w:cs="宋体"/>
          <w:bCs/>
          <w:color w:val="auto"/>
          <w:sz w:val="21"/>
          <w:szCs w:val="21"/>
          <w:highlight w:val="none"/>
          <w:lang w:val="en-US" w:eastAsia="zh-CN"/>
        </w:rPr>
        <w:t>CA认证证书）。因</w:t>
      </w:r>
      <w:r>
        <w:rPr>
          <w:rFonts w:hint="eastAsia" w:ascii="宋体" w:hAnsi="宋体" w:eastAsia="宋体" w:cs="宋体"/>
          <w:bCs/>
          <w:color w:val="auto"/>
          <w:sz w:val="21"/>
          <w:szCs w:val="21"/>
          <w:highlight w:val="none"/>
          <w:lang w:val="en-US" w:eastAsia="zh-CN"/>
        </w:rPr>
        <w:t>磋商供应商</w:t>
      </w:r>
      <w:r>
        <w:rPr>
          <w:rFonts w:hint="default" w:ascii="宋体" w:hAnsi="宋体" w:eastAsia="宋体" w:cs="宋体"/>
          <w:bCs/>
          <w:color w:val="auto"/>
          <w:sz w:val="21"/>
          <w:szCs w:val="21"/>
          <w:highlight w:val="none"/>
          <w:lang w:val="en-US" w:eastAsia="zh-CN"/>
        </w:rPr>
        <w:t>未做好相关准备工作等自身原因导致无法参加本项目电子</w:t>
      </w:r>
      <w:r>
        <w:rPr>
          <w:rFonts w:hint="eastAsia" w:ascii="宋体" w:hAnsi="宋体" w:eastAsia="宋体" w:cs="宋体"/>
          <w:bCs/>
          <w:color w:val="auto"/>
          <w:sz w:val="21"/>
          <w:szCs w:val="21"/>
          <w:highlight w:val="none"/>
          <w:lang w:val="en-US" w:eastAsia="zh-CN"/>
        </w:rPr>
        <w:t>磋商</w:t>
      </w:r>
      <w:r>
        <w:rPr>
          <w:rFonts w:hint="default" w:ascii="宋体" w:hAnsi="宋体" w:eastAsia="宋体" w:cs="宋体"/>
          <w:bCs/>
          <w:color w:val="auto"/>
          <w:sz w:val="21"/>
          <w:szCs w:val="21"/>
          <w:highlight w:val="none"/>
          <w:lang w:val="en-US" w:eastAsia="zh-CN"/>
        </w:rPr>
        <w:t>或</w:t>
      </w:r>
      <w:r>
        <w:rPr>
          <w:rFonts w:hint="eastAsia" w:ascii="宋体" w:hAnsi="宋体" w:eastAsia="宋体" w:cs="宋体"/>
          <w:bCs/>
          <w:color w:val="auto"/>
          <w:sz w:val="21"/>
          <w:szCs w:val="21"/>
          <w:highlight w:val="none"/>
          <w:lang w:val="en-US" w:eastAsia="zh-CN"/>
        </w:rPr>
        <w:t>磋商</w:t>
      </w:r>
      <w:r>
        <w:rPr>
          <w:rFonts w:hint="default" w:ascii="宋体" w:hAnsi="宋体" w:eastAsia="宋体" w:cs="宋体"/>
          <w:bCs/>
          <w:color w:val="auto"/>
          <w:sz w:val="21"/>
          <w:szCs w:val="21"/>
          <w:highlight w:val="none"/>
          <w:lang w:val="en-US" w:eastAsia="zh-CN"/>
        </w:rPr>
        <w:t>失败的，造成的一切后果，由</w:t>
      </w:r>
      <w:r>
        <w:rPr>
          <w:rFonts w:hint="eastAsia" w:ascii="宋体" w:hAnsi="宋体" w:eastAsia="宋体" w:cs="宋体"/>
          <w:bCs/>
          <w:color w:val="auto"/>
          <w:sz w:val="21"/>
          <w:szCs w:val="21"/>
          <w:highlight w:val="none"/>
          <w:lang w:val="en-US" w:eastAsia="zh-CN"/>
        </w:rPr>
        <w:t>磋商供应商</w:t>
      </w:r>
      <w:r>
        <w:rPr>
          <w:rFonts w:hint="default" w:ascii="宋体" w:hAnsi="宋体" w:eastAsia="宋体" w:cs="宋体"/>
          <w:bCs/>
          <w:color w:val="auto"/>
          <w:sz w:val="21"/>
          <w:szCs w:val="21"/>
          <w:highlight w:val="none"/>
          <w:lang w:val="en-US" w:eastAsia="zh-CN"/>
        </w:rPr>
        <w:t>自行承担。</w:t>
      </w:r>
    </w:p>
    <w:p w14:paraId="24267349">
      <w:pPr>
        <w:keepNext w:val="0"/>
        <w:keepLines w:val="0"/>
        <w:pageBreakBefore w:val="0"/>
        <w:widowControl w:val="0"/>
        <w:kinsoku/>
        <w:wordWrap/>
        <w:overflowPunct/>
        <w:topLinePunct w:val="0"/>
        <w:autoSpaceDE/>
        <w:autoSpaceDN/>
        <w:bidi w:val="0"/>
        <w:adjustRightInd/>
        <w:snapToGrid/>
        <w:spacing w:line="288" w:lineRule="auto"/>
        <w:ind w:firstLine="540"/>
        <w:textAlignment w:val="auto"/>
        <w:rPr>
          <w:rFonts w:hint="default" w:ascii="宋体" w:hAnsi="宋体" w:eastAsia="宋体" w:cs="宋体"/>
          <w:bCs/>
          <w:color w:val="auto"/>
          <w:sz w:val="21"/>
          <w:szCs w:val="21"/>
          <w:highlight w:val="none"/>
          <w:lang w:val="en-US" w:eastAsia="zh-CN"/>
        </w:rPr>
      </w:pPr>
      <w:r>
        <w:rPr>
          <w:rFonts w:hint="default" w:ascii="宋体" w:hAnsi="宋体" w:eastAsia="宋体" w:cs="宋体"/>
          <w:bCs/>
          <w:color w:val="auto"/>
          <w:sz w:val="21"/>
          <w:szCs w:val="21"/>
          <w:highlight w:val="none"/>
          <w:lang w:val="en-US" w:eastAsia="zh-CN"/>
        </w:rPr>
        <w:t>（2）电子</w:t>
      </w:r>
      <w:r>
        <w:rPr>
          <w:rFonts w:hint="eastAsia" w:ascii="宋体" w:hAnsi="宋体" w:eastAsia="宋体" w:cs="宋体"/>
          <w:bCs/>
          <w:color w:val="auto"/>
          <w:sz w:val="21"/>
          <w:szCs w:val="21"/>
          <w:highlight w:val="none"/>
          <w:lang w:val="en-US" w:eastAsia="zh-CN"/>
        </w:rPr>
        <w:t>磋商</w:t>
      </w:r>
      <w:r>
        <w:rPr>
          <w:rFonts w:hint="default" w:ascii="宋体" w:hAnsi="宋体" w:eastAsia="宋体" w:cs="宋体"/>
          <w:bCs/>
          <w:color w:val="auto"/>
          <w:sz w:val="21"/>
          <w:szCs w:val="21"/>
          <w:highlight w:val="none"/>
          <w:lang w:val="en-US" w:eastAsia="zh-CN"/>
        </w:rPr>
        <w:t>具体操作流程参考《政府采购项目电子交易管理操作指南-供应商》（详见桂林市政府采购网—采购资讯—重要通知）；如遇平台技术问题详询95763。</w:t>
      </w:r>
    </w:p>
    <w:p w14:paraId="67978972">
      <w:pPr>
        <w:keepNext w:val="0"/>
        <w:keepLines w:val="0"/>
        <w:pageBreakBefore w:val="0"/>
        <w:widowControl w:val="0"/>
        <w:kinsoku/>
        <w:wordWrap/>
        <w:overflowPunct/>
        <w:topLinePunct w:val="0"/>
        <w:autoSpaceDE/>
        <w:autoSpaceDN/>
        <w:bidi w:val="0"/>
        <w:adjustRightInd/>
        <w:snapToGrid/>
        <w:spacing w:line="288" w:lineRule="auto"/>
        <w:ind w:firstLine="540"/>
        <w:textAlignment w:val="auto"/>
        <w:rPr>
          <w:rFonts w:hint="eastAsia" w:ascii="宋体" w:hAnsi="宋体" w:eastAsia="宋体" w:cs="宋体"/>
          <w:bCs/>
          <w:color w:val="auto"/>
          <w:sz w:val="21"/>
          <w:szCs w:val="21"/>
          <w:highlight w:val="none"/>
          <w:lang w:val="en-US" w:eastAsia="zh-CN"/>
        </w:rPr>
      </w:pPr>
      <w:r>
        <w:rPr>
          <w:rFonts w:hint="default" w:ascii="宋体" w:hAnsi="宋体" w:eastAsia="宋体" w:cs="宋体"/>
          <w:bCs/>
          <w:color w:val="auto"/>
          <w:sz w:val="21"/>
          <w:szCs w:val="21"/>
          <w:highlight w:val="none"/>
          <w:lang w:val="en-US" w:eastAsia="zh-CN"/>
        </w:rPr>
        <w:t>（3）电子</w:t>
      </w:r>
      <w:r>
        <w:rPr>
          <w:rFonts w:hint="eastAsia" w:ascii="宋体" w:hAnsi="宋体" w:eastAsia="宋体" w:cs="宋体"/>
          <w:bCs/>
          <w:color w:val="auto"/>
          <w:sz w:val="21"/>
          <w:szCs w:val="21"/>
          <w:highlight w:val="none"/>
          <w:lang w:val="en-US" w:eastAsia="zh-CN"/>
        </w:rPr>
        <w:t>响应</w:t>
      </w:r>
      <w:r>
        <w:rPr>
          <w:rFonts w:hint="default" w:ascii="宋体" w:hAnsi="宋体" w:eastAsia="宋体" w:cs="宋体"/>
          <w:bCs/>
          <w:color w:val="auto"/>
          <w:sz w:val="21"/>
          <w:szCs w:val="21"/>
          <w:highlight w:val="none"/>
          <w:lang w:val="en-US" w:eastAsia="zh-CN"/>
        </w:rPr>
        <w:t>文件的制作、加密、提交、解密等相关事宜详见第二章“</w:t>
      </w:r>
      <w:r>
        <w:rPr>
          <w:rFonts w:hint="eastAsia" w:ascii="宋体" w:hAnsi="宋体" w:eastAsia="宋体" w:cs="宋体"/>
          <w:bCs/>
          <w:color w:val="auto"/>
          <w:sz w:val="21"/>
          <w:szCs w:val="21"/>
          <w:highlight w:val="none"/>
          <w:lang w:val="en-US" w:eastAsia="zh-CN"/>
        </w:rPr>
        <w:t>磋商供应商</w:t>
      </w:r>
      <w:r>
        <w:rPr>
          <w:rFonts w:hint="default" w:ascii="宋体" w:hAnsi="宋体" w:eastAsia="宋体" w:cs="宋体"/>
          <w:bCs/>
          <w:color w:val="auto"/>
          <w:sz w:val="21"/>
          <w:szCs w:val="21"/>
          <w:highlight w:val="none"/>
          <w:lang w:val="en-US" w:eastAsia="zh-CN"/>
        </w:rPr>
        <w:t>须知”。</w:t>
      </w:r>
    </w:p>
    <w:p w14:paraId="0F50C46A">
      <w:pPr>
        <w:keepNext w:val="0"/>
        <w:keepLines w:val="0"/>
        <w:pageBreakBefore w:val="0"/>
        <w:widowControl w:val="0"/>
        <w:kinsoku/>
        <w:wordWrap/>
        <w:overflowPunct/>
        <w:topLinePunct w:val="0"/>
        <w:autoSpaceDE/>
        <w:autoSpaceDN/>
        <w:bidi w:val="0"/>
        <w:adjustRightInd/>
        <w:snapToGrid/>
        <w:spacing w:line="288" w:lineRule="auto"/>
        <w:ind w:firstLine="540"/>
        <w:textAlignment w:val="auto"/>
        <w:rPr>
          <w:rFonts w:hint="eastAsia" w:ascii="宋体" w:hAnsi="宋体" w:eastAsia="宋体" w:cs="宋体"/>
          <w:bCs/>
          <w:color w:val="auto"/>
          <w:sz w:val="21"/>
          <w:szCs w:val="21"/>
          <w:highlight w:val="none"/>
          <w:lang w:val="en-US" w:eastAsia="zh-CN"/>
        </w:rPr>
      </w:pPr>
      <w:r>
        <w:rPr>
          <w:rFonts w:hint="default"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lang w:val="en-US" w:eastAsia="zh-CN"/>
        </w:rPr>
        <w:t>4</w:t>
      </w:r>
      <w:r>
        <w:rPr>
          <w:rFonts w:hint="default" w:ascii="宋体" w:hAnsi="宋体" w:eastAsia="宋体" w:cs="宋体"/>
          <w:bCs/>
          <w:color w:val="auto"/>
          <w:sz w:val="21"/>
          <w:szCs w:val="21"/>
          <w:highlight w:val="none"/>
          <w:lang w:val="en-US" w:eastAsia="zh-CN"/>
        </w:rPr>
        <w:t>）</w:t>
      </w:r>
      <w:r>
        <w:rPr>
          <w:rFonts w:hint="eastAsia" w:ascii="宋体" w:hAnsi="宋体" w:eastAsia="宋体" w:cs="宋体"/>
          <w:color w:val="auto"/>
          <w:szCs w:val="21"/>
          <w:highlight w:val="none"/>
        </w:rPr>
        <w:t>磋商响应文件解密时间</w:t>
      </w:r>
      <w:r>
        <w:rPr>
          <w:rFonts w:hint="eastAsia" w:ascii="宋体" w:hAnsi="宋体" w:eastAsia="宋体" w:cs="宋体"/>
          <w:b w:val="0"/>
          <w:bCs w:val="0"/>
          <w:color w:val="auto"/>
          <w:kern w:val="2"/>
          <w:highlight w:val="none"/>
          <w:lang w:eastAsia="zh-CN"/>
        </w:rPr>
        <w:t>：截标时间后</w:t>
      </w:r>
      <w:r>
        <w:rPr>
          <w:rFonts w:hint="eastAsia" w:ascii="宋体" w:hAnsi="宋体" w:eastAsia="宋体" w:cs="宋体"/>
          <w:b w:val="0"/>
          <w:bCs w:val="0"/>
          <w:color w:val="auto"/>
          <w:kern w:val="2"/>
          <w:highlight w:val="none"/>
          <w:u w:val="single"/>
          <w:lang w:eastAsia="zh-CN"/>
        </w:rPr>
        <w:t>30</w:t>
      </w:r>
      <w:r>
        <w:rPr>
          <w:rFonts w:hint="eastAsia" w:ascii="宋体" w:hAnsi="宋体" w:eastAsia="宋体" w:cs="宋体"/>
          <w:b w:val="0"/>
          <w:bCs w:val="0"/>
          <w:color w:val="auto"/>
          <w:kern w:val="2"/>
          <w:highlight w:val="none"/>
          <w:lang w:eastAsia="zh-CN"/>
        </w:rPr>
        <w:t>分钟内（</w:t>
      </w:r>
      <w:r>
        <w:rPr>
          <w:rFonts w:hint="eastAsia" w:ascii="宋体" w:hAnsi="宋体" w:cs="宋体"/>
          <w:b w:val="0"/>
          <w:bCs w:val="0"/>
          <w:color w:val="auto"/>
          <w:kern w:val="2"/>
          <w:highlight w:val="none"/>
          <w:lang w:eastAsia="zh-CN"/>
        </w:rPr>
        <w:t>2025年11月11日</w:t>
      </w:r>
      <w:r>
        <w:rPr>
          <w:rFonts w:hint="eastAsia" w:ascii="宋体" w:hAnsi="宋体" w:eastAsia="宋体" w:cs="宋体"/>
          <w:b w:val="0"/>
          <w:bCs w:val="0"/>
          <w:color w:val="auto"/>
          <w:kern w:val="2"/>
          <w:highlight w:val="none"/>
          <w:lang w:eastAsia="zh-CN"/>
        </w:rPr>
        <w:t>9时30分至10时00分)磋商供应商可以登录</w:t>
      </w:r>
      <w:r>
        <w:rPr>
          <w:rFonts w:hint="eastAsia" w:ascii="宋体" w:hAnsi="宋体" w:cs="宋体"/>
          <w:b w:val="0"/>
          <w:bCs w:val="0"/>
          <w:color w:val="auto"/>
          <w:kern w:val="2"/>
          <w:highlight w:val="none"/>
          <w:lang w:eastAsia="zh-CN"/>
        </w:rPr>
        <w:t>广西政府采购云平台</w:t>
      </w:r>
      <w:r>
        <w:rPr>
          <w:rFonts w:hint="eastAsia" w:ascii="宋体" w:hAnsi="宋体" w:eastAsia="宋体" w:cs="宋体"/>
          <w:b w:val="0"/>
          <w:bCs w:val="0"/>
          <w:color w:val="auto"/>
          <w:kern w:val="2"/>
          <w:highlight w:val="none"/>
          <w:lang w:eastAsia="zh-CN"/>
        </w:rPr>
        <w:t>，用“项目采购-开标评标”功能进行解密</w:t>
      </w:r>
      <w:r>
        <w:rPr>
          <w:rFonts w:hint="eastAsia" w:ascii="宋体" w:hAnsi="宋体" w:eastAsia="宋体" w:cs="宋体"/>
          <w:color w:val="auto"/>
          <w:highlight w:val="none"/>
          <w:lang w:eastAsia="zh-CN"/>
        </w:rPr>
        <w:t>磋商响应文件</w:t>
      </w:r>
      <w:r>
        <w:rPr>
          <w:rFonts w:hint="eastAsia" w:ascii="宋体" w:hAnsi="宋体" w:eastAsia="宋体" w:cs="宋体"/>
          <w:b w:val="0"/>
          <w:bCs w:val="0"/>
          <w:color w:val="auto"/>
          <w:kern w:val="2"/>
          <w:highlight w:val="none"/>
          <w:lang w:eastAsia="zh-CN"/>
        </w:rPr>
        <w:t>。若</w:t>
      </w:r>
      <w:r>
        <w:rPr>
          <w:rFonts w:hint="eastAsia" w:ascii="宋体" w:hAnsi="宋体" w:eastAsia="宋体" w:cs="宋体"/>
          <w:color w:val="auto"/>
          <w:highlight w:val="none"/>
          <w:lang w:eastAsia="zh-CN"/>
        </w:rPr>
        <w:t>磋商供应商</w:t>
      </w:r>
      <w:r>
        <w:rPr>
          <w:rFonts w:hint="eastAsia" w:ascii="宋体" w:hAnsi="宋体" w:eastAsia="宋体" w:cs="宋体"/>
          <w:b w:val="0"/>
          <w:bCs w:val="0"/>
          <w:color w:val="auto"/>
          <w:kern w:val="2"/>
          <w:highlight w:val="none"/>
          <w:lang w:eastAsia="zh-CN"/>
        </w:rPr>
        <w:t>在规定时间内无法解密或解密失败，可以以电子备份</w:t>
      </w:r>
      <w:r>
        <w:rPr>
          <w:rFonts w:hint="eastAsia" w:ascii="宋体" w:hAnsi="宋体" w:eastAsia="宋体" w:cs="宋体"/>
          <w:color w:val="auto"/>
          <w:highlight w:val="none"/>
          <w:lang w:eastAsia="zh-CN"/>
        </w:rPr>
        <w:t>磋商响应文件</w:t>
      </w:r>
      <w:r>
        <w:rPr>
          <w:rFonts w:hint="eastAsia" w:ascii="宋体" w:hAnsi="宋体" w:eastAsia="宋体" w:cs="宋体"/>
          <w:b w:val="0"/>
          <w:bCs w:val="0"/>
          <w:color w:val="auto"/>
          <w:kern w:val="2"/>
          <w:highlight w:val="none"/>
          <w:lang w:eastAsia="zh-CN"/>
        </w:rPr>
        <w:t>作为依据</w:t>
      </w:r>
      <w:r>
        <w:rPr>
          <w:rFonts w:hint="eastAsia" w:ascii="宋体" w:hAnsi="宋体" w:eastAsia="宋体" w:cs="宋体"/>
          <w:b/>
          <w:bCs/>
          <w:color w:val="auto"/>
          <w:kern w:val="2"/>
          <w:highlight w:val="none"/>
          <w:lang w:eastAsia="zh-CN"/>
        </w:rPr>
        <w:t>【在接到无法解密或解密失败的通知后，磋商供应商可根据自身实际情况按通知时要求的时间到桂林市公共资源交易中心开标室现场提交或以电子邮件的形式（以通知时所告知的电子邮箱地址为准）提交电子备份磋商响应文件】</w:t>
      </w:r>
      <w:r>
        <w:rPr>
          <w:rFonts w:hint="eastAsia" w:ascii="宋体" w:hAnsi="宋体" w:eastAsia="宋体" w:cs="宋体"/>
          <w:b w:val="0"/>
          <w:bCs w:val="0"/>
          <w:color w:val="auto"/>
          <w:kern w:val="2"/>
          <w:highlight w:val="none"/>
          <w:lang w:eastAsia="zh-CN"/>
        </w:rPr>
        <w:t>，若磋商供应商在规定时间内无法解密或解密失败且未提供电子备份磋商响应文件的(包含提供的电子备份文件无效或无法解密的情况)，视为无效响应。</w:t>
      </w:r>
    </w:p>
    <w:p w14:paraId="673D9DEB">
      <w:pPr>
        <w:keepNext w:val="0"/>
        <w:keepLines w:val="0"/>
        <w:pageBreakBefore w:val="0"/>
        <w:widowControl w:val="0"/>
        <w:kinsoku/>
        <w:wordWrap/>
        <w:overflowPunct/>
        <w:topLinePunct w:val="0"/>
        <w:autoSpaceDE/>
        <w:autoSpaceDN/>
        <w:bidi w:val="0"/>
        <w:adjustRightInd/>
        <w:snapToGrid/>
        <w:spacing w:line="288" w:lineRule="auto"/>
        <w:ind w:firstLine="54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（5）磋商响应文件的最后报价：本项目需要磋商供应商代表在截标当天截标后，按磋商小组要求及时登陆“广西政府采购云”平台等候在线磋商及提交最后报价。</w:t>
      </w:r>
    </w:p>
    <w:p w14:paraId="14D18DFD">
      <w:pPr>
        <w:keepNext w:val="0"/>
        <w:keepLines w:val="0"/>
        <w:pageBreakBefore w:val="0"/>
        <w:widowControl w:val="0"/>
        <w:kinsoku/>
        <w:wordWrap/>
        <w:overflowPunct/>
        <w:topLinePunct w:val="0"/>
        <w:autoSpaceDE/>
        <w:autoSpaceDN/>
        <w:bidi w:val="0"/>
        <w:adjustRightInd/>
        <w:snapToGrid/>
        <w:spacing w:line="288" w:lineRule="auto"/>
        <w:ind w:firstLine="540"/>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本采购项目为广西政府采购云全流程电子化操作，参与磋商的供应商需自备计算机和网络设备（设备需可视频通话和读取广西政府采购云CA数字证书），确保磋商过程顺利进行；因供应商自身设备或网络原因造成的一切后果，由供应商自行承担。</w:t>
      </w:r>
    </w:p>
    <w:p w14:paraId="6F855E64">
      <w:pPr>
        <w:keepNext w:val="0"/>
        <w:keepLines w:val="0"/>
        <w:pageBreakBefore w:val="0"/>
        <w:widowControl w:val="0"/>
        <w:kinsoku/>
        <w:wordWrap/>
        <w:overflowPunct/>
        <w:topLinePunct w:val="0"/>
        <w:autoSpaceDE/>
        <w:autoSpaceDN/>
        <w:bidi w:val="0"/>
        <w:adjustRightInd/>
        <w:snapToGrid/>
        <w:spacing w:line="288" w:lineRule="auto"/>
        <w:textAlignment w:val="auto"/>
        <w:outlineLvl w:val="1"/>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八、凡对本次采购提出询问，请按以下方式联系。</w:t>
      </w:r>
      <w:bookmarkEnd w:id="21"/>
      <w:bookmarkEnd w:id="22"/>
      <w:bookmarkEnd w:id="23"/>
      <w:bookmarkEnd w:id="24"/>
    </w:p>
    <w:p w14:paraId="0734EB83">
      <w:pPr>
        <w:keepNext w:val="0"/>
        <w:keepLines w:val="0"/>
        <w:pageBreakBefore w:val="0"/>
        <w:widowControl w:val="0"/>
        <w:kinsoku/>
        <w:wordWrap/>
        <w:overflowPunct/>
        <w:topLinePunct w:val="0"/>
        <w:autoSpaceDE/>
        <w:autoSpaceDN/>
        <w:bidi w:val="0"/>
        <w:adjustRightInd/>
        <w:snapToGrid/>
        <w:spacing w:line="288" w:lineRule="auto"/>
        <w:ind w:firstLine="5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采购人信息</w:t>
      </w:r>
    </w:p>
    <w:p w14:paraId="45650EF6">
      <w:pPr>
        <w:keepNext w:val="0"/>
        <w:keepLines w:val="0"/>
        <w:pageBreakBefore w:val="0"/>
        <w:widowControl w:val="0"/>
        <w:kinsoku/>
        <w:wordWrap/>
        <w:overflowPunct/>
        <w:topLinePunct w:val="0"/>
        <w:autoSpaceDE/>
        <w:autoSpaceDN/>
        <w:bidi w:val="0"/>
        <w:adjustRightInd/>
        <w:snapToGrid/>
        <w:spacing w:line="288" w:lineRule="auto"/>
        <w:ind w:firstLine="630" w:firstLineChars="3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名称：</w:t>
      </w:r>
      <w:r>
        <w:rPr>
          <w:rFonts w:hint="eastAsia" w:ascii="宋体" w:hAnsi="宋体" w:cs="宋体"/>
          <w:color w:val="auto"/>
          <w:sz w:val="21"/>
          <w:szCs w:val="21"/>
          <w:highlight w:val="none"/>
          <w:lang w:eastAsia="zh-CN"/>
        </w:rPr>
        <w:t>资源县住房和城乡建设局</w:t>
      </w:r>
    </w:p>
    <w:p w14:paraId="24587AA2">
      <w:pPr>
        <w:keepNext w:val="0"/>
        <w:keepLines w:val="0"/>
        <w:pageBreakBefore w:val="0"/>
        <w:widowControl w:val="0"/>
        <w:kinsoku/>
        <w:wordWrap/>
        <w:overflowPunct/>
        <w:topLinePunct w:val="0"/>
        <w:autoSpaceDE/>
        <w:autoSpaceDN/>
        <w:bidi w:val="0"/>
        <w:adjustRightInd/>
        <w:snapToGrid/>
        <w:spacing w:line="288" w:lineRule="auto"/>
        <w:ind w:firstLine="630" w:firstLineChars="3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地址：</w:t>
      </w:r>
      <w:r>
        <w:rPr>
          <w:rFonts w:hint="eastAsia" w:ascii="宋体" w:hAnsi="宋体" w:cs="宋体"/>
          <w:color w:val="auto"/>
          <w:sz w:val="21"/>
          <w:szCs w:val="21"/>
          <w:highlight w:val="none"/>
          <w:lang w:eastAsia="zh-CN"/>
        </w:rPr>
        <w:t>资源县城北新区行政中心</w:t>
      </w:r>
    </w:p>
    <w:p w14:paraId="7AB3C510">
      <w:pPr>
        <w:keepNext w:val="0"/>
        <w:keepLines w:val="0"/>
        <w:pageBreakBefore w:val="0"/>
        <w:widowControl w:val="0"/>
        <w:kinsoku/>
        <w:wordWrap/>
        <w:overflowPunct/>
        <w:topLinePunct w:val="0"/>
        <w:autoSpaceDE/>
        <w:autoSpaceDN/>
        <w:bidi w:val="0"/>
        <w:adjustRightInd/>
        <w:snapToGrid/>
        <w:spacing w:line="288" w:lineRule="auto"/>
        <w:ind w:firstLine="630" w:firstLineChars="3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联系人：</w:t>
      </w:r>
      <w:r>
        <w:rPr>
          <w:rFonts w:hint="eastAsia" w:ascii="宋体" w:hAnsi="宋体" w:cs="宋体"/>
          <w:color w:val="auto"/>
          <w:sz w:val="21"/>
          <w:szCs w:val="21"/>
          <w:highlight w:val="none"/>
          <w:lang w:val="en-US" w:eastAsia="zh-CN"/>
        </w:rPr>
        <w:t xml:space="preserve">李工 </w:t>
      </w:r>
      <w:r>
        <w:rPr>
          <w:rFonts w:hint="eastAsia" w:ascii="宋体" w:hAnsi="宋体" w:eastAsia="宋体" w:cs="宋体"/>
          <w:color w:val="auto"/>
          <w:sz w:val="21"/>
          <w:szCs w:val="21"/>
          <w:highlight w:val="none"/>
          <w:lang w:val="en-US" w:eastAsia="zh-CN"/>
        </w:rPr>
        <w:t xml:space="preserve">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联系电话：0773-</w:t>
      </w:r>
      <w:r>
        <w:rPr>
          <w:rFonts w:hint="eastAsia" w:ascii="宋体" w:hAnsi="宋体" w:cs="宋体"/>
          <w:color w:val="auto"/>
          <w:sz w:val="21"/>
          <w:szCs w:val="21"/>
          <w:highlight w:val="none"/>
          <w:lang w:val="en-US" w:eastAsia="zh-CN"/>
        </w:rPr>
        <w:t>4368900</w:t>
      </w:r>
    </w:p>
    <w:p w14:paraId="286FDD4A">
      <w:pPr>
        <w:keepNext w:val="0"/>
        <w:keepLines w:val="0"/>
        <w:pageBreakBefore w:val="0"/>
        <w:widowControl w:val="0"/>
        <w:kinsoku/>
        <w:wordWrap/>
        <w:overflowPunct/>
        <w:topLinePunct w:val="0"/>
        <w:autoSpaceDE/>
        <w:autoSpaceDN/>
        <w:bidi w:val="0"/>
        <w:adjustRightInd/>
        <w:snapToGrid/>
        <w:spacing w:line="288" w:lineRule="auto"/>
        <w:ind w:firstLine="5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采购代理机构信息</w:t>
      </w:r>
    </w:p>
    <w:p w14:paraId="76A3BE27">
      <w:pPr>
        <w:keepNext w:val="0"/>
        <w:keepLines w:val="0"/>
        <w:pageBreakBefore w:val="0"/>
        <w:widowControl w:val="0"/>
        <w:kinsoku/>
        <w:wordWrap/>
        <w:overflowPunct/>
        <w:topLinePunct w:val="0"/>
        <w:autoSpaceDE/>
        <w:autoSpaceDN/>
        <w:bidi w:val="0"/>
        <w:adjustRightInd/>
        <w:snapToGrid/>
        <w:spacing w:line="288" w:lineRule="auto"/>
        <w:ind w:firstLine="630" w:firstLineChars="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r>
        <w:rPr>
          <w:rFonts w:hint="eastAsia" w:ascii="宋体" w:hAnsi="宋体" w:cs="宋体"/>
          <w:color w:val="auto"/>
          <w:sz w:val="21"/>
          <w:szCs w:val="21"/>
          <w:highlight w:val="none"/>
          <w:lang w:eastAsia="zh-CN"/>
        </w:rPr>
        <w:t>广西晟鑫项目管理有限公司</w:t>
      </w:r>
    </w:p>
    <w:p w14:paraId="5AF92072">
      <w:pPr>
        <w:keepNext w:val="0"/>
        <w:keepLines w:val="0"/>
        <w:pageBreakBefore w:val="0"/>
        <w:widowControl w:val="0"/>
        <w:kinsoku/>
        <w:wordWrap/>
        <w:overflowPunct/>
        <w:topLinePunct w:val="0"/>
        <w:autoSpaceDE/>
        <w:autoSpaceDN/>
        <w:bidi w:val="0"/>
        <w:adjustRightInd/>
        <w:snapToGrid/>
        <w:spacing w:line="288" w:lineRule="auto"/>
        <w:ind w:firstLine="630" w:firstLineChars="300"/>
        <w:textAlignment w:val="auto"/>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地址：</w:t>
      </w:r>
      <w:r>
        <w:rPr>
          <w:rFonts w:hint="eastAsia" w:ascii="宋体" w:hAnsi="宋体" w:cs="宋体"/>
          <w:color w:val="auto"/>
          <w:sz w:val="21"/>
          <w:szCs w:val="21"/>
          <w:highlight w:val="none"/>
          <w:lang w:eastAsia="zh-CN"/>
        </w:rPr>
        <w:t>桂林市中山中路8号</w:t>
      </w:r>
      <w:r>
        <w:rPr>
          <w:rFonts w:hint="eastAsia" w:ascii="宋体" w:hAnsi="宋体" w:cs="宋体"/>
          <w:color w:val="auto"/>
          <w:sz w:val="21"/>
          <w:szCs w:val="21"/>
          <w:highlight w:val="none"/>
          <w:lang w:val="en-US" w:eastAsia="zh-CN"/>
        </w:rPr>
        <w:t>桂名大厦南楼</w:t>
      </w:r>
    </w:p>
    <w:p w14:paraId="620BD6AA">
      <w:pPr>
        <w:keepNext w:val="0"/>
        <w:keepLines w:val="0"/>
        <w:pageBreakBefore w:val="0"/>
        <w:widowControl w:val="0"/>
        <w:kinsoku/>
        <w:wordWrap/>
        <w:overflowPunct/>
        <w:topLinePunct w:val="0"/>
        <w:autoSpaceDE/>
        <w:autoSpaceDN/>
        <w:bidi w:val="0"/>
        <w:adjustRightInd/>
        <w:snapToGrid/>
        <w:spacing w:line="288" w:lineRule="auto"/>
        <w:ind w:firstLine="630" w:firstLineChars="300"/>
        <w:textAlignment w:val="auto"/>
        <w:rPr>
          <w:rFonts w:hint="default" w:ascii="宋体" w:hAnsi="宋体" w:eastAsia="宋体" w:cs="宋体"/>
          <w:color w:val="auto"/>
          <w:highlight w:val="none"/>
          <w:lang w:val="en-US" w:eastAsia="zh-CN"/>
        </w:rPr>
      </w:pPr>
      <w:r>
        <w:rPr>
          <w:rFonts w:hint="eastAsia" w:ascii="宋体" w:hAnsi="宋体" w:eastAsia="宋体" w:cs="宋体"/>
          <w:color w:val="auto"/>
          <w:sz w:val="21"/>
          <w:szCs w:val="21"/>
          <w:highlight w:val="none"/>
        </w:rPr>
        <w:t>项目联系人：</w:t>
      </w:r>
      <w:r>
        <w:rPr>
          <w:rFonts w:hint="eastAsia" w:ascii="宋体" w:hAnsi="宋体" w:cs="宋体"/>
          <w:color w:val="auto"/>
          <w:sz w:val="21"/>
          <w:szCs w:val="21"/>
          <w:highlight w:val="none"/>
          <w:lang w:val="en-US" w:eastAsia="zh-CN"/>
        </w:rPr>
        <w:t>周润强</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联系电话</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0773-3562551</w:t>
      </w:r>
    </w:p>
    <w:p w14:paraId="50B827AE">
      <w:pPr>
        <w:keepNext w:val="0"/>
        <w:keepLines w:val="0"/>
        <w:pageBreakBefore w:val="0"/>
        <w:widowControl w:val="0"/>
        <w:kinsoku/>
        <w:wordWrap/>
        <w:overflowPunct/>
        <w:topLinePunct w:val="0"/>
        <w:autoSpaceDE/>
        <w:autoSpaceDN/>
        <w:bidi w:val="0"/>
        <w:adjustRightInd/>
        <w:snapToGrid/>
        <w:spacing w:line="288" w:lineRule="auto"/>
        <w:ind w:firstLine="54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p>
    <w:p w14:paraId="52C12733">
      <w:pPr>
        <w:keepNext w:val="0"/>
        <w:keepLines w:val="0"/>
        <w:pageBreakBefore w:val="0"/>
        <w:widowControl w:val="0"/>
        <w:kinsoku/>
        <w:wordWrap/>
        <w:overflowPunct/>
        <w:topLinePunct w:val="0"/>
        <w:autoSpaceDE/>
        <w:autoSpaceDN/>
        <w:bidi w:val="0"/>
        <w:adjustRightInd/>
        <w:snapToGrid/>
        <w:spacing w:line="288" w:lineRule="auto"/>
        <w:ind w:firstLine="525" w:firstLineChars="250"/>
        <w:jc w:val="center"/>
        <w:textAlignment w:val="auto"/>
        <w:rPr>
          <w:rFonts w:hint="eastAsia" w:ascii="宋体" w:hAnsi="宋体" w:eastAsia="宋体"/>
          <w:color w:val="auto"/>
          <w:szCs w:val="21"/>
          <w:highlight w:val="none"/>
          <w:lang w:eastAsia="zh-CN"/>
        </w:rPr>
      </w:pP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 xml:space="preserve">  </w:t>
      </w:r>
      <w:r>
        <w:rPr>
          <w:rFonts w:hint="eastAsia" w:ascii="宋体" w:hAnsi="宋体"/>
          <w:color w:val="auto"/>
          <w:szCs w:val="21"/>
          <w:highlight w:val="none"/>
          <w:lang w:eastAsia="zh-CN"/>
        </w:rPr>
        <w:t>广西晟鑫项目管理有限公司</w:t>
      </w:r>
    </w:p>
    <w:p w14:paraId="5E109FB0">
      <w:pPr>
        <w:keepNext w:val="0"/>
        <w:keepLines w:val="0"/>
        <w:pageBreakBefore w:val="0"/>
        <w:widowControl w:val="0"/>
        <w:kinsoku/>
        <w:wordWrap/>
        <w:overflowPunct/>
        <w:topLinePunct w:val="0"/>
        <w:autoSpaceDE/>
        <w:autoSpaceDN/>
        <w:bidi w:val="0"/>
        <w:adjustRightInd/>
        <w:snapToGrid/>
        <w:spacing w:line="288" w:lineRule="auto"/>
        <w:ind w:firstLine="6720" w:firstLineChars="3200"/>
        <w:textAlignment w:val="auto"/>
        <w:rPr>
          <w:rFonts w:hint="eastAsia" w:ascii="宋体" w:hAnsi="宋体"/>
          <w:color w:val="auto"/>
          <w:szCs w:val="21"/>
          <w:highlight w:val="none"/>
        </w:rPr>
      </w:pPr>
      <w:bookmarkStart w:id="35" w:name="_Toc26924"/>
      <w:r>
        <w:rPr>
          <w:rFonts w:hint="eastAsia" w:ascii="宋体" w:hAnsi="宋体"/>
          <w:color w:val="auto"/>
          <w:szCs w:val="21"/>
          <w:highlight w:val="none"/>
          <w:lang w:eastAsia="zh-CN"/>
        </w:rPr>
        <w:t>2025年</w:t>
      </w:r>
      <w:r>
        <w:rPr>
          <w:rFonts w:hint="eastAsia" w:ascii="宋体" w:hAnsi="宋体"/>
          <w:color w:val="auto"/>
          <w:szCs w:val="21"/>
          <w:highlight w:val="none"/>
          <w:lang w:val="en-US" w:eastAsia="zh-CN"/>
        </w:rPr>
        <w:t>10</w:t>
      </w:r>
      <w:r>
        <w:rPr>
          <w:rFonts w:hint="eastAsia" w:ascii="宋体" w:hAnsi="宋体"/>
          <w:color w:val="auto"/>
          <w:szCs w:val="21"/>
          <w:highlight w:val="none"/>
          <w:lang w:eastAsia="zh-CN"/>
        </w:rPr>
        <w:t>月</w:t>
      </w:r>
      <w:r>
        <w:rPr>
          <w:rFonts w:hint="eastAsia" w:ascii="宋体" w:hAnsi="宋体"/>
          <w:color w:val="auto"/>
          <w:szCs w:val="21"/>
          <w:highlight w:val="none"/>
          <w:lang w:val="en-US" w:eastAsia="zh-CN"/>
        </w:rPr>
        <w:t>31</w:t>
      </w:r>
      <w:r>
        <w:rPr>
          <w:rFonts w:hint="eastAsia" w:ascii="宋体" w:hAnsi="宋体"/>
          <w:color w:val="auto"/>
          <w:szCs w:val="21"/>
          <w:highlight w:val="none"/>
          <w:lang w:eastAsia="zh-CN"/>
        </w:rPr>
        <w:t>日</w:t>
      </w:r>
    </w:p>
    <w:p w14:paraId="4548A16E">
      <w:pPr>
        <w:pStyle w:val="13"/>
        <w:keepNext w:val="0"/>
        <w:keepLines w:val="0"/>
        <w:pageBreakBefore w:val="0"/>
        <w:widowControl w:val="0"/>
        <w:wordWrap/>
        <w:topLinePunct w:val="0"/>
        <w:bidi w:val="0"/>
        <w:rPr>
          <w:rFonts w:hint="eastAsia"/>
          <w:color w:val="auto"/>
          <w:highlight w:val="none"/>
        </w:rPr>
      </w:pPr>
    </w:p>
    <w:p w14:paraId="11249491">
      <w:pPr>
        <w:pStyle w:val="13"/>
        <w:keepNext w:val="0"/>
        <w:keepLines w:val="0"/>
        <w:pageBreakBefore w:val="0"/>
        <w:widowControl w:val="0"/>
        <w:wordWrap/>
        <w:topLinePunct w:val="0"/>
        <w:bidi w:val="0"/>
        <w:rPr>
          <w:rFonts w:hint="eastAsia"/>
          <w:color w:val="auto"/>
          <w:highlight w:val="none"/>
          <w:lang w:eastAsia="zh-CN"/>
        </w:rPr>
      </w:pPr>
    </w:p>
    <w:p w14:paraId="3B7918D6">
      <w:pPr>
        <w:keepNext w:val="0"/>
        <w:keepLines w:val="0"/>
        <w:pageBreakBefore w:val="0"/>
        <w:widowControl w:val="0"/>
        <w:wordWrap/>
        <w:topLinePunct w:val="0"/>
        <w:bidi w:val="0"/>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br w:type="page"/>
      </w:r>
    </w:p>
    <w:p w14:paraId="49504976">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32"/>
          <w:szCs w:val="32"/>
          <w:highlight w:val="none"/>
        </w:rPr>
      </w:pPr>
      <w:bookmarkStart w:id="36" w:name="_Toc30987"/>
      <w:r>
        <w:rPr>
          <w:rFonts w:hint="eastAsia" w:ascii="宋体" w:hAnsi="宋体" w:eastAsia="宋体" w:cs="宋体"/>
          <w:color w:val="auto"/>
          <w:sz w:val="32"/>
          <w:szCs w:val="32"/>
          <w:highlight w:val="none"/>
          <w:lang w:eastAsia="zh-CN"/>
        </w:rPr>
        <w:t>第二章</w:t>
      </w:r>
      <w:r>
        <w:rPr>
          <w:rFonts w:hint="eastAsia" w:ascii="宋体" w:hAnsi="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rPr>
        <w:t>供应商须知</w:t>
      </w:r>
      <w:bookmarkEnd w:id="36"/>
    </w:p>
    <w:p w14:paraId="7993215F">
      <w:pPr>
        <w:pStyle w:val="3"/>
        <w:keepNext w:val="0"/>
        <w:keepLines w:val="0"/>
        <w:pageBreakBefore w:val="0"/>
        <w:widowControl w:val="0"/>
        <w:tabs>
          <w:tab w:val="left" w:pos="567"/>
        </w:tabs>
        <w:kinsoku/>
        <w:wordWrap/>
        <w:overflowPunct/>
        <w:topLinePunct w:val="0"/>
        <w:autoSpaceDE/>
        <w:autoSpaceDN/>
        <w:bidi w:val="0"/>
        <w:adjustRightInd/>
        <w:snapToGrid/>
        <w:spacing w:line="400" w:lineRule="exact"/>
        <w:jc w:val="center"/>
        <w:textAlignment w:val="auto"/>
        <w:rPr>
          <w:rFonts w:hint="eastAsia"/>
          <w:color w:val="auto"/>
          <w:highlight w:val="none"/>
          <w:lang w:eastAsia="zh-CN"/>
        </w:rPr>
      </w:pPr>
      <w:bookmarkStart w:id="37" w:name="_Toc1585"/>
      <w:bookmarkStart w:id="38" w:name="_Toc21622"/>
      <w:bookmarkStart w:id="39" w:name="_Toc10399"/>
      <w:bookmarkStart w:id="40" w:name="_Toc13547"/>
      <w:bookmarkStart w:id="41" w:name="_Toc25063"/>
      <w:bookmarkStart w:id="42" w:name="_Toc9508"/>
      <w:r>
        <w:rPr>
          <w:rFonts w:hint="eastAsia" w:ascii="宋体" w:hAnsi="宋体" w:eastAsia="宋体" w:cs="宋体"/>
          <w:b/>
          <w:bCs w:val="0"/>
          <w:color w:val="auto"/>
          <w:sz w:val="24"/>
          <w:szCs w:val="24"/>
          <w:highlight w:val="none"/>
        </w:rPr>
        <w:t>供 应 商 须 知 前 附 表</w:t>
      </w:r>
      <w:bookmarkEnd w:id="37"/>
      <w:bookmarkEnd w:id="38"/>
      <w:bookmarkEnd w:id="39"/>
      <w:bookmarkEnd w:id="40"/>
      <w:bookmarkEnd w:id="41"/>
      <w:bookmarkEnd w:id="42"/>
    </w:p>
    <w:bookmarkEnd w:id="35"/>
    <w:tbl>
      <w:tblPr>
        <w:tblStyle w:val="27"/>
        <w:tblW w:w="102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942"/>
        <w:gridCol w:w="1766"/>
        <w:gridCol w:w="6921"/>
      </w:tblGrid>
      <w:tr w14:paraId="266ED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2" w:type="dxa"/>
            <w:noWrap w:val="0"/>
            <w:vAlign w:val="center"/>
          </w:tcPr>
          <w:p w14:paraId="230D8579">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942" w:type="dxa"/>
            <w:noWrap w:val="0"/>
            <w:vAlign w:val="center"/>
          </w:tcPr>
          <w:p w14:paraId="553659A8">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条款号</w:t>
            </w:r>
          </w:p>
        </w:tc>
        <w:tc>
          <w:tcPr>
            <w:tcW w:w="1766" w:type="dxa"/>
            <w:noWrap w:val="0"/>
            <w:vAlign w:val="center"/>
          </w:tcPr>
          <w:p w14:paraId="17E8339B">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条款名称</w:t>
            </w:r>
          </w:p>
        </w:tc>
        <w:tc>
          <w:tcPr>
            <w:tcW w:w="6921" w:type="dxa"/>
            <w:noWrap w:val="0"/>
            <w:vAlign w:val="center"/>
          </w:tcPr>
          <w:p w14:paraId="17E5189B">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内容、要求</w:t>
            </w:r>
          </w:p>
        </w:tc>
      </w:tr>
      <w:tr w14:paraId="3D333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62" w:type="dxa"/>
            <w:noWrap w:val="0"/>
            <w:vAlign w:val="center"/>
          </w:tcPr>
          <w:p w14:paraId="71EA33B1">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942" w:type="dxa"/>
            <w:noWrap w:val="0"/>
            <w:vAlign w:val="center"/>
          </w:tcPr>
          <w:p w14:paraId="457C56E4">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1766" w:type="dxa"/>
            <w:noWrap w:val="0"/>
            <w:vAlign w:val="center"/>
          </w:tcPr>
          <w:p w14:paraId="4DDE3D70">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项目名称及项目编号</w:t>
            </w:r>
          </w:p>
        </w:tc>
        <w:tc>
          <w:tcPr>
            <w:tcW w:w="6921" w:type="dxa"/>
            <w:noWrap w:val="0"/>
            <w:vAlign w:val="center"/>
          </w:tcPr>
          <w:p w14:paraId="34DF7210">
            <w:pPr>
              <w:keepNext w:val="0"/>
              <w:keepLines w:val="0"/>
              <w:pageBreakBefore w:val="0"/>
              <w:widowControl w:val="0"/>
              <w:kinsoku/>
              <w:wordWrap/>
              <w:overflowPunct/>
              <w:topLinePunct w:val="0"/>
              <w:autoSpaceDE/>
              <w:autoSpaceDN/>
              <w:bidi w:val="0"/>
              <w:adjustRightInd/>
              <w:spacing w:line="44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项目名称：</w:t>
            </w:r>
            <w:r>
              <w:rPr>
                <w:rFonts w:hint="eastAsia" w:ascii="宋体" w:hAnsi="宋体" w:cs="宋体"/>
                <w:color w:val="auto"/>
                <w:sz w:val="21"/>
                <w:szCs w:val="21"/>
                <w:highlight w:val="none"/>
                <w:lang w:eastAsia="zh-CN"/>
              </w:rPr>
              <w:t>资源县武装部专变工程</w:t>
            </w:r>
          </w:p>
          <w:p w14:paraId="416D246F">
            <w:pPr>
              <w:keepNext w:val="0"/>
              <w:keepLines w:val="0"/>
              <w:pageBreakBefore w:val="0"/>
              <w:widowControl w:val="0"/>
              <w:kinsoku/>
              <w:wordWrap/>
              <w:overflowPunct/>
              <w:topLinePunct w:val="0"/>
              <w:autoSpaceDE/>
              <w:autoSpaceDN/>
              <w:bidi w:val="0"/>
              <w:adjustRightInd/>
              <w:spacing w:line="440" w:lineRule="exact"/>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sz w:val="21"/>
                <w:szCs w:val="21"/>
                <w:highlight w:val="none"/>
                <w:lang w:eastAsia="zh-CN"/>
              </w:rPr>
              <w:t>项目编号：</w:t>
            </w:r>
            <w:r>
              <w:rPr>
                <w:rFonts w:hint="eastAsia" w:ascii="宋体" w:hAnsi="宋体" w:cs="宋体"/>
                <w:color w:val="auto"/>
                <w:sz w:val="21"/>
                <w:szCs w:val="21"/>
                <w:highlight w:val="none"/>
                <w:lang w:eastAsia="zh-CN"/>
              </w:rPr>
              <w:t>GLZC2025-C1-290112-SXXM</w:t>
            </w:r>
          </w:p>
        </w:tc>
      </w:tr>
      <w:tr w14:paraId="45A2A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noWrap w:val="0"/>
            <w:vAlign w:val="center"/>
          </w:tcPr>
          <w:p w14:paraId="2F0D6EE6">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942" w:type="dxa"/>
            <w:noWrap w:val="0"/>
            <w:vAlign w:val="center"/>
          </w:tcPr>
          <w:p w14:paraId="325DA8A3">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766" w:type="dxa"/>
            <w:noWrap w:val="0"/>
            <w:vAlign w:val="center"/>
          </w:tcPr>
          <w:p w14:paraId="467415ED">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w:t>
            </w:r>
          </w:p>
        </w:tc>
        <w:tc>
          <w:tcPr>
            <w:tcW w:w="6921" w:type="dxa"/>
            <w:noWrap w:val="0"/>
            <w:vAlign w:val="center"/>
          </w:tcPr>
          <w:p w14:paraId="345B0EA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1、满足《中华人民共和国政府采购法》第二十二条规定；</w:t>
            </w:r>
          </w:p>
          <w:p w14:paraId="16BC85F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2、落实政府采购政策需满足的资格要求：本项目为专门面向</w:t>
            </w:r>
            <w:r>
              <w:rPr>
                <w:rFonts w:hint="eastAsia" w:ascii="宋体" w:hAnsi="宋体" w:cs="宋体"/>
                <w:color w:val="auto"/>
                <w:highlight w:val="none"/>
                <w:lang w:val="en-US" w:eastAsia="zh-CN"/>
              </w:rPr>
              <w:t>小微企业</w:t>
            </w:r>
            <w:r>
              <w:rPr>
                <w:rFonts w:hint="eastAsia" w:ascii="宋体" w:hAnsi="宋体" w:eastAsia="宋体" w:cs="宋体"/>
                <w:color w:val="auto"/>
                <w:highlight w:val="none"/>
                <w:lang w:val="en-US" w:eastAsia="zh-CN"/>
              </w:rPr>
              <w:t>采购的项目（供应商应为小微企业、监狱企业、残疾人福利性单位)；</w:t>
            </w:r>
          </w:p>
          <w:p w14:paraId="7A8CE7BB">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3、本项目的特定资格要求：</w:t>
            </w:r>
            <w:r>
              <w:rPr>
                <w:rFonts w:hint="eastAsia" w:ascii="宋体" w:hAnsi="宋体" w:eastAsia="宋体" w:cs="宋体"/>
                <w:bCs/>
                <w:color w:val="auto"/>
                <w:sz w:val="21"/>
                <w:szCs w:val="21"/>
                <w:highlight w:val="none"/>
                <w:lang w:eastAsia="zh-CN"/>
              </w:rPr>
              <w:t>具备电力工程施工总承包叁级以上（含叁级）资质或输变电工程专业承包叁级以上（含叁级）资质，且同时具备《承装（修、试）电力设施许可证》承装类、承修类、承试类三级以上（含三级）资质</w:t>
            </w:r>
            <w:r>
              <w:rPr>
                <w:rFonts w:hint="eastAsia" w:ascii="宋体" w:hAnsi="宋体" w:eastAsia="宋体" w:cs="宋体"/>
                <w:color w:val="auto"/>
                <w:highlight w:val="none"/>
                <w:lang w:val="en-US" w:eastAsia="zh-CN"/>
              </w:rPr>
              <w:t>，并在人员、设备、资金等方面具备相应的施工能力。</w:t>
            </w:r>
            <w:r>
              <w:rPr>
                <w:rFonts w:hint="eastAsia" w:ascii="宋体" w:hAnsi="宋体" w:eastAsia="宋体" w:cs="宋体"/>
                <w:bCs/>
                <w:color w:val="auto"/>
                <w:sz w:val="21"/>
                <w:szCs w:val="21"/>
                <w:highlight w:val="none"/>
                <w:lang w:eastAsia="zh-CN"/>
              </w:rPr>
              <w:t>项目负责人须具备</w:t>
            </w:r>
            <w:r>
              <w:rPr>
                <w:rFonts w:hint="eastAsia" w:ascii="宋体" w:hAnsi="宋体" w:eastAsia="宋体" w:cs="宋体"/>
                <w:bCs/>
                <w:color w:val="auto"/>
                <w:sz w:val="21"/>
                <w:szCs w:val="21"/>
                <w:highlight w:val="none"/>
                <w:u w:val="single"/>
                <w:lang w:eastAsia="zh-CN"/>
              </w:rPr>
              <w:t>机电工程专业二级</w:t>
            </w:r>
            <w:r>
              <w:rPr>
                <w:rFonts w:hint="eastAsia" w:ascii="宋体" w:hAnsi="宋体" w:cs="宋体"/>
                <w:bCs/>
                <w:color w:val="auto"/>
                <w:sz w:val="21"/>
                <w:szCs w:val="21"/>
                <w:highlight w:val="none"/>
                <w:u w:val="single"/>
                <w:lang w:val="en-US" w:eastAsia="zh-CN"/>
              </w:rPr>
              <w:t>以上</w:t>
            </w:r>
            <w:r>
              <w:rPr>
                <w:rFonts w:hint="eastAsia" w:ascii="宋体" w:hAnsi="宋体" w:eastAsia="宋体" w:cs="宋体"/>
                <w:bCs/>
                <w:color w:val="auto"/>
                <w:sz w:val="21"/>
                <w:szCs w:val="21"/>
                <w:highlight w:val="none"/>
                <w:u w:val="single"/>
                <w:lang w:eastAsia="zh-CN"/>
              </w:rPr>
              <w:t>（含</w:t>
            </w:r>
            <w:r>
              <w:rPr>
                <w:rFonts w:hint="eastAsia" w:ascii="宋体" w:hAnsi="宋体" w:cs="宋体"/>
                <w:bCs/>
                <w:color w:val="auto"/>
                <w:sz w:val="21"/>
                <w:szCs w:val="21"/>
                <w:highlight w:val="none"/>
                <w:u w:val="single"/>
                <w:lang w:val="en-US" w:eastAsia="zh-CN"/>
              </w:rPr>
              <w:t>二</w:t>
            </w:r>
            <w:r>
              <w:rPr>
                <w:rFonts w:hint="eastAsia" w:ascii="宋体" w:hAnsi="宋体" w:eastAsia="宋体" w:cs="宋体"/>
                <w:bCs/>
                <w:color w:val="auto"/>
                <w:sz w:val="21"/>
                <w:szCs w:val="21"/>
                <w:highlight w:val="none"/>
                <w:u w:val="single"/>
                <w:lang w:eastAsia="zh-CN"/>
              </w:rPr>
              <w:t>级）</w:t>
            </w:r>
            <w:r>
              <w:rPr>
                <w:rFonts w:hint="eastAsia" w:ascii="宋体" w:hAnsi="宋体" w:eastAsia="宋体" w:cs="宋体"/>
                <w:bCs/>
                <w:color w:val="auto"/>
                <w:sz w:val="21"/>
                <w:szCs w:val="21"/>
                <w:highlight w:val="none"/>
                <w:u w:val="none"/>
                <w:lang w:eastAsia="zh-CN"/>
              </w:rPr>
              <w:t>注册建造师执业资格</w:t>
            </w:r>
            <w:r>
              <w:rPr>
                <w:rFonts w:hint="eastAsia" w:ascii="宋体" w:hAnsi="宋体" w:eastAsia="宋体" w:cs="宋体"/>
                <w:bCs/>
                <w:color w:val="auto"/>
                <w:sz w:val="21"/>
                <w:szCs w:val="21"/>
                <w:highlight w:val="none"/>
                <w:lang w:eastAsia="zh-CN"/>
              </w:rPr>
              <w:t>资格</w:t>
            </w:r>
            <w:r>
              <w:rPr>
                <w:rFonts w:hint="eastAsia" w:ascii="宋体" w:hAnsi="宋体" w:eastAsia="宋体" w:cs="宋体"/>
                <w:color w:val="auto"/>
                <w:highlight w:val="none"/>
                <w:lang w:val="en-US" w:eastAsia="zh-CN"/>
              </w:rPr>
              <w:t>，具有安全生产考核B证,且未担任其他在施建设工程项目的项目经理（符合桂建管﹝2013﹞17号文除外）。</w:t>
            </w:r>
          </w:p>
        </w:tc>
      </w:tr>
      <w:tr w14:paraId="73FBD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62" w:type="dxa"/>
            <w:noWrap w:val="0"/>
            <w:vAlign w:val="center"/>
          </w:tcPr>
          <w:p w14:paraId="41483950">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942" w:type="dxa"/>
            <w:noWrap w:val="0"/>
            <w:vAlign w:val="center"/>
          </w:tcPr>
          <w:p w14:paraId="3CA98F97">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766" w:type="dxa"/>
            <w:noWrap w:val="0"/>
            <w:vAlign w:val="center"/>
          </w:tcPr>
          <w:p w14:paraId="1A3D7DFA">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参与电子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的准备工作</w:t>
            </w:r>
          </w:p>
        </w:tc>
        <w:tc>
          <w:tcPr>
            <w:tcW w:w="6921" w:type="dxa"/>
            <w:noWrap w:val="0"/>
            <w:vAlign w:val="center"/>
          </w:tcPr>
          <w:p w14:paraId="7F6A2F5D">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4.1本项目实行全流程电子化采购，磋商供应商通过“广西政府采购云平台”平台参与电子磋商，并应做好以下相关准备工作：①在“广西政府采购云平台”平台注册成为正式供应商（操作方法详见广西壮族自治区政府采购网—办事服务—办事指南）；②完成CA认证证书申领和绑定（费用由磋商供应商自行承担，办理流程详见广西壮族自治区政府采购网—办事服务—下载专区，完成CA认证证书办理预计一周左右，建议供应商尽快办理）；③下载“广西壮族自治区全流程电子招投标项目管理系统--供应商客户端”（操作方法详见广西壮族自治区政府采购网—办事服务—下载专区，以下称“广西政府采购云平台电子投标客户端”）并安装成功，磋商供应商应当在响应文件提交截止时间前在“广西政府采购云平台”平台完成的身份认证，确保能够对相关数据电文进行加密和使用电子签章；④自备计算机和网络设备并确保能接入互联网（费用由磋商供应商自行承担，设备确保可进行视频通话和读取广西政府采购云平台CA认证证书）。因磋商供应商未做好相关准备工作等自身原因导致无法参加本项目电子磋商或磋商失败的，造成的一切后果，由磋商供应商自行承担。</w:t>
            </w:r>
          </w:p>
          <w:p w14:paraId="200C0C2F">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4.2电子磋商具体操作流程参考《政府采购项目电子交易管理操作指南-供应商》（详见桂林市政府采购网—采购资讯—重要通知）；如遇平台技术问题详询95763。</w:t>
            </w:r>
          </w:p>
          <w:p w14:paraId="7077DC1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4.3不论磋商结果如何，磋商供应商均应自行承担所有与磋商有关的全部费用。</w:t>
            </w:r>
          </w:p>
        </w:tc>
      </w:tr>
      <w:tr w14:paraId="637D5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62" w:type="dxa"/>
            <w:noWrap w:val="0"/>
            <w:vAlign w:val="center"/>
          </w:tcPr>
          <w:p w14:paraId="0D3EE42E">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4</w:t>
            </w:r>
          </w:p>
        </w:tc>
        <w:tc>
          <w:tcPr>
            <w:tcW w:w="942" w:type="dxa"/>
            <w:noWrap w:val="0"/>
            <w:vAlign w:val="center"/>
          </w:tcPr>
          <w:p w14:paraId="4C416A52">
            <w:pPr>
              <w:keepNext w:val="0"/>
              <w:keepLines w:val="0"/>
              <w:pageBreakBefore w:val="0"/>
              <w:widowControl w:val="0"/>
              <w:kinsoku/>
              <w:wordWrap/>
              <w:overflowPunct/>
              <w:topLinePunct w:val="0"/>
              <w:autoSpaceDE/>
              <w:autoSpaceDN/>
              <w:bidi w:val="0"/>
              <w:adjustRightInd/>
              <w:spacing w:line="36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p>
        </w:tc>
        <w:tc>
          <w:tcPr>
            <w:tcW w:w="1766" w:type="dxa"/>
            <w:noWrap w:val="0"/>
            <w:vAlign w:val="center"/>
          </w:tcPr>
          <w:p w14:paraId="2D2A7DED">
            <w:pPr>
              <w:keepNext w:val="0"/>
              <w:keepLines w:val="0"/>
              <w:pageBreakBefore w:val="0"/>
              <w:widowControl w:val="0"/>
              <w:kinsoku/>
              <w:wordWrap/>
              <w:overflowPunct/>
              <w:topLinePunct w:val="0"/>
              <w:autoSpaceDE/>
              <w:autoSpaceDN/>
              <w:bidi w:val="0"/>
              <w:adjustRightInd/>
              <w:spacing w:line="36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磋商费用</w:t>
            </w:r>
          </w:p>
        </w:tc>
        <w:tc>
          <w:tcPr>
            <w:tcW w:w="6921" w:type="dxa"/>
            <w:noWrap w:val="0"/>
            <w:vAlign w:val="center"/>
          </w:tcPr>
          <w:p w14:paraId="4863A479">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不论磋商结果如何，供应商均应自行承担所有与磋商有关的全部费用。 </w:t>
            </w:r>
          </w:p>
        </w:tc>
      </w:tr>
      <w:tr w14:paraId="7D016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noWrap w:val="0"/>
            <w:vAlign w:val="center"/>
          </w:tcPr>
          <w:p w14:paraId="6CCA7C70">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5</w:t>
            </w:r>
          </w:p>
        </w:tc>
        <w:tc>
          <w:tcPr>
            <w:tcW w:w="942" w:type="dxa"/>
            <w:noWrap w:val="0"/>
            <w:vAlign w:val="center"/>
          </w:tcPr>
          <w:p w14:paraId="22D0B971">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default" w:ascii="宋体" w:hAnsi="宋体" w:eastAsia="宋体" w:cs="宋体"/>
                <w:color w:val="auto"/>
                <w:position w:val="-2"/>
                <w:szCs w:val="21"/>
                <w:highlight w:val="none"/>
                <w:lang w:val="en-US" w:eastAsia="zh-CN"/>
              </w:rPr>
            </w:pPr>
            <w:r>
              <w:rPr>
                <w:rFonts w:hint="eastAsia" w:ascii="宋体" w:hAnsi="宋体" w:cs="宋体"/>
                <w:color w:val="auto"/>
                <w:position w:val="-2"/>
                <w:szCs w:val="21"/>
                <w:highlight w:val="none"/>
                <w:lang w:val="en-US" w:eastAsia="zh-CN"/>
              </w:rPr>
              <w:t>14.3</w:t>
            </w:r>
          </w:p>
        </w:tc>
        <w:tc>
          <w:tcPr>
            <w:tcW w:w="1766" w:type="dxa"/>
            <w:noWrap w:val="0"/>
            <w:vAlign w:val="center"/>
          </w:tcPr>
          <w:p w14:paraId="0678DEE3">
            <w:pPr>
              <w:keepNext w:val="0"/>
              <w:keepLines w:val="0"/>
              <w:pageBreakBefore w:val="0"/>
              <w:widowControl w:val="0"/>
              <w:kinsoku/>
              <w:wordWrap/>
              <w:overflowPunct/>
              <w:topLinePunct w:val="0"/>
              <w:autoSpaceDE/>
              <w:autoSpaceDN/>
              <w:bidi w:val="0"/>
              <w:adjustRightInd/>
              <w:spacing w:line="360" w:lineRule="exact"/>
              <w:ind w:left="0" w:leftChars="0"/>
              <w:jc w:val="center"/>
              <w:textAlignment w:val="auto"/>
              <w:rPr>
                <w:rFonts w:hint="eastAsia" w:ascii="宋体" w:hAnsi="宋体" w:eastAsia="宋体" w:cs="宋体"/>
                <w:color w:val="auto"/>
                <w:position w:val="-2"/>
                <w:szCs w:val="21"/>
                <w:highlight w:val="none"/>
              </w:rPr>
            </w:pPr>
            <w:r>
              <w:rPr>
                <w:rFonts w:hint="eastAsia" w:ascii="宋体" w:hAnsi="宋体" w:eastAsia="宋体" w:cs="宋体"/>
                <w:color w:val="auto"/>
                <w:sz w:val="21"/>
                <w:szCs w:val="21"/>
                <w:highlight w:val="none"/>
              </w:rPr>
              <w:t>磋商报价及</w:t>
            </w:r>
            <w:r>
              <w:rPr>
                <w:rFonts w:hint="eastAsia" w:ascii="宋体" w:hAnsi="宋体" w:eastAsia="宋体" w:cs="宋体"/>
                <w:color w:val="auto"/>
                <w:sz w:val="21"/>
                <w:szCs w:val="21"/>
                <w:highlight w:val="none"/>
                <w:lang w:val="en-US" w:eastAsia="zh-CN"/>
              </w:rPr>
              <w:t>预算</w:t>
            </w:r>
            <w:r>
              <w:rPr>
                <w:rFonts w:hint="eastAsia" w:ascii="宋体" w:hAnsi="宋体" w:eastAsia="宋体" w:cs="宋体"/>
                <w:color w:val="auto"/>
                <w:sz w:val="21"/>
                <w:szCs w:val="21"/>
                <w:highlight w:val="none"/>
              </w:rPr>
              <w:t>控制价</w:t>
            </w:r>
          </w:p>
        </w:tc>
        <w:tc>
          <w:tcPr>
            <w:tcW w:w="6921" w:type="dxa"/>
            <w:noWrap w:val="0"/>
            <w:vAlign w:val="center"/>
          </w:tcPr>
          <w:p w14:paraId="7B3309F2">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auto"/>
                <w:kern w:val="0"/>
                <w:szCs w:val="21"/>
                <w:lang w:val="en-US" w:eastAsia="zh-CN"/>
              </w:rPr>
            </w:pPr>
            <w:r>
              <w:rPr>
                <w:rFonts w:hint="eastAsia" w:ascii="宋体" w:hAnsi="宋体" w:cs="宋体"/>
                <w:color w:val="auto"/>
                <w:kern w:val="0"/>
                <w:szCs w:val="21"/>
              </w:rPr>
              <w:t>本项目</w:t>
            </w:r>
            <w:r>
              <w:rPr>
                <w:rFonts w:hint="eastAsia" w:ascii="宋体" w:hAnsi="宋体" w:cs="宋体"/>
                <w:color w:val="auto"/>
                <w:kern w:val="0"/>
                <w:szCs w:val="21"/>
                <w:lang w:val="en-US" w:eastAsia="zh-CN"/>
              </w:rPr>
              <w:t>审定</w:t>
            </w:r>
            <w:r>
              <w:rPr>
                <w:rFonts w:hint="eastAsia" w:ascii="宋体" w:hAnsi="宋体" w:cs="宋体"/>
                <w:color w:val="auto"/>
                <w:kern w:val="0"/>
                <w:szCs w:val="21"/>
              </w:rPr>
              <w:t>预算总金额为</w:t>
            </w:r>
            <w:r>
              <w:rPr>
                <w:rFonts w:hint="eastAsia" w:ascii="宋体" w:hAnsi="宋体" w:cs="宋体"/>
                <w:color w:val="auto"/>
                <w:kern w:val="0"/>
                <w:szCs w:val="21"/>
                <w:u w:val="single"/>
              </w:rPr>
              <w:t xml:space="preserve"> </w:t>
            </w:r>
            <w:r>
              <w:rPr>
                <w:rFonts w:hint="eastAsia" w:ascii="宋体" w:hAnsi="宋体" w:cs="宋体"/>
                <w:color w:val="auto"/>
                <w:kern w:val="0"/>
                <w:szCs w:val="21"/>
                <w:u w:val="single"/>
                <w:lang w:eastAsia="zh-CN"/>
              </w:rPr>
              <w:t>1061171.64</w:t>
            </w:r>
            <w:r>
              <w:rPr>
                <w:rFonts w:hint="eastAsia" w:ascii="宋体" w:hAnsi="宋体" w:cs="宋体"/>
                <w:color w:val="auto"/>
                <w:kern w:val="0"/>
                <w:szCs w:val="21"/>
                <w:u w:val="single"/>
              </w:rPr>
              <w:t xml:space="preserve"> </w:t>
            </w:r>
            <w:r>
              <w:rPr>
                <w:rFonts w:hint="eastAsia" w:ascii="宋体" w:hAnsi="宋体" w:cs="宋体"/>
                <w:color w:val="auto"/>
                <w:kern w:val="0"/>
                <w:szCs w:val="21"/>
              </w:rPr>
              <w:t>元。</w:t>
            </w:r>
            <w:r>
              <w:rPr>
                <w:rFonts w:hint="eastAsia" w:ascii="宋体" w:hAnsi="宋体" w:cs="宋体"/>
                <w:color w:val="auto"/>
                <w:kern w:val="0"/>
                <w:szCs w:val="21"/>
                <w:lang w:val="en-US" w:eastAsia="zh-CN"/>
              </w:rPr>
              <w:t>根据资政办发〔2025〕8号文《资源县人民政府办公室关于规范政府投资工程项目财政管理的通知</w:t>
            </w:r>
            <w:r>
              <w:rPr>
                <w:rFonts w:hint="eastAsia" w:ascii="宋体" w:hAnsi="宋体" w:eastAsia="宋体" w:cs="宋体"/>
                <w:color w:val="auto"/>
                <w:kern w:val="0"/>
                <w:szCs w:val="21"/>
                <w:lang w:val="en-US" w:eastAsia="zh-CN"/>
              </w:rPr>
              <w:t>》，经采购人确认</w:t>
            </w:r>
            <w:r>
              <w:rPr>
                <w:rFonts w:hint="eastAsia" w:ascii="宋体" w:hAnsi="宋体" w:cs="宋体"/>
                <w:color w:val="auto"/>
                <w:kern w:val="0"/>
                <w:szCs w:val="21"/>
                <w:u w:val="single"/>
                <w:lang w:val="en-US" w:eastAsia="zh-CN"/>
              </w:rPr>
              <w:t>本项目为配电工程</w:t>
            </w:r>
            <w:r>
              <w:rPr>
                <w:rFonts w:hint="eastAsia" w:ascii="宋体" w:hAnsi="宋体" w:eastAsia="宋体" w:cs="宋体"/>
                <w:color w:val="auto"/>
                <w:kern w:val="0"/>
                <w:szCs w:val="21"/>
                <w:lang w:val="en-US" w:eastAsia="zh-CN"/>
              </w:rPr>
              <w:t>，</w:t>
            </w:r>
            <w:r>
              <w:rPr>
                <w:rFonts w:hint="eastAsia" w:ascii="宋体" w:hAnsi="宋体" w:cs="宋体"/>
                <w:color w:val="auto"/>
                <w:kern w:val="0"/>
                <w:szCs w:val="21"/>
                <w:lang w:val="en-US" w:eastAsia="zh-CN"/>
              </w:rPr>
              <w:t>本工程审定的预算总金额</w:t>
            </w:r>
            <w:r>
              <w:rPr>
                <w:rFonts w:hint="eastAsia" w:ascii="宋体" w:hAnsi="宋体" w:cs="宋体"/>
                <w:color w:val="auto"/>
                <w:kern w:val="0"/>
                <w:szCs w:val="21"/>
                <w:u w:val="single"/>
                <w:lang w:val="en-US" w:eastAsia="zh-CN"/>
              </w:rPr>
              <w:t>下浮5%</w:t>
            </w:r>
            <w:r>
              <w:rPr>
                <w:rFonts w:hint="eastAsia" w:ascii="宋体" w:hAnsi="宋体" w:cs="宋体"/>
                <w:color w:val="auto"/>
                <w:kern w:val="0"/>
                <w:szCs w:val="21"/>
                <w:lang w:val="en-US" w:eastAsia="zh-CN"/>
              </w:rPr>
              <w:t>做</w:t>
            </w:r>
            <w:r>
              <w:rPr>
                <w:rFonts w:hint="eastAsia" w:ascii="宋体" w:hAnsi="宋体" w:eastAsia="宋体" w:cs="宋体"/>
                <w:color w:val="auto"/>
                <w:kern w:val="0"/>
                <w:szCs w:val="21"/>
                <w:lang w:val="en-US" w:eastAsia="zh-CN"/>
              </w:rPr>
              <w:t>为本项目的预算控制价（最高限价），本项目预算控制价（最高限价）为</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cs="宋体"/>
                <w:bCs/>
                <w:color w:val="auto"/>
                <w:sz w:val="21"/>
                <w:szCs w:val="21"/>
                <w:highlight w:val="none"/>
                <w:u w:val="single"/>
                <w:lang w:val="en-US" w:eastAsia="zh-CN"/>
              </w:rPr>
              <w:t>1008113.05</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color w:val="auto"/>
                <w:kern w:val="0"/>
                <w:szCs w:val="21"/>
                <w:lang w:val="en-US" w:eastAsia="zh-CN"/>
              </w:rPr>
              <w:t>元。</w:t>
            </w:r>
          </w:p>
          <w:p w14:paraId="1B5F2FDE">
            <w:pPr>
              <w:keepNext w:val="0"/>
              <w:keepLines w:val="0"/>
              <w:pageBreakBefore w:val="0"/>
              <w:widowControl w:val="0"/>
              <w:kinsoku/>
              <w:wordWrap/>
              <w:overflowPunct/>
              <w:topLinePunct w:val="0"/>
              <w:autoSpaceDE/>
              <w:autoSpaceDN/>
              <w:bidi w:val="0"/>
              <w:adjustRightInd/>
              <w:spacing w:line="440" w:lineRule="exact"/>
              <w:textAlignment w:val="auto"/>
              <w:rPr>
                <w:rFonts w:hint="eastAsia"/>
                <w:color w:val="auto"/>
                <w:lang w:eastAsia="zh-CN"/>
              </w:rPr>
            </w:pPr>
            <w:r>
              <w:rPr>
                <w:rFonts w:hint="eastAsia" w:ascii="宋体" w:hAnsi="宋体" w:cs="宋体"/>
                <w:b/>
                <w:color w:val="auto"/>
                <w:szCs w:val="21"/>
                <w:highlight w:val="none"/>
              </w:rPr>
              <w:t>供应商的磋商工程总报价如高于预算控制价（最高限价）则作无效标处理。</w:t>
            </w:r>
          </w:p>
        </w:tc>
      </w:tr>
      <w:tr w14:paraId="2A0DF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noWrap w:val="0"/>
            <w:vAlign w:val="center"/>
          </w:tcPr>
          <w:p w14:paraId="10A407A9">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6</w:t>
            </w:r>
          </w:p>
        </w:tc>
        <w:tc>
          <w:tcPr>
            <w:tcW w:w="942" w:type="dxa"/>
            <w:noWrap w:val="0"/>
            <w:vAlign w:val="center"/>
          </w:tcPr>
          <w:p w14:paraId="3B0F50FA">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position w:val="-2"/>
                <w:szCs w:val="21"/>
                <w:highlight w:val="none"/>
              </w:rPr>
            </w:pPr>
            <w:r>
              <w:rPr>
                <w:rFonts w:hint="eastAsia" w:ascii="宋体" w:hAnsi="宋体" w:cs="宋体"/>
                <w:color w:val="auto"/>
                <w:position w:val="-2"/>
                <w:szCs w:val="21"/>
                <w:highlight w:val="none"/>
                <w:lang w:val="en-US" w:eastAsia="zh-CN"/>
              </w:rPr>
              <w:t>15</w:t>
            </w:r>
            <w:r>
              <w:rPr>
                <w:rFonts w:hint="eastAsia" w:ascii="宋体" w:hAnsi="宋体" w:eastAsia="宋体" w:cs="宋体"/>
                <w:color w:val="auto"/>
                <w:position w:val="-2"/>
                <w:szCs w:val="21"/>
                <w:highlight w:val="none"/>
              </w:rPr>
              <w:t>.1</w:t>
            </w:r>
          </w:p>
        </w:tc>
        <w:tc>
          <w:tcPr>
            <w:tcW w:w="1766" w:type="dxa"/>
            <w:noWrap w:val="0"/>
            <w:vAlign w:val="center"/>
          </w:tcPr>
          <w:p w14:paraId="6BB19DE0">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响应文件有效期</w:t>
            </w:r>
          </w:p>
        </w:tc>
        <w:tc>
          <w:tcPr>
            <w:tcW w:w="6921" w:type="dxa"/>
            <w:noWrap w:val="0"/>
            <w:vAlign w:val="top"/>
          </w:tcPr>
          <w:p w14:paraId="5A70808A">
            <w:pPr>
              <w:keepNext w:val="0"/>
              <w:keepLines w:val="0"/>
              <w:pageBreakBefore w:val="0"/>
              <w:widowControl w:val="0"/>
              <w:tabs>
                <w:tab w:val="left" w:pos="1305"/>
              </w:tabs>
              <w:kinsoku/>
              <w:wordWrap/>
              <w:overflowPunct/>
              <w:topLinePunct w:val="0"/>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响应文件递交截止时间之日起90天，有效期不足的响应文件将被拒绝。</w:t>
            </w:r>
          </w:p>
        </w:tc>
      </w:tr>
      <w:tr w14:paraId="0C160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noWrap w:val="0"/>
            <w:vAlign w:val="center"/>
          </w:tcPr>
          <w:p w14:paraId="4474A250">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7</w:t>
            </w:r>
          </w:p>
        </w:tc>
        <w:tc>
          <w:tcPr>
            <w:tcW w:w="942" w:type="dxa"/>
            <w:noWrap w:val="0"/>
            <w:vAlign w:val="center"/>
          </w:tcPr>
          <w:p w14:paraId="54562721">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default" w:ascii="宋体" w:hAnsi="宋体" w:eastAsia="宋体" w:cs="宋体"/>
                <w:color w:val="auto"/>
                <w:position w:val="-2"/>
                <w:szCs w:val="21"/>
                <w:highlight w:val="none"/>
                <w:lang w:val="en-US" w:eastAsia="zh-CN"/>
              </w:rPr>
            </w:pPr>
            <w:r>
              <w:rPr>
                <w:rFonts w:hint="eastAsia" w:ascii="宋体" w:hAnsi="宋体" w:cs="宋体"/>
                <w:color w:val="auto"/>
                <w:position w:val="-2"/>
                <w:szCs w:val="21"/>
                <w:highlight w:val="none"/>
                <w:lang w:val="en-US" w:eastAsia="zh-CN"/>
              </w:rPr>
              <w:t>16</w:t>
            </w:r>
          </w:p>
        </w:tc>
        <w:tc>
          <w:tcPr>
            <w:tcW w:w="1766" w:type="dxa"/>
            <w:noWrap w:val="0"/>
            <w:vAlign w:val="center"/>
          </w:tcPr>
          <w:p w14:paraId="0E512869">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保证金</w:t>
            </w:r>
          </w:p>
        </w:tc>
        <w:tc>
          <w:tcPr>
            <w:tcW w:w="6921" w:type="dxa"/>
            <w:noWrap w:val="0"/>
            <w:vAlign w:val="top"/>
          </w:tcPr>
          <w:p w14:paraId="53A39EEC">
            <w:pPr>
              <w:keepNext w:val="0"/>
              <w:keepLines w:val="0"/>
              <w:pageBreakBefore w:val="0"/>
              <w:widowControl w:val="0"/>
              <w:tabs>
                <w:tab w:val="left" w:pos="1305"/>
              </w:tabs>
              <w:kinsoku/>
              <w:wordWrap/>
              <w:overflowPunct/>
              <w:topLinePunct w:val="0"/>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本项目无需缴纳磋商保证金</w:t>
            </w:r>
          </w:p>
        </w:tc>
      </w:tr>
      <w:tr w14:paraId="7583C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noWrap w:val="0"/>
            <w:vAlign w:val="center"/>
          </w:tcPr>
          <w:p w14:paraId="52080EBF">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8</w:t>
            </w:r>
          </w:p>
        </w:tc>
        <w:tc>
          <w:tcPr>
            <w:tcW w:w="942" w:type="dxa"/>
            <w:noWrap w:val="0"/>
            <w:vAlign w:val="center"/>
          </w:tcPr>
          <w:p w14:paraId="6841B92F">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17</w:t>
            </w:r>
          </w:p>
        </w:tc>
        <w:tc>
          <w:tcPr>
            <w:tcW w:w="1766" w:type="dxa"/>
            <w:noWrap w:val="0"/>
            <w:vAlign w:val="center"/>
          </w:tcPr>
          <w:p w14:paraId="1E7E020E">
            <w:pPr>
              <w:pStyle w:val="4"/>
              <w:keepNext w:val="0"/>
              <w:keepLines w:val="0"/>
              <w:pageBreakBefore w:val="0"/>
              <w:widowControl w:val="0"/>
              <w:kinsoku/>
              <w:wordWrap/>
              <w:overflowPunct/>
              <w:topLinePunct w:val="0"/>
              <w:autoSpaceDE/>
              <w:autoSpaceDN/>
              <w:bidi w:val="0"/>
              <w:adjustRightInd/>
              <w:spacing w:before="0" w:after="0" w:line="440" w:lineRule="exact"/>
              <w:jc w:val="center"/>
              <w:textAlignment w:val="auto"/>
              <w:rPr>
                <w:rFonts w:hint="eastAsia" w:ascii="宋体" w:hAnsi="宋体" w:eastAsia="宋体" w:cs="宋体"/>
                <w:b w:val="0"/>
                <w:bCs/>
                <w:color w:val="auto"/>
                <w:sz w:val="21"/>
                <w:szCs w:val="21"/>
                <w:highlight w:val="none"/>
                <w:lang w:eastAsia="zh-CN"/>
              </w:rPr>
            </w:pPr>
            <w:bookmarkStart w:id="43" w:name="_Toc27452"/>
            <w:bookmarkStart w:id="44" w:name="_Toc19954"/>
            <w:bookmarkStart w:id="45" w:name="_Toc19911"/>
            <w:r>
              <w:rPr>
                <w:rFonts w:hint="eastAsia" w:ascii="宋体" w:hAnsi="宋体" w:eastAsia="宋体" w:cs="宋体"/>
                <w:b w:val="0"/>
                <w:bCs/>
                <w:color w:val="auto"/>
                <w:sz w:val="21"/>
                <w:szCs w:val="21"/>
                <w:highlight w:val="none"/>
              </w:rPr>
              <w:t>竞争性</w:t>
            </w:r>
            <w:r>
              <w:rPr>
                <w:rFonts w:hint="eastAsia" w:ascii="宋体" w:hAnsi="宋体" w:eastAsia="宋体" w:cs="宋体"/>
                <w:b w:val="0"/>
                <w:bCs/>
                <w:color w:val="auto"/>
                <w:sz w:val="21"/>
                <w:szCs w:val="21"/>
                <w:highlight w:val="none"/>
                <w:lang w:eastAsia="zh-CN"/>
              </w:rPr>
              <w:t>磋商</w:t>
            </w:r>
            <w:r>
              <w:rPr>
                <w:rFonts w:hint="eastAsia" w:ascii="宋体" w:hAnsi="宋体" w:eastAsia="宋体" w:cs="宋体"/>
                <w:b w:val="0"/>
                <w:bCs/>
                <w:color w:val="auto"/>
                <w:sz w:val="21"/>
                <w:szCs w:val="21"/>
                <w:highlight w:val="none"/>
              </w:rPr>
              <w:t>响应文件的</w:t>
            </w:r>
            <w:r>
              <w:rPr>
                <w:rFonts w:hint="eastAsia" w:ascii="宋体" w:hAnsi="宋体" w:eastAsia="宋体" w:cs="宋体"/>
                <w:b w:val="0"/>
                <w:bCs/>
                <w:color w:val="auto"/>
                <w:sz w:val="21"/>
                <w:szCs w:val="21"/>
                <w:highlight w:val="none"/>
                <w:lang w:eastAsia="zh-CN"/>
              </w:rPr>
              <w:t>制作</w:t>
            </w:r>
            <w:bookmarkEnd w:id="43"/>
            <w:bookmarkEnd w:id="44"/>
            <w:bookmarkEnd w:id="45"/>
          </w:p>
          <w:p w14:paraId="0F3743AC">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lang w:eastAsia="zh-CN"/>
              </w:rPr>
            </w:pPr>
          </w:p>
        </w:tc>
        <w:tc>
          <w:tcPr>
            <w:tcW w:w="6921" w:type="dxa"/>
            <w:noWrap w:val="0"/>
            <w:vAlign w:val="center"/>
          </w:tcPr>
          <w:p w14:paraId="582BC66A">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17</w:t>
            </w:r>
            <w:r>
              <w:rPr>
                <w:rFonts w:hint="eastAsia" w:ascii="宋体" w:hAnsi="宋体" w:eastAsia="宋体" w:cs="宋体"/>
                <w:color w:val="auto"/>
                <w:szCs w:val="21"/>
                <w:highlight w:val="none"/>
              </w:rPr>
              <w:t>.1 电子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响应文件中须加盖供应商公章部分均采用</w:t>
            </w:r>
            <w:r>
              <w:rPr>
                <w:rFonts w:hint="eastAsia" w:ascii="宋体" w:hAnsi="宋体" w:eastAsia="宋体" w:cs="宋体"/>
                <w:color w:val="auto"/>
                <w:szCs w:val="21"/>
                <w:highlight w:val="none"/>
                <w:lang w:val="en-US" w:eastAsia="zh-CN"/>
              </w:rPr>
              <w:t>数字证书（CA认证）</w:t>
            </w:r>
            <w:r>
              <w:rPr>
                <w:rFonts w:hint="eastAsia" w:ascii="宋体" w:hAnsi="宋体" w:eastAsia="宋体" w:cs="宋体"/>
                <w:color w:val="auto"/>
                <w:szCs w:val="21"/>
                <w:highlight w:val="none"/>
              </w:rPr>
              <w:t>签章，并根据“政府采购项目电子交易管理操作指南-供应商”及本</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文件规定的格式和顺序编制电子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响应文件并进行关联定位，以便</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小组在评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时，点击评分项可直接定位到该评分项内容。如对</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文件的某项要求，供应商的电子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响应文件未能关联定位提供相应的内容与其对应，则</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小组在评审时如做出对供应商不利的评审由供应商自行承担。电子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响应文件如内容不完整、编排混乱导致</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响应文件被误读、 漏读，或者在按采购文件规定的部位查找不到相关内容的，由供应商自行承担。</w:t>
            </w:r>
          </w:p>
          <w:p w14:paraId="2BA3F7C7">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17</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供应商法人（负责人）或授权代表持有个人</w:t>
            </w:r>
            <w:r>
              <w:rPr>
                <w:rFonts w:hint="eastAsia" w:ascii="宋体" w:hAnsi="宋体" w:cs="宋体"/>
                <w:color w:val="auto"/>
                <w:szCs w:val="21"/>
                <w:highlight w:val="none"/>
                <w:lang w:eastAsia="zh-CN"/>
              </w:rPr>
              <w:t>数字证书（CA认证）</w:t>
            </w:r>
            <w:r>
              <w:rPr>
                <w:rFonts w:hint="eastAsia" w:ascii="宋体" w:hAnsi="宋体" w:eastAsia="宋体" w:cs="宋体"/>
                <w:color w:val="auto"/>
                <w:szCs w:val="21"/>
                <w:highlight w:val="none"/>
              </w:rPr>
              <w:t>签章的，应在</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文件中涉及到签字的位置使用个人</w:t>
            </w:r>
            <w:r>
              <w:rPr>
                <w:rFonts w:hint="eastAsia" w:ascii="宋体" w:hAnsi="宋体" w:cs="宋体"/>
                <w:color w:val="auto"/>
                <w:szCs w:val="21"/>
                <w:highlight w:val="none"/>
                <w:lang w:eastAsia="zh-CN"/>
              </w:rPr>
              <w:t>数字证书（CA认证）</w:t>
            </w:r>
            <w:r>
              <w:rPr>
                <w:rFonts w:hint="eastAsia" w:ascii="宋体" w:hAnsi="宋体" w:eastAsia="宋体" w:cs="宋体"/>
                <w:color w:val="auto"/>
                <w:szCs w:val="21"/>
                <w:highlight w:val="none"/>
              </w:rPr>
              <w:t>签章，没有办理个人</w:t>
            </w:r>
            <w:r>
              <w:rPr>
                <w:rFonts w:hint="eastAsia" w:ascii="宋体" w:hAnsi="宋体" w:cs="宋体"/>
                <w:color w:val="auto"/>
                <w:szCs w:val="21"/>
                <w:highlight w:val="none"/>
                <w:lang w:eastAsia="zh-CN"/>
              </w:rPr>
              <w:t>数字证书（CA认证）</w:t>
            </w:r>
            <w:r>
              <w:rPr>
                <w:rFonts w:hint="eastAsia" w:ascii="宋体" w:hAnsi="宋体" w:eastAsia="宋体" w:cs="宋体"/>
                <w:color w:val="auto"/>
                <w:szCs w:val="21"/>
                <w:highlight w:val="none"/>
              </w:rPr>
              <w:t>签章的可在</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文件中涉及到签字的位置手写签字后扫描或者拍照做成 PDF 的格式上传即可。</w:t>
            </w:r>
          </w:p>
          <w:p w14:paraId="22CFD104">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17</w:t>
            </w:r>
            <w:r>
              <w:rPr>
                <w:rFonts w:hint="eastAsia" w:ascii="宋体" w:hAnsi="宋体" w:eastAsia="宋体" w:cs="宋体"/>
                <w:color w:val="auto"/>
                <w:szCs w:val="21"/>
                <w:highlight w:val="none"/>
              </w:rPr>
              <w:t xml:space="preserve">.3 </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响应文件不得涂改，若有修改错漏处，须法定代表人（负责人）或授权委托人签字</w:t>
            </w:r>
            <w:r>
              <w:rPr>
                <w:rFonts w:hint="eastAsia" w:ascii="宋体" w:hAnsi="宋体" w:eastAsia="宋体" w:cs="宋体"/>
                <w:color w:val="auto"/>
                <w:szCs w:val="21"/>
                <w:highlight w:val="none"/>
                <w:lang w:eastAsia="zh-CN"/>
              </w:rPr>
              <w:t>（或个人</w:t>
            </w:r>
            <w:r>
              <w:rPr>
                <w:rFonts w:hint="eastAsia" w:ascii="宋体" w:hAnsi="宋体" w:cs="宋体"/>
                <w:color w:val="auto"/>
                <w:szCs w:val="21"/>
                <w:highlight w:val="none"/>
                <w:lang w:val="en-US" w:eastAsia="zh-CN"/>
              </w:rPr>
              <w:t>数字证书（CA认证）</w:t>
            </w:r>
            <w:r>
              <w:rPr>
                <w:rFonts w:hint="eastAsia" w:ascii="宋体" w:hAnsi="宋体" w:eastAsia="宋体" w:cs="宋体"/>
                <w:color w:val="auto"/>
                <w:szCs w:val="21"/>
                <w:highlight w:val="none"/>
                <w:lang w:val="en-US" w:eastAsia="zh-CN"/>
              </w:rPr>
              <w:t>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响应文件因字迹潦草或表达不清所引起的后果由供应商负责。</w:t>
            </w:r>
          </w:p>
          <w:p w14:paraId="756C5167">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17</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eastAsia="zh-CN"/>
              </w:rPr>
              <w:t xml:space="preserve">磋商前准备 </w:t>
            </w:r>
          </w:p>
          <w:p w14:paraId="4328D664">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17</w:t>
            </w:r>
            <w:r>
              <w:rPr>
                <w:rFonts w:hint="eastAsia" w:ascii="宋体" w:hAnsi="宋体" w:eastAsia="宋体" w:cs="宋体"/>
                <w:color w:val="auto"/>
                <w:szCs w:val="21"/>
                <w:highlight w:val="none"/>
                <w:lang w:val="en-US" w:eastAsia="zh-CN"/>
              </w:rPr>
              <w:t>.4.1</w:t>
            </w:r>
            <w:r>
              <w:rPr>
                <w:rFonts w:hint="eastAsia" w:ascii="宋体" w:hAnsi="宋体" w:eastAsia="宋体" w:cs="宋体"/>
                <w:color w:val="auto"/>
                <w:szCs w:val="21"/>
                <w:highlight w:val="none"/>
                <w:lang w:eastAsia="zh-CN"/>
              </w:rPr>
              <w:t xml:space="preserve">本项目实行在线磋商，采用电子磋商响应文件。若供应商参与磋商，自行承担磋商一切费用。 </w:t>
            </w:r>
          </w:p>
          <w:p w14:paraId="7F963556">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17</w:t>
            </w:r>
            <w:r>
              <w:rPr>
                <w:rFonts w:hint="eastAsia" w:ascii="宋体" w:hAnsi="宋体" w:eastAsia="宋体" w:cs="宋体"/>
                <w:color w:val="auto"/>
                <w:szCs w:val="21"/>
                <w:highlight w:val="none"/>
                <w:lang w:val="en-US" w:eastAsia="zh-CN"/>
              </w:rPr>
              <w:t>.4.2</w:t>
            </w:r>
            <w:r>
              <w:rPr>
                <w:rFonts w:hint="eastAsia" w:ascii="宋体" w:hAnsi="宋体" w:eastAsia="宋体" w:cs="宋体"/>
                <w:color w:val="auto"/>
                <w:szCs w:val="21"/>
                <w:highlight w:val="none"/>
                <w:lang w:eastAsia="zh-CN"/>
              </w:rPr>
              <w:t>各供应商应在截标前应确保成为</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lang w:eastAsia="zh-CN"/>
              </w:rPr>
              <w:t>正式注册入库供应商，并完成</w:t>
            </w:r>
            <w:r>
              <w:rPr>
                <w:rFonts w:hint="eastAsia" w:ascii="宋体" w:hAnsi="宋体" w:cs="宋体"/>
                <w:color w:val="auto"/>
                <w:szCs w:val="21"/>
                <w:highlight w:val="none"/>
                <w:lang w:eastAsia="zh-CN"/>
              </w:rPr>
              <w:t>数字证书（CA认证）</w:t>
            </w:r>
            <w:r>
              <w:rPr>
                <w:rFonts w:hint="eastAsia" w:ascii="宋体" w:hAnsi="宋体" w:eastAsia="宋体" w:cs="宋体"/>
                <w:color w:val="auto"/>
                <w:szCs w:val="21"/>
                <w:highlight w:val="none"/>
                <w:lang w:eastAsia="zh-CN"/>
              </w:rPr>
              <w:t>申领。因未注册入库、未办理</w:t>
            </w:r>
            <w:r>
              <w:rPr>
                <w:rFonts w:hint="eastAsia" w:ascii="宋体" w:hAnsi="宋体" w:cs="宋体"/>
                <w:color w:val="auto"/>
                <w:szCs w:val="21"/>
                <w:highlight w:val="none"/>
                <w:lang w:eastAsia="zh-CN"/>
              </w:rPr>
              <w:t>数字证书（CA认证）</w:t>
            </w:r>
            <w:r>
              <w:rPr>
                <w:rFonts w:hint="eastAsia" w:ascii="宋体" w:hAnsi="宋体" w:eastAsia="宋体" w:cs="宋体"/>
                <w:color w:val="auto"/>
                <w:szCs w:val="21"/>
                <w:highlight w:val="none"/>
                <w:lang w:eastAsia="zh-CN"/>
              </w:rPr>
              <w:t xml:space="preserve">等原因造成无法磋商或磋商失败等后果由供应商自行承担。 </w:t>
            </w:r>
          </w:p>
          <w:p w14:paraId="76B78422">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17</w:t>
            </w:r>
            <w:r>
              <w:rPr>
                <w:rFonts w:hint="eastAsia" w:ascii="宋体" w:hAnsi="宋体" w:eastAsia="宋体" w:cs="宋体"/>
                <w:color w:val="auto"/>
                <w:szCs w:val="21"/>
                <w:highlight w:val="none"/>
                <w:lang w:val="en-US" w:eastAsia="zh-CN"/>
              </w:rPr>
              <w:t>.4.3</w:t>
            </w:r>
            <w:r>
              <w:rPr>
                <w:rFonts w:hint="eastAsia" w:ascii="宋体" w:hAnsi="宋体" w:eastAsia="宋体" w:cs="宋体"/>
                <w:color w:val="auto"/>
                <w:szCs w:val="21"/>
                <w:highlight w:val="none"/>
                <w:lang w:eastAsia="zh-CN"/>
              </w:rPr>
              <w:t>供应商将</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lang w:eastAsia="zh-CN"/>
              </w:rPr>
              <w:t>电子交易客户端下载、安装完成后，可通过账号密码或</w:t>
            </w:r>
            <w:r>
              <w:rPr>
                <w:rFonts w:hint="eastAsia" w:ascii="宋体" w:hAnsi="宋体" w:cs="宋体"/>
                <w:color w:val="auto"/>
                <w:szCs w:val="21"/>
                <w:highlight w:val="none"/>
                <w:lang w:eastAsia="zh-CN"/>
              </w:rPr>
              <w:t>数字证书（CA认证）</w:t>
            </w:r>
            <w:r>
              <w:rPr>
                <w:rFonts w:hint="eastAsia" w:ascii="宋体" w:hAnsi="宋体" w:eastAsia="宋体" w:cs="宋体"/>
                <w:color w:val="auto"/>
                <w:szCs w:val="21"/>
                <w:highlight w:val="none"/>
                <w:lang w:eastAsia="zh-CN"/>
              </w:rPr>
              <w:t>登录客户端进行响应文件制作。客户端请至网站下载专区查看，如有问题可拨打</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lang w:eastAsia="zh-CN"/>
              </w:rPr>
              <w:t xml:space="preserve">客户服务热线 </w:t>
            </w:r>
            <w:r>
              <w:rPr>
                <w:rFonts w:hint="eastAsia" w:ascii="宋体" w:hAnsi="宋体" w:cs="宋体"/>
                <w:color w:val="auto"/>
                <w:szCs w:val="21"/>
                <w:highlight w:val="none"/>
                <w:lang w:eastAsia="zh-CN"/>
              </w:rPr>
              <w:t>95763</w:t>
            </w:r>
            <w:r>
              <w:rPr>
                <w:rFonts w:hint="eastAsia" w:ascii="宋体" w:hAnsi="宋体" w:eastAsia="宋体" w:cs="宋体"/>
                <w:color w:val="auto"/>
                <w:szCs w:val="21"/>
                <w:highlight w:val="none"/>
                <w:lang w:eastAsia="zh-CN"/>
              </w:rPr>
              <w:t xml:space="preserve"> 进行咨询。</w:t>
            </w:r>
          </w:p>
        </w:tc>
      </w:tr>
      <w:tr w14:paraId="305BC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662" w:type="dxa"/>
            <w:noWrap w:val="0"/>
            <w:vAlign w:val="center"/>
          </w:tcPr>
          <w:p w14:paraId="5A25641C">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kern w:val="2"/>
                <w:position w:val="-2"/>
                <w:sz w:val="21"/>
                <w:szCs w:val="21"/>
                <w:highlight w:val="none"/>
                <w:lang w:val="en-US" w:eastAsia="zh-CN" w:bidi="ar-SA"/>
              </w:rPr>
            </w:pPr>
            <w:r>
              <w:rPr>
                <w:rFonts w:hint="eastAsia" w:ascii="宋体" w:hAnsi="宋体" w:eastAsia="宋体" w:cs="宋体"/>
                <w:color w:val="auto"/>
                <w:position w:val="-2"/>
                <w:szCs w:val="21"/>
                <w:highlight w:val="none"/>
                <w:lang w:val="en-US" w:eastAsia="zh-CN"/>
              </w:rPr>
              <w:t>9</w:t>
            </w:r>
          </w:p>
        </w:tc>
        <w:tc>
          <w:tcPr>
            <w:tcW w:w="942" w:type="dxa"/>
            <w:noWrap w:val="0"/>
            <w:vAlign w:val="center"/>
          </w:tcPr>
          <w:p w14:paraId="5B9FF41C">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19</w:t>
            </w:r>
            <w:r>
              <w:rPr>
                <w:rFonts w:hint="eastAsia" w:ascii="宋体" w:hAnsi="宋体" w:eastAsia="宋体" w:cs="宋体"/>
                <w:color w:val="auto"/>
                <w:szCs w:val="21"/>
                <w:highlight w:val="none"/>
              </w:rPr>
              <w:t>.1</w:t>
            </w:r>
          </w:p>
        </w:tc>
        <w:tc>
          <w:tcPr>
            <w:tcW w:w="1766" w:type="dxa"/>
            <w:noWrap w:val="0"/>
            <w:vAlign w:val="center"/>
          </w:tcPr>
          <w:p w14:paraId="1EAC12E9">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响应文件递交截止时间</w:t>
            </w:r>
          </w:p>
        </w:tc>
        <w:tc>
          <w:tcPr>
            <w:tcW w:w="6921" w:type="dxa"/>
            <w:noWrap w:val="0"/>
            <w:vAlign w:val="center"/>
          </w:tcPr>
          <w:p w14:paraId="4838B421">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lang w:eastAsia="zh-CN"/>
              </w:rPr>
              <w:t>于</w:t>
            </w:r>
            <w:r>
              <w:rPr>
                <w:rFonts w:hint="eastAsia" w:ascii="宋体" w:hAnsi="宋体" w:cs="宋体"/>
                <w:color w:val="auto"/>
                <w:sz w:val="21"/>
                <w:szCs w:val="21"/>
                <w:highlight w:val="none"/>
                <w:u w:val="single"/>
                <w:lang w:eastAsia="zh-CN"/>
              </w:rPr>
              <w:t>2025年11月11日</w:t>
            </w:r>
            <w:r>
              <w:rPr>
                <w:rFonts w:hint="eastAsia" w:ascii="宋体" w:hAnsi="宋体" w:cs="宋体"/>
                <w:color w:val="auto"/>
                <w:sz w:val="21"/>
                <w:szCs w:val="21"/>
                <w:highlight w:val="none"/>
                <w:u w:val="single"/>
                <w:lang w:val="en-US" w:eastAsia="zh-CN"/>
              </w:rPr>
              <w:t>9时30分</w:t>
            </w:r>
            <w:r>
              <w:rPr>
                <w:rFonts w:hint="eastAsia" w:ascii="宋体" w:hAnsi="宋体" w:eastAsia="宋体" w:cs="宋体"/>
                <w:color w:val="auto"/>
                <w:szCs w:val="21"/>
                <w:highlight w:val="none"/>
              </w:rPr>
              <w:t>之前将电子磋商响应文件上传到</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。应按照本项目磋商文件和</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的要求编制、加密传输磋商响应文件。供应商在使用系统进行</w:t>
            </w:r>
            <w:r>
              <w:rPr>
                <w:rFonts w:hint="eastAsia" w:ascii="宋体" w:hAnsi="宋体" w:cs="宋体"/>
                <w:color w:val="auto"/>
                <w:szCs w:val="21"/>
                <w:highlight w:val="none"/>
                <w:lang w:eastAsia="zh-CN"/>
              </w:rPr>
              <w:t>响应</w:t>
            </w:r>
            <w:r>
              <w:rPr>
                <w:rFonts w:hint="eastAsia" w:ascii="宋体" w:hAnsi="宋体" w:eastAsia="宋体" w:cs="宋体"/>
                <w:color w:val="auto"/>
                <w:szCs w:val="21"/>
                <w:highlight w:val="none"/>
              </w:rPr>
              <w:t>的过程中遇到涉及平台使用的任何问题，可致电</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技术支持热线咨询，联系方式：</w:t>
            </w:r>
            <w:r>
              <w:rPr>
                <w:rFonts w:hint="eastAsia" w:ascii="宋体" w:hAnsi="宋体" w:cs="宋体"/>
                <w:color w:val="auto"/>
                <w:szCs w:val="21"/>
                <w:highlight w:val="none"/>
                <w:lang w:eastAsia="zh-CN"/>
              </w:rPr>
              <w:t>95763</w:t>
            </w:r>
            <w:r>
              <w:rPr>
                <w:rFonts w:hint="eastAsia" w:ascii="宋体" w:hAnsi="宋体" w:eastAsia="宋体" w:cs="宋体"/>
                <w:color w:val="auto"/>
                <w:szCs w:val="21"/>
                <w:highlight w:val="none"/>
              </w:rPr>
              <w:t>。</w:t>
            </w:r>
          </w:p>
        </w:tc>
      </w:tr>
      <w:tr w14:paraId="14BCE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62" w:type="dxa"/>
            <w:noWrap w:val="0"/>
            <w:vAlign w:val="center"/>
          </w:tcPr>
          <w:p w14:paraId="20E10639">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10</w:t>
            </w:r>
          </w:p>
        </w:tc>
        <w:tc>
          <w:tcPr>
            <w:tcW w:w="942" w:type="dxa"/>
            <w:noWrap w:val="0"/>
            <w:vAlign w:val="center"/>
          </w:tcPr>
          <w:p w14:paraId="49C86939">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position w:val="-2"/>
                <w:szCs w:val="21"/>
                <w:highlight w:val="none"/>
              </w:rPr>
            </w:pPr>
            <w:r>
              <w:rPr>
                <w:rFonts w:hint="eastAsia" w:ascii="宋体" w:hAnsi="宋体" w:cs="宋体"/>
                <w:color w:val="auto"/>
                <w:position w:val="-2"/>
                <w:szCs w:val="21"/>
                <w:highlight w:val="none"/>
                <w:lang w:val="en-US" w:eastAsia="zh-CN"/>
              </w:rPr>
              <w:t>19</w:t>
            </w:r>
            <w:r>
              <w:rPr>
                <w:rFonts w:hint="eastAsia" w:ascii="宋体" w:hAnsi="宋体" w:eastAsia="宋体" w:cs="宋体"/>
                <w:color w:val="auto"/>
                <w:position w:val="-2"/>
                <w:szCs w:val="21"/>
                <w:highlight w:val="none"/>
              </w:rPr>
              <w:t>.2</w:t>
            </w:r>
          </w:p>
        </w:tc>
        <w:tc>
          <w:tcPr>
            <w:tcW w:w="1766" w:type="dxa"/>
            <w:noWrap w:val="0"/>
            <w:vAlign w:val="center"/>
          </w:tcPr>
          <w:p w14:paraId="70D6DCD6">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position w:val="-2"/>
                <w:szCs w:val="21"/>
                <w:highlight w:val="none"/>
              </w:rPr>
            </w:pPr>
            <w:r>
              <w:rPr>
                <w:rFonts w:hint="eastAsia" w:ascii="宋体" w:hAnsi="宋体" w:eastAsia="宋体" w:cs="宋体"/>
                <w:color w:val="auto"/>
                <w:szCs w:val="21"/>
                <w:highlight w:val="none"/>
                <w:lang w:eastAsia="zh-CN"/>
              </w:rPr>
              <w:t>磋商响应文件解密时间</w:t>
            </w:r>
          </w:p>
        </w:tc>
        <w:tc>
          <w:tcPr>
            <w:tcW w:w="6921" w:type="dxa"/>
            <w:noWrap w:val="0"/>
            <w:vAlign w:val="center"/>
          </w:tcPr>
          <w:p w14:paraId="6EA1A4EA">
            <w:pPr>
              <w:pStyle w:val="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磋商响应文件解密时间</w:t>
            </w:r>
            <w:r>
              <w:rPr>
                <w:rFonts w:hint="eastAsia" w:ascii="宋体" w:hAnsi="宋体" w:eastAsia="宋体" w:cs="宋体"/>
                <w:b w:val="0"/>
                <w:bCs w:val="0"/>
                <w:color w:val="auto"/>
                <w:kern w:val="2"/>
                <w:highlight w:val="none"/>
                <w:lang w:eastAsia="zh-CN"/>
              </w:rPr>
              <w:t>：截标时间后</w:t>
            </w:r>
            <w:r>
              <w:rPr>
                <w:rFonts w:hint="eastAsia" w:ascii="宋体" w:hAnsi="宋体" w:eastAsia="宋体" w:cs="宋体"/>
                <w:b w:val="0"/>
                <w:bCs w:val="0"/>
                <w:color w:val="auto"/>
                <w:kern w:val="2"/>
                <w:highlight w:val="none"/>
                <w:u w:val="single"/>
                <w:lang w:eastAsia="zh-CN"/>
              </w:rPr>
              <w:t>30</w:t>
            </w:r>
            <w:r>
              <w:rPr>
                <w:rFonts w:hint="eastAsia" w:ascii="宋体" w:hAnsi="宋体" w:eastAsia="宋体" w:cs="宋体"/>
                <w:b w:val="0"/>
                <w:bCs w:val="0"/>
                <w:color w:val="auto"/>
                <w:kern w:val="2"/>
                <w:highlight w:val="none"/>
                <w:lang w:eastAsia="zh-CN"/>
              </w:rPr>
              <w:t>分钟内（</w:t>
            </w:r>
            <w:r>
              <w:rPr>
                <w:rFonts w:hint="eastAsia" w:ascii="宋体" w:hAnsi="宋体" w:cs="宋体"/>
                <w:b w:val="0"/>
                <w:bCs w:val="0"/>
                <w:color w:val="auto"/>
                <w:kern w:val="2"/>
                <w:highlight w:val="none"/>
                <w:lang w:eastAsia="zh-CN"/>
              </w:rPr>
              <w:t>2025年11月11日</w:t>
            </w:r>
            <w:r>
              <w:rPr>
                <w:rFonts w:hint="eastAsia" w:ascii="宋体" w:hAnsi="宋体" w:eastAsia="宋体" w:cs="宋体"/>
                <w:b w:val="0"/>
                <w:bCs w:val="0"/>
                <w:color w:val="auto"/>
                <w:kern w:val="2"/>
                <w:highlight w:val="none"/>
                <w:lang w:eastAsia="zh-CN"/>
              </w:rPr>
              <w:t>9时30分至10时00分)磋商供应商可以登录</w:t>
            </w:r>
            <w:r>
              <w:rPr>
                <w:rFonts w:hint="eastAsia" w:ascii="宋体" w:hAnsi="宋体" w:cs="宋体"/>
                <w:b w:val="0"/>
                <w:bCs w:val="0"/>
                <w:color w:val="auto"/>
                <w:kern w:val="2"/>
                <w:highlight w:val="none"/>
                <w:lang w:eastAsia="zh-CN"/>
              </w:rPr>
              <w:t>广西政府采购云平台</w:t>
            </w:r>
            <w:r>
              <w:rPr>
                <w:rFonts w:hint="eastAsia" w:ascii="宋体" w:hAnsi="宋体" w:eastAsia="宋体" w:cs="宋体"/>
                <w:b w:val="0"/>
                <w:bCs w:val="0"/>
                <w:color w:val="auto"/>
                <w:kern w:val="2"/>
                <w:highlight w:val="none"/>
                <w:lang w:eastAsia="zh-CN"/>
              </w:rPr>
              <w:t>，用“项目采购-开标评标”功能进行解密</w:t>
            </w:r>
            <w:r>
              <w:rPr>
                <w:rFonts w:hint="eastAsia" w:ascii="宋体" w:hAnsi="宋体" w:eastAsia="宋体" w:cs="宋体"/>
                <w:color w:val="auto"/>
                <w:highlight w:val="none"/>
                <w:lang w:eastAsia="zh-CN"/>
              </w:rPr>
              <w:t>磋商响应文件</w:t>
            </w:r>
            <w:r>
              <w:rPr>
                <w:rFonts w:hint="eastAsia" w:ascii="宋体" w:hAnsi="宋体" w:eastAsia="宋体" w:cs="宋体"/>
                <w:b w:val="0"/>
                <w:bCs w:val="0"/>
                <w:color w:val="auto"/>
                <w:kern w:val="2"/>
                <w:highlight w:val="none"/>
                <w:lang w:eastAsia="zh-CN"/>
              </w:rPr>
              <w:t>。若</w:t>
            </w:r>
            <w:r>
              <w:rPr>
                <w:rFonts w:hint="eastAsia" w:ascii="宋体" w:hAnsi="宋体" w:eastAsia="宋体" w:cs="宋体"/>
                <w:color w:val="auto"/>
                <w:highlight w:val="none"/>
                <w:lang w:eastAsia="zh-CN"/>
              </w:rPr>
              <w:t>磋商供应商</w:t>
            </w:r>
            <w:r>
              <w:rPr>
                <w:rFonts w:hint="eastAsia" w:ascii="宋体" w:hAnsi="宋体" w:eastAsia="宋体" w:cs="宋体"/>
                <w:b w:val="0"/>
                <w:bCs w:val="0"/>
                <w:color w:val="auto"/>
                <w:kern w:val="2"/>
                <w:highlight w:val="none"/>
                <w:lang w:eastAsia="zh-CN"/>
              </w:rPr>
              <w:t>在规定时间内无法解密或解密失败，可以以电子备份</w:t>
            </w:r>
            <w:r>
              <w:rPr>
                <w:rFonts w:hint="eastAsia" w:ascii="宋体" w:hAnsi="宋体" w:eastAsia="宋体" w:cs="宋体"/>
                <w:color w:val="auto"/>
                <w:highlight w:val="none"/>
                <w:lang w:eastAsia="zh-CN"/>
              </w:rPr>
              <w:t>磋商响应文件</w:t>
            </w:r>
            <w:r>
              <w:rPr>
                <w:rFonts w:hint="eastAsia" w:ascii="宋体" w:hAnsi="宋体" w:eastAsia="宋体" w:cs="宋体"/>
                <w:b w:val="0"/>
                <w:bCs w:val="0"/>
                <w:color w:val="auto"/>
                <w:kern w:val="2"/>
                <w:highlight w:val="none"/>
                <w:lang w:eastAsia="zh-CN"/>
              </w:rPr>
              <w:t>作为依据</w:t>
            </w:r>
            <w:r>
              <w:rPr>
                <w:rFonts w:hint="eastAsia" w:ascii="宋体" w:hAnsi="宋体" w:eastAsia="宋体" w:cs="宋体"/>
                <w:b/>
                <w:bCs/>
                <w:color w:val="auto"/>
                <w:kern w:val="2"/>
                <w:highlight w:val="none"/>
                <w:lang w:eastAsia="zh-CN"/>
              </w:rPr>
              <w:t>【在接到无法解密或解密失败的通知后，磋商供应商可根据自身实际情况按通知时要求的时间到桂林市公共资源交易中心开标室现场提交或以电子邮件的形式（以通知时所告知的电子邮箱地址为准）提交电子备份磋商响应文件】</w:t>
            </w:r>
            <w:r>
              <w:rPr>
                <w:rFonts w:hint="eastAsia" w:ascii="宋体" w:hAnsi="宋体" w:eastAsia="宋体" w:cs="宋体"/>
                <w:b w:val="0"/>
                <w:bCs w:val="0"/>
                <w:color w:val="auto"/>
                <w:kern w:val="2"/>
                <w:highlight w:val="none"/>
                <w:lang w:eastAsia="zh-CN"/>
              </w:rPr>
              <w:t>，若磋商供应商在规定时间内无法解密或解密失败且未提供电子备份磋商响应文件的(包含提供的电子备份文件无效或无法解密的情况)，视为无效响应。</w:t>
            </w:r>
          </w:p>
        </w:tc>
      </w:tr>
      <w:tr w14:paraId="7E52F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62" w:type="dxa"/>
            <w:noWrap w:val="0"/>
            <w:vAlign w:val="center"/>
          </w:tcPr>
          <w:p w14:paraId="75A439B9">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11</w:t>
            </w:r>
          </w:p>
        </w:tc>
        <w:tc>
          <w:tcPr>
            <w:tcW w:w="942" w:type="dxa"/>
            <w:noWrap w:val="0"/>
            <w:vAlign w:val="center"/>
          </w:tcPr>
          <w:p w14:paraId="0226769E">
            <w:pPr>
              <w:keepNext w:val="0"/>
              <w:keepLines w:val="0"/>
              <w:pageBreakBefore w:val="0"/>
              <w:widowControl w:val="0"/>
              <w:kinsoku/>
              <w:wordWrap/>
              <w:overflowPunct/>
              <w:topLinePunct w:val="0"/>
              <w:autoSpaceDE/>
              <w:autoSpaceDN/>
              <w:bidi w:val="0"/>
              <w:adjustRightInd/>
              <w:spacing w:line="440" w:lineRule="exact"/>
              <w:ind w:firstLine="105" w:firstLineChars="50"/>
              <w:jc w:val="center"/>
              <w:textAlignment w:val="auto"/>
              <w:rPr>
                <w:rFonts w:hint="eastAsia" w:ascii="宋体" w:hAnsi="宋体" w:eastAsia="宋体" w:cs="宋体"/>
                <w:color w:val="auto"/>
                <w:position w:val="-2"/>
                <w:szCs w:val="21"/>
                <w:highlight w:val="none"/>
              </w:rPr>
            </w:pPr>
            <w:r>
              <w:rPr>
                <w:rFonts w:hint="eastAsia" w:ascii="宋体" w:hAnsi="宋体" w:cs="宋体"/>
                <w:color w:val="auto"/>
                <w:position w:val="-2"/>
                <w:szCs w:val="21"/>
                <w:highlight w:val="none"/>
                <w:lang w:val="en-US" w:eastAsia="zh-CN"/>
              </w:rPr>
              <w:t>20</w:t>
            </w:r>
            <w:r>
              <w:rPr>
                <w:rFonts w:hint="eastAsia" w:ascii="宋体" w:hAnsi="宋体" w:eastAsia="宋体" w:cs="宋体"/>
                <w:color w:val="auto"/>
                <w:position w:val="-2"/>
                <w:szCs w:val="21"/>
                <w:highlight w:val="none"/>
              </w:rPr>
              <w:t>.1</w:t>
            </w:r>
          </w:p>
        </w:tc>
        <w:tc>
          <w:tcPr>
            <w:tcW w:w="1766" w:type="dxa"/>
            <w:noWrap w:val="0"/>
            <w:vAlign w:val="center"/>
          </w:tcPr>
          <w:p w14:paraId="4E558B22">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磋商小组组成</w:t>
            </w:r>
          </w:p>
        </w:tc>
        <w:tc>
          <w:tcPr>
            <w:tcW w:w="6921" w:type="dxa"/>
            <w:noWrap w:val="0"/>
            <w:vAlign w:val="center"/>
          </w:tcPr>
          <w:p w14:paraId="1FF1D0CC">
            <w:pPr>
              <w:keepNext w:val="0"/>
              <w:keepLines w:val="0"/>
              <w:pageBreakBefore w:val="0"/>
              <w:widowControl w:val="0"/>
              <w:kinsoku/>
              <w:wordWrap/>
              <w:overflowPunct/>
              <w:topLinePunct w:val="0"/>
              <w:autoSpaceDE/>
              <w:autoSpaceDN/>
              <w:bidi w:val="0"/>
              <w:adjustRightInd/>
              <w:spacing w:line="440" w:lineRule="exact"/>
              <w:ind w:left="15" w:hanging="14" w:hangingChars="7"/>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磋商及评审工作由采购代理机构负责组织，具体磋商、评审工作由依法组建的磋商小组负责，磋商小组由采购人代表和有关方面的专家组成。磋商小组的构成：</w:t>
            </w:r>
            <w:r>
              <w:rPr>
                <w:rFonts w:hint="eastAsia" w:ascii="宋体" w:hAnsi="宋体" w:eastAsia="宋体" w:cs="宋体"/>
                <w:color w:val="auto"/>
                <w:szCs w:val="21"/>
                <w:highlight w:val="none"/>
                <w:u w:val="single"/>
              </w:rPr>
              <w:t xml:space="preserve">3 </w:t>
            </w:r>
            <w:r>
              <w:rPr>
                <w:rFonts w:hint="eastAsia" w:ascii="宋体" w:hAnsi="宋体" w:eastAsia="宋体" w:cs="宋体"/>
                <w:color w:val="auto"/>
                <w:szCs w:val="21"/>
                <w:highlight w:val="none"/>
              </w:rPr>
              <w:t>人，其中采购人代表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1 </w:t>
            </w:r>
            <w:r>
              <w:rPr>
                <w:rFonts w:hint="eastAsia" w:ascii="宋体" w:hAnsi="宋体" w:eastAsia="宋体" w:cs="宋体"/>
                <w:color w:val="auto"/>
                <w:szCs w:val="21"/>
                <w:highlight w:val="none"/>
              </w:rPr>
              <w:t>人，专家</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2 </w:t>
            </w:r>
            <w:r>
              <w:rPr>
                <w:rFonts w:hint="eastAsia" w:ascii="宋体" w:hAnsi="宋体" w:eastAsia="宋体" w:cs="宋体"/>
                <w:color w:val="auto"/>
                <w:szCs w:val="21"/>
                <w:highlight w:val="none"/>
              </w:rPr>
              <w:t>人。</w:t>
            </w:r>
          </w:p>
        </w:tc>
      </w:tr>
      <w:tr w14:paraId="274A3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62" w:type="dxa"/>
            <w:noWrap w:val="0"/>
            <w:vAlign w:val="center"/>
          </w:tcPr>
          <w:p w14:paraId="5EC13602">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Cs w:val="21"/>
                <w:highlight w:val="none"/>
                <w:lang w:val="en-US" w:eastAsia="zh-CN"/>
              </w:rPr>
              <w:t>12</w:t>
            </w:r>
          </w:p>
        </w:tc>
        <w:tc>
          <w:tcPr>
            <w:tcW w:w="942" w:type="dxa"/>
            <w:noWrap w:val="0"/>
            <w:vAlign w:val="center"/>
          </w:tcPr>
          <w:p w14:paraId="43C4B344">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20</w:t>
            </w:r>
            <w:r>
              <w:rPr>
                <w:rFonts w:hint="eastAsia" w:ascii="宋体" w:hAnsi="宋体" w:eastAsia="宋体" w:cs="宋体"/>
                <w:color w:val="auto"/>
                <w:szCs w:val="21"/>
                <w:highlight w:val="none"/>
              </w:rPr>
              <w:t>.2</w:t>
            </w:r>
          </w:p>
        </w:tc>
        <w:tc>
          <w:tcPr>
            <w:tcW w:w="1766" w:type="dxa"/>
            <w:noWrap w:val="0"/>
            <w:vAlign w:val="center"/>
          </w:tcPr>
          <w:p w14:paraId="696A7392">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磋商时间、地点、人员</w:t>
            </w:r>
          </w:p>
        </w:tc>
        <w:tc>
          <w:tcPr>
            <w:tcW w:w="6921" w:type="dxa"/>
            <w:noWrap w:val="0"/>
            <w:vAlign w:val="top"/>
          </w:tcPr>
          <w:p w14:paraId="3D6EA6C7">
            <w:pPr>
              <w:keepNext w:val="0"/>
              <w:keepLines w:val="0"/>
              <w:pageBreakBefore w:val="0"/>
              <w:widowControl w:val="0"/>
              <w:kinsoku/>
              <w:wordWrap/>
              <w:overflowPunct/>
              <w:topLinePunct w:val="0"/>
              <w:autoSpaceDE/>
              <w:autoSpaceDN/>
              <w:bidi w:val="0"/>
              <w:adjustRightInd/>
              <w:spacing w:line="440" w:lineRule="exact"/>
              <w:ind w:left="315" w:hanging="315" w:hangingChars="150"/>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20</w:t>
            </w:r>
            <w:r>
              <w:rPr>
                <w:rFonts w:hint="eastAsia" w:ascii="宋体" w:hAnsi="宋体" w:eastAsia="宋体" w:cs="宋体"/>
                <w:color w:val="auto"/>
                <w:szCs w:val="21"/>
                <w:highlight w:val="none"/>
              </w:rPr>
              <w:t>.2.1磋商时间：响应文件递交截止时间后。</w:t>
            </w:r>
          </w:p>
          <w:p w14:paraId="2E6D4269">
            <w:pPr>
              <w:keepNext w:val="0"/>
              <w:keepLines w:val="0"/>
              <w:pageBreakBefore w:val="0"/>
              <w:widowControl w:val="0"/>
              <w:kinsoku/>
              <w:wordWrap/>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20</w:t>
            </w:r>
            <w:r>
              <w:rPr>
                <w:rFonts w:hint="eastAsia" w:ascii="宋体" w:hAnsi="宋体" w:eastAsia="宋体" w:cs="宋体"/>
                <w:color w:val="auto"/>
                <w:szCs w:val="21"/>
                <w:highlight w:val="none"/>
              </w:rPr>
              <w:t>.2.2磋商地点：本项目需要磋商供应商代表在截标当天截标后，按磋商小组要求及时登陆</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等候在线磋商</w:t>
            </w:r>
            <w:r>
              <w:rPr>
                <w:rFonts w:hint="eastAsia" w:ascii="宋体" w:hAnsi="宋体" w:eastAsia="宋体" w:cs="宋体"/>
                <w:color w:val="auto"/>
                <w:szCs w:val="21"/>
                <w:highlight w:val="none"/>
                <w:lang w:eastAsia="zh-CN"/>
              </w:rPr>
              <w:t>。</w:t>
            </w:r>
          </w:p>
          <w:p w14:paraId="07B4EC45">
            <w:pPr>
              <w:keepNext w:val="0"/>
              <w:keepLines w:val="0"/>
              <w:pageBreakBefore w:val="0"/>
              <w:widowControl w:val="0"/>
              <w:kinsoku/>
              <w:wordWrap/>
              <w:overflowPunct/>
              <w:topLinePunct w:val="0"/>
              <w:autoSpaceDE/>
              <w:autoSpaceDN/>
              <w:bidi w:val="0"/>
              <w:adjustRightInd/>
              <w:spacing w:line="440" w:lineRule="exact"/>
              <w:ind w:left="15" w:hanging="14" w:hangingChars="7"/>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20</w:t>
            </w:r>
            <w:r>
              <w:rPr>
                <w:rFonts w:hint="eastAsia" w:ascii="宋体" w:hAnsi="宋体" w:eastAsia="宋体" w:cs="宋体"/>
                <w:color w:val="auto"/>
                <w:szCs w:val="21"/>
                <w:highlight w:val="none"/>
              </w:rPr>
              <w:t>.2.3磋商参加人员：供应商法定代表人、负责人、自然人或相应的委托代</w:t>
            </w:r>
            <w:r>
              <w:rPr>
                <w:rFonts w:hint="eastAsia" w:ascii="宋体" w:hAnsi="宋体" w:eastAsia="宋体" w:cs="宋体"/>
                <w:color w:val="auto"/>
                <w:szCs w:val="21"/>
                <w:highlight w:val="none"/>
                <w:u w:val="none"/>
              </w:rPr>
              <w:t>理人持有效身份证</w:t>
            </w:r>
            <w:r>
              <w:rPr>
                <w:rFonts w:hint="eastAsia" w:ascii="宋体" w:hAnsi="宋体" w:eastAsia="宋体" w:cs="宋体"/>
                <w:color w:val="auto"/>
                <w:szCs w:val="21"/>
                <w:highlight w:val="none"/>
                <w:u w:val="none"/>
                <w:lang w:eastAsia="zh-CN"/>
              </w:rPr>
              <w:t>和供应商</w:t>
            </w:r>
            <w:r>
              <w:rPr>
                <w:rFonts w:hint="eastAsia" w:ascii="宋体" w:hAnsi="宋体" w:cs="宋体"/>
                <w:color w:val="auto"/>
                <w:szCs w:val="21"/>
                <w:highlight w:val="none"/>
                <w:u w:val="none"/>
                <w:lang w:eastAsia="zh-CN"/>
              </w:rPr>
              <w:t>广西政府采购云平台</w:t>
            </w:r>
            <w:r>
              <w:rPr>
                <w:rFonts w:hint="eastAsia" w:ascii="宋体" w:hAnsi="宋体" w:eastAsia="宋体" w:cs="宋体"/>
                <w:color w:val="auto"/>
                <w:szCs w:val="21"/>
                <w:highlight w:val="none"/>
                <w:u w:val="none"/>
                <w:lang w:val="en-US" w:eastAsia="zh-CN"/>
              </w:rPr>
              <w:t>CA数字证书</w:t>
            </w:r>
            <w:r>
              <w:rPr>
                <w:rFonts w:hint="eastAsia" w:ascii="宋体" w:hAnsi="宋体" w:eastAsia="宋体" w:cs="宋体"/>
                <w:color w:val="auto"/>
                <w:szCs w:val="21"/>
                <w:highlight w:val="none"/>
              </w:rPr>
              <w:t>参加磋商。请供应商按时等候磋商。</w:t>
            </w:r>
          </w:p>
          <w:p w14:paraId="527DFFB9">
            <w:pPr>
              <w:keepNext w:val="0"/>
              <w:keepLines w:val="0"/>
              <w:pageBreakBefore w:val="0"/>
              <w:widowControl w:val="0"/>
              <w:tabs>
                <w:tab w:val="left" w:pos="1140"/>
              </w:tabs>
              <w:kinsoku/>
              <w:wordWrap/>
              <w:overflowPunct/>
              <w:topLinePunct w:val="0"/>
              <w:autoSpaceDE/>
              <w:autoSpaceDN/>
              <w:bidi w:val="0"/>
              <w:adjustRightInd/>
              <w:spacing w:line="440" w:lineRule="exact"/>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20</w:t>
            </w:r>
            <w:r>
              <w:rPr>
                <w:rFonts w:hint="eastAsia" w:ascii="宋体" w:hAnsi="宋体" w:eastAsia="宋体" w:cs="宋体"/>
                <w:color w:val="auto"/>
                <w:szCs w:val="21"/>
                <w:highlight w:val="none"/>
              </w:rPr>
              <w:t>.2.4响应文件递交截止时间后，由磋商小组在评标室内</w:t>
            </w:r>
            <w:r>
              <w:rPr>
                <w:rFonts w:hint="eastAsia" w:ascii="宋体" w:hAnsi="宋体" w:eastAsia="宋体" w:cs="宋体"/>
                <w:color w:val="auto"/>
                <w:szCs w:val="21"/>
                <w:highlight w:val="none"/>
                <w:lang w:eastAsia="zh-CN"/>
              </w:rPr>
              <w:t>线上</w:t>
            </w:r>
            <w:r>
              <w:rPr>
                <w:rFonts w:hint="eastAsia" w:ascii="宋体" w:hAnsi="宋体" w:eastAsia="宋体" w:cs="宋体"/>
                <w:color w:val="auto"/>
                <w:szCs w:val="21"/>
                <w:highlight w:val="none"/>
              </w:rPr>
              <w:t>开启响应文件。</w:t>
            </w:r>
          </w:p>
        </w:tc>
      </w:tr>
      <w:tr w14:paraId="62BD2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2" w:type="dxa"/>
            <w:noWrap w:val="0"/>
            <w:vAlign w:val="center"/>
          </w:tcPr>
          <w:p w14:paraId="57FFF40C">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13</w:t>
            </w:r>
          </w:p>
        </w:tc>
        <w:tc>
          <w:tcPr>
            <w:tcW w:w="942" w:type="dxa"/>
            <w:noWrap w:val="0"/>
            <w:vAlign w:val="center"/>
          </w:tcPr>
          <w:p w14:paraId="3A717975">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21</w:t>
            </w:r>
            <w:r>
              <w:rPr>
                <w:rFonts w:hint="eastAsia" w:ascii="宋体" w:hAnsi="宋体" w:eastAsia="宋体" w:cs="宋体"/>
                <w:color w:val="auto"/>
                <w:szCs w:val="21"/>
                <w:highlight w:val="none"/>
              </w:rPr>
              <w:t>.2</w:t>
            </w:r>
          </w:p>
        </w:tc>
        <w:tc>
          <w:tcPr>
            <w:tcW w:w="1766" w:type="dxa"/>
            <w:noWrap w:val="0"/>
            <w:vAlign w:val="center"/>
          </w:tcPr>
          <w:p w14:paraId="27359043">
            <w:pPr>
              <w:pStyle w:val="12"/>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评审办法</w:t>
            </w:r>
          </w:p>
        </w:tc>
        <w:tc>
          <w:tcPr>
            <w:tcW w:w="6921" w:type="dxa"/>
            <w:noWrap w:val="0"/>
            <w:vAlign w:val="center"/>
          </w:tcPr>
          <w:p w14:paraId="3010A1C9">
            <w:pPr>
              <w:keepNext w:val="0"/>
              <w:keepLines w:val="0"/>
              <w:pageBreakBefore w:val="0"/>
              <w:widowControl w:val="0"/>
              <w:tabs>
                <w:tab w:val="left" w:pos="1140"/>
              </w:tabs>
              <w:kinsoku/>
              <w:wordWrap/>
              <w:overflowPunct/>
              <w:topLinePunct w:val="0"/>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具体详见第四章评审办法。</w:t>
            </w:r>
          </w:p>
        </w:tc>
      </w:tr>
      <w:tr w14:paraId="7178E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noWrap w:val="0"/>
            <w:vAlign w:val="center"/>
          </w:tcPr>
          <w:p w14:paraId="47A2551A">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14</w:t>
            </w:r>
          </w:p>
        </w:tc>
        <w:tc>
          <w:tcPr>
            <w:tcW w:w="942" w:type="dxa"/>
            <w:noWrap w:val="0"/>
            <w:vAlign w:val="center"/>
          </w:tcPr>
          <w:p w14:paraId="58A4A373">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27</w:t>
            </w:r>
          </w:p>
        </w:tc>
        <w:tc>
          <w:tcPr>
            <w:tcW w:w="1766" w:type="dxa"/>
            <w:noWrap w:val="0"/>
            <w:vAlign w:val="center"/>
          </w:tcPr>
          <w:p w14:paraId="169896BC">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信用查询</w:t>
            </w:r>
          </w:p>
        </w:tc>
        <w:tc>
          <w:tcPr>
            <w:tcW w:w="6921" w:type="dxa"/>
            <w:noWrap w:val="0"/>
            <w:vAlign w:val="center"/>
          </w:tcPr>
          <w:p w14:paraId="52ED9EB3">
            <w:pPr>
              <w:keepNext w:val="0"/>
              <w:keepLines w:val="0"/>
              <w:pageBreakBefore w:val="0"/>
              <w:widowControl w:val="0"/>
              <w:kinsoku/>
              <w:wordWrap/>
              <w:overflowPunct/>
              <w:topLinePunct w:val="0"/>
              <w:autoSpaceDE/>
              <w:autoSpaceDN/>
              <w:bidi w:val="0"/>
              <w:adjustRightInd/>
              <w:spacing w:line="440" w:lineRule="exact"/>
              <w:ind w:left="15" w:hanging="14" w:hangingChars="7"/>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根据《关于做好政府采购有关信用主体标识码登记及在政府采购活动中查询使用信用记录有关问题的通知》（桂财采〔2016〕37），由采购代理机构对第一成交候选人进行信用查询：</w:t>
            </w:r>
          </w:p>
          <w:p w14:paraId="0CE126F2">
            <w:pPr>
              <w:keepNext w:val="0"/>
              <w:keepLines w:val="0"/>
              <w:pageBreakBefore w:val="0"/>
              <w:widowControl w:val="0"/>
              <w:kinsoku/>
              <w:wordWrap/>
              <w:overflowPunct/>
              <w:topLinePunct w:val="0"/>
              <w:autoSpaceDE/>
              <w:autoSpaceDN/>
              <w:bidi w:val="0"/>
              <w:adjustRightInd/>
              <w:spacing w:line="440" w:lineRule="exact"/>
              <w:ind w:left="15" w:hanging="14" w:hangingChars="7"/>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⑴查询渠道：“信用中国”网站(www.creditchina.gov.cn)、中国政府采购网(www.ccgp.gov.cn)等；</w:t>
            </w:r>
          </w:p>
          <w:p w14:paraId="6F73E908">
            <w:pPr>
              <w:keepNext w:val="0"/>
              <w:keepLines w:val="0"/>
              <w:pageBreakBefore w:val="0"/>
              <w:widowControl w:val="0"/>
              <w:kinsoku/>
              <w:wordWrap/>
              <w:overflowPunct/>
              <w:topLinePunct w:val="0"/>
              <w:autoSpaceDE/>
              <w:autoSpaceDN/>
              <w:bidi w:val="0"/>
              <w:adjustRightInd/>
              <w:spacing w:line="440" w:lineRule="exact"/>
              <w:ind w:left="315" w:hanging="315" w:hangingChars="1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⑵查询时间：成交通知书发出前；</w:t>
            </w:r>
          </w:p>
          <w:p w14:paraId="3E7C9B05">
            <w:pPr>
              <w:keepNext w:val="0"/>
              <w:keepLines w:val="0"/>
              <w:pageBreakBefore w:val="0"/>
              <w:widowControl w:val="0"/>
              <w:kinsoku/>
              <w:wordWrap/>
              <w:overflowPunct/>
              <w:topLinePunct w:val="0"/>
              <w:autoSpaceDE/>
              <w:autoSpaceDN/>
              <w:bidi w:val="0"/>
              <w:adjustRightInd/>
              <w:spacing w:line="440" w:lineRule="exact"/>
              <w:ind w:left="15" w:hanging="14" w:hangingChars="7"/>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⑶信用信息查询记录和证据留存方式：在查询网站中直接打印查询记录，打印材料作为采购活动资料保存；</w:t>
            </w:r>
          </w:p>
          <w:p w14:paraId="6B4DA663">
            <w:pPr>
              <w:keepNext w:val="0"/>
              <w:keepLines w:val="0"/>
              <w:pageBreakBefore w:val="0"/>
              <w:widowControl w:val="0"/>
              <w:kinsoku/>
              <w:wordWrap/>
              <w:overflowPunct/>
              <w:topLinePunct w:val="0"/>
              <w:autoSpaceDE/>
              <w:autoSpaceDN/>
              <w:bidi w:val="0"/>
              <w:adjustRightInd/>
              <w:spacing w:line="440" w:lineRule="exact"/>
              <w:ind w:left="15" w:hanging="14" w:hangingChars="7"/>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⑷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取消其成交候选人资格。采购人依法按照评审报告中磋商小组推荐成交候选人排序表确定排名第二的成交候选人为成交供应商或者重新组织采购。</w:t>
            </w:r>
          </w:p>
        </w:tc>
      </w:tr>
      <w:tr w14:paraId="02720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62" w:type="dxa"/>
            <w:noWrap w:val="0"/>
            <w:vAlign w:val="center"/>
          </w:tcPr>
          <w:p w14:paraId="6D9FE0A2">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15</w:t>
            </w:r>
          </w:p>
        </w:tc>
        <w:tc>
          <w:tcPr>
            <w:tcW w:w="942" w:type="dxa"/>
            <w:noWrap w:val="0"/>
            <w:vAlign w:val="center"/>
          </w:tcPr>
          <w:p w14:paraId="7B65A19F">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28</w:t>
            </w:r>
          </w:p>
        </w:tc>
        <w:tc>
          <w:tcPr>
            <w:tcW w:w="1766" w:type="dxa"/>
            <w:noWrap w:val="0"/>
            <w:vAlign w:val="center"/>
          </w:tcPr>
          <w:p w14:paraId="52F2F2D5">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成交结果公告</w:t>
            </w:r>
          </w:p>
          <w:p w14:paraId="18C1B66E">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及成交通知书</w:t>
            </w:r>
          </w:p>
        </w:tc>
        <w:tc>
          <w:tcPr>
            <w:tcW w:w="6921" w:type="dxa"/>
            <w:noWrap w:val="0"/>
            <w:vAlign w:val="top"/>
          </w:tcPr>
          <w:p w14:paraId="468537A4">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28</w:t>
            </w:r>
            <w:r>
              <w:rPr>
                <w:rFonts w:hint="eastAsia" w:ascii="宋体" w:hAnsi="宋体" w:eastAsia="宋体" w:cs="宋体"/>
                <w:color w:val="auto"/>
                <w:szCs w:val="21"/>
                <w:highlight w:val="none"/>
              </w:rPr>
              <w:t>.1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547674D1">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28</w:t>
            </w:r>
            <w:r>
              <w:rPr>
                <w:rFonts w:hint="eastAsia" w:ascii="宋体" w:hAnsi="宋体" w:eastAsia="宋体" w:cs="宋体"/>
                <w:color w:val="auto"/>
                <w:szCs w:val="21"/>
                <w:highlight w:val="none"/>
              </w:rPr>
              <w:t>.2在发布成交公告的同时，采购代理机构向成交供应商发出成交通知书。成交供应商自接到通知之日起七个工作日内，办理成交通知书领取手续。</w:t>
            </w:r>
          </w:p>
        </w:tc>
      </w:tr>
      <w:tr w14:paraId="487AB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662" w:type="dxa"/>
            <w:noWrap w:val="0"/>
            <w:vAlign w:val="center"/>
          </w:tcPr>
          <w:p w14:paraId="00D883B8">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16</w:t>
            </w:r>
          </w:p>
        </w:tc>
        <w:tc>
          <w:tcPr>
            <w:tcW w:w="942" w:type="dxa"/>
            <w:noWrap w:val="0"/>
            <w:vAlign w:val="center"/>
          </w:tcPr>
          <w:p w14:paraId="375077AB">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29</w:t>
            </w:r>
          </w:p>
        </w:tc>
        <w:tc>
          <w:tcPr>
            <w:tcW w:w="1766" w:type="dxa"/>
            <w:noWrap w:val="0"/>
            <w:vAlign w:val="center"/>
          </w:tcPr>
          <w:p w14:paraId="1B263D34">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921" w:type="dxa"/>
            <w:noWrap w:val="0"/>
            <w:vAlign w:val="center"/>
          </w:tcPr>
          <w:p w14:paraId="531459F6">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auto"/>
                <w:szCs w:val="21"/>
                <w:highlight w:val="none"/>
                <w:lang w:val="en-US" w:eastAsia="zh-CN"/>
              </w:rPr>
            </w:pPr>
            <w:r>
              <w:rPr>
                <w:rFonts w:hint="eastAsia" w:hAnsi="宋体"/>
                <w:color w:val="auto"/>
                <w:szCs w:val="21"/>
                <w:highlight w:val="none"/>
                <w:lang w:eastAsia="zh-CN"/>
              </w:rPr>
              <w:t>本项目不收取履约保证金。</w:t>
            </w:r>
          </w:p>
        </w:tc>
      </w:tr>
      <w:tr w14:paraId="148B4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noWrap w:val="0"/>
            <w:vAlign w:val="center"/>
          </w:tcPr>
          <w:p w14:paraId="746FF9EC">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17</w:t>
            </w:r>
          </w:p>
        </w:tc>
        <w:tc>
          <w:tcPr>
            <w:tcW w:w="942" w:type="dxa"/>
            <w:noWrap w:val="0"/>
            <w:vAlign w:val="center"/>
          </w:tcPr>
          <w:p w14:paraId="4D01AC34">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30</w:t>
            </w:r>
            <w:r>
              <w:rPr>
                <w:rFonts w:hint="eastAsia" w:ascii="宋体" w:hAnsi="宋体" w:eastAsia="宋体" w:cs="宋体"/>
                <w:color w:val="auto"/>
                <w:szCs w:val="21"/>
                <w:highlight w:val="none"/>
              </w:rPr>
              <w:t>.1</w:t>
            </w:r>
          </w:p>
        </w:tc>
        <w:tc>
          <w:tcPr>
            <w:tcW w:w="1766" w:type="dxa"/>
            <w:noWrap w:val="0"/>
            <w:vAlign w:val="center"/>
          </w:tcPr>
          <w:p w14:paraId="74F53D93">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签订合同时间</w:t>
            </w:r>
          </w:p>
        </w:tc>
        <w:tc>
          <w:tcPr>
            <w:tcW w:w="6921" w:type="dxa"/>
            <w:noWrap w:val="0"/>
            <w:vAlign w:val="top"/>
          </w:tcPr>
          <w:p w14:paraId="2D165A3F">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发出之日起25个日历日内签订合同</w:t>
            </w:r>
            <w:r>
              <w:rPr>
                <w:rFonts w:hint="eastAsia" w:ascii="宋体" w:hAnsi="宋体" w:eastAsia="宋体" w:cs="宋体"/>
                <w:color w:val="auto"/>
                <w:highlight w:val="none"/>
              </w:rPr>
              <w:t>。</w:t>
            </w:r>
            <w:r>
              <w:rPr>
                <w:rFonts w:hint="eastAsia" w:ascii="宋体" w:hAnsi="宋体" w:eastAsia="宋体" w:cs="宋体"/>
                <w:color w:val="auto"/>
                <w:szCs w:val="21"/>
                <w:highlight w:val="none"/>
              </w:rPr>
              <w:t>成交供应商领取成交通知书后，应按规定与采购人签订合同。</w:t>
            </w:r>
          </w:p>
        </w:tc>
      </w:tr>
      <w:tr w14:paraId="77523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noWrap w:val="0"/>
            <w:vAlign w:val="center"/>
          </w:tcPr>
          <w:p w14:paraId="7EF93839">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18</w:t>
            </w:r>
          </w:p>
        </w:tc>
        <w:tc>
          <w:tcPr>
            <w:tcW w:w="942" w:type="dxa"/>
            <w:noWrap w:val="0"/>
            <w:vAlign w:val="center"/>
          </w:tcPr>
          <w:p w14:paraId="7BC0594D">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30</w:t>
            </w:r>
            <w:r>
              <w:rPr>
                <w:rFonts w:hint="eastAsia" w:ascii="宋体" w:hAnsi="宋体" w:eastAsia="宋体" w:cs="宋体"/>
                <w:color w:val="auto"/>
                <w:szCs w:val="21"/>
                <w:highlight w:val="none"/>
              </w:rPr>
              <w:t>.3</w:t>
            </w:r>
          </w:p>
        </w:tc>
        <w:tc>
          <w:tcPr>
            <w:tcW w:w="1766" w:type="dxa"/>
            <w:noWrap w:val="0"/>
            <w:vAlign w:val="center"/>
          </w:tcPr>
          <w:p w14:paraId="764FD21F">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合同备案存档</w:t>
            </w:r>
          </w:p>
        </w:tc>
        <w:tc>
          <w:tcPr>
            <w:tcW w:w="6921" w:type="dxa"/>
            <w:noWrap w:val="0"/>
            <w:vAlign w:val="center"/>
          </w:tcPr>
          <w:p w14:paraId="793A237E">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政府采购合同双方自签订之日起一个工作日内将合同原件一份交采购代理机构，采购代理机构将政府采购合同在省级以上人民政府财政部门指定媒体上公告。采购人于合同签订之日起七个工作日内将一份合同原件送本级财政部门备案，一份由</w:t>
            </w:r>
            <w:r>
              <w:rPr>
                <w:rFonts w:hint="eastAsia" w:ascii="宋体" w:hAnsi="宋体" w:cs="宋体"/>
                <w:color w:val="auto"/>
                <w:highlight w:val="none"/>
                <w:lang w:eastAsia="zh-CN"/>
              </w:rPr>
              <w:t>广西晟鑫项目管理有限公司</w:t>
            </w:r>
            <w:r>
              <w:rPr>
                <w:rFonts w:hint="eastAsia" w:ascii="宋体" w:hAnsi="宋体" w:eastAsia="宋体" w:cs="宋体"/>
                <w:color w:val="auto"/>
                <w:highlight w:val="none"/>
              </w:rPr>
              <w:t>存档。</w:t>
            </w:r>
          </w:p>
        </w:tc>
      </w:tr>
      <w:tr w14:paraId="7DD34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noWrap w:val="0"/>
            <w:vAlign w:val="center"/>
          </w:tcPr>
          <w:p w14:paraId="2253F367">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19</w:t>
            </w:r>
          </w:p>
        </w:tc>
        <w:tc>
          <w:tcPr>
            <w:tcW w:w="942" w:type="dxa"/>
            <w:noWrap w:val="0"/>
            <w:vAlign w:val="center"/>
          </w:tcPr>
          <w:p w14:paraId="103C6EA2">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31</w:t>
            </w:r>
          </w:p>
        </w:tc>
        <w:tc>
          <w:tcPr>
            <w:tcW w:w="1766" w:type="dxa"/>
            <w:noWrap w:val="0"/>
            <w:vAlign w:val="center"/>
          </w:tcPr>
          <w:p w14:paraId="1DB2A1CE">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采购代理服务费</w:t>
            </w:r>
          </w:p>
        </w:tc>
        <w:tc>
          <w:tcPr>
            <w:tcW w:w="6921" w:type="dxa"/>
            <w:noWrap w:val="0"/>
            <w:vAlign w:val="top"/>
          </w:tcPr>
          <w:p w14:paraId="42F55906">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人领取</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通知书前，向</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代理机构一次性付清</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代理服务费，本项目</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代理服务收费标准参照计价格[2002]1980号《招标代理服务收费管理暂行办法》工程类收费标准下浮10%向成交供应商收取。</w:t>
            </w:r>
          </w:p>
        </w:tc>
      </w:tr>
      <w:tr w14:paraId="2CB43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noWrap w:val="0"/>
            <w:vAlign w:val="center"/>
          </w:tcPr>
          <w:p w14:paraId="5BF28F11">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20</w:t>
            </w:r>
          </w:p>
        </w:tc>
        <w:tc>
          <w:tcPr>
            <w:tcW w:w="942" w:type="dxa"/>
            <w:noWrap w:val="0"/>
            <w:vAlign w:val="center"/>
          </w:tcPr>
          <w:p w14:paraId="4FD80FAD">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32</w:t>
            </w:r>
          </w:p>
        </w:tc>
        <w:tc>
          <w:tcPr>
            <w:tcW w:w="1766" w:type="dxa"/>
            <w:noWrap w:val="0"/>
            <w:vAlign w:val="center"/>
          </w:tcPr>
          <w:p w14:paraId="0620B36E">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解释权</w:t>
            </w:r>
          </w:p>
        </w:tc>
        <w:tc>
          <w:tcPr>
            <w:tcW w:w="6921" w:type="dxa"/>
            <w:noWrap w:val="0"/>
            <w:vAlign w:val="top"/>
          </w:tcPr>
          <w:p w14:paraId="3293DC69">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tc>
      </w:tr>
      <w:tr w14:paraId="04F2A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662" w:type="dxa"/>
            <w:noWrap w:val="0"/>
            <w:vAlign w:val="center"/>
          </w:tcPr>
          <w:p w14:paraId="10BADB57">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21</w:t>
            </w:r>
          </w:p>
        </w:tc>
        <w:tc>
          <w:tcPr>
            <w:tcW w:w="942" w:type="dxa"/>
            <w:noWrap w:val="0"/>
            <w:vAlign w:val="center"/>
          </w:tcPr>
          <w:p w14:paraId="50EE3CC7">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33</w:t>
            </w:r>
          </w:p>
        </w:tc>
        <w:tc>
          <w:tcPr>
            <w:tcW w:w="1766" w:type="dxa"/>
            <w:noWrap w:val="0"/>
            <w:vAlign w:val="center"/>
          </w:tcPr>
          <w:p w14:paraId="001C608B">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监督管理机构</w:t>
            </w:r>
          </w:p>
        </w:tc>
        <w:tc>
          <w:tcPr>
            <w:tcW w:w="6921" w:type="dxa"/>
            <w:noWrap w:val="0"/>
            <w:vAlign w:val="center"/>
          </w:tcPr>
          <w:p w14:paraId="313C270C">
            <w:pPr>
              <w:keepNext w:val="0"/>
              <w:keepLines w:val="0"/>
              <w:pageBreakBefore w:val="0"/>
              <w:widowControl w:val="0"/>
              <w:wordWrap/>
              <w:topLinePunct w:val="0"/>
              <w:bidi w:val="0"/>
              <w:spacing w:line="360" w:lineRule="exact"/>
              <w:rPr>
                <w:rFonts w:hint="eastAsia" w:ascii="宋体" w:hAnsi="宋体" w:eastAsia="宋体" w:cs="宋体"/>
                <w:color w:val="auto"/>
                <w:szCs w:val="21"/>
                <w:highlight w:val="none"/>
              </w:rPr>
            </w:pPr>
            <w:r>
              <w:rPr>
                <w:rFonts w:hint="eastAsia" w:ascii="宋体" w:hAnsi="宋体" w:cs="宋体"/>
                <w:color w:val="auto"/>
                <w:szCs w:val="21"/>
                <w:highlight w:val="none"/>
              </w:rPr>
              <w:t>资源县政府采购管理办公室     电话：0773-4315648</w:t>
            </w:r>
          </w:p>
        </w:tc>
      </w:tr>
    </w:tbl>
    <w:p w14:paraId="46140CB0">
      <w:pPr>
        <w:pStyle w:val="26"/>
        <w:keepNext w:val="0"/>
        <w:keepLines w:val="0"/>
        <w:pageBreakBefore w:val="0"/>
        <w:widowControl w:val="0"/>
        <w:wordWrap/>
        <w:topLinePunct w:val="0"/>
        <w:bidi w:val="0"/>
        <w:ind w:left="0" w:leftChars="0" w:firstLine="0" w:firstLineChars="0"/>
        <w:rPr>
          <w:rFonts w:hint="eastAsia" w:ascii="宋体" w:hAnsi="宋体" w:eastAsia="宋体" w:cs="宋体"/>
          <w:b/>
          <w:color w:val="auto"/>
          <w:sz w:val="28"/>
          <w:szCs w:val="28"/>
          <w:highlight w:val="none"/>
        </w:rPr>
      </w:pPr>
    </w:p>
    <w:p w14:paraId="47A67D51">
      <w:pPr>
        <w:keepNext w:val="0"/>
        <w:keepLines w:val="0"/>
        <w:pageBreakBefore w:val="0"/>
        <w:widowControl w:val="0"/>
        <w:tabs>
          <w:tab w:val="left" w:pos="567"/>
        </w:tabs>
        <w:wordWrap/>
        <w:topLinePunct w:val="0"/>
        <w:bidi w:val="0"/>
        <w:ind w:left="0" w:leftChars="0" w:firstLine="0" w:firstLineChars="0"/>
        <w:jc w:val="both"/>
        <w:outlineLvl w:val="9"/>
        <w:rPr>
          <w:rFonts w:hint="eastAsia" w:ascii="宋体" w:hAnsi="宋体" w:eastAsia="宋体" w:cs="宋体"/>
          <w:b/>
          <w:bCs w:val="0"/>
          <w:color w:val="auto"/>
          <w:szCs w:val="28"/>
          <w:highlight w:val="none"/>
        </w:rPr>
      </w:pPr>
    </w:p>
    <w:p w14:paraId="0D193378">
      <w:pPr>
        <w:keepNext w:val="0"/>
        <w:keepLines w:val="0"/>
        <w:pageBreakBefore w:val="0"/>
        <w:widowControl w:val="0"/>
        <w:wordWrap/>
        <w:topLinePunct w:val="0"/>
        <w:bidi w:val="0"/>
        <w:outlineLvl w:val="9"/>
        <w:rPr>
          <w:rFonts w:hint="eastAsia" w:ascii="宋体" w:hAnsi="宋体" w:eastAsia="宋体" w:cs="宋体"/>
          <w:b/>
          <w:bCs w:val="0"/>
          <w:color w:val="auto"/>
          <w:szCs w:val="28"/>
          <w:highlight w:val="none"/>
        </w:rPr>
      </w:pPr>
    </w:p>
    <w:p w14:paraId="4201B677">
      <w:pPr>
        <w:keepNext w:val="0"/>
        <w:keepLines w:val="0"/>
        <w:pageBreakBefore w:val="0"/>
        <w:widowControl w:val="0"/>
        <w:tabs>
          <w:tab w:val="left" w:pos="567"/>
        </w:tabs>
        <w:wordWrap/>
        <w:topLinePunct w:val="0"/>
        <w:bidi w:val="0"/>
        <w:outlineLvl w:val="9"/>
        <w:rPr>
          <w:rFonts w:hint="eastAsia" w:ascii="宋体" w:hAnsi="宋体" w:eastAsia="宋体" w:cs="宋体"/>
          <w:b/>
          <w:bCs w:val="0"/>
          <w:color w:val="auto"/>
          <w:szCs w:val="28"/>
          <w:highlight w:val="none"/>
        </w:rPr>
      </w:pPr>
    </w:p>
    <w:p w14:paraId="700B5D67">
      <w:pPr>
        <w:pStyle w:val="3"/>
        <w:keepNext w:val="0"/>
        <w:keepLines w:val="0"/>
        <w:pageBreakBefore w:val="0"/>
        <w:widowControl w:val="0"/>
        <w:tabs>
          <w:tab w:val="left" w:pos="567"/>
        </w:tabs>
        <w:kinsoku/>
        <w:wordWrap/>
        <w:overflowPunct/>
        <w:topLinePunct w:val="0"/>
        <w:bidi w:val="0"/>
        <w:spacing w:line="440" w:lineRule="exact"/>
        <w:jc w:val="both"/>
        <w:textAlignment w:val="auto"/>
        <w:rPr>
          <w:rFonts w:hint="eastAsia" w:ascii="宋体" w:hAnsi="宋体" w:eastAsia="宋体" w:cs="宋体"/>
          <w:b/>
          <w:bCs w:val="0"/>
          <w:color w:val="auto"/>
          <w:szCs w:val="28"/>
          <w:highlight w:val="none"/>
        </w:rPr>
        <w:sectPr>
          <w:footerReference r:id="rId6" w:type="first"/>
          <w:footerReference r:id="rId5" w:type="default"/>
          <w:pgSz w:w="11906" w:h="16838"/>
          <w:pgMar w:top="1304" w:right="1134" w:bottom="1191" w:left="1247" w:header="851" w:footer="992" w:gutter="0"/>
          <w:pgNumType w:fmt="decimal"/>
          <w:cols w:space="720" w:num="1"/>
          <w:titlePg/>
          <w:docGrid w:type="lines" w:linePitch="312" w:charSpace="0"/>
        </w:sectPr>
      </w:pPr>
      <w:bookmarkStart w:id="46" w:name="_Toc27120"/>
      <w:bookmarkStart w:id="47" w:name="_Toc22792"/>
    </w:p>
    <w:p w14:paraId="55DAFB43">
      <w:pPr>
        <w:pStyle w:val="3"/>
        <w:keepNext w:val="0"/>
        <w:keepLines w:val="0"/>
        <w:pageBreakBefore w:val="0"/>
        <w:widowControl w:val="0"/>
        <w:tabs>
          <w:tab w:val="left" w:pos="567"/>
        </w:tabs>
        <w:kinsoku/>
        <w:wordWrap/>
        <w:overflowPunct/>
        <w:topLinePunct w:val="0"/>
        <w:bidi w:val="0"/>
        <w:spacing w:line="440" w:lineRule="exact"/>
        <w:jc w:val="center"/>
        <w:textAlignment w:val="auto"/>
        <w:rPr>
          <w:rFonts w:hint="eastAsia" w:ascii="宋体" w:hAnsi="宋体" w:eastAsia="宋体" w:cs="宋体"/>
          <w:b/>
          <w:bCs w:val="0"/>
          <w:color w:val="auto"/>
          <w:szCs w:val="28"/>
          <w:highlight w:val="none"/>
        </w:rPr>
      </w:pPr>
      <w:bookmarkStart w:id="48" w:name="_Toc23687"/>
      <w:bookmarkStart w:id="49" w:name="_Toc22096"/>
      <w:r>
        <w:rPr>
          <w:rFonts w:hint="eastAsia" w:ascii="宋体" w:hAnsi="宋体" w:eastAsia="宋体" w:cs="宋体"/>
          <w:b/>
          <w:bCs w:val="0"/>
          <w:color w:val="auto"/>
          <w:szCs w:val="28"/>
          <w:highlight w:val="none"/>
        </w:rPr>
        <w:t>一、总则</w:t>
      </w:r>
      <w:bookmarkEnd w:id="46"/>
      <w:bookmarkEnd w:id="47"/>
      <w:bookmarkEnd w:id="48"/>
      <w:bookmarkEnd w:id="49"/>
    </w:p>
    <w:p w14:paraId="50182CB8">
      <w:pPr>
        <w:pStyle w:val="4"/>
        <w:keepNext w:val="0"/>
        <w:keepLines w:val="0"/>
        <w:pageBreakBefore w:val="0"/>
        <w:widowControl w:val="0"/>
        <w:kinsoku/>
        <w:wordWrap/>
        <w:overflowPunct/>
        <w:topLinePunct w:val="0"/>
        <w:bidi w:val="0"/>
        <w:spacing w:before="0" w:after="0" w:line="440" w:lineRule="exact"/>
        <w:ind w:firstLine="422" w:firstLineChars="200"/>
        <w:textAlignment w:val="auto"/>
        <w:rPr>
          <w:rFonts w:hint="eastAsia" w:ascii="宋体" w:hAnsi="宋体" w:eastAsia="宋体" w:cs="宋体"/>
          <w:color w:val="auto"/>
          <w:sz w:val="21"/>
          <w:szCs w:val="21"/>
          <w:highlight w:val="none"/>
        </w:rPr>
      </w:pPr>
      <w:bookmarkStart w:id="50" w:name="_Toc6626"/>
      <w:bookmarkStart w:id="51" w:name="_Toc3367"/>
      <w:r>
        <w:rPr>
          <w:rFonts w:hint="eastAsia" w:ascii="宋体" w:hAnsi="宋体" w:eastAsia="宋体" w:cs="宋体"/>
          <w:color w:val="auto"/>
          <w:sz w:val="21"/>
          <w:szCs w:val="21"/>
          <w:highlight w:val="none"/>
        </w:rPr>
        <w:t>1. 适应范围</w:t>
      </w:r>
      <w:bookmarkEnd w:id="50"/>
      <w:bookmarkEnd w:id="51"/>
    </w:p>
    <w:p w14:paraId="652D5479">
      <w:pPr>
        <w:keepNext w:val="0"/>
        <w:keepLines w:val="0"/>
        <w:pageBreakBefore w:val="0"/>
        <w:widowControl w:val="0"/>
        <w:kinsoku/>
        <w:wordWrap/>
        <w:overflowPunct/>
        <w:topLinePunct w:val="0"/>
        <w:bidi w:val="0"/>
        <w:spacing w:line="440" w:lineRule="exact"/>
        <w:ind w:firstLine="43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  项目名称及项目编号</w:t>
      </w:r>
    </w:p>
    <w:p w14:paraId="2DAA4194">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项目名称：</w:t>
      </w:r>
      <w:r>
        <w:rPr>
          <w:rFonts w:hint="eastAsia" w:ascii="宋体" w:hAnsi="宋体" w:cs="宋体"/>
          <w:color w:val="auto"/>
          <w:szCs w:val="21"/>
          <w:highlight w:val="none"/>
          <w:lang w:eastAsia="zh-CN"/>
        </w:rPr>
        <w:t>资源县武装部专变工程</w:t>
      </w:r>
      <w:r>
        <w:rPr>
          <w:rFonts w:hint="eastAsia" w:ascii="宋体" w:hAnsi="宋体" w:eastAsia="宋体" w:cs="宋体"/>
          <w:color w:val="auto"/>
          <w:szCs w:val="21"/>
          <w:highlight w:val="none"/>
        </w:rPr>
        <w:t xml:space="preserve">  </w:t>
      </w:r>
    </w:p>
    <w:p w14:paraId="4165C089">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项目编号：</w:t>
      </w:r>
      <w:r>
        <w:rPr>
          <w:rFonts w:hint="eastAsia" w:ascii="宋体" w:hAnsi="宋体" w:cs="宋体"/>
          <w:color w:val="auto"/>
          <w:sz w:val="21"/>
          <w:szCs w:val="21"/>
          <w:highlight w:val="none"/>
          <w:lang w:eastAsia="zh-CN"/>
        </w:rPr>
        <w:t>GLZC2025-C1-290112-SXXM</w:t>
      </w:r>
    </w:p>
    <w:p w14:paraId="0D0BB73E">
      <w:pPr>
        <w:keepNext w:val="0"/>
        <w:keepLines w:val="0"/>
        <w:pageBreakBefore w:val="0"/>
        <w:widowControl w:val="0"/>
        <w:kinsoku/>
        <w:wordWrap/>
        <w:overflowPunct/>
        <w:topLinePunct w:val="0"/>
        <w:bidi w:val="0"/>
        <w:spacing w:line="440" w:lineRule="exact"/>
        <w:ind w:firstLine="411" w:firstLineChars="196"/>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1.2本竞争性磋商文件（以下简称磋商文件）适用于本磋商项目的磋商、评审、合同履约、验收、付款等行为（法律、法规另有规定的，从其规定）。</w:t>
      </w:r>
    </w:p>
    <w:p w14:paraId="276C10B0">
      <w:pPr>
        <w:pStyle w:val="4"/>
        <w:keepNext w:val="0"/>
        <w:keepLines w:val="0"/>
        <w:pageBreakBefore w:val="0"/>
        <w:widowControl w:val="0"/>
        <w:kinsoku/>
        <w:wordWrap/>
        <w:overflowPunct/>
        <w:topLinePunct w:val="0"/>
        <w:bidi w:val="0"/>
        <w:spacing w:before="0" w:after="0" w:line="440" w:lineRule="exact"/>
        <w:ind w:firstLine="422" w:firstLineChars="200"/>
        <w:textAlignment w:val="auto"/>
        <w:rPr>
          <w:rFonts w:hint="eastAsia" w:ascii="宋体" w:hAnsi="宋体" w:eastAsia="宋体" w:cs="宋体"/>
          <w:color w:val="auto"/>
          <w:sz w:val="21"/>
          <w:szCs w:val="21"/>
          <w:highlight w:val="none"/>
        </w:rPr>
      </w:pPr>
      <w:bookmarkStart w:id="52" w:name="_Toc2845"/>
      <w:bookmarkStart w:id="53" w:name="_Toc28336"/>
      <w:r>
        <w:rPr>
          <w:rFonts w:hint="eastAsia" w:ascii="宋体" w:hAnsi="宋体" w:eastAsia="宋体" w:cs="宋体"/>
          <w:color w:val="auto"/>
          <w:sz w:val="21"/>
          <w:szCs w:val="21"/>
          <w:highlight w:val="none"/>
        </w:rPr>
        <w:t>2. 定义</w:t>
      </w:r>
      <w:bookmarkEnd w:id="52"/>
      <w:bookmarkEnd w:id="53"/>
    </w:p>
    <w:p w14:paraId="427E531A">
      <w:pPr>
        <w:keepNext w:val="0"/>
        <w:keepLines w:val="0"/>
        <w:pageBreakBefore w:val="0"/>
        <w:widowControl w:val="0"/>
        <w:kinsoku/>
        <w:wordWrap/>
        <w:overflowPunct/>
        <w:topLinePunct w:val="0"/>
        <w:bidi w:val="0"/>
        <w:spacing w:line="440" w:lineRule="exact"/>
        <w:ind w:firstLine="43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2.1“供应商”是指符合本次采购项目的供应商资格并提交响应文件、参加磋商的供应商。如果该供应商在本次磋商中成交，即成为“成交供应商”。</w:t>
      </w:r>
    </w:p>
    <w:p w14:paraId="2972F0E0">
      <w:pPr>
        <w:keepNext w:val="0"/>
        <w:keepLines w:val="0"/>
        <w:pageBreakBefore w:val="0"/>
        <w:widowControl w:val="0"/>
        <w:kinsoku/>
        <w:wordWrap/>
        <w:overflowPunct/>
        <w:topLinePunct w:val="0"/>
        <w:bidi w:val="0"/>
        <w:spacing w:line="440" w:lineRule="exact"/>
        <w:ind w:firstLine="43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2.2“货物”系指按磋商文件规定，供应商须向采购人提供的一切设备、保险、税金、备品备件、工具、手册及其它有关技术资料和材料。</w:t>
      </w:r>
    </w:p>
    <w:p w14:paraId="5C4B5307">
      <w:pPr>
        <w:keepNext w:val="0"/>
        <w:keepLines w:val="0"/>
        <w:pageBreakBefore w:val="0"/>
        <w:widowControl w:val="0"/>
        <w:kinsoku/>
        <w:wordWrap/>
        <w:overflowPunct/>
        <w:topLinePunct w:val="0"/>
        <w:bidi w:val="0"/>
        <w:spacing w:line="440" w:lineRule="exact"/>
        <w:ind w:firstLine="43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2.3“服务”系指按磋商文件规定，供应商须承担的安装、调试、技术协助、校准、培训、技术指导以及其他类似的义务。</w:t>
      </w:r>
    </w:p>
    <w:p w14:paraId="06E054D1">
      <w:pPr>
        <w:keepNext w:val="0"/>
        <w:keepLines w:val="0"/>
        <w:pageBreakBefore w:val="0"/>
        <w:widowControl w:val="0"/>
        <w:kinsoku/>
        <w:wordWrap/>
        <w:overflowPunct/>
        <w:topLinePunct w:val="0"/>
        <w:bidi w:val="0"/>
        <w:spacing w:line="440" w:lineRule="exact"/>
        <w:ind w:firstLine="43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2.4“项目”系指供应商按磋商文件规定向采购人提供的货物和服务。</w:t>
      </w:r>
    </w:p>
    <w:p w14:paraId="1BF73CF9">
      <w:pPr>
        <w:keepNext w:val="0"/>
        <w:keepLines w:val="0"/>
        <w:pageBreakBefore w:val="0"/>
        <w:widowControl w:val="0"/>
        <w:kinsoku/>
        <w:wordWrap/>
        <w:overflowPunct/>
        <w:topLinePunct w:val="0"/>
        <w:bidi w:val="0"/>
        <w:spacing w:line="440" w:lineRule="exact"/>
        <w:ind w:firstLine="435"/>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2.5“书面形式”包括信函、传真、电报等。</w:t>
      </w:r>
    </w:p>
    <w:p w14:paraId="46654EE1">
      <w:pPr>
        <w:keepNext w:val="0"/>
        <w:keepLines w:val="0"/>
        <w:pageBreakBefore w:val="0"/>
        <w:widowControl w:val="0"/>
        <w:kinsoku/>
        <w:wordWrap/>
        <w:overflowPunct/>
        <w:topLinePunct w:val="0"/>
        <w:bidi w:val="0"/>
        <w:spacing w:line="440" w:lineRule="exact"/>
        <w:ind w:firstLine="435"/>
        <w:textAlignment w:val="auto"/>
        <w:rPr>
          <w:rFonts w:hint="eastAsia" w:ascii="宋体" w:hAnsi="宋体" w:eastAsia="宋体" w:cs="宋体"/>
          <w:color w:val="auto"/>
          <w:szCs w:val="21"/>
          <w:highlight w:val="none"/>
        </w:rPr>
      </w:pPr>
      <w:bookmarkStart w:id="54" w:name="_Toc25441"/>
      <w:bookmarkStart w:id="55" w:name="_Toc13017"/>
      <w:r>
        <w:rPr>
          <w:rFonts w:hint="eastAsia" w:ascii="宋体" w:hAnsi="宋体" w:eastAsia="宋体" w:cs="宋体"/>
          <w:color w:val="auto"/>
          <w:szCs w:val="21"/>
          <w:highlight w:val="none"/>
          <w:lang w:val="en-US" w:eastAsia="zh-CN"/>
        </w:rPr>
        <w:t>2.6“响应文件”：本项目实行全流程电子化招标，磋商供应商通过“广西政府采购云平台”平台参与电子磋商。响应文件特指磋商供应商按本采购文件规定提交的电子响应文件（包括因特殊情况无法解密或解密失败提交的电子备份响应文件）。</w:t>
      </w:r>
    </w:p>
    <w:p w14:paraId="2A77367D">
      <w:pPr>
        <w:pStyle w:val="4"/>
        <w:keepNext w:val="0"/>
        <w:keepLines w:val="0"/>
        <w:pageBreakBefore w:val="0"/>
        <w:widowControl w:val="0"/>
        <w:kinsoku/>
        <w:wordWrap/>
        <w:overflowPunct/>
        <w:topLinePunct w:val="0"/>
        <w:bidi w:val="0"/>
        <w:spacing w:before="0" w:after="0" w:line="44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供应商资格</w:t>
      </w:r>
      <w:bookmarkEnd w:id="54"/>
      <w:bookmarkEnd w:id="55"/>
    </w:p>
    <w:p w14:paraId="6E6F78F8">
      <w:pPr>
        <w:keepNext w:val="0"/>
        <w:keepLines w:val="0"/>
        <w:pageBreakBefore w:val="0"/>
        <w:widowControl w:val="0"/>
        <w:kinsoku/>
        <w:wordWrap/>
        <w:overflowPunct/>
        <w:topLinePunct w:val="0"/>
        <w:bidi w:val="0"/>
        <w:spacing w:line="440" w:lineRule="exact"/>
        <w:ind w:firstLine="435"/>
        <w:textAlignment w:val="auto"/>
        <w:rPr>
          <w:rFonts w:hint="eastAsia" w:ascii="宋体" w:hAnsi="宋体" w:eastAsia="宋体" w:cs="宋体"/>
          <w:color w:val="auto"/>
          <w:szCs w:val="21"/>
          <w:highlight w:val="none"/>
          <w:lang w:val="en-US" w:eastAsia="zh-CN"/>
        </w:rPr>
      </w:pPr>
      <w:bookmarkStart w:id="56" w:name="_Toc9216"/>
      <w:bookmarkStart w:id="57" w:name="_Toc16496"/>
      <w:r>
        <w:rPr>
          <w:rFonts w:hint="eastAsia" w:ascii="宋体" w:hAnsi="宋体" w:eastAsia="宋体" w:cs="宋体"/>
          <w:color w:val="auto"/>
          <w:szCs w:val="21"/>
          <w:highlight w:val="none"/>
          <w:lang w:val="en-US" w:eastAsia="zh-CN"/>
        </w:rPr>
        <w:t>3.1满足《中华人民共和国政府采购法》第二十二条规定；</w:t>
      </w:r>
    </w:p>
    <w:p w14:paraId="7907707D">
      <w:pPr>
        <w:keepNext w:val="0"/>
        <w:keepLines w:val="0"/>
        <w:pageBreakBefore w:val="0"/>
        <w:widowControl w:val="0"/>
        <w:kinsoku/>
        <w:wordWrap/>
        <w:overflowPunct/>
        <w:topLinePunct w:val="0"/>
        <w:bidi w:val="0"/>
        <w:spacing w:line="440" w:lineRule="exact"/>
        <w:ind w:firstLine="435"/>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3.2落实政府采购政策需满足的资格要求：本项目为专门面向</w:t>
      </w:r>
      <w:r>
        <w:rPr>
          <w:rFonts w:hint="eastAsia" w:ascii="宋体" w:hAnsi="宋体" w:cs="宋体"/>
          <w:color w:val="auto"/>
          <w:szCs w:val="21"/>
          <w:highlight w:val="none"/>
          <w:lang w:val="en-US" w:eastAsia="zh-CN"/>
        </w:rPr>
        <w:t>小微企业</w:t>
      </w:r>
      <w:r>
        <w:rPr>
          <w:rFonts w:hint="eastAsia" w:ascii="宋体" w:hAnsi="宋体" w:eastAsia="宋体" w:cs="宋体"/>
          <w:color w:val="auto"/>
          <w:szCs w:val="21"/>
          <w:highlight w:val="none"/>
          <w:lang w:val="en-US" w:eastAsia="zh-CN"/>
        </w:rPr>
        <w:t>采购的项目（供应商应为</w:t>
      </w:r>
      <w:r>
        <w:rPr>
          <w:rFonts w:hint="eastAsia" w:ascii="宋体" w:hAnsi="宋体" w:cs="宋体"/>
          <w:color w:val="auto"/>
          <w:szCs w:val="21"/>
          <w:highlight w:val="none"/>
          <w:lang w:val="en-US" w:eastAsia="zh-CN"/>
        </w:rPr>
        <w:t>小微企业</w:t>
      </w:r>
      <w:r>
        <w:rPr>
          <w:rFonts w:hint="eastAsia" w:ascii="宋体" w:hAnsi="宋体" w:eastAsia="宋体" w:cs="宋体"/>
          <w:color w:val="auto"/>
          <w:szCs w:val="21"/>
          <w:highlight w:val="none"/>
          <w:lang w:val="en-US" w:eastAsia="zh-CN"/>
        </w:rPr>
        <w:t>、监狱企业、残疾人福利性单位)；</w:t>
      </w:r>
    </w:p>
    <w:p w14:paraId="6A0156CF">
      <w:pPr>
        <w:keepNext w:val="0"/>
        <w:keepLines w:val="0"/>
        <w:pageBreakBefore w:val="0"/>
        <w:widowControl w:val="0"/>
        <w:kinsoku/>
        <w:wordWrap/>
        <w:overflowPunct/>
        <w:topLinePunct w:val="0"/>
        <w:bidi w:val="0"/>
        <w:spacing w:line="440" w:lineRule="exact"/>
        <w:ind w:firstLine="435"/>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3.3本项目的特定资格要求：</w:t>
      </w:r>
      <w:r>
        <w:rPr>
          <w:rFonts w:hint="eastAsia" w:ascii="宋体" w:hAnsi="宋体" w:eastAsia="宋体" w:cs="宋体"/>
          <w:bCs/>
          <w:color w:val="auto"/>
          <w:sz w:val="21"/>
          <w:szCs w:val="21"/>
          <w:highlight w:val="none"/>
          <w:lang w:eastAsia="zh-CN"/>
        </w:rPr>
        <w:t>具备电力工程施工总承包叁级以上（含叁级）资质或输变电工程专业承包叁级以上（含叁级）资质，且同时具备《承装（修、试）电力设施许可证》承装类、承修类、承试类三级以上（含三级）资质</w:t>
      </w:r>
      <w:r>
        <w:rPr>
          <w:rFonts w:hint="eastAsia" w:ascii="宋体" w:hAnsi="宋体" w:eastAsia="宋体" w:cs="宋体"/>
          <w:color w:val="auto"/>
          <w:szCs w:val="21"/>
          <w:highlight w:val="none"/>
          <w:lang w:val="en-US" w:eastAsia="zh-CN"/>
        </w:rPr>
        <w:t>，并在人员、设备、资金等方面具备相应的施工能力。</w:t>
      </w:r>
      <w:r>
        <w:rPr>
          <w:rFonts w:hint="eastAsia" w:ascii="宋体" w:hAnsi="宋体" w:eastAsia="宋体" w:cs="宋体"/>
          <w:bCs/>
          <w:color w:val="auto"/>
          <w:sz w:val="21"/>
          <w:szCs w:val="21"/>
          <w:highlight w:val="none"/>
          <w:lang w:eastAsia="zh-CN"/>
        </w:rPr>
        <w:t>项目负责人须具备</w:t>
      </w:r>
      <w:r>
        <w:rPr>
          <w:rFonts w:hint="eastAsia" w:ascii="宋体" w:hAnsi="宋体" w:eastAsia="宋体" w:cs="宋体"/>
          <w:bCs/>
          <w:color w:val="auto"/>
          <w:sz w:val="21"/>
          <w:szCs w:val="21"/>
          <w:highlight w:val="none"/>
          <w:u w:val="single"/>
          <w:lang w:eastAsia="zh-CN"/>
        </w:rPr>
        <w:t>机电工程专业二级</w:t>
      </w:r>
      <w:r>
        <w:rPr>
          <w:rFonts w:hint="eastAsia" w:ascii="宋体" w:hAnsi="宋体" w:cs="宋体"/>
          <w:bCs/>
          <w:color w:val="auto"/>
          <w:sz w:val="21"/>
          <w:szCs w:val="21"/>
          <w:highlight w:val="none"/>
          <w:u w:val="single"/>
          <w:lang w:val="en-US" w:eastAsia="zh-CN"/>
        </w:rPr>
        <w:t>以上</w:t>
      </w:r>
      <w:r>
        <w:rPr>
          <w:rFonts w:hint="eastAsia" w:ascii="宋体" w:hAnsi="宋体" w:eastAsia="宋体" w:cs="宋体"/>
          <w:bCs/>
          <w:color w:val="auto"/>
          <w:sz w:val="21"/>
          <w:szCs w:val="21"/>
          <w:highlight w:val="none"/>
          <w:u w:val="single"/>
          <w:lang w:eastAsia="zh-CN"/>
        </w:rPr>
        <w:t>（含</w:t>
      </w:r>
      <w:r>
        <w:rPr>
          <w:rFonts w:hint="eastAsia" w:ascii="宋体" w:hAnsi="宋体" w:cs="宋体"/>
          <w:bCs/>
          <w:color w:val="auto"/>
          <w:sz w:val="21"/>
          <w:szCs w:val="21"/>
          <w:highlight w:val="none"/>
          <w:u w:val="single"/>
          <w:lang w:val="en-US" w:eastAsia="zh-CN"/>
        </w:rPr>
        <w:t>二</w:t>
      </w:r>
      <w:r>
        <w:rPr>
          <w:rFonts w:hint="eastAsia" w:ascii="宋体" w:hAnsi="宋体" w:eastAsia="宋体" w:cs="宋体"/>
          <w:bCs/>
          <w:color w:val="auto"/>
          <w:sz w:val="21"/>
          <w:szCs w:val="21"/>
          <w:highlight w:val="none"/>
          <w:u w:val="single"/>
          <w:lang w:eastAsia="zh-CN"/>
        </w:rPr>
        <w:t>级）</w:t>
      </w:r>
      <w:r>
        <w:rPr>
          <w:rFonts w:hint="eastAsia" w:ascii="宋体" w:hAnsi="宋体" w:eastAsia="宋体" w:cs="宋体"/>
          <w:bCs/>
          <w:color w:val="auto"/>
          <w:sz w:val="21"/>
          <w:szCs w:val="21"/>
          <w:highlight w:val="none"/>
          <w:u w:val="none"/>
          <w:lang w:eastAsia="zh-CN"/>
        </w:rPr>
        <w:t>注册建造师执业资格</w:t>
      </w:r>
      <w:r>
        <w:rPr>
          <w:rFonts w:hint="eastAsia" w:ascii="宋体" w:hAnsi="宋体" w:eastAsia="宋体" w:cs="宋体"/>
          <w:bCs/>
          <w:color w:val="auto"/>
          <w:sz w:val="21"/>
          <w:szCs w:val="21"/>
          <w:highlight w:val="none"/>
          <w:lang w:eastAsia="zh-CN"/>
        </w:rPr>
        <w:t>资格</w:t>
      </w:r>
      <w:r>
        <w:rPr>
          <w:rFonts w:hint="eastAsia" w:ascii="宋体" w:hAnsi="宋体" w:eastAsia="宋体" w:cs="宋体"/>
          <w:color w:val="auto"/>
          <w:szCs w:val="21"/>
          <w:highlight w:val="none"/>
          <w:lang w:val="en-US" w:eastAsia="zh-CN"/>
        </w:rPr>
        <w:t>，具有安全生产考核B证,且未担任其他在施建设工程项目的项目经理（符合桂建管﹝2013﹞17号文除外）。</w:t>
      </w:r>
    </w:p>
    <w:p w14:paraId="2BB9F891">
      <w:pPr>
        <w:pStyle w:val="4"/>
        <w:keepNext w:val="0"/>
        <w:keepLines w:val="0"/>
        <w:pageBreakBefore w:val="0"/>
        <w:widowControl w:val="0"/>
        <w:kinsoku/>
        <w:wordWrap/>
        <w:overflowPunct/>
        <w:topLinePunct w:val="0"/>
        <w:bidi w:val="0"/>
        <w:spacing w:before="0" w:after="0" w:line="440" w:lineRule="exact"/>
        <w:ind w:firstLine="42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4. </w:t>
      </w:r>
      <w:bookmarkEnd w:id="56"/>
      <w:bookmarkEnd w:id="57"/>
      <w:r>
        <w:rPr>
          <w:rFonts w:hint="eastAsia" w:ascii="宋体" w:hAnsi="宋体" w:eastAsia="宋体" w:cs="宋体"/>
          <w:color w:val="auto"/>
          <w:sz w:val="21"/>
          <w:szCs w:val="21"/>
          <w:highlight w:val="none"/>
          <w:lang w:val="en-US" w:eastAsia="zh-CN"/>
        </w:rPr>
        <w:t>参与电子磋商的准备工作</w:t>
      </w:r>
    </w:p>
    <w:p w14:paraId="670CED6E">
      <w:pPr>
        <w:keepNext w:val="0"/>
        <w:keepLines w:val="0"/>
        <w:pageBreakBefore w:val="0"/>
        <w:widowControl w:val="0"/>
        <w:kinsoku/>
        <w:wordWrap/>
        <w:overflowPunct/>
        <w:topLinePunct w:val="0"/>
        <w:bidi w:val="0"/>
        <w:spacing w:line="440" w:lineRule="exact"/>
        <w:ind w:firstLine="435"/>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4.1本项目实行全流程电子化采购，磋商供应商通过“广西政府采购云平台”平台参与电子磋商，并应做好以下相关准备工作：①在“广西政府采购云平台”平台注册成为正式供应商（操作方法详见广西壮族自治区政府采购网—办事服务—办事指南）；②完成CA认证证书申领和绑定（费用由磋商供应商自行承担，办理流程详见广西壮族自治区政府采购网—办事服务—下载专区，完成CA认证证书办理预计一周左右，建议供应商尽快办理）；③下载“广西壮族自治区全流程电子招投标项目管理系统--供应商客户端”（操作方法详见广西壮族自治区政府采购网—办事服务—下载专区，以下称“广西政府采购云平台电子投标客户端”）并安装成功，磋商供应商应当在响应文件提交截止时间前在“广西政府采购云平台”平台完成的身份认证，确保能够对相关数据电文进行加密和使用电子签章；④自备计算机和网络设备并确保能接入互联网（费用由磋商供应商自行承担，设备确保可进行视频通话和读取广西政府采购云平台CA认证证书）。因磋商供应商未做好相关准备工作等自身原因导致无法参加本项目电子磋商或磋商失败的，造成的一切后果，由磋商供应商自行承担。</w:t>
      </w:r>
    </w:p>
    <w:p w14:paraId="707AB0D7">
      <w:pPr>
        <w:keepNext w:val="0"/>
        <w:keepLines w:val="0"/>
        <w:pageBreakBefore w:val="0"/>
        <w:widowControl w:val="0"/>
        <w:kinsoku/>
        <w:wordWrap/>
        <w:overflowPunct/>
        <w:topLinePunct w:val="0"/>
        <w:bidi w:val="0"/>
        <w:spacing w:line="440" w:lineRule="exact"/>
        <w:ind w:firstLine="435"/>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4.2电子磋商具体操作流程参考《政府采购项目电子交易管理操作指南-供应商》（详见桂林市政府采购网—采购资讯—重要通知）；如遇平台技术问题详询95763。</w:t>
      </w:r>
    </w:p>
    <w:p w14:paraId="41F5E304">
      <w:pPr>
        <w:pStyle w:val="4"/>
        <w:keepNext w:val="0"/>
        <w:keepLines w:val="0"/>
        <w:pageBreakBefore w:val="0"/>
        <w:widowControl w:val="0"/>
        <w:numPr>
          <w:ilvl w:val="0"/>
          <w:numId w:val="2"/>
        </w:numPr>
        <w:kinsoku/>
        <w:wordWrap/>
        <w:overflowPunct/>
        <w:topLinePunct w:val="0"/>
        <w:bidi w:val="0"/>
        <w:spacing w:before="0" w:after="0" w:line="440" w:lineRule="exact"/>
        <w:ind w:firstLine="422" w:firstLineChars="200"/>
        <w:textAlignment w:val="auto"/>
        <w:rPr>
          <w:rFonts w:hint="eastAsia" w:ascii="宋体" w:hAnsi="宋体" w:eastAsia="宋体" w:cs="宋体"/>
          <w:color w:val="auto"/>
          <w:sz w:val="21"/>
          <w:szCs w:val="21"/>
          <w:highlight w:val="none"/>
        </w:rPr>
      </w:pPr>
      <w:bookmarkStart w:id="58" w:name="_Toc31376"/>
      <w:bookmarkStart w:id="59" w:name="_Toc22877"/>
      <w:r>
        <w:rPr>
          <w:rFonts w:hint="eastAsia" w:ascii="宋体" w:hAnsi="宋体" w:eastAsia="宋体" w:cs="宋体"/>
          <w:color w:val="auto"/>
          <w:sz w:val="21"/>
          <w:szCs w:val="21"/>
          <w:highlight w:val="none"/>
        </w:rPr>
        <w:t>磋商费用</w:t>
      </w:r>
    </w:p>
    <w:p w14:paraId="0D237F06">
      <w:pPr>
        <w:keepNext w:val="0"/>
        <w:keepLines w:val="0"/>
        <w:pageBreakBefore w:val="0"/>
        <w:widowControl w:val="0"/>
        <w:kinsoku/>
        <w:wordWrap/>
        <w:overflowPunct/>
        <w:topLinePunct w:val="0"/>
        <w:bidi w:val="0"/>
        <w:spacing w:line="440" w:lineRule="exact"/>
        <w:ind w:firstLine="435"/>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不论磋商结果如何，供应商均应自行承担所有与磋商有关的全部费用。</w:t>
      </w:r>
    </w:p>
    <w:p w14:paraId="1E4D7C36">
      <w:pPr>
        <w:pStyle w:val="4"/>
        <w:keepNext w:val="0"/>
        <w:keepLines w:val="0"/>
        <w:pageBreakBefore w:val="0"/>
        <w:widowControl w:val="0"/>
        <w:numPr>
          <w:ilvl w:val="0"/>
          <w:numId w:val="2"/>
        </w:numPr>
        <w:kinsoku/>
        <w:wordWrap/>
        <w:overflowPunct/>
        <w:topLinePunct w:val="0"/>
        <w:bidi w:val="0"/>
        <w:spacing w:before="0" w:after="0" w:line="44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联合体要求</w:t>
      </w:r>
      <w:bookmarkEnd w:id="58"/>
      <w:bookmarkEnd w:id="59"/>
    </w:p>
    <w:p w14:paraId="7C4D59B9">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本项目不接受联合体参与磋商</w:t>
      </w:r>
    </w:p>
    <w:p w14:paraId="6AC53E53">
      <w:pPr>
        <w:pStyle w:val="4"/>
        <w:keepNext w:val="0"/>
        <w:keepLines w:val="0"/>
        <w:pageBreakBefore w:val="0"/>
        <w:widowControl w:val="0"/>
        <w:numPr>
          <w:ilvl w:val="0"/>
          <w:numId w:val="2"/>
        </w:numPr>
        <w:kinsoku/>
        <w:wordWrap/>
        <w:overflowPunct/>
        <w:topLinePunct w:val="0"/>
        <w:bidi w:val="0"/>
        <w:spacing w:before="0" w:after="0" w:line="440" w:lineRule="exact"/>
        <w:ind w:firstLine="422" w:firstLineChars="200"/>
        <w:textAlignment w:val="auto"/>
        <w:rPr>
          <w:rFonts w:hint="eastAsia" w:ascii="宋体" w:hAnsi="宋体" w:eastAsia="宋体" w:cs="宋体"/>
          <w:color w:val="auto"/>
          <w:sz w:val="21"/>
          <w:szCs w:val="21"/>
          <w:highlight w:val="none"/>
        </w:rPr>
      </w:pPr>
      <w:bookmarkStart w:id="60" w:name="_Toc4152"/>
      <w:bookmarkStart w:id="61" w:name="_Toc18940"/>
      <w:r>
        <w:rPr>
          <w:rFonts w:hint="eastAsia" w:ascii="宋体" w:hAnsi="宋体" w:eastAsia="宋体" w:cs="宋体"/>
          <w:color w:val="auto"/>
          <w:sz w:val="21"/>
          <w:szCs w:val="21"/>
          <w:highlight w:val="none"/>
        </w:rPr>
        <w:t>质疑和投诉</w:t>
      </w:r>
      <w:bookmarkEnd w:id="60"/>
      <w:bookmarkEnd w:id="61"/>
      <w:r>
        <w:rPr>
          <w:rFonts w:hint="eastAsia" w:ascii="宋体" w:hAnsi="宋体" w:eastAsia="宋体" w:cs="宋体"/>
          <w:color w:val="auto"/>
          <w:sz w:val="21"/>
          <w:szCs w:val="21"/>
          <w:highlight w:val="none"/>
        </w:rPr>
        <w:tab/>
      </w:r>
    </w:p>
    <w:p w14:paraId="22B57618">
      <w:pPr>
        <w:keepNext w:val="0"/>
        <w:keepLines w:val="0"/>
        <w:pageBreakBefore w:val="0"/>
        <w:widowControl w:val="0"/>
        <w:tabs>
          <w:tab w:val="left" w:pos="2190"/>
        </w:tabs>
        <w:kinsoku/>
        <w:wordWrap/>
        <w:overflowPunct/>
        <w:topLinePunct w:val="0"/>
        <w:bidi w:val="0"/>
        <w:spacing w:line="440" w:lineRule="exact"/>
        <w:ind w:firstLine="435"/>
        <w:textAlignment w:val="auto"/>
        <w:rPr>
          <w:rFonts w:hint="eastAsia" w:ascii="宋体" w:hAnsi="宋体" w:eastAsia="宋体" w:cs="宋体"/>
          <w:color w:val="auto"/>
          <w:szCs w:val="21"/>
          <w:highlight w:val="none"/>
          <w:u w:val="none"/>
        </w:rPr>
      </w:pPr>
      <w:bookmarkStart w:id="62" w:name="_Toc8195"/>
      <w:bookmarkStart w:id="63" w:name="_Toc26087"/>
      <w:r>
        <w:rPr>
          <w:rFonts w:hint="eastAsia" w:ascii="宋体" w:hAnsi="宋体" w:cs="宋体"/>
          <w:color w:val="auto"/>
          <w:szCs w:val="21"/>
          <w:highlight w:val="none"/>
          <w:u w:val="none"/>
          <w:lang w:eastAsia="zh-CN"/>
        </w:rPr>
        <w:t>7.</w:t>
      </w:r>
      <w:r>
        <w:rPr>
          <w:rFonts w:hint="eastAsia" w:ascii="宋体" w:hAnsi="宋体" w:eastAsia="宋体" w:cs="宋体"/>
          <w:color w:val="auto"/>
          <w:szCs w:val="21"/>
          <w:highlight w:val="none"/>
          <w:u w:val="none"/>
        </w:rPr>
        <w:t>1供应对政府采购活动事项有疑问的，可以向采购人提出询问。</w:t>
      </w:r>
    </w:p>
    <w:p w14:paraId="49DD33AB">
      <w:pPr>
        <w:keepNext w:val="0"/>
        <w:keepLines w:val="0"/>
        <w:pageBreakBefore w:val="0"/>
        <w:widowControl w:val="0"/>
        <w:tabs>
          <w:tab w:val="left" w:pos="2190"/>
        </w:tabs>
        <w:kinsoku/>
        <w:wordWrap/>
        <w:overflowPunct/>
        <w:topLinePunct w:val="0"/>
        <w:bidi w:val="0"/>
        <w:spacing w:line="440" w:lineRule="exact"/>
        <w:ind w:firstLine="435"/>
        <w:textAlignment w:val="auto"/>
        <w:rPr>
          <w:rFonts w:hint="eastAsia" w:ascii="宋体" w:hAnsi="宋体" w:eastAsia="宋体" w:cs="宋体"/>
          <w:color w:val="auto"/>
          <w:szCs w:val="21"/>
          <w:highlight w:val="none"/>
          <w:u w:val="none"/>
        </w:rPr>
      </w:pPr>
      <w:r>
        <w:rPr>
          <w:rFonts w:hint="eastAsia" w:ascii="宋体" w:hAnsi="宋体" w:cs="宋体"/>
          <w:color w:val="auto"/>
          <w:szCs w:val="21"/>
          <w:highlight w:val="none"/>
          <w:u w:val="none"/>
          <w:lang w:eastAsia="zh-CN"/>
        </w:rPr>
        <w:t>7.</w:t>
      </w:r>
      <w:r>
        <w:rPr>
          <w:rFonts w:hint="eastAsia" w:ascii="宋体" w:hAnsi="宋体" w:eastAsia="宋体" w:cs="宋体"/>
          <w:color w:val="auto"/>
          <w:szCs w:val="21"/>
          <w:highlight w:val="none"/>
          <w:u w:val="none"/>
        </w:rPr>
        <w:t>2供应商认为磋商文件使自己的合法权益受到损害的，应当在竞争性磋商公告期限届满之日起七个工作日内，以书面形式向采购代理机构提出质疑（“质疑函”格式见附表1）。供应商认为采购过程或成交结果使自己的合法权益受到损害的，应当在各采购程序环节结束之日起七个工作日内，以书面形式向采购代理机构提出质疑。采购代理机构应认真做好质疑处理工作。</w:t>
      </w:r>
    </w:p>
    <w:p w14:paraId="41E89B9D">
      <w:pPr>
        <w:keepNext w:val="0"/>
        <w:keepLines w:val="0"/>
        <w:pageBreakBefore w:val="0"/>
        <w:widowControl w:val="0"/>
        <w:tabs>
          <w:tab w:val="left" w:pos="2190"/>
        </w:tabs>
        <w:kinsoku/>
        <w:wordWrap/>
        <w:overflowPunct/>
        <w:topLinePunct w:val="0"/>
        <w:bidi w:val="0"/>
        <w:spacing w:line="440" w:lineRule="exact"/>
        <w:ind w:firstLine="435"/>
        <w:textAlignment w:val="auto"/>
        <w:rPr>
          <w:rFonts w:hint="eastAsia" w:ascii="宋体" w:hAnsi="宋体" w:eastAsia="宋体" w:cs="宋体"/>
          <w:color w:val="auto"/>
          <w:szCs w:val="21"/>
          <w:highlight w:val="none"/>
          <w:u w:val="none"/>
        </w:rPr>
      </w:pPr>
      <w:r>
        <w:rPr>
          <w:rFonts w:hint="eastAsia" w:ascii="宋体" w:hAnsi="宋体" w:cs="宋体"/>
          <w:color w:val="auto"/>
          <w:szCs w:val="21"/>
          <w:highlight w:val="none"/>
          <w:u w:val="none"/>
          <w:lang w:eastAsia="zh-CN"/>
        </w:rPr>
        <w:t>7.</w:t>
      </w:r>
      <w:r>
        <w:rPr>
          <w:rFonts w:hint="eastAsia" w:ascii="宋体" w:hAnsi="宋体" w:eastAsia="宋体" w:cs="宋体"/>
          <w:color w:val="auto"/>
          <w:szCs w:val="21"/>
          <w:highlight w:val="none"/>
          <w:u w:val="none"/>
        </w:rPr>
        <w:t>3供应商对采购代理机构的质疑答复不满意或者采购代理机构未在规定的时间内作出答复的，可以在答复期满后十五个工作日内向本级财政部门投诉（“投诉书”格式见附表2）。</w:t>
      </w:r>
    </w:p>
    <w:p w14:paraId="7726EDB7">
      <w:pPr>
        <w:keepNext w:val="0"/>
        <w:keepLines w:val="0"/>
        <w:pageBreakBefore w:val="0"/>
        <w:widowControl w:val="0"/>
        <w:tabs>
          <w:tab w:val="left" w:pos="2190"/>
        </w:tabs>
        <w:kinsoku/>
        <w:wordWrap/>
        <w:overflowPunct/>
        <w:topLinePunct w:val="0"/>
        <w:bidi w:val="0"/>
        <w:spacing w:line="440" w:lineRule="exact"/>
        <w:ind w:firstLine="435"/>
        <w:textAlignment w:val="auto"/>
        <w:rPr>
          <w:rFonts w:hint="eastAsia" w:ascii="宋体" w:hAnsi="宋体" w:eastAsia="宋体" w:cs="宋体"/>
          <w:color w:val="auto"/>
          <w:szCs w:val="21"/>
          <w:highlight w:val="none"/>
          <w:u w:val="none"/>
        </w:rPr>
      </w:pPr>
      <w:r>
        <w:rPr>
          <w:rFonts w:hint="eastAsia" w:ascii="宋体" w:hAnsi="宋体" w:cs="宋体"/>
          <w:color w:val="auto"/>
          <w:szCs w:val="21"/>
          <w:highlight w:val="none"/>
          <w:u w:val="none"/>
          <w:lang w:eastAsia="zh-CN"/>
        </w:rPr>
        <w:t>7.</w:t>
      </w:r>
      <w:r>
        <w:rPr>
          <w:rFonts w:hint="eastAsia" w:ascii="宋体" w:hAnsi="宋体" w:eastAsia="宋体" w:cs="宋体"/>
          <w:color w:val="auto"/>
          <w:szCs w:val="21"/>
          <w:highlight w:val="none"/>
          <w:u w:val="none"/>
        </w:rPr>
        <w:t>4质疑、投诉应当采用书面形式，质疑书、投诉书实行实名制，均应明确阐述磋商文件、采购过程或成交结果中使自己合法权益受到损害的实质性内容，提供相关事实、明确的请求，并提供必要的证明材料。</w:t>
      </w:r>
    </w:p>
    <w:p w14:paraId="5B50E2AF">
      <w:pPr>
        <w:keepNext w:val="0"/>
        <w:keepLines w:val="0"/>
        <w:pageBreakBefore w:val="0"/>
        <w:widowControl w:val="0"/>
        <w:tabs>
          <w:tab w:val="left" w:pos="2190"/>
        </w:tabs>
        <w:kinsoku/>
        <w:wordWrap/>
        <w:overflowPunct/>
        <w:topLinePunct w:val="0"/>
        <w:bidi w:val="0"/>
        <w:spacing w:line="440" w:lineRule="exact"/>
        <w:ind w:firstLine="435"/>
        <w:textAlignment w:val="auto"/>
        <w:rPr>
          <w:rFonts w:hint="eastAsia" w:ascii="宋体" w:hAnsi="宋体" w:eastAsia="宋体" w:cs="宋体"/>
          <w:color w:val="auto"/>
          <w:szCs w:val="21"/>
          <w:highlight w:val="none"/>
          <w:u w:val="none"/>
        </w:rPr>
      </w:pPr>
      <w:r>
        <w:rPr>
          <w:rFonts w:hint="eastAsia" w:ascii="宋体" w:hAnsi="宋体" w:cs="宋体"/>
          <w:color w:val="auto"/>
          <w:szCs w:val="21"/>
          <w:highlight w:val="none"/>
          <w:u w:val="none"/>
          <w:lang w:eastAsia="zh-CN"/>
        </w:rPr>
        <w:t>7.</w:t>
      </w:r>
      <w:r>
        <w:rPr>
          <w:rFonts w:hint="eastAsia" w:ascii="宋体" w:hAnsi="宋体" w:eastAsia="宋体" w:cs="宋体"/>
          <w:color w:val="auto"/>
          <w:szCs w:val="21"/>
          <w:highlight w:val="none"/>
          <w:u w:val="none"/>
        </w:rPr>
        <w:t>5质疑联系</w:t>
      </w:r>
      <w:bookmarkEnd w:id="62"/>
      <w:bookmarkEnd w:id="63"/>
      <w:r>
        <w:rPr>
          <w:rFonts w:hint="eastAsia" w:ascii="宋体" w:hAnsi="宋体" w:eastAsia="宋体" w:cs="宋体"/>
          <w:color w:val="auto"/>
          <w:szCs w:val="21"/>
          <w:highlight w:val="none"/>
          <w:u w:val="none"/>
          <w:lang w:eastAsia="zh-CN"/>
        </w:rPr>
        <w:t>方式，详见磋商公告。</w:t>
      </w:r>
    </w:p>
    <w:p w14:paraId="0E0CD38E">
      <w:pPr>
        <w:pStyle w:val="4"/>
        <w:keepNext w:val="0"/>
        <w:keepLines w:val="0"/>
        <w:pageBreakBefore w:val="0"/>
        <w:widowControl w:val="0"/>
        <w:numPr>
          <w:ilvl w:val="0"/>
          <w:numId w:val="2"/>
        </w:numPr>
        <w:kinsoku/>
        <w:wordWrap/>
        <w:overflowPunct/>
        <w:topLinePunct w:val="0"/>
        <w:bidi w:val="0"/>
        <w:spacing w:before="0" w:after="0" w:line="440" w:lineRule="exact"/>
        <w:ind w:firstLine="422" w:firstLineChars="200"/>
        <w:textAlignment w:val="auto"/>
        <w:rPr>
          <w:rFonts w:hint="eastAsia" w:ascii="宋体" w:hAnsi="宋体" w:eastAsia="宋体" w:cs="宋体"/>
          <w:color w:val="auto"/>
          <w:sz w:val="21"/>
          <w:szCs w:val="21"/>
          <w:highlight w:val="none"/>
        </w:rPr>
      </w:pPr>
      <w:bookmarkStart w:id="64" w:name="_Toc5032"/>
      <w:bookmarkStart w:id="65" w:name="_Toc6998"/>
      <w:r>
        <w:rPr>
          <w:rFonts w:hint="eastAsia" w:ascii="宋体" w:hAnsi="宋体" w:eastAsia="宋体" w:cs="宋体"/>
          <w:color w:val="auto"/>
          <w:sz w:val="21"/>
          <w:szCs w:val="21"/>
          <w:highlight w:val="none"/>
        </w:rPr>
        <w:t>转包与分包</w:t>
      </w:r>
      <w:bookmarkEnd w:id="64"/>
      <w:bookmarkEnd w:id="65"/>
    </w:p>
    <w:p w14:paraId="30BE514C">
      <w:pPr>
        <w:keepNext w:val="0"/>
        <w:keepLines w:val="0"/>
        <w:pageBreakBefore w:val="0"/>
        <w:widowControl w:val="0"/>
        <w:tabs>
          <w:tab w:val="left" w:pos="2190"/>
        </w:tabs>
        <w:kinsoku/>
        <w:wordWrap/>
        <w:overflowPunct/>
        <w:topLinePunct w:val="0"/>
        <w:bidi w:val="0"/>
        <w:spacing w:line="440" w:lineRule="exact"/>
        <w:ind w:firstLine="420" w:firstLineChars="200"/>
        <w:textAlignment w:val="auto"/>
        <w:rPr>
          <w:rFonts w:hint="eastAsia" w:ascii="宋体" w:hAnsi="宋体" w:eastAsia="宋体" w:cs="宋体"/>
          <w:color w:val="auto"/>
          <w:kern w:val="0"/>
          <w:szCs w:val="21"/>
          <w:highlight w:val="none"/>
          <w:shd w:val="clear" w:color="auto" w:fill="FFFFFF"/>
        </w:rPr>
      </w:pPr>
      <w:r>
        <w:rPr>
          <w:rFonts w:hint="eastAsia" w:ascii="宋体" w:hAnsi="宋体" w:cs="宋体"/>
          <w:color w:val="auto"/>
          <w:szCs w:val="21"/>
          <w:highlight w:val="none"/>
          <w:lang w:eastAsia="zh-CN"/>
        </w:rPr>
        <w:t>8.</w:t>
      </w:r>
      <w:r>
        <w:rPr>
          <w:rFonts w:hint="eastAsia" w:ascii="宋体" w:hAnsi="宋体" w:eastAsia="宋体" w:cs="宋体"/>
          <w:color w:val="auto"/>
          <w:kern w:val="0"/>
          <w:szCs w:val="21"/>
          <w:highlight w:val="none"/>
          <w:shd w:val="clear" w:color="auto" w:fill="FFFFFF"/>
        </w:rPr>
        <w:t>1 本项目不允许转包。</w:t>
      </w:r>
    </w:p>
    <w:p w14:paraId="2ABD6D4E">
      <w:pPr>
        <w:keepNext w:val="0"/>
        <w:keepLines w:val="0"/>
        <w:pageBreakBefore w:val="0"/>
        <w:widowControl w:val="0"/>
        <w:tabs>
          <w:tab w:val="left" w:pos="2190"/>
        </w:tabs>
        <w:kinsoku/>
        <w:wordWrap/>
        <w:overflowPunct/>
        <w:topLinePunct w:val="0"/>
        <w:bidi w:val="0"/>
        <w:spacing w:line="440" w:lineRule="exact"/>
        <w:ind w:firstLine="420" w:firstLineChars="200"/>
        <w:textAlignment w:val="auto"/>
        <w:rPr>
          <w:rFonts w:hint="eastAsia" w:ascii="宋体" w:hAnsi="宋体" w:eastAsia="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lang w:eastAsia="zh-CN"/>
        </w:rPr>
        <w:t>8.</w:t>
      </w:r>
      <w:r>
        <w:rPr>
          <w:rFonts w:hint="eastAsia" w:ascii="宋体" w:hAnsi="宋体" w:eastAsia="宋体" w:cs="宋体"/>
          <w:color w:val="auto"/>
          <w:kern w:val="0"/>
          <w:szCs w:val="21"/>
          <w:highlight w:val="none"/>
          <w:shd w:val="clear" w:color="auto" w:fill="FFFFFF"/>
        </w:rPr>
        <w:t>2 本项目不可以分包。</w:t>
      </w:r>
    </w:p>
    <w:p w14:paraId="65C4E7BA">
      <w:pPr>
        <w:keepNext w:val="0"/>
        <w:keepLines w:val="0"/>
        <w:pageBreakBefore w:val="0"/>
        <w:widowControl w:val="0"/>
        <w:tabs>
          <w:tab w:val="left" w:pos="2190"/>
        </w:tabs>
        <w:kinsoku/>
        <w:wordWrap/>
        <w:overflowPunct/>
        <w:topLinePunct w:val="0"/>
        <w:bidi w:val="0"/>
        <w:spacing w:line="440" w:lineRule="exact"/>
        <w:ind w:firstLine="420" w:firstLineChars="200"/>
        <w:textAlignment w:val="auto"/>
        <w:rPr>
          <w:rFonts w:hint="eastAsia" w:ascii="宋体" w:hAnsi="宋体" w:eastAsia="宋体" w:cs="宋体"/>
          <w:color w:val="auto"/>
          <w:kern w:val="0"/>
          <w:szCs w:val="21"/>
          <w:highlight w:val="none"/>
          <w:shd w:val="clear" w:color="auto" w:fill="FFFFFF"/>
          <w:lang w:val="en-US" w:eastAsia="zh-CN"/>
        </w:rPr>
      </w:pPr>
      <w:r>
        <w:rPr>
          <w:rFonts w:hint="eastAsia" w:ascii="宋体" w:hAnsi="宋体" w:cs="宋体"/>
          <w:color w:val="auto"/>
          <w:kern w:val="0"/>
          <w:szCs w:val="21"/>
          <w:highlight w:val="none"/>
          <w:shd w:val="clear" w:color="auto" w:fill="FFFFFF"/>
          <w:lang w:val="en-US" w:eastAsia="zh-CN"/>
        </w:rPr>
        <w:t>8.</w:t>
      </w:r>
      <w:r>
        <w:rPr>
          <w:rFonts w:hint="eastAsia" w:ascii="宋体" w:hAnsi="宋体" w:eastAsia="宋体" w:cs="宋体"/>
          <w:color w:val="auto"/>
          <w:kern w:val="0"/>
          <w:szCs w:val="21"/>
          <w:highlight w:val="none"/>
          <w:shd w:val="clear" w:color="auto" w:fill="FFFFFF"/>
          <w:lang w:val="en-US" w:eastAsia="zh-CN"/>
        </w:rPr>
        <w:t>3本项目不允许挂靠。</w:t>
      </w:r>
    </w:p>
    <w:p w14:paraId="394395FB">
      <w:pPr>
        <w:keepNext w:val="0"/>
        <w:keepLines w:val="0"/>
        <w:pageBreakBefore w:val="0"/>
        <w:widowControl w:val="0"/>
        <w:tabs>
          <w:tab w:val="left" w:pos="2190"/>
        </w:tabs>
        <w:kinsoku/>
        <w:wordWrap/>
        <w:overflowPunct/>
        <w:topLinePunct w:val="0"/>
        <w:bidi w:val="0"/>
        <w:spacing w:line="440" w:lineRule="exact"/>
        <w:ind w:firstLine="420" w:firstLineChars="200"/>
        <w:textAlignment w:val="auto"/>
        <w:rPr>
          <w:rFonts w:hint="default" w:ascii="宋体" w:hAnsi="宋体" w:eastAsia="宋体" w:cs="宋体"/>
          <w:color w:val="auto"/>
          <w:kern w:val="0"/>
          <w:szCs w:val="21"/>
          <w:highlight w:val="none"/>
          <w:shd w:val="clear" w:color="auto" w:fill="FFFFFF"/>
          <w:lang w:val="en-US" w:eastAsia="zh-CN"/>
        </w:rPr>
      </w:pPr>
      <w:r>
        <w:rPr>
          <w:rFonts w:hint="eastAsia" w:ascii="宋体" w:hAnsi="宋体" w:cs="宋体"/>
          <w:color w:val="auto"/>
          <w:kern w:val="0"/>
          <w:szCs w:val="21"/>
          <w:highlight w:val="none"/>
          <w:shd w:val="clear" w:color="auto" w:fill="FFFFFF"/>
          <w:lang w:val="en-US" w:eastAsia="zh-CN"/>
        </w:rPr>
        <w:t>8.</w:t>
      </w:r>
      <w:r>
        <w:rPr>
          <w:rFonts w:hint="eastAsia" w:ascii="宋体" w:hAnsi="宋体" w:eastAsia="宋体" w:cs="宋体"/>
          <w:color w:val="auto"/>
          <w:kern w:val="0"/>
          <w:szCs w:val="21"/>
          <w:highlight w:val="none"/>
          <w:shd w:val="clear" w:color="auto" w:fill="FFFFFF"/>
          <w:lang w:val="en-US" w:eastAsia="zh-CN"/>
        </w:rPr>
        <w:t>4如发现有以上行为，采购人有权终止合同，所有损失由成交供应商承担。</w:t>
      </w:r>
    </w:p>
    <w:p w14:paraId="133017A0">
      <w:pPr>
        <w:pStyle w:val="4"/>
        <w:keepNext w:val="0"/>
        <w:keepLines w:val="0"/>
        <w:pageBreakBefore w:val="0"/>
        <w:widowControl w:val="0"/>
        <w:numPr>
          <w:ilvl w:val="0"/>
          <w:numId w:val="2"/>
        </w:numPr>
        <w:kinsoku/>
        <w:wordWrap/>
        <w:overflowPunct/>
        <w:topLinePunct w:val="0"/>
        <w:bidi w:val="0"/>
        <w:spacing w:before="0" w:after="0" w:line="440" w:lineRule="exact"/>
        <w:ind w:firstLine="422" w:firstLineChars="200"/>
        <w:textAlignment w:val="auto"/>
        <w:rPr>
          <w:rFonts w:hint="eastAsia" w:ascii="宋体" w:hAnsi="宋体" w:eastAsia="宋体" w:cs="宋体"/>
          <w:color w:val="auto"/>
          <w:sz w:val="21"/>
          <w:szCs w:val="21"/>
          <w:highlight w:val="none"/>
        </w:rPr>
      </w:pPr>
      <w:bookmarkStart w:id="66" w:name="_Toc3368"/>
      <w:bookmarkStart w:id="67" w:name="_Toc15097"/>
      <w:r>
        <w:rPr>
          <w:rFonts w:hint="eastAsia" w:ascii="宋体" w:hAnsi="宋体" w:eastAsia="宋体" w:cs="宋体"/>
          <w:color w:val="auto"/>
          <w:sz w:val="21"/>
          <w:szCs w:val="21"/>
          <w:highlight w:val="none"/>
        </w:rPr>
        <w:t>特别说明</w:t>
      </w:r>
      <w:bookmarkEnd w:id="66"/>
      <w:bookmarkEnd w:id="67"/>
    </w:p>
    <w:p w14:paraId="29D66A3B">
      <w:pPr>
        <w:keepNext w:val="0"/>
        <w:keepLines w:val="0"/>
        <w:pageBreakBefore w:val="0"/>
        <w:widowControl w:val="0"/>
        <w:tabs>
          <w:tab w:val="left" w:pos="1635"/>
        </w:tabs>
        <w:kinsoku/>
        <w:wordWrap/>
        <w:overflowPunct/>
        <w:topLinePunct w:val="0"/>
        <w:bidi w:val="0"/>
        <w:spacing w:line="440" w:lineRule="exact"/>
        <w:ind w:firstLine="422" w:firstLineChars="200"/>
        <w:textAlignment w:val="auto"/>
        <w:rPr>
          <w:rFonts w:hint="eastAsia" w:ascii="宋体" w:hAnsi="宋体" w:eastAsia="宋体" w:cs="宋体"/>
          <w:b/>
          <w:color w:val="auto"/>
          <w:szCs w:val="21"/>
          <w:highlight w:val="none"/>
        </w:rPr>
      </w:pPr>
      <w:r>
        <w:rPr>
          <w:rFonts w:hint="eastAsia" w:ascii="宋体" w:hAnsi="宋体" w:cs="宋体"/>
          <w:b/>
          <w:color w:val="auto"/>
          <w:szCs w:val="21"/>
          <w:highlight w:val="none"/>
          <w:lang w:eastAsia="zh-CN"/>
        </w:rPr>
        <w:t>9.</w:t>
      </w:r>
      <w:r>
        <w:rPr>
          <w:rFonts w:hint="eastAsia" w:ascii="宋体" w:hAnsi="宋体" w:eastAsia="宋体" w:cs="宋体"/>
          <w:b/>
          <w:color w:val="auto"/>
          <w:szCs w:val="21"/>
          <w:highlight w:val="none"/>
        </w:rPr>
        <w:t>1关联供应商不得参加同一合同项下政府采购活动，否则响应文件将被视为无效：</w:t>
      </w:r>
    </w:p>
    <w:p w14:paraId="55334FB7">
      <w:pPr>
        <w:keepNext w:val="0"/>
        <w:keepLines w:val="0"/>
        <w:pageBreakBefore w:val="0"/>
        <w:widowControl w:val="0"/>
        <w:tabs>
          <w:tab w:val="left" w:pos="1635"/>
        </w:tabs>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（1）单位负责人为同一人或者存在直接控股、管理关系的，不得参加同一合同项下的政府采购活动。</w:t>
      </w:r>
    </w:p>
    <w:p w14:paraId="1FF697D3">
      <w:pPr>
        <w:keepNext w:val="0"/>
        <w:keepLines w:val="0"/>
        <w:pageBreakBefore w:val="0"/>
        <w:widowControl w:val="0"/>
        <w:tabs>
          <w:tab w:val="left" w:pos="1635"/>
        </w:tabs>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）为本采购项目提供整体设计、规范编制或者项目管理、监理、检测等服务的供应商，不得再参加本次采购活动。</w:t>
      </w:r>
    </w:p>
    <w:p w14:paraId="40A61ECB">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highlight w:val="none"/>
        </w:rPr>
      </w:pPr>
    </w:p>
    <w:p w14:paraId="23897837">
      <w:pPr>
        <w:pStyle w:val="3"/>
        <w:keepNext w:val="0"/>
        <w:keepLines w:val="0"/>
        <w:pageBreakBefore w:val="0"/>
        <w:widowControl w:val="0"/>
        <w:tabs>
          <w:tab w:val="left" w:pos="567"/>
        </w:tabs>
        <w:kinsoku/>
        <w:wordWrap/>
        <w:overflowPunct/>
        <w:topLinePunct w:val="0"/>
        <w:bidi w:val="0"/>
        <w:spacing w:line="440" w:lineRule="exact"/>
        <w:jc w:val="center"/>
        <w:textAlignment w:val="auto"/>
        <w:rPr>
          <w:rFonts w:hint="eastAsia" w:ascii="宋体" w:hAnsi="宋体" w:eastAsia="宋体" w:cs="宋体"/>
          <w:b/>
          <w:bCs w:val="0"/>
          <w:color w:val="auto"/>
          <w:szCs w:val="28"/>
          <w:highlight w:val="none"/>
        </w:rPr>
      </w:pPr>
      <w:bookmarkStart w:id="68" w:name="_Toc2062"/>
      <w:bookmarkStart w:id="69" w:name="_Toc6291"/>
      <w:bookmarkStart w:id="70" w:name="_Toc29496"/>
      <w:bookmarkStart w:id="71" w:name="_Toc22498"/>
      <w:r>
        <w:rPr>
          <w:rFonts w:hint="eastAsia" w:ascii="宋体" w:hAnsi="宋体" w:eastAsia="宋体" w:cs="宋体"/>
          <w:b/>
          <w:bCs w:val="0"/>
          <w:color w:val="auto"/>
          <w:szCs w:val="28"/>
          <w:highlight w:val="none"/>
        </w:rPr>
        <w:t>二、磋商文件</w:t>
      </w:r>
      <w:bookmarkEnd w:id="68"/>
      <w:bookmarkEnd w:id="69"/>
      <w:bookmarkEnd w:id="70"/>
      <w:bookmarkEnd w:id="71"/>
    </w:p>
    <w:p w14:paraId="59034907">
      <w:pPr>
        <w:pStyle w:val="4"/>
        <w:keepNext w:val="0"/>
        <w:keepLines w:val="0"/>
        <w:pageBreakBefore w:val="0"/>
        <w:widowControl w:val="0"/>
        <w:numPr>
          <w:ilvl w:val="0"/>
          <w:numId w:val="2"/>
        </w:numPr>
        <w:kinsoku/>
        <w:wordWrap/>
        <w:overflowPunct/>
        <w:topLinePunct w:val="0"/>
        <w:bidi w:val="0"/>
        <w:spacing w:before="0" w:after="0" w:line="440" w:lineRule="exact"/>
        <w:ind w:firstLine="422" w:firstLineChars="200"/>
        <w:textAlignment w:val="auto"/>
        <w:rPr>
          <w:rFonts w:hint="eastAsia" w:ascii="宋体" w:hAnsi="宋体" w:eastAsia="宋体" w:cs="宋体"/>
          <w:color w:val="auto"/>
          <w:sz w:val="21"/>
          <w:szCs w:val="21"/>
          <w:highlight w:val="none"/>
          <w:lang w:val="pt-BR"/>
        </w:rPr>
      </w:pPr>
      <w:bookmarkStart w:id="72" w:name="_Toc20057"/>
      <w:bookmarkStart w:id="73" w:name="_Toc18964"/>
      <w:r>
        <w:rPr>
          <w:rFonts w:hint="eastAsia" w:ascii="宋体" w:hAnsi="宋体" w:eastAsia="宋体" w:cs="宋体"/>
          <w:color w:val="auto"/>
          <w:sz w:val="21"/>
          <w:szCs w:val="21"/>
          <w:highlight w:val="none"/>
        </w:rPr>
        <w:t>磋商文件的构成</w:t>
      </w:r>
      <w:bookmarkEnd w:id="72"/>
      <w:bookmarkEnd w:id="73"/>
    </w:p>
    <w:p w14:paraId="75FFFD32">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（1）竞争性磋商公告；</w:t>
      </w:r>
    </w:p>
    <w:p w14:paraId="4B44CE61">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（2）供应商须知；</w:t>
      </w:r>
    </w:p>
    <w:p w14:paraId="5F2D14D7">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（3）工程量清单</w:t>
      </w:r>
      <w:r>
        <w:rPr>
          <w:rFonts w:hint="eastAsia" w:ascii="宋体" w:hAnsi="宋体" w:eastAsia="宋体" w:cs="宋体"/>
          <w:bCs/>
          <w:color w:val="auto"/>
          <w:szCs w:val="21"/>
          <w:highlight w:val="none"/>
        </w:rPr>
        <w:t>；</w:t>
      </w:r>
    </w:p>
    <w:p w14:paraId="1D231D36">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（4）评审办法；</w:t>
      </w:r>
    </w:p>
    <w:p w14:paraId="231DFAB6">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（5）采购合同（合同主要条款及格式）；</w:t>
      </w:r>
    </w:p>
    <w:p w14:paraId="64069202">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（6）响应文件（格式）</w:t>
      </w:r>
      <w:r>
        <w:rPr>
          <w:rFonts w:hint="eastAsia" w:ascii="宋体" w:hAnsi="宋体" w:eastAsia="宋体" w:cs="宋体"/>
          <w:color w:val="auto"/>
          <w:szCs w:val="21"/>
          <w:highlight w:val="none"/>
          <w:lang w:eastAsia="zh-CN"/>
        </w:rPr>
        <w:t>；</w:t>
      </w:r>
    </w:p>
    <w:p w14:paraId="55634BBF">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lang w:eastAsia="zh-CN"/>
        </w:rPr>
      </w:pPr>
      <w:bookmarkStart w:id="74" w:name="_Toc9103"/>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图纸。</w:t>
      </w:r>
    </w:p>
    <w:p w14:paraId="09C147B0">
      <w:pPr>
        <w:pStyle w:val="4"/>
        <w:keepNext w:val="0"/>
        <w:keepLines w:val="0"/>
        <w:pageBreakBefore w:val="0"/>
        <w:widowControl w:val="0"/>
        <w:numPr>
          <w:ilvl w:val="0"/>
          <w:numId w:val="2"/>
        </w:numPr>
        <w:kinsoku/>
        <w:wordWrap/>
        <w:overflowPunct/>
        <w:topLinePunct w:val="0"/>
        <w:bidi w:val="0"/>
        <w:spacing w:before="0" w:after="0" w:line="440" w:lineRule="exact"/>
        <w:ind w:firstLine="422" w:firstLineChars="200"/>
        <w:textAlignment w:val="auto"/>
        <w:rPr>
          <w:rFonts w:hint="eastAsia" w:ascii="宋体" w:hAnsi="宋体" w:eastAsia="宋体" w:cs="宋体"/>
          <w:color w:val="auto"/>
          <w:sz w:val="21"/>
          <w:szCs w:val="21"/>
          <w:highlight w:val="none"/>
        </w:rPr>
      </w:pPr>
      <w:bookmarkStart w:id="75" w:name="_Toc17932"/>
      <w:r>
        <w:rPr>
          <w:rFonts w:hint="eastAsia" w:ascii="宋体" w:hAnsi="宋体" w:eastAsia="宋体" w:cs="宋体"/>
          <w:color w:val="auto"/>
          <w:sz w:val="21"/>
          <w:szCs w:val="21"/>
          <w:highlight w:val="none"/>
        </w:rPr>
        <w:t>磋商文件的澄清与修改</w:t>
      </w:r>
      <w:bookmarkEnd w:id="74"/>
      <w:bookmarkEnd w:id="75"/>
    </w:p>
    <w:p w14:paraId="36BE3D39">
      <w:pPr>
        <w:keepNext w:val="0"/>
        <w:keepLines w:val="0"/>
        <w:pageBreakBefore w:val="0"/>
        <w:widowControl w:val="0"/>
        <w:kinsoku/>
        <w:wordWrap/>
        <w:overflowPunct/>
        <w:topLinePunct w:val="0"/>
        <w:bidi w:val="0"/>
        <w:spacing w:line="440" w:lineRule="exact"/>
        <w:ind w:left="420" w:leftChars="200"/>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11.</w:t>
      </w:r>
      <w:r>
        <w:rPr>
          <w:rFonts w:hint="eastAsia" w:ascii="宋体" w:hAnsi="宋体" w:eastAsia="宋体" w:cs="宋体"/>
          <w:color w:val="auto"/>
          <w:szCs w:val="21"/>
          <w:highlight w:val="none"/>
        </w:rPr>
        <w:t>1 提交首次响应文件截止之日前，采购代理机构可以对已发出的磋商文件进行必要澄清、答复、</w:t>
      </w:r>
    </w:p>
    <w:p w14:paraId="15F7C798">
      <w:pPr>
        <w:keepNext w:val="0"/>
        <w:keepLines w:val="0"/>
        <w:pageBreakBefore w:val="0"/>
        <w:widowControl w:val="0"/>
        <w:kinsoku/>
        <w:wordWrap/>
        <w:overflowPunct/>
        <w:topLinePunct w:val="0"/>
        <w:bidi w:val="0"/>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修改或补充，澄清或者修改的内容可能影响响应文件编制的，澄清或者修改的内容作为磋商文件的组成部分。采购代理机构应当在提交首次响应文件递交截止时间</w:t>
      </w:r>
      <w:r>
        <w:rPr>
          <w:rFonts w:hint="eastAsia" w:ascii="宋体" w:hAnsi="宋体" w:eastAsia="宋体" w:cs="宋体"/>
          <w:b/>
          <w:bCs/>
          <w:color w:val="auto"/>
          <w:szCs w:val="21"/>
          <w:highlight w:val="none"/>
        </w:rPr>
        <w:t>五日</w:t>
      </w:r>
      <w:r>
        <w:rPr>
          <w:rFonts w:hint="eastAsia" w:ascii="宋体" w:hAnsi="宋体" w:eastAsia="宋体" w:cs="宋体"/>
          <w:color w:val="auto"/>
          <w:szCs w:val="21"/>
          <w:highlight w:val="none"/>
        </w:rPr>
        <w:t>前在本项目竞争性磋商公告发布的同一媒体上发布更正公告，不足</w:t>
      </w:r>
      <w:r>
        <w:rPr>
          <w:rFonts w:hint="eastAsia" w:ascii="宋体" w:hAnsi="宋体" w:eastAsia="宋体" w:cs="宋体"/>
          <w:b/>
          <w:bCs/>
          <w:color w:val="auto"/>
          <w:szCs w:val="21"/>
          <w:highlight w:val="none"/>
        </w:rPr>
        <w:t>五日</w:t>
      </w:r>
      <w:r>
        <w:rPr>
          <w:rFonts w:hint="eastAsia" w:ascii="宋体" w:hAnsi="宋体" w:eastAsia="宋体" w:cs="宋体"/>
          <w:color w:val="auto"/>
          <w:szCs w:val="21"/>
          <w:highlight w:val="none"/>
        </w:rPr>
        <w:t>的，应当顺延首次响应文件递交截止时间。</w:t>
      </w:r>
    </w:p>
    <w:p w14:paraId="714E66C4">
      <w:pPr>
        <w:keepNext w:val="0"/>
        <w:keepLines w:val="0"/>
        <w:pageBreakBefore w:val="0"/>
        <w:widowControl w:val="0"/>
        <w:kinsoku/>
        <w:wordWrap/>
        <w:overflowPunct/>
        <w:topLinePunct w:val="0"/>
        <w:bidi w:val="0"/>
        <w:spacing w:line="440" w:lineRule="exact"/>
        <w:ind w:left="420" w:leftChars="200"/>
        <w:jc w:val="left"/>
        <w:textAlignment w:val="auto"/>
        <w:rPr>
          <w:rFonts w:hint="eastAsia" w:ascii="宋体" w:hAnsi="宋体" w:eastAsia="宋体" w:cs="宋体"/>
          <w:b/>
          <w:bCs/>
          <w:color w:val="auto"/>
          <w:szCs w:val="21"/>
          <w:highlight w:val="none"/>
        </w:rPr>
      </w:pPr>
      <w:r>
        <w:rPr>
          <w:rFonts w:hint="eastAsia" w:ascii="宋体" w:hAnsi="宋体" w:cs="宋体"/>
          <w:color w:val="auto"/>
          <w:szCs w:val="21"/>
          <w:highlight w:val="none"/>
          <w:lang w:eastAsia="zh-CN"/>
        </w:rPr>
        <w:t>11.</w:t>
      </w:r>
      <w:r>
        <w:rPr>
          <w:rFonts w:hint="eastAsia" w:ascii="宋体" w:hAnsi="宋体" w:eastAsia="宋体" w:cs="宋体"/>
          <w:color w:val="auto"/>
          <w:szCs w:val="21"/>
          <w:highlight w:val="none"/>
        </w:rPr>
        <w:t>2</w:t>
      </w:r>
      <w:r>
        <w:rPr>
          <w:rFonts w:hint="eastAsia" w:ascii="宋体" w:hAnsi="宋体" w:eastAsia="宋体" w:cs="宋体"/>
          <w:b/>
          <w:bCs/>
          <w:color w:val="auto"/>
          <w:szCs w:val="21"/>
          <w:highlight w:val="none"/>
        </w:rPr>
        <w:t>供应商应实时关注本项目信息公告发布媒体相关网站了解澄清、修改等与项目有关的内容，</w:t>
      </w:r>
    </w:p>
    <w:p w14:paraId="6B84927B">
      <w:pPr>
        <w:keepNext w:val="0"/>
        <w:keepLines w:val="0"/>
        <w:pageBreakBefore w:val="0"/>
        <w:widowControl w:val="0"/>
        <w:kinsoku/>
        <w:wordWrap/>
        <w:overflowPunct/>
        <w:topLinePunct w:val="0"/>
        <w:bidi w:val="0"/>
        <w:spacing w:line="440" w:lineRule="exact"/>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如因供应商未及时登录相关网站了解澄清、修改等与项目有关的内容，从而导致响应文件无效的，由供应商自行承担责任。</w:t>
      </w:r>
    </w:p>
    <w:p w14:paraId="70DBA25E">
      <w:pPr>
        <w:keepNext w:val="0"/>
        <w:keepLines w:val="0"/>
        <w:pageBreakBefore w:val="0"/>
        <w:widowControl w:val="0"/>
        <w:kinsoku/>
        <w:wordWrap/>
        <w:overflowPunct/>
        <w:topLinePunct w:val="0"/>
        <w:bidi w:val="0"/>
        <w:spacing w:line="440" w:lineRule="exact"/>
        <w:ind w:left="420" w:leftChars="200"/>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11.</w:t>
      </w:r>
      <w:r>
        <w:rPr>
          <w:rFonts w:hint="eastAsia" w:ascii="宋体" w:hAnsi="宋体" w:eastAsia="宋体" w:cs="宋体"/>
          <w:color w:val="auto"/>
          <w:szCs w:val="21"/>
          <w:highlight w:val="none"/>
        </w:rPr>
        <w:t>3澄清或者修改的内容为磋商文件的组成部分。当澄清或者修改通知就同一内容的表述不一致</w:t>
      </w:r>
    </w:p>
    <w:p w14:paraId="6E83B761">
      <w:pPr>
        <w:keepNext w:val="0"/>
        <w:keepLines w:val="0"/>
        <w:pageBreakBefore w:val="0"/>
        <w:widowControl w:val="0"/>
        <w:kinsoku/>
        <w:wordWrap/>
        <w:overflowPunct/>
        <w:topLinePunct w:val="0"/>
        <w:bidi w:val="0"/>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时，以最后发出的文件为准。</w:t>
      </w:r>
    </w:p>
    <w:p w14:paraId="798AC5B4">
      <w:pPr>
        <w:keepNext w:val="0"/>
        <w:keepLines w:val="0"/>
        <w:pageBreakBefore w:val="0"/>
        <w:widowControl w:val="0"/>
        <w:kinsoku/>
        <w:wordWrap/>
        <w:overflowPunct/>
        <w:topLinePunct w:val="0"/>
        <w:bidi w:val="0"/>
        <w:spacing w:line="440" w:lineRule="exact"/>
        <w:ind w:left="420" w:leftChars="200"/>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11.</w:t>
      </w:r>
      <w:r>
        <w:rPr>
          <w:rFonts w:hint="eastAsia" w:ascii="宋体" w:hAnsi="宋体" w:eastAsia="宋体" w:cs="宋体"/>
          <w:color w:val="auto"/>
          <w:szCs w:val="21"/>
          <w:highlight w:val="none"/>
        </w:rPr>
        <w:t>4 磋商文件的澄清或者修改都应该通过本项目采购代理机构以法定形式发布，采购人非通过本</w:t>
      </w:r>
    </w:p>
    <w:p w14:paraId="60FE4ACF">
      <w:pPr>
        <w:keepNext w:val="0"/>
        <w:keepLines w:val="0"/>
        <w:pageBreakBefore w:val="0"/>
        <w:widowControl w:val="0"/>
        <w:kinsoku/>
        <w:wordWrap/>
        <w:overflowPunct/>
        <w:topLinePunct w:val="0"/>
        <w:bidi w:val="0"/>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机构，不得擅自澄清或者修改磋商文件。</w:t>
      </w:r>
    </w:p>
    <w:p w14:paraId="2DBE3FFC">
      <w:pPr>
        <w:keepNext w:val="0"/>
        <w:keepLines w:val="0"/>
        <w:pageBreakBefore w:val="0"/>
        <w:widowControl w:val="0"/>
        <w:kinsoku/>
        <w:wordWrap/>
        <w:overflowPunct/>
        <w:topLinePunct w:val="0"/>
        <w:bidi w:val="0"/>
        <w:spacing w:line="440" w:lineRule="exact"/>
        <w:ind w:left="420" w:leftChars="200"/>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11.</w:t>
      </w:r>
      <w:r>
        <w:rPr>
          <w:rFonts w:hint="eastAsia" w:ascii="宋体" w:hAnsi="宋体" w:eastAsia="宋体" w:cs="宋体"/>
          <w:color w:val="auto"/>
          <w:szCs w:val="21"/>
          <w:highlight w:val="none"/>
        </w:rPr>
        <w:t>5采购单位可以视采购具体情况，延长响应文件截止时间和磋商时间，在本项目竞争性磋商公</w:t>
      </w:r>
    </w:p>
    <w:p w14:paraId="34240C1A">
      <w:pPr>
        <w:keepNext w:val="0"/>
        <w:keepLines w:val="0"/>
        <w:pageBreakBefore w:val="0"/>
        <w:widowControl w:val="0"/>
        <w:kinsoku/>
        <w:wordWrap/>
        <w:overflowPunct/>
        <w:topLinePunct w:val="0"/>
        <w:bidi w:val="0"/>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告发布的同一媒体上发布变更公告。</w:t>
      </w:r>
    </w:p>
    <w:p w14:paraId="4562E601">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highlight w:val="none"/>
        </w:rPr>
      </w:pPr>
    </w:p>
    <w:p w14:paraId="2F38C340">
      <w:pPr>
        <w:pStyle w:val="3"/>
        <w:keepNext w:val="0"/>
        <w:keepLines w:val="0"/>
        <w:pageBreakBefore w:val="0"/>
        <w:widowControl w:val="0"/>
        <w:tabs>
          <w:tab w:val="left" w:pos="567"/>
        </w:tabs>
        <w:kinsoku/>
        <w:wordWrap/>
        <w:overflowPunct/>
        <w:topLinePunct w:val="0"/>
        <w:bidi w:val="0"/>
        <w:spacing w:line="440" w:lineRule="exact"/>
        <w:jc w:val="center"/>
        <w:textAlignment w:val="auto"/>
        <w:rPr>
          <w:rFonts w:hint="eastAsia" w:ascii="宋体" w:hAnsi="宋体" w:eastAsia="宋体" w:cs="宋体"/>
          <w:b/>
          <w:bCs w:val="0"/>
          <w:color w:val="auto"/>
          <w:szCs w:val="28"/>
          <w:highlight w:val="none"/>
        </w:rPr>
      </w:pPr>
      <w:bookmarkStart w:id="76" w:name="_Toc17820"/>
      <w:bookmarkStart w:id="77" w:name="_Toc23267"/>
      <w:bookmarkStart w:id="78" w:name="_Toc15892"/>
      <w:bookmarkStart w:id="79" w:name="_Toc20830"/>
      <w:r>
        <w:rPr>
          <w:rFonts w:hint="eastAsia" w:ascii="宋体" w:hAnsi="宋体" w:eastAsia="宋体" w:cs="宋体"/>
          <w:b/>
          <w:bCs w:val="0"/>
          <w:color w:val="auto"/>
          <w:szCs w:val="28"/>
          <w:highlight w:val="none"/>
        </w:rPr>
        <w:t>三、竞争性磋商响应文件的编制</w:t>
      </w:r>
      <w:bookmarkEnd w:id="76"/>
      <w:bookmarkEnd w:id="77"/>
      <w:bookmarkEnd w:id="78"/>
      <w:bookmarkEnd w:id="79"/>
    </w:p>
    <w:p w14:paraId="4BA53953">
      <w:pPr>
        <w:pStyle w:val="4"/>
        <w:keepNext w:val="0"/>
        <w:keepLines w:val="0"/>
        <w:pageBreakBefore w:val="0"/>
        <w:widowControl w:val="0"/>
        <w:numPr>
          <w:ilvl w:val="0"/>
          <w:numId w:val="2"/>
        </w:numPr>
        <w:kinsoku/>
        <w:wordWrap/>
        <w:overflowPunct/>
        <w:topLinePunct w:val="0"/>
        <w:bidi w:val="0"/>
        <w:spacing w:before="0" w:after="0" w:line="440" w:lineRule="exact"/>
        <w:ind w:firstLine="422" w:firstLineChars="200"/>
        <w:textAlignment w:val="auto"/>
        <w:rPr>
          <w:rFonts w:hint="eastAsia" w:ascii="宋体" w:hAnsi="宋体" w:eastAsia="宋体" w:cs="宋体"/>
          <w:b/>
          <w:color w:val="auto"/>
          <w:sz w:val="21"/>
          <w:szCs w:val="21"/>
          <w:highlight w:val="none"/>
          <w:lang w:val="en-US" w:eastAsia="zh-CN"/>
        </w:rPr>
      </w:pPr>
      <w:bookmarkStart w:id="80" w:name="_Toc19747"/>
      <w:r>
        <w:rPr>
          <w:rFonts w:hint="eastAsia" w:ascii="宋体" w:hAnsi="宋体" w:eastAsia="宋体" w:cs="宋体"/>
          <w:b/>
          <w:color w:val="auto"/>
          <w:sz w:val="21"/>
          <w:szCs w:val="21"/>
          <w:highlight w:val="none"/>
          <w:lang w:val="en-US" w:eastAsia="zh-CN"/>
        </w:rPr>
        <w:t>竞争性磋商响应文件编制基本要求</w:t>
      </w:r>
      <w:bookmarkEnd w:id="80"/>
    </w:p>
    <w:p w14:paraId="3FC12A2D">
      <w:pPr>
        <w:keepNext w:val="0"/>
        <w:keepLines w:val="0"/>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12.</w:t>
      </w:r>
      <w:r>
        <w:rPr>
          <w:rFonts w:hint="eastAsia" w:ascii="宋体" w:hAnsi="宋体" w:eastAsia="宋体" w:cs="宋体"/>
          <w:b/>
          <w:bCs/>
          <w:color w:val="auto"/>
          <w:szCs w:val="21"/>
          <w:highlight w:val="none"/>
          <w:lang w:val="en-US" w:eastAsia="zh-CN"/>
        </w:rPr>
        <w:t>1 本项目实行电子</w:t>
      </w:r>
      <w:r>
        <w:rPr>
          <w:rFonts w:hint="eastAsia" w:ascii="宋体" w:hAnsi="宋体" w:cs="宋体"/>
          <w:b/>
          <w:bCs/>
          <w:color w:val="auto"/>
          <w:szCs w:val="21"/>
          <w:highlight w:val="none"/>
          <w:lang w:val="en-US" w:eastAsia="zh-CN"/>
        </w:rPr>
        <w:t>响应</w:t>
      </w:r>
      <w:r>
        <w:rPr>
          <w:rFonts w:hint="eastAsia" w:ascii="宋体" w:hAnsi="宋体" w:eastAsia="宋体" w:cs="宋体"/>
          <w:b/>
          <w:bCs/>
          <w:color w:val="auto"/>
          <w:szCs w:val="21"/>
          <w:highlight w:val="none"/>
          <w:lang w:val="en-US" w:eastAsia="zh-CN"/>
        </w:rPr>
        <w:t>，供应商应准备电子磋商响应文件：</w:t>
      </w:r>
    </w:p>
    <w:p w14:paraId="768BD346">
      <w:pPr>
        <w:keepNext w:val="0"/>
        <w:keepLines w:val="0"/>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12.</w:t>
      </w:r>
      <w:r>
        <w:rPr>
          <w:rFonts w:hint="eastAsia" w:ascii="宋体" w:hAnsi="宋体" w:eastAsia="宋体" w:cs="宋体"/>
          <w:b/>
          <w:bCs/>
          <w:color w:val="auto"/>
          <w:szCs w:val="21"/>
          <w:highlight w:val="none"/>
          <w:lang w:val="en-US" w:eastAsia="zh-CN"/>
        </w:rPr>
        <w:t>1.1 电子响应文件按</w:t>
      </w:r>
      <w:r>
        <w:rPr>
          <w:rFonts w:hint="eastAsia" w:ascii="宋体" w:hAnsi="宋体" w:cs="宋体"/>
          <w:b/>
          <w:bCs/>
          <w:color w:val="auto"/>
          <w:szCs w:val="21"/>
          <w:highlight w:val="none"/>
          <w:lang w:val="en-US" w:eastAsia="zh-CN"/>
        </w:rPr>
        <w:t>广西政府采购云平台</w:t>
      </w:r>
      <w:r>
        <w:rPr>
          <w:rFonts w:hint="eastAsia" w:ascii="宋体" w:hAnsi="宋体" w:eastAsia="宋体" w:cs="宋体"/>
          <w:b/>
          <w:bCs/>
          <w:color w:val="auto"/>
          <w:szCs w:val="21"/>
          <w:highlight w:val="none"/>
          <w:lang w:val="en-US" w:eastAsia="zh-CN"/>
        </w:rPr>
        <w:t>要求及本磋商文件要求制作、加密并递交。具体操作流程可参考《政府采购项目电子交易管理操作指南-供应商》，指南可在 “http</w:t>
      </w:r>
      <w:r>
        <w:rPr>
          <w:rFonts w:hint="eastAsia" w:ascii="宋体" w:hAnsi="宋体" w:cs="宋体"/>
          <w:b/>
          <w:bCs/>
          <w:color w:val="auto"/>
          <w:szCs w:val="21"/>
          <w:highlight w:val="none"/>
          <w:lang w:val="en-US" w:eastAsia="zh-CN"/>
        </w:rPr>
        <w:t>：</w:t>
      </w:r>
      <w:r>
        <w:rPr>
          <w:rFonts w:hint="eastAsia" w:ascii="宋体" w:hAnsi="宋体" w:eastAsia="宋体" w:cs="宋体"/>
          <w:b/>
          <w:bCs/>
          <w:color w:val="auto"/>
          <w:szCs w:val="21"/>
          <w:highlight w:val="none"/>
          <w:lang w:val="en-US" w:eastAsia="zh-CN"/>
        </w:rPr>
        <w:t xml:space="preserve">//www.ccgp-guangxi.gov.cn/PurchaseAdvisory/ImportantNotice/2866753.html”下载。 </w:t>
      </w:r>
    </w:p>
    <w:p w14:paraId="17E70323">
      <w:pPr>
        <w:keepNext w:val="0"/>
        <w:keepLines w:val="0"/>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cs="宋体"/>
          <w:b/>
          <w:bCs/>
          <w:color w:val="auto"/>
          <w:szCs w:val="21"/>
          <w:highlight w:val="none"/>
          <w:lang w:eastAsia="zh-CN"/>
        </w:rPr>
        <w:t>12.</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竞争性磋商响应文件（以下简称响应文件）的组成及要求</w:t>
      </w:r>
    </w:p>
    <w:p w14:paraId="060FD1CE">
      <w:pPr>
        <w:keepNext w:val="0"/>
        <w:keepLines w:val="0"/>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cs="宋体"/>
          <w:b/>
          <w:bCs/>
          <w:color w:val="auto"/>
          <w:szCs w:val="21"/>
          <w:highlight w:val="none"/>
          <w:lang w:eastAsia="zh-CN"/>
        </w:rPr>
        <w:t>12.</w:t>
      </w:r>
      <w:r>
        <w:rPr>
          <w:rFonts w:hint="eastAsia" w:ascii="宋体" w:hAnsi="宋体" w:eastAsia="宋体" w:cs="宋体"/>
          <w:b/>
          <w:bCs/>
          <w:color w:val="auto"/>
          <w:szCs w:val="21"/>
          <w:highlight w:val="none"/>
          <w:lang w:val="en-US" w:eastAsia="zh-CN"/>
        </w:rPr>
        <w:t>2.1</w:t>
      </w:r>
      <w:r>
        <w:rPr>
          <w:rFonts w:hint="eastAsia" w:ascii="宋体" w:hAnsi="宋体" w:eastAsia="宋体" w:cs="宋体"/>
          <w:b/>
          <w:bCs/>
          <w:color w:val="auto"/>
          <w:szCs w:val="21"/>
          <w:highlight w:val="none"/>
        </w:rPr>
        <w:t>响应文件组成【格式见第六章“响应文件（格式）”】</w:t>
      </w:r>
    </w:p>
    <w:p w14:paraId="796231B0">
      <w:pPr>
        <w:keepNext w:val="0"/>
        <w:keepLines w:val="0"/>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color w:val="auto"/>
          <w:szCs w:val="21"/>
          <w:highlight w:val="none"/>
        </w:rPr>
      </w:pPr>
      <w:r>
        <w:rPr>
          <w:rFonts w:hint="eastAsia" w:ascii="宋体" w:hAnsi="宋体" w:cs="宋体"/>
          <w:b/>
          <w:bCs/>
          <w:color w:val="auto"/>
          <w:szCs w:val="21"/>
          <w:highlight w:val="none"/>
          <w:lang w:eastAsia="zh-CN"/>
        </w:rPr>
        <w:t>12.</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1.1</w:t>
      </w:r>
      <w:r>
        <w:rPr>
          <w:rFonts w:hint="eastAsia" w:ascii="宋体" w:hAnsi="宋体" w:eastAsia="宋体" w:cs="宋体"/>
          <w:b/>
          <w:bCs/>
          <w:color w:val="auto"/>
          <w:szCs w:val="21"/>
          <w:highlight w:val="none"/>
        </w:rPr>
        <w:t>资格性响应证明材料：</w:t>
      </w:r>
    </w:p>
    <w:p w14:paraId="0C4D27E2">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（1）供应商相应的法定代表人、负责人、自然人身份证正反两面复印件</w:t>
      </w:r>
      <w:r>
        <w:rPr>
          <w:rFonts w:hint="eastAsia" w:ascii="宋体" w:hAnsi="宋体" w:eastAsia="宋体" w:cs="宋体"/>
          <w:b/>
          <w:bCs/>
          <w:color w:val="auto"/>
          <w:szCs w:val="21"/>
          <w:highlight w:val="none"/>
        </w:rPr>
        <w:t>（必须提供）</w:t>
      </w:r>
      <w:r>
        <w:rPr>
          <w:rFonts w:hint="eastAsia" w:ascii="宋体" w:hAnsi="宋体" w:eastAsia="宋体" w:cs="宋体"/>
          <w:color w:val="auto"/>
          <w:szCs w:val="21"/>
          <w:highlight w:val="none"/>
        </w:rPr>
        <w:t>；</w:t>
      </w:r>
    </w:p>
    <w:p w14:paraId="6671C11A">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（2）供应商的授权委托书原件、委托代理人身份证正反面复印件以及由县级以上（含县级）社会养老保险经办机构出具的供应商为委托代理人交纳的响应文件递交截止时间前</w:t>
      </w:r>
      <w:r>
        <w:rPr>
          <w:rFonts w:hint="eastAsia" w:ascii="宋体" w:hAnsi="宋体" w:cs="宋体"/>
          <w:color w:val="auto"/>
          <w:szCs w:val="21"/>
          <w:highlight w:val="none"/>
          <w:lang w:eastAsia="zh-CN"/>
        </w:rPr>
        <w:t>半年内任意一个月</w:t>
      </w:r>
      <w:r>
        <w:rPr>
          <w:rFonts w:hint="eastAsia" w:ascii="宋体" w:hAnsi="宋体" w:eastAsia="宋体" w:cs="宋体"/>
          <w:color w:val="auto"/>
          <w:szCs w:val="21"/>
          <w:highlight w:val="none"/>
        </w:rPr>
        <w:t>社保证明复印件</w:t>
      </w:r>
      <w:r>
        <w:rPr>
          <w:rFonts w:hint="eastAsia" w:ascii="宋体" w:hAnsi="宋体" w:eastAsia="宋体" w:cs="宋体"/>
          <w:color w:val="auto"/>
          <w:szCs w:val="21"/>
          <w:highlight w:val="none"/>
          <w:lang w:eastAsia="zh-CN"/>
        </w:rPr>
        <w:t>；</w:t>
      </w:r>
      <w:r>
        <w:rPr>
          <w:rFonts w:hint="eastAsia" w:ascii="宋体" w:hAnsi="宋体" w:eastAsia="宋体" w:cs="宋体"/>
          <w:b/>
          <w:bCs/>
          <w:color w:val="auto"/>
          <w:szCs w:val="21"/>
          <w:highlight w:val="none"/>
        </w:rPr>
        <w:t>（委托代理时必须提供）</w:t>
      </w:r>
      <w:r>
        <w:rPr>
          <w:rFonts w:hint="eastAsia" w:ascii="宋体" w:hAnsi="宋体" w:eastAsia="宋体" w:cs="宋体"/>
          <w:b/>
          <w:bCs/>
          <w:color w:val="auto"/>
          <w:szCs w:val="21"/>
          <w:highlight w:val="none"/>
          <w:lang w:eastAsia="zh-CN"/>
        </w:rPr>
        <w:t>。</w:t>
      </w:r>
      <w:r>
        <w:rPr>
          <w:rFonts w:hint="eastAsia" w:ascii="宋体" w:hAnsi="宋体" w:eastAsia="宋体" w:cs="宋体"/>
          <w:color w:val="auto"/>
          <w:szCs w:val="21"/>
          <w:highlight w:val="none"/>
        </w:rPr>
        <w:t>除供应商为以下三种情形的：</w:t>
      </w:r>
    </w:p>
    <w:p w14:paraId="2B0B371A">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①如供应商为截标时间前60日以内成立的公司，可以提供供应商与委托代理人签订的劳动合同复印件代替社保证明复印件；</w:t>
      </w:r>
    </w:p>
    <w:p w14:paraId="67949BE1">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②如供应商为事业单位，可以提供事业单位机构编制管理证复印件或事业单位机构为其发放工资的工资条复印件代替社保证明复印件；</w:t>
      </w:r>
    </w:p>
    <w:p w14:paraId="35773D01">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③如委托代理人为免缴纳社保人员，提供免缴纳社保的证明材料复印件及供应商与委托代理人签订的劳动合同复印件代替社保证明复印件。</w:t>
      </w:r>
    </w:p>
    <w:p w14:paraId="2C7FA01B">
      <w:pPr>
        <w:keepNext w:val="0"/>
        <w:keepLines w:val="0"/>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【属自然人的应提供由县级以上（含县级）社会养老保险经办机构出具的自然人本人及委托代理人所交纳的响应文件递交截止时间前</w:t>
      </w:r>
      <w:r>
        <w:rPr>
          <w:rFonts w:hint="eastAsia" w:ascii="宋体" w:hAnsi="宋体" w:cs="宋体"/>
          <w:b/>
          <w:bCs/>
          <w:color w:val="auto"/>
          <w:szCs w:val="21"/>
          <w:highlight w:val="none"/>
          <w:lang w:eastAsia="zh-CN"/>
        </w:rPr>
        <w:t>半年内任意一个月</w:t>
      </w:r>
      <w:r>
        <w:rPr>
          <w:rFonts w:hint="eastAsia" w:ascii="宋体" w:hAnsi="宋体" w:eastAsia="宋体" w:cs="宋体"/>
          <w:b/>
          <w:bCs/>
          <w:color w:val="auto"/>
          <w:szCs w:val="21"/>
          <w:highlight w:val="none"/>
        </w:rPr>
        <w:t>社保证明复印件</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（委托代理时必须提供）</w:t>
      </w:r>
    </w:p>
    <w:p w14:paraId="6CCD5D83">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（3）供应商参加政府采购活动前3年内在经营活动中没有重大违法记录及有关信用信息的书面声明</w:t>
      </w:r>
      <w:r>
        <w:rPr>
          <w:rFonts w:hint="eastAsia" w:ascii="宋体" w:hAnsi="宋体" w:eastAsia="宋体" w:cs="宋体"/>
          <w:b/>
          <w:bCs/>
          <w:color w:val="auto"/>
          <w:szCs w:val="21"/>
          <w:highlight w:val="none"/>
        </w:rPr>
        <w:t>（必须提供）；</w:t>
      </w:r>
    </w:p>
    <w:p w14:paraId="2D3F67F0">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供应商的法人或者其他组织营业执照等证明文件复印件</w:t>
      </w:r>
      <w:r>
        <w:rPr>
          <w:rFonts w:hint="eastAsia" w:ascii="宋体" w:hAnsi="宋体" w:eastAsia="宋体" w:cs="宋体"/>
          <w:b/>
          <w:bCs/>
          <w:color w:val="auto"/>
          <w:szCs w:val="21"/>
          <w:highlight w:val="none"/>
        </w:rPr>
        <w:t>（必须提供，自然人除外）；</w:t>
      </w:r>
    </w:p>
    <w:p w14:paraId="6956B52E">
      <w:pPr>
        <w:keepNext w:val="0"/>
        <w:keepLines w:val="0"/>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12D02E4B">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（5）</w:t>
      </w:r>
      <w:r>
        <w:rPr>
          <w:rFonts w:hint="eastAsia" w:ascii="宋体" w:hAnsi="宋体" w:eastAsia="宋体" w:cs="宋体"/>
          <w:bCs/>
          <w:color w:val="auto"/>
          <w:kern w:val="0"/>
          <w:szCs w:val="21"/>
          <w:highlight w:val="none"/>
          <w:lang w:val="en-US" w:eastAsia="zh-CN"/>
        </w:rPr>
        <w:t>供应商有效的资质证书复印件；</w:t>
      </w:r>
      <w:r>
        <w:rPr>
          <w:rFonts w:hint="eastAsia" w:ascii="宋体" w:hAnsi="宋体" w:cs="宋体"/>
          <w:bCs/>
          <w:color w:val="auto"/>
          <w:sz w:val="21"/>
          <w:szCs w:val="21"/>
          <w:highlight w:val="none"/>
          <w:lang w:eastAsia="zh-CN"/>
        </w:rPr>
        <w:t>项目负责人的注册二级建造师证书复印件</w:t>
      </w:r>
      <w:r>
        <w:rPr>
          <w:rFonts w:hint="eastAsia" w:ascii="宋体" w:hAnsi="宋体" w:cs="宋体"/>
          <w:bCs/>
          <w:color w:val="auto"/>
          <w:sz w:val="21"/>
          <w:szCs w:val="21"/>
          <w:highlight w:val="none"/>
          <w:lang w:val="en-US" w:eastAsia="zh-CN"/>
        </w:rPr>
        <w:t>、</w:t>
      </w:r>
      <w:r>
        <w:rPr>
          <w:rFonts w:hint="eastAsia" w:ascii="宋体" w:hAnsi="宋体" w:cs="宋体"/>
          <w:bCs/>
          <w:color w:val="auto"/>
          <w:kern w:val="0"/>
          <w:szCs w:val="21"/>
          <w:highlight w:val="none"/>
          <w:lang w:val="en-US" w:eastAsia="zh-CN"/>
        </w:rPr>
        <w:t>安全生产考核B证证书复印件及项目经理无在建工程承诺书（格式自拟）</w:t>
      </w:r>
      <w:r>
        <w:rPr>
          <w:rFonts w:hint="eastAsia" w:ascii="宋体" w:hAnsi="宋体" w:eastAsia="宋体" w:cs="宋体"/>
          <w:b/>
          <w:bCs w:val="0"/>
          <w:color w:val="auto"/>
          <w:kern w:val="0"/>
          <w:szCs w:val="21"/>
          <w:highlight w:val="none"/>
          <w:lang w:val="en-US" w:eastAsia="zh-CN"/>
        </w:rPr>
        <w:t>（必须提供）</w:t>
      </w:r>
      <w:r>
        <w:rPr>
          <w:rFonts w:hint="eastAsia" w:ascii="宋体" w:hAnsi="宋体" w:cs="宋体"/>
          <w:b/>
          <w:bCs w:val="0"/>
          <w:color w:val="auto"/>
          <w:kern w:val="0"/>
          <w:szCs w:val="21"/>
          <w:highlight w:val="none"/>
          <w:lang w:val="en-US" w:eastAsia="zh-CN"/>
        </w:rPr>
        <w:t>；</w:t>
      </w:r>
    </w:p>
    <w:p w14:paraId="731B6F43">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（6）</w:t>
      </w:r>
      <w:r>
        <w:rPr>
          <w:rFonts w:hint="eastAsia" w:ascii="宋体" w:hAnsi="宋体" w:eastAsia="宋体" w:cs="宋体"/>
          <w:bCs/>
          <w:color w:val="auto"/>
          <w:kern w:val="0"/>
          <w:szCs w:val="21"/>
          <w:highlight w:val="none"/>
          <w:lang w:val="en-US" w:eastAsia="zh-CN"/>
        </w:rPr>
        <w:t>供应商有效的安全生产许可证书复印件</w:t>
      </w:r>
      <w:r>
        <w:rPr>
          <w:rFonts w:hint="eastAsia" w:ascii="宋体" w:hAnsi="宋体" w:eastAsia="宋体" w:cs="宋体"/>
          <w:b/>
          <w:bCs w:val="0"/>
          <w:color w:val="auto"/>
          <w:kern w:val="0"/>
          <w:szCs w:val="21"/>
          <w:highlight w:val="none"/>
          <w:lang w:val="en-US" w:eastAsia="zh-CN"/>
        </w:rPr>
        <w:t>（必须提供）；</w:t>
      </w:r>
    </w:p>
    <w:p w14:paraId="5E1DDC86">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bCs/>
          <w:color w:val="auto"/>
          <w:kern w:val="0"/>
          <w:szCs w:val="21"/>
          <w:highlight w:val="none"/>
          <w:lang w:val="en-US" w:eastAsia="zh-CN"/>
        </w:rPr>
      </w:pPr>
      <w:r>
        <w:rPr>
          <w:rFonts w:hint="eastAsia" w:ascii="宋体" w:hAnsi="宋体" w:cs="宋体"/>
          <w:bCs/>
          <w:color w:val="auto"/>
          <w:kern w:val="0"/>
          <w:sz w:val="21"/>
          <w:szCs w:val="21"/>
          <w:highlight w:val="none"/>
          <w:lang w:val="en-US" w:eastAsia="zh-CN" w:bidi="ar-SA"/>
        </w:rPr>
        <w:t>（7）</w:t>
      </w:r>
      <w:r>
        <w:rPr>
          <w:rFonts w:hint="eastAsia" w:ascii="宋体" w:hAnsi="宋体" w:eastAsia="宋体" w:cs="宋体"/>
          <w:bCs/>
          <w:color w:val="auto"/>
          <w:kern w:val="0"/>
          <w:sz w:val="21"/>
          <w:szCs w:val="21"/>
          <w:highlight w:val="none"/>
          <w:lang w:val="en-US" w:eastAsia="zh-CN" w:bidi="ar-SA"/>
        </w:rPr>
        <w:t>《中小企业声明函》或《残疾人福利性单位声明函》或省级以上监狱管理局、戒毒管理局（含新疆生产建设兵团）出具的属于监狱企业的证明文件复印件</w:t>
      </w:r>
      <w:r>
        <w:rPr>
          <w:rFonts w:hint="eastAsia" w:ascii="宋体" w:hAnsi="宋体" w:eastAsia="宋体" w:cs="宋体"/>
          <w:b/>
          <w:bCs w:val="0"/>
          <w:color w:val="auto"/>
          <w:kern w:val="0"/>
          <w:sz w:val="21"/>
          <w:szCs w:val="21"/>
          <w:highlight w:val="none"/>
          <w:lang w:val="en-US" w:eastAsia="zh-CN" w:bidi="ar-SA"/>
        </w:rPr>
        <w:t>（必须提供其中一项）</w:t>
      </w:r>
      <w:r>
        <w:rPr>
          <w:rFonts w:hint="eastAsia" w:ascii="宋体" w:hAnsi="宋体" w:eastAsia="宋体" w:cs="宋体"/>
          <w:b/>
          <w:bCs w:val="0"/>
          <w:color w:val="auto"/>
          <w:kern w:val="0"/>
          <w:szCs w:val="21"/>
          <w:highlight w:val="none"/>
          <w:lang w:val="en-US" w:eastAsia="zh-CN"/>
        </w:rPr>
        <w:t>；</w:t>
      </w:r>
    </w:p>
    <w:p w14:paraId="6906433C">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lang w:val="en-US" w:eastAsia="zh-CN"/>
        </w:rPr>
        <w:t>8</w:t>
      </w:r>
      <w:r>
        <w:rPr>
          <w:rFonts w:hint="eastAsia" w:ascii="宋体" w:hAnsi="宋体" w:cs="宋体"/>
          <w:bCs/>
          <w:color w:val="auto"/>
          <w:kern w:val="0"/>
          <w:szCs w:val="21"/>
          <w:highlight w:val="none"/>
          <w:lang w:eastAsia="zh-CN"/>
        </w:rPr>
        <w:t>）供应商2024年度财务状况报告</w:t>
      </w:r>
      <w:r>
        <w:rPr>
          <w:rFonts w:hint="eastAsia" w:ascii="宋体" w:hAnsi="宋体" w:eastAsia="宋体" w:cs="宋体"/>
          <w:b/>
          <w:bCs/>
          <w:color w:val="auto"/>
          <w:sz w:val="21"/>
          <w:szCs w:val="21"/>
          <w:highlight w:val="none"/>
          <w:lang w:val="en-US" w:eastAsia="zh-CN"/>
        </w:rPr>
        <w:t>（必须提供</w:t>
      </w:r>
      <w:r>
        <w:rPr>
          <w:rFonts w:hint="eastAsia" w:ascii="宋体" w:hAnsi="宋体" w:cs="宋体"/>
          <w:b/>
          <w:bCs/>
          <w:color w:val="auto"/>
          <w:szCs w:val="21"/>
          <w:highlight w:val="none"/>
          <w:lang w:eastAsia="zh-CN"/>
        </w:rPr>
        <w:t>，</w:t>
      </w:r>
      <w:r>
        <w:rPr>
          <w:rFonts w:ascii="宋体" w:hAnsi="宋体" w:cs="宋体"/>
          <w:b/>
          <w:bCs/>
          <w:color w:val="auto"/>
          <w:szCs w:val="21"/>
          <w:highlight w:val="none"/>
        </w:rPr>
        <w:t>可</w:t>
      </w:r>
      <w:r>
        <w:rPr>
          <w:rFonts w:hint="eastAsia" w:ascii="宋体" w:hAnsi="宋体" w:cs="宋体"/>
          <w:b/>
          <w:bCs/>
          <w:color w:val="auto"/>
          <w:szCs w:val="21"/>
          <w:highlight w:val="none"/>
          <w:lang w:eastAsia="zh-CN"/>
        </w:rPr>
        <w:t>以是磋商供应商</w:t>
      </w:r>
      <w:r>
        <w:rPr>
          <w:rFonts w:ascii="宋体" w:hAnsi="宋体" w:cs="宋体"/>
          <w:b/>
          <w:bCs/>
          <w:color w:val="auto"/>
          <w:szCs w:val="21"/>
          <w:highlight w:val="none"/>
        </w:rPr>
        <w:t>自行编制也可</w:t>
      </w:r>
      <w:r>
        <w:rPr>
          <w:rFonts w:hint="eastAsia" w:ascii="宋体" w:hAnsi="宋体" w:cs="宋体"/>
          <w:b/>
          <w:bCs/>
          <w:color w:val="auto"/>
          <w:szCs w:val="21"/>
          <w:highlight w:val="none"/>
          <w:lang w:eastAsia="zh-CN"/>
        </w:rPr>
        <w:t>是</w:t>
      </w:r>
      <w:r>
        <w:rPr>
          <w:rFonts w:ascii="宋体" w:hAnsi="宋体" w:cs="宋体"/>
          <w:b/>
          <w:bCs/>
          <w:color w:val="auto"/>
          <w:szCs w:val="21"/>
          <w:highlight w:val="none"/>
        </w:rPr>
        <w:t>通过</w:t>
      </w:r>
      <w:r>
        <w:rPr>
          <w:rFonts w:hint="eastAsia" w:ascii="宋体" w:hAnsi="宋体" w:cs="宋体"/>
          <w:b/>
          <w:bCs/>
          <w:color w:val="auto"/>
          <w:szCs w:val="21"/>
          <w:highlight w:val="none"/>
          <w:lang w:eastAsia="zh-CN"/>
        </w:rPr>
        <w:t>第三方</w:t>
      </w:r>
      <w:r>
        <w:rPr>
          <w:rFonts w:ascii="宋体" w:hAnsi="宋体" w:cs="宋体"/>
          <w:b/>
          <w:bCs/>
          <w:color w:val="auto"/>
          <w:szCs w:val="21"/>
          <w:highlight w:val="none"/>
        </w:rPr>
        <w:t>审计公司编制，如为自行编制至少须提供现金流量表、负债表及利润表</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color w:val="auto"/>
          <w:szCs w:val="21"/>
          <w:highlight w:val="none"/>
        </w:rPr>
        <w:t>；</w:t>
      </w:r>
    </w:p>
    <w:p w14:paraId="36059CF3">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lang w:eastAsia="zh-CN"/>
        </w:rPr>
        <w:t>）供应商近半年内任意一个月依法缴纳税收的证明材料[增值税缴纳发票(税收完税证明)或企业所得税完税证明或税务部门出具的免税证明]复印件</w:t>
      </w:r>
      <w:r>
        <w:rPr>
          <w:rFonts w:hint="eastAsia" w:ascii="宋体" w:hAnsi="宋体" w:eastAsia="宋体" w:cs="宋体"/>
          <w:color w:val="auto"/>
          <w:szCs w:val="21"/>
          <w:highlight w:val="none"/>
        </w:rPr>
        <w:t>(税收完税证明)或企业所得税完税证明或税务部门出具的免税证明</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复印件</w:t>
      </w:r>
      <w:r>
        <w:rPr>
          <w:rFonts w:hint="eastAsia" w:ascii="宋体" w:hAnsi="宋体" w:eastAsia="宋体" w:cs="宋体"/>
          <w:b/>
          <w:bCs/>
          <w:color w:val="auto"/>
          <w:szCs w:val="21"/>
          <w:highlight w:val="none"/>
        </w:rPr>
        <w:t>（必须提供）。</w:t>
      </w:r>
    </w:p>
    <w:p w14:paraId="2A17A3BE">
      <w:pPr>
        <w:keepNext w:val="0"/>
        <w:keepLines w:val="0"/>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color w:val="auto"/>
          <w:highlight w:val="none"/>
        </w:rPr>
      </w:pPr>
      <w:r>
        <w:rPr>
          <w:rFonts w:hint="eastAsia" w:ascii="宋体" w:hAnsi="宋体" w:cs="宋体"/>
          <w:b/>
          <w:bCs/>
          <w:color w:val="auto"/>
          <w:szCs w:val="21"/>
          <w:highlight w:val="none"/>
          <w:lang w:eastAsia="zh-CN"/>
        </w:rPr>
        <w:t>12.</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1.2</w:t>
      </w:r>
      <w:r>
        <w:rPr>
          <w:rFonts w:hint="eastAsia" w:ascii="宋体" w:hAnsi="宋体" w:eastAsia="宋体" w:cs="宋体"/>
          <w:b/>
          <w:bCs/>
          <w:color w:val="auto"/>
          <w:szCs w:val="21"/>
          <w:highlight w:val="none"/>
        </w:rPr>
        <w:t>符合性响应证明材料：</w:t>
      </w:r>
    </w:p>
    <w:p w14:paraId="599B8BB1">
      <w:pPr>
        <w:keepNext w:val="0"/>
        <w:keepLines w:val="0"/>
        <w:pageBreakBefore w:val="0"/>
        <w:widowControl w:val="0"/>
        <w:kinsoku/>
        <w:wordWrap/>
        <w:overflowPunct/>
        <w:topLinePunct w:val="0"/>
        <w:bidi w:val="0"/>
        <w:spacing w:line="440" w:lineRule="exact"/>
        <w:ind w:firstLine="420" w:firstLineChars="200"/>
        <w:textAlignment w:val="auto"/>
        <w:rPr>
          <w:rFonts w:hint="default" w:ascii="宋体" w:hAnsi="宋体" w:eastAsia="宋体" w:cs="宋体"/>
          <w:color w:val="auto"/>
          <w:szCs w:val="21"/>
          <w:highlight w:val="none"/>
          <w:lang w:val="en-US" w:eastAsia="zh-CN"/>
        </w:rPr>
      </w:pPr>
      <w:bookmarkStart w:id="81" w:name="_Toc16312"/>
      <w:bookmarkStart w:id="82" w:name="_Toc2809"/>
      <w:bookmarkStart w:id="83" w:name="_Toc28932"/>
      <w:r>
        <w:rPr>
          <w:rFonts w:hint="eastAsia" w:ascii="宋体" w:hAnsi="宋体" w:cs="宋体"/>
          <w:color w:val="auto"/>
          <w:szCs w:val="21"/>
          <w:highlight w:val="none"/>
          <w:lang w:val="en-US" w:eastAsia="zh-CN"/>
        </w:rPr>
        <w:t>（一）报价文件</w:t>
      </w:r>
    </w:p>
    <w:p w14:paraId="72AAE525">
      <w:pPr>
        <w:keepNext w:val="0"/>
        <w:keepLines w:val="0"/>
        <w:pageBreakBefore w:val="0"/>
        <w:widowControl w:val="0"/>
        <w:kinsoku/>
        <w:wordWrap/>
        <w:overflowPunct/>
        <w:topLinePunct w:val="0"/>
        <w:bidi w:val="0"/>
        <w:spacing w:line="440" w:lineRule="exact"/>
        <w:ind w:firstLine="630" w:firstLineChars="3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rPr>
        <w:t>（1）响应函（格式见附件）</w:t>
      </w:r>
      <w:r>
        <w:rPr>
          <w:rFonts w:hint="eastAsia" w:ascii="宋体" w:hAnsi="宋体" w:eastAsia="宋体" w:cs="宋体"/>
          <w:b/>
          <w:bCs/>
          <w:color w:val="auto"/>
          <w:szCs w:val="21"/>
          <w:highlight w:val="none"/>
          <w:lang w:val="en-US"/>
        </w:rPr>
        <w:t>（必须提供）</w:t>
      </w:r>
      <w:bookmarkEnd w:id="81"/>
      <w:r>
        <w:rPr>
          <w:rFonts w:hint="eastAsia" w:ascii="宋体" w:hAnsi="宋体" w:eastAsia="宋体" w:cs="宋体"/>
          <w:color w:val="auto"/>
          <w:szCs w:val="21"/>
          <w:highlight w:val="none"/>
          <w:lang w:val="en-US" w:eastAsia="zh-CN"/>
        </w:rPr>
        <w:t>；</w:t>
      </w:r>
      <w:bookmarkEnd w:id="82"/>
      <w:bookmarkEnd w:id="83"/>
    </w:p>
    <w:p w14:paraId="371BD75E">
      <w:pPr>
        <w:keepNext w:val="0"/>
        <w:keepLines w:val="0"/>
        <w:pageBreakBefore w:val="0"/>
        <w:widowControl w:val="0"/>
        <w:kinsoku/>
        <w:wordWrap/>
        <w:overflowPunct/>
        <w:topLinePunct w:val="0"/>
        <w:bidi w:val="0"/>
        <w:spacing w:line="440" w:lineRule="exact"/>
        <w:ind w:firstLine="630" w:firstLineChars="3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cs="宋体"/>
          <w:bCs/>
          <w:color w:val="auto"/>
          <w:kern w:val="0"/>
          <w:szCs w:val="21"/>
          <w:highlight w:val="none"/>
        </w:rPr>
        <w:t>工程报价汇总表</w:t>
      </w:r>
      <w:r>
        <w:rPr>
          <w:rFonts w:hint="eastAsia" w:ascii="宋体" w:hAnsi="宋体" w:eastAsia="宋体" w:cs="宋体"/>
          <w:color w:val="auto"/>
          <w:szCs w:val="21"/>
          <w:highlight w:val="none"/>
        </w:rPr>
        <w:t>（格式见附件）</w:t>
      </w:r>
      <w:r>
        <w:rPr>
          <w:rFonts w:hint="eastAsia" w:ascii="宋体" w:hAnsi="宋体" w:eastAsia="宋体" w:cs="宋体"/>
          <w:b/>
          <w:bCs/>
          <w:color w:val="auto"/>
          <w:szCs w:val="21"/>
          <w:highlight w:val="none"/>
        </w:rPr>
        <w:t>（必须提供）</w:t>
      </w:r>
      <w:r>
        <w:rPr>
          <w:rFonts w:hint="eastAsia" w:ascii="宋体" w:hAnsi="宋体" w:eastAsia="宋体" w:cs="宋体"/>
          <w:color w:val="auto"/>
          <w:szCs w:val="21"/>
          <w:highlight w:val="none"/>
        </w:rPr>
        <w:t>；</w:t>
      </w:r>
    </w:p>
    <w:p w14:paraId="036AABB2">
      <w:pPr>
        <w:keepNext w:val="0"/>
        <w:keepLines w:val="0"/>
        <w:pageBreakBefore w:val="0"/>
        <w:widowControl w:val="0"/>
        <w:kinsoku/>
        <w:wordWrap/>
        <w:overflowPunct/>
        <w:topLinePunct w:val="0"/>
        <w:bidi w:val="0"/>
        <w:spacing w:line="440" w:lineRule="exact"/>
        <w:ind w:firstLine="630" w:firstLineChars="300"/>
        <w:textAlignment w:val="auto"/>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lang w:eastAsia="zh-CN"/>
        </w:rPr>
        <w:t>（</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lang w:eastAsia="zh-CN"/>
        </w:rPr>
        <w:t>）</w:t>
      </w:r>
      <w:r>
        <w:rPr>
          <w:rFonts w:hint="eastAsia" w:ascii="宋体" w:hAnsi="宋体" w:eastAsia="宋体" w:cs="宋体"/>
          <w:bCs/>
          <w:color w:val="auto"/>
          <w:kern w:val="0"/>
          <w:szCs w:val="21"/>
          <w:highlight w:val="none"/>
        </w:rPr>
        <w:t>已标价工程量清单</w:t>
      </w:r>
      <w:r>
        <w:rPr>
          <w:rFonts w:hint="eastAsia" w:ascii="宋体" w:hAnsi="宋体" w:eastAsia="宋体" w:cs="宋体"/>
          <w:b/>
          <w:bCs w:val="0"/>
          <w:color w:val="auto"/>
          <w:kern w:val="0"/>
          <w:szCs w:val="21"/>
          <w:highlight w:val="none"/>
        </w:rPr>
        <w:t>（必须提供）</w:t>
      </w:r>
      <w:r>
        <w:rPr>
          <w:rFonts w:hint="eastAsia" w:ascii="宋体" w:hAnsi="宋体" w:eastAsia="宋体" w:cs="宋体"/>
          <w:b w:val="0"/>
          <w:bCs/>
          <w:color w:val="auto"/>
          <w:kern w:val="0"/>
          <w:szCs w:val="21"/>
          <w:highlight w:val="none"/>
          <w:lang w:eastAsia="zh-CN"/>
        </w:rPr>
        <w:t>；</w:t>
      </w:r>
    </w:p>
    <w:p w14:paraId="7639E864">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（二）商务文件</w:t>
      </w:r>
    </w:p>
    <w:p w14:paraId="19C2D4B7">
      <w:pPr>
        <w:keepNext w:val="0"/>
        <w:keepLines w:val="0"/>
        <w:pageBreakBefore w:val="0"/>
        <w:widowControl w:val="0"/>
        <w:kinsoku/>
        <w:wordWrap/>
        <w:overflowPunct/>
        <w:topLinePunct w:val="0"/>
        <w:bidi w:val="0"/>
        <w:spacing w:line="440" w:lineRule="exact"/>
        <w:ind w:firstLine="630" w:firstLineChars="3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cs="宋体"/>
          <w:color w:val="auto"/>
          <w:szCs w:val="21"/>
          <w:highlight w:val="none"/>
        </w:rPr>
        <w:t>拟投入本工程主要施工管理人员表</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必须提供)</w:t>
      </w:r>
      <w:r>
        <w:rPr>
          <w:rFonts w:hint="eastAsia" w:ascii="宋体" w:hAnsi="宋体" w:eastAsia="宋体" w:cs="宋体"/>
          <w:color w:val="auto"/>
          <w:szCs w:val="21"/>
          <w:highlight w:val="none"/>
        </w:rPr>
        <w:t>；</w:t>
      </w:r>
    </w:p>
    <w:p w14:paraId="7C9DB1C0">
      <w:pPr>
        <w:keepNext w:val="0"/>
        <w:keepLines w:val="0"/>
        <w:pageBreakBefore w:val="0"/>
        <w:widowControl w:val="0"/>
        <w:kinsoku/>
        <w:wordWrap/>
        <w:overflowPunct/>
        <w:topLinePunct w:val="0"/>
        <w:bidi w:val="0"/>
        <w:spacing w:line="440" w:lineRule="exact"/>
        <w:ind w:firstLine="843" w:firstLineChars="4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并一起提供由县级以上（含县级）社会养老保险经办机构出具的供应商为项目实施人员交纳的响应文件递交截止时间前</w:t>
      </w:r>
      <w:r>
        <w:rPr>
          <w:rFonts w:hint="eastAsia" w:ascii="宋体" w:hAnsi="宋体" w:cs="宋体"/>
          <w:b/>
          <w:bCs/>
          <w:color w:val="auto"/>
          <w:szCs w:val="21"/>
          <w:highlight w:val="none"/>
          <w:lang w:eastAsia="zh-CN"/>
        </w:rPr>
        <w:t>半年内任意一个月</w:t>
      </w:r>
      <w:r>
        <w:rPr>
          <w:rFonts w:hint="eastAsia" w:ascii="宋体" w:hAnsi="宋体" w:eastAsia="宋体" w:cs="宋体"/>
          <w:b/>
          <w:bCs/>
          <w:color w:val="auto"/>
          <w:szCs w:val="21"/>
          <w:highlight w:val="none"/>
        </w:rPr>
        <w:t>社保证明复印件</w:t>
      </w:r>
      <w:r>
        <w:rPr>
          <w:rFonts w:hint="eastAsia" w:ascii="宋体" w:hAnsi="宋体" w:eastAsia="宋体" w:cs="宋体"/>
          <w:color w:val="auto"/>
          <w:szCs w:val="21"/>
          <w:highlight w:val="none"/>
        </w:rPr>
        <w:t>。</w:t>
      </w:r>
    </w:p>
    <w:p w14:paraId="04509983">
      <w:pPr>
        <w:keepNext w:val="0"/>
        <w:keepLines w:val="0"/>
        <w:pageBreakBefore w:val="0"/>
        <w:widowControl w:val="0"/>
        <w:kinsoku/>
        <w:wordWrap/>
        <w:overflowPunct/>
        <w:topLinePunct w:val="0"/>
        <w:bidi w:val="0"/>
        <w:spacing w:line="440" w:lineRule="exact"/>
        <w:ind w:firstLine="630" w:firstLineChars="3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rPr>
        <w:t>担任</w:t>
      </w:r>
      <w:r>
        <w:rPr>
          <w:rFonts w:hint="eastAsia" w:ascii="宋体" w:hAnsi="宋体" w:cs="宋体"/>
          <w:bCs/>
          <w:color w:val="auto"/>
          <w:kern w:val="0"/>
          <w:szCs w:val="21"/>
          <w:highlight w:val="none"/>
        </w:rPr>
        <w:t>本工程的项目经理简历表（应附相关证书、身份证复印件）</w:t>
      </w:r>
      <w:r>
        <w:rPr>
          <w:rFonts w:hint="eastAsia" w:ascii="宋体" w:hAnsi="宋体" w:eastAsia="宋体" w:cs="宋体"/>
          <w:b/>
          <w:bCs/>
          <w:color w:val="auto"/>
          <w:szCs w:val="21"/>
          <w:highlight w:val="none"/>
        </w:rPr>
        <w:t>（必须提供）</w:t>
      </w:r>
      <w:r>
        <w:rPr>
          <w:rFonts w:hint="eastAsia" w:ascii="宋体" w:hAnsi="宋体" w:eastAsia="宋体" w:cs="宋体"/>
          <w:b w:val="0"/>
          <w:bCs w:val="0"/>
          <w:color w:val="auto"/>
          <w:szCs w:val="21"/>
          <w:highlight w:val="none"/>
        </w:rPr>
        <w:t>；</w:t>
      </w:r>
    </w:p>
    <w:p w14:paraId="36E747E9">
      <w:pPr>
        <w:keepNext w:val="0"/>
        <w:keepLines w:val="0"/>
        <w:pageBreakBefore w:val="0"/>
        <w:widowControl w:val="0"/>
        <w:kinsoku/>
        <w:wordWrap/>
        <w:overflowPunct/>
        <w:topLinePunct w:val="0"/>
        <w:bidi w:val="0"/>
        <w:spacing w:line="440" w:lineRule="exact"/>
        <w:ind w:firstLine="630" w:firstLineChars="3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rPr>
        <w:t>施工</w:t>
      </w:r>
      <w:r>
        <w:rPr>
          <w:rFonts w:hint="eastAsia" w:ascii="宋体" w:hAnsi="宋体" w:cs="宋体"/>
          <w:bCs/>
          <w:color w:val="auto"/>
          <w:kern w:val="0"/>
          <w:szCs w:val="21"/>
          <w:highlight w:val="none"/>
        </w:rPr>
        <w:t>组织设计方案</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CN"/>
        </w:rPr>
        <w:t>必须提供</w:t>
      </w:r>
      <w:r>
        <w:rPr>
          <w:rFonts w:hint="eastAsia" w:ascii="宋体" w:hAnsi="宋体" w:eastAsia="宋体" w:cs="宋体"/>
          <w:b/>
          <w:bCs/>
          <w:color w:val="auto"/>
          <w:sz w:val="21"/>
          <w:szCs w:val="21"/>
          <w:highlight w:val="none"/>
        </w:rPr>
        <w:t>）</w:t>
      </w:r>
      <w:r>
        <w:rPr>
          <w:rFonts w:hint="eastAsia" w:ascii="宋体" w:hAnsi="宋体" w:eastAsia="宋体" w:cs="宋体"/>
          <w:b w:val="0"/>
          <w:bCs w:val="0"/>
          <w:color w:val="auto"/>
          <w:sz w:val="21"/>
          <w:szCs w:val="21"/>
          <w:highlight w:val="none"/>
          <w:lang w:eastAsia="zh-CN"/>
        </w:rPr>
        <w:t>；</w:t>
      </w:r>
    </w:p>
    <w:p w14:paraId="32DEA278">
      <w:pPr>
        <w:keepNext w:val="0"/>
        <w:keepLines w:val="0"/>
        <w:pageBreakBefore w:val="0"/>
        <w:widowControl w:val="0"/>
        <w:kinsoku/>
        <w:wordWrap/>
        <w:overflowPunct/>
        <w:topLinePunct w:val="0"/>
        <w:bidi w:val="0"/>
        <w:spacing w:line="440" w:lineRule="exact"/>
        <w:ind w:firstLine="630" w:firstLineChars="3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建设</w:t>
      </w:r>
      <w:r>
        <w:rPr>
          <w:rFonts w:hint="eastAsia" w:ascii="宋体" w:hAnsi="宋体" w:eastAsia="宋体" w:cs="宋体"/>
          <w:bCs/>
          <w:color w:val="auto"/>
          <w:kern w:val="0"/>
          <w:szCs w:val="21"/>
          <w:highlight w:val="none"/>
          <w:lang w:eastAsia="zh-CN"/>
        </w:rPr>
        <w:t>工程项目管理承诺书</w:t>
      </w:r>
      <w:r>
        <w:rPr>
          <w:rFonts w:hint="eastAsia" w:ascii="宋体" w:hAnsi="宋体" w:eastAsia="宋体" w:cs="宋体"/>
          <w:b/>
          <w:bCs/>
          <w:color w:val="auto"/>
          <w:sz w:val="21"/>
          <w:szCs w:val="21"/>
          <w:highlight w:val="none"/>
          <w:lang w:eastAsia="zh-CN"/>
        </w:rPr>
        <w:t>（格式见附件，必须提供）</w:t>
      </w:r>
      <w:r>
        <w:rPr>
          <w:rFonts w:hint="eastAsia" w:ascii="宋体" w:hAnsi="宋体" w:eastAsia="宋体" w:cs="宋体"/>
          <w:color w:val="auto"/>
          <w:szCs w:val="21"/>
          <w:highlight w:val="none"/>
          <w:lang w:eastAsia="zh-CN"/>
        </w:rPr>
        <w:t>；</w:t>
      </w:r>
    </w:p>
    <w:p w14:paraId="2DA35FE3">
      <w:pPr>
        <w:keepNext w:val="0"/>
        <w:keepLines w:val="0"/>
        <w:pageBreakBefore w:val="0"/>
        <w:widowControl w:val="0"/>
        <w:kinsoku/>
        <w:wordWrap/>
        <w:overflowPunct/>
        <w:topLinePunct w:val="0"/>
        <w:bidi w:val="0"/>
        <w:spacing w:line="440" w:lineRule="exact"/>
        <w:ind w:firstLine="630" w:firstLineChars="300"/>
        <w:textAlignment w:val="auto"/>
        <w:rPr>
          <w:rFonts w:hint="eastAsia" w:ascii="宋体" w:hAnsi="宋体" w:eastAsia="宋体" w:cs="宋体"/>
          <w:bCs/>
          <w:color w:val="auto"/>
          <w:kern w:val="0"/>
          <w:szCs w:val="21"/>
          <w:highlight w:val="none"/>
          <w:lang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w:t>
      </w:r>
      <w:r>
        <w:rPr>
          <w:rFonts w:hint="eastAsia" w:ascii="宋体" w:hAnsi="宋体" w:cs="宋体"/>
          <w:bCs/>
          <w:color w:val="auto"/>
          <w:kern w:val="0"/>
          <w:szCs w:val="21"/>
          <w:highlight w:val="none"/>
        </w:rPr>
        <w:t>城乡清洁工程渣土清运承诺书</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CN"/>
        </w:rPr>
        <w:t>必须提供</w:t>
      </w:r>
      <w:r>
        <w:rPr>
          <w:rFonts w:hint="eastAsia" w:ascii="宋体" w:hAnsi="宋体" w:eastAsia="宋体" w:cs="宋体"/>
          <w:b/>
          <w:bCs/>
          <w:color w:val="auto"/>
          <w:sz w:val="21"/>
          <w:szCs w:val="21"/>
          <w:highlight w:val="none"/>
        </w:rPr>
        <w:t>）</w:t>
      </w:r>
      <w:r>
        <w:rPr>
          <w:rFonts w:hint="eastAsia" w:ascii="宋体" w:hAnsi="宋体" w:eastAsia="宋体" w:cs="宋体"/>
          <w:bCs/>
          <w:color w:val="auto"/>
          <w:kern w:val="0"/>
          <w:szCs w:val="21"/>
          <w:highlight w:val="none"/>
          <w:lang w:eastAsia="zh-CN"/>
        </w:rPr>
        <w:t>。</w:t>
      </w:r>
    </w:p>
    <w:p w14:paraId="2CE27ABD">
      <w:pPr>
        <w:keepNext w:val="0"/>
        <w:keepLines w:val="0"/>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cs="宋体"/>
          <w:b/>
          <w:bCs/>
          <w:color w:val="auto"/>
          <w:szCs w:val="21"/>
          <w:highlight w:val="none"/>
          <w:lang w:eastAsia="zh-CN"/>
        </w:rPr>
        <w:t>12.</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1.3</w:t>
      </w:r>
      <w:r>
        <w:rPr>
          <w:rFonts w:hint="eastAsia" w:ascii="宋体" w:hAnsi="宋体" w:eastAsia="宋体" w:cs="宋体"/>
          <w:b/>
          <w:bCs/>
          <w:color w:val="auto"/>
          <w:szCs w:val="21"/>
          <w:highlight w:val="none"/>
        </w:rPr>
        <w:t>其他有效证明材料</w:t>
      </w:r>
    </w:p>
    <w:p w14:paraId="111875A5">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eastAsia="zh-CN"/>
        </w:rPr>
        <w:t>供应商</w:t>
      </w:r>
      <w:r>
        <w:rPr>
          <w:rFonts w:hint="eastAsia" w:ascii="宋体" w:hAnsi="宋体" w:cs="宋体"/>
          <w:color w:val="auto"/>
          <w:szCs w:val="21"/>
          <w:highlight w:val="none"/>
          <w:lang w:val="en-US" w:eastAsia="zh-CN"/>
        </w:rPr>
        <w:t>2023年1月1日</w:t>
      </w:r>
      <w:r>
        <w:rPr>
          <w:rFonts w:hint="eastAsia" w:ascii="宋体" w:hAnsi="宋体" w:eastAsia="宋体" w:cs="宋体"/>
          <w:color w:val="auto"/>
          <w:szCs w:val="21"/>
          <w:highlight w:val="none"/>
          <w:lang w:eastAsia="zh-CN"/>
        </w:rPr>
        <w:t>以来具有</w:t>
      </w:r>
      <w:r>
        <w:rPr>
          <w:rFonts w:hint="eastAsia" w:ascii="宋体" w:hAnsi="宋体" w:eastAsia="宋体" w:cs="宋体"/>
          <w:color w:val="auto"/>
          <w:szCs w:val="21"/>
          <w:highlight w:val="none"/>
          <w:lang w:val="en-US" w:eastAsia="zh-CN"/>
        </w:rPr>
        <w:t>类似工程</w:t>
      </w:r>
      <w:r>
        <w:rPr>
          <w:rFonts w:hint="eastAsia" w:ascii="宋体" w:hAnsi="宋体" w:eastAsia="宋体" w:cs="宋体"/>
          <w:color w:val="auto"/>
          <w:szCs w:val="21"/>
          <w:highlight w:val="none"/>
        </w:rPr>
        <w:t>业绩（无不良记录，以</w:t>
      </w:r>
      <w:r>
        <w:rPr>
          <w:rFonts w:hint="eastAsia" w:ascii="宋体" w:hAnsi="宋体" w:eastAsia="宋体" w:cs="宋体"/>
          <w:color w:val="auto"/>
          <w:szCs w:val="21"/>
          <w:highlight w:val="none"/>
          <w:lang w:eastAsia="zh-CN"/>
        </w:rPr>
        <w:t>中标（成交）通知书或签订的合同或竣工证明文件</w:t>
      </w:r>
      <w:r>
        <w:rPr>
          <w:rFonts w:hint="eastAsia" w:ascii="宋体" w:hAnsi="宋体" w:eastAsia="宋体" w:cs="宋体"/>
          <w:color w:val="auto"/>
          <w:szCs w:val="21"/>
          <w:highlight w:val="none"/>
        </w:rPr>
        <w:t>为准，并能清晰反映</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的名称、</w:t>
      </w:r>
      <w:r>
        <w:rPr>
          <w:rFonts w:hint="eastAsia" w:ascii="宋体" w:hAnsi="宋体" w:eastAsia="宋体" w:cs="宋体"/>
          <w:color w:val="auto"/>
          <w:szCs w:val="21"/>
          <w:highlight w:val="none"/>
          <w:lang w:eastAsia="zh-CN"/>
        </w:rPr>
        <w:t>采购内容</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金额</w:t>
      </w:r>
      <w:r>
        <w:rPr>
          <w:rFonts w:hint="eastAsia" w:ascii="宋体" w:hAnsi="宋体" w:eastAsia="宋体" w:cs="宋体"/>
          <w:color w:val="auto"/>
          <w:szCs w:val="21"/>
          <w:highlight w:val="none"/>
          <w:lang w:eastAsia="zh-CN"/>
        </w:rPr>
        <w:t>、采购时间</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如有</w:t>
      </w:r>
      <w:r>
        <w:rPr>
          <w:rFonts w:hint="eastAsia" w:ascii="宋体" w:hAnsi="宋体" w:cs="宋体"/>
          <w:b/>
          <w:bCs/>
          <w:color w:val="auto"/>
          <w:szCs w:val="21"/>
          <w:highlight w:val="none"/>
          <w:lang w:val="en-US" w:eastAsia="zh-CN"/>
        </w:rPr>
        <w:t>，请提供</w:t>
      </w:r>
      <w:r>
        <w:rPr>
          <w:rFonts w:hint="eastAsia" w:ascii="宋体" w:hAnsi="宋体" w:eastAsia="宋体" w:cs="宋体"/>
          <w:b/>
          <w:bCs/>
          <w:color w:val="auto"/>
          <w:szCs w:val="21"/>
          <w:highlight w:val="none"/>
        </w:rPr>
        <w:t>）；</w:t>
      </w:r>
    </w:p>
    <w:p w14:paraId="64D6E08C">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（2）供应商</w:t>
      </w:r>
      <w:r>
        <w:rPr>
          <w:rFonts w:hint="eastAsia" w:ascii="宋体" w:hAnsi="宋体" w:cs="宋体"/>
          <w:color w:val="auto"/>
          <w:szCs w:val="21"/>
          <w:highlight w:val="none"/>
          <w:lang w:val="en-US" w:eastAsia="zh-CN"/>
        </w:rPr>
        <w:t>2023年1月1日</w:t>
      </w:r>
      <w:r>
        <w:rPr>
          <w:rFonts w:hint="eastAsia" w:ascii="宋体" w:hAnsi="宋体" w:eastAsia="宋体" w:cs="宋体"/>
          <w:color w:val="auto"/>
          <w:szCs w:val="21"/>
          <w:highlight w:val="none"/>
          <w:lang w:val="en-US" w:eastAsia="zh-CN"/>
        </w:rPr>
        <w:t>以来获奖情况</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如有</w:t>
      </w:r>
      <w:r>
        <w:rPr>
          <w:rFonts w:hint="eastAsia" w:ascii="宋体" w:hAnsi="宋体" w:cs="宋体"/>
          <w:b/>
          <w:bCs/>
          <w:color w:val="auto"/>
          <w:szCs w:val="21"/>
          <w:highlight w:val="none"/>
          <w:lang w:val="en-US" w:eastAsia="zh-CN"/>
        </w:rPr>
        <w:t>，请提供</w:t>
      </w:r>
      <w:r>
        <w:rPr>
          <w:rFonts w:hint="eastAsia" w:ascii="宋体" w:hAnsi="宋体" w:eastAsia="宋体" w:cs="宋体"/>
          <w:b/>
          <w:bCs/>
          <w:color w:val="auto"/>
          <w:szCs w:val="21"/>
          <w:highlight w:val="none"/>
        </w:rPr>
        <w:t>）</w:t>
      </w:r>
      <w:r>
        <w:rPr>
          <w:rFonts w:hint="eastAsia" w:ascii="宋体" w:hAnsi="宋体" w:cs="宋体"/>
          <w:b/>
          <w:bCs/>
          <w:color w:val="auto"/>
          <w:szCs w:val="21"/>
          <w:highlight w:val="none"/>
          <w:lang w:eastAsia="zh-CN"/>
        </w:rPr>
        <w:t>；</w:t>
      </w:r>
    </w:p>
    <w:p w14:paraId="661370C5">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Cs w:val="21"/>
          <w:highlight w:val="none"/>
        </w:rPr>
        <w:t>供应商可结合本项目的评审办法视自身情况自行提交其它相关证明材料</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如有</w:t>
      </w:r>
      <w:r>
        <w:rPr>
          <w:rFonts w:hint="eastAsia" w:ascii="宋体" w:hAnsi="宋体" w:cs="宋体"/>
          <w:b/>
          <w:bCs/>
          <w:color w:val="auto"/>
          <w:szCs w:val="21"/>
          <w:highlight w:val="none"/>
          <w:lang w:val="en-US" w:eastAsia="zh-CN"/>
        </w:rPr>
        <w:t>，请提供</w:t>
      </w: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rPr>
        <w:t>。</w:t>
      </w:r>
    </w:p>
    <w:p w14:paraId="6288ED50">
      <w:pPr>
        <w:keepNext w:val="0"/>
        <w:keepLines w:val="0"/>
        <w:pageBreakBefore w:val="0"/>
        <w:widowControl w:val="0"/>
        <w:kinsoku/>
        <w:wordWrap/>
        <w:overflowPunct/>
        <w:topLinePunct w:val="0"/>
        <w:bidi w:val="0"/>
        <w:spacing w:line="44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供应商</w:t>
      </w:r>
      <w:r>
        <w:rPr>
          <w:rFonts w:hint="eastAsia" w:ascii="宋体" w:hAnsi="宋体" w:eastAsia="宋体" w:cs="宋体"/>
          <w:b/>
          <w:bCs/>
          <w:color w:val="auto"/>
          <w:highlight w:val="none"/>
        </w:rPr>
        <w:t>提供的以上相关证明材料属于“必须提供”的文件应加盖</w:t>
      </w:r>
      <w:r>
        <w:rPr>
          <w:rFonts w:hint="eastAsia" w:ascii="宋体" w:hAnsi="宋体" w:eastAsia="宋体" w:cs="宋体"/>
          <w:b/>
          <w:bCs/>
          <w:color w:val="auto"/>
          <w:highlight w:val="none"/>
          <w:lang w:eastAsia="zh-CN"/>
        </w:rPr>
        <w:t>磋商供应商</w:t>
      </w:r>
      <w:r>
        <w:rPr>
          <w:rFonts w:hint="eastAsia" w:ascii="宋体" w:hAnsi="宋体" w:cs="宋体"/>
          <w:b/>
          <w:bCs/>
          <w:color w:val="auto"/>
          <w:highlight w:val="none"/>
          <w:lang w:eastAsia="zh-CN"/>
        </w:rPr>
        <w:t>数字证书（CA认证）</w:t>
      </w:r>
      <w:r>
        <w:rPr>
          <w:rFonts w:hint="eastAsia" w:ascii="宋体" w:hAnsi="宋体" w:eastAsia="宋体" w:cs="宋体"/>
          <w:b/>
          <w:bCs/>
          <w:color w:val="auto"/>
          <w:highlight w:val="none"/>
        </w:rPr>
        <w:t>签章，否则</w:t>
      </w:r>
      <w:r>
        <w:rPr>
          <w:rFonts w:hint="eastAsia" w:ascii="宋体" w:hAnsi="宋体" w:eastAsia="宋体" w:cs="宋体"/>
          <w:b/>
          <w:bCs/>
          <w:color w:val="auto"/>
          <w:highlight w:val="none"/>
          <w:lang w:val="en-US" w:eastAsia="zh-CN"/>
        </w:rPr>
        <w:t>响应</w:t>
      </w:r>
      <w:r>
        <w:rPr>
          <w:rFonts w:hint="eastAsia" w:ascii="宋体" w:hAnsi="宋体" w:eastAsia="宋体" w:cs="宋体"/>
          <w:b/>
          <w:bCs/>
          <w:color w:val="auto"/>
          <w:highlight w:val="none"/>
        </w:rPr>
        <w:t>无效。</w:t>
      </w:r>
    </w:p>
    <w:p w14:paraId="02CA887F">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12.</w:t>
      </w:r>
      <w:r>
        <w:rPr>
          <w:rFonts w:hint="eastAsia" w:ascii="宋体" w:hAnsi="宋体" w:eastAsia="宋体" w:cs="宋体"/>
          <w:color w:val="auto"/>
          <w:szCs w:val="21"/>
          <w:highlight w:val="none"/>
          <w:lang w:val="en-US" w:eastAsia="zh-CN"/>
        </w:rPr>
        <w:t xml:space="preserve">3 </w:t>
      </w:r>
      <w:r>
        <w:rPr>
          <w:rFonts w:hint="eastAsia" w:ascii="宋体" w:hAnsi="宋体" w:eastAsia="宋体" w:cs="宋体"/>
          <w:color w:val="auto"/>
          <w:szCs w:val="21"/>
          <w:highlight w:val="none"/>
        </w:rPr>
        <w:t>供应商应按竞争性磋商文件第六章“响应文件（格式）”编制响应文件。</w:t>
      </w:r>
    </w:p>
    <w:p w14:paraId="21128B5A">
      <w:pPr>
        <w:keepNext w:val="0"/>
        <w:keepLines w:val="0"/>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特别说明：</w:t>
      </w:r>
    </w:p>
    <w:p w14:paraId="2313A430">
      <w:pPr>
        <w:keepNext w:val="0"/>
        <w:keepLines w:val="0"/>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（1）响</w:t>
      </w:r>
      <w:r>
        <w:rPr>
          <w:rFonts w:hint="eastAsia" w:ascii="宋体" w:hAnsi="宋体" w:eastAsia="宋体" w:cs="宋体"/>
          <w:b/>
          <w:color w:val="auto"/>
          <w:szCs w:val="21"/>
          <w:highlight w:val="none"/>
        </w:rPr>
        <w:t>应文件（电子响应文件），其中电子响应文件中所须加盖公章部分均采用</w:t>
      </w:r>
      <w:r>
        <w:rPr>
          <w:rFonts w:hint="eastAsia" w:ascii="宋体" w:hAnsi="宋体" w:cs="宋体"/>
          <w:b/>
          <w:color w:val="auto"/>
          <w:szCs w:val="21"/>
          <w:highlight w:val="none"/>
          <w:lang w:eastAsia="zh-CN"/>
        </w:rPr>
        <w:t>数字证书（CA认证）</w:t>
      </w:r>
      <w:r>
        <w:rPr>
          <w:rFonts w:hint="eastAsia" w:ascii="宋体" w:hAnsi="宋体" w:eastAsia="宋体" w:cs="宋体"/>
          <w:b/>
          <w:color w:val="auto"/>
          <w:szCs w:val="21"/>
          <w:highlight w:val="none"/>
        </w:rPr>
        <w:t>签章。若磋商文件中有专门标注的某关联点，并要求供应商在电子</w:t>
      </w:r>
      <w:r>
        <w:rPr>
          <w:rFonts w:hint="eastAsia" w:ascii="宋体" w:hAnsi="宋体" w:cs="宋体"/>
          <w:b/>
          <w:color w:val="auto"/>
          <w:szCs w:val="21"/>
          <w:highlight w:val="none"/>
          <w:lang w:eastAsia="zh-CN"/>
        </w:rPr>
        <w:t>响应</w:t>
      </w:r>
      <w:r>
        <w:rPr>
          <w:rFonts w:hint="eastAsia" w:ascii="宋体" w:hAnsi="宋体" w:eastAsia="宋体" w:cs="宋体"/>
          <w:b/>
          <w:color w:val="auto"/>
          <w:szCs w:val="21"/>
          <w:highlight w:val="none"/>
        </w:rPr>
        <w:t>系统中作出磋商响应的，如供应商未对关联点进行响应或者在响应文件其它内容进行描述，造成电子评审不能查询的责任由供应商自行承担。</w:t>
      </w:r>
    </w:p>
    <w:p w14:paraId="6A6EFB2B">
      <w:pPr>
        <w:keepNext w:val="0"/>
        <w:keepLines w:val="0"/>
        <w:pageBreakBefore w:val="0"/>
        <w:widowControl w:val="0"/>
        <w:numPr>
          <w:ilvl w:val="0"/>
          <w:numId w:val="3"/>
        </w:numPr>
        <w:kinsoku/>
        <w:wordWrap/>
        <w:overflowPunct/>
        <w:topLinePunct w:val="0"/>
        <w:bidi w:val="0"/>
        <w:spacing w:line="440" w:lineRule="exact"/>
        <w:ind w:left="0" w:leftChars="0"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lang w:eastAsia="zh-CN"/>
        </w:rPr>
        <w:t>磋商文件</w:t>
      </w:r>
      <w:r>
        <w:rPr>
          <w:rFonts w:hint="eastAsia" w:ascii="宋体" w:hAnsi="宋体" w:eastAsia="宋体" w:cs="宋体"/>
          <w:b/>
          <w:bCs/>
          <w:color w:val="auto"/>
          <w:szCs w:val="21"/>
          <w:highlight w:val="none"/>
        </w:rPr>
        <w:t>要求法定代表人（负责人）或委托代理人签字的部分必须签字然后扫描或者拍照做成 pdf 格式上传</w:t>
      </w:r>
      <w:r>
        <w:rPr>
          <w:rFonts w:hint="eastAsia" w:ascii="宋体" w:hAnsi="宋体" w:eastAsia="宋体" w:cs="宋体"/>
          <w:b/>
          <w:bCs/>
          <w:color w:val="auto"/>
          <w:szCs w:val="21"/>
          <w:highlight w:val="none"/>
          <w:lang w:eastAsia="zh-CN"/>
        </w:rPr>
        <w:t>（或加盖个人</w:t>
      </w:r>
      <w:r>
        <w:rPr>
          <w:rFonts w:hint="eastAsia" w:ascii="宋体" w:hAnsi="宋体" w:cs="宋体"/>
          <w:b/>
          <w:bCs/>
          <w:color w:val="auto"/>
          <w:szCs w:val="21"/>
          <w:highlight w:val="none"/>
          <w:lang w:val="en-US" w:eastAsia="zh-CN"/>
        </w:rPr>
        <w:t>数字证书（CA认证）</w:t>
      </w:r>
      <w:r>
        <w:rPr>
          <w:rFonts w:hint="eastAsia" w:ascii="宋体" w:hAnsi="宋体" w:eastAsia="宋体" w:cs="宋体"/>
          <w:b/>
          <w:bCs/>
          <w:color w:val="auto"/>
          <w:szCs w:val="21"/>
          <w:highlight w:val="none"/>
          <w:lang w:val="en-US" w:eastAsia="zh-CN"/>
        </w:rPr>
        <w:t>签章</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，无签字的视为</w:t>
      </w:r>
      <w:r>
        <w:rPr>
          <w:rFonts w:hint="eastAsia" w:ascii="宋体" w:hAnsi="宋体" w:eastAsia="宋体" w:cs="宋体"/>
          <w:b/>
          <w:bCs/>
          <w:color w:val="auto"/>
          <w:szCs w:val="21"/>
          <w:highlight w:val="none"/>
          <w:lang w:val="en-US" w:eastAsia="zh-CN"/>
        </w:rPr>
        <w:t>响应</w:t>
      </w:r>
      <w:r>
        <w:rPr>
          <w:rFonts w:hint="eastAsia" w:ascii="宋体" w:hAnsi="宋体" w:eastAsia="宋体" w:cs="宋体"/>
          <w:b/>
          <w:bCs/>
          <w:color w:val="auto"/>
          <w:szCs w:val="21"/>
          <w:highlight w:val="none"/>
        </w:rPr>
        <w:t>无效。</w:t>
      </w:r>
    </w:p>
    <w:p w14:paraId="46DECD74">
      <w:pPr>
        <w:pStyle w:val="4"/>
        <w:keepNext w:val="0"/>
        <w:keepLines w:val="0"/>
        <w:pageBreakBefore w:val="0"/>
        <w:widowControl w:val="0"/>
        <w:numPr>
          <w:ilvl w:val="0"/>
          <w:numId w:val="2"/>
        </w:numPr>
        <w:kinsoku/>
        <w:wordWrap/>
        <w:overflowPunct/>
        <w:topLinePunct w:val="0"/>
        <w:bidi w:val="0"/>
        <w:spacing w:before="0" w:after="0" w:line="440" w:lineRule="exact"/>
        <w:ind w:firstLine="422" w:firstLineChars="200"/>
        <w:textAlignment w:val="auto"/>
        <w:rPr>
          <w:rFonts w:hint="eastAsia" w:ascii="宋体" w:hAnsi="宋体" w:eastAsia="宋体" w:cs="宋体"/>
          <w:color w:val="auto"/>
          <w:sz w:val="21"/>
          <w:szCs w:val="21"/>
          <w:highlight w:val="none"/>
        </w:rPr>
      </w:pPr>
      <w:bookmarkStart w:id="84" w:name="_Toc13660"/>
      <w:bookmarkStart w:id="85" w:name="_Toc2180"/>
      <w:r>
        <w:rPr>
          <w:rFonts w:hint="eastAsia" w:ascii="宋体" w:hAnsi="宋体" w:eastAsia="宋体" w:cs="宋体"/>
          <w:color w:val="auto"/>
          <w:sz w:val="21"/>
          <w:szCs w:val="21"/>
          <w:highlight w:val="none"/>
        </w:rPr>
        <w:t>响应文件的语言及计量</w:t>
      </w:r>
      <w:bookmarkEnd w:id="84"/>
      <w:bookmarkEnd w:id="85"/>
    </w:p>
    <w:p w14:paraId="7D31A598">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13</w:t>
      </w:r>
      <w:r>
        <w:rPr>
          <w:rFonts w:hint="eastAsia" w:ascii="宋体" w:hAnsi="宋体" w:eastAsia="宋体" w:cs="宋体"/>
          <w:color w:val="auto"/>
          <w:szCs w:val="21"/>
          <w:highlight w:val="none"/>
        </w:rPr>
        <w:t>.1 响应文件以及供应商与采购代理机构就有关磋商事宜的所有来往函电，均应以中文汉语书写。供应商提交的支持文件和印刷的文献可以使用别的语言，但其相应内容必须附有中文翻译文本，在解释响应文件时以中文翻译文本为主。</w:t>
      </w:r>
    </w:p>
    <w:p w14:paraId="70329E12">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13</w:t>
      </w:r>
      <w:r>
        <w:rPr>
          <w:rFonts w:hint="eastAsia" w:ascii="宋体" w:hAnsi="宋体" w:eastAsia="宋体" w:cs="宋体"/>
          <w:color w:val="auto"/>
          <w:szCs w:val="21"/>
          <w:highlight w:val="none"/>
        </w:rPr>
        <w:t>.2 磋商计量单位，磋商文件已有明确规定的，使用磋商文件规定的计量单位；磋商文件没有规定的，应采用中华人民共和国法定计量单位（货币单位：人民币元），否则视同未响应。</w:t>
      </w:r>
    </w:p>
    <w:p w14:paraId="23897B23">
      <w:pPr>
        <w:pStyle w:val="4"/>
        <w:keepNext w:val="0"/>
        <w:keepLines w:val="0"/>
        <w:pageBreakBefore w:val="0"/>
        <w:widowControl w:val="0"/>
        <w:numPr>
          <w:ilvl w:val="0"/>
          <w:numId w:val="2"/>
        </w:numPr>
        <w:kinsoku/>
        <w:wordWrap/>
        <w:overflowPunct/>
        <w:topLinePunct w:val="0"/>
        <w:bidi w:val="0"/>
        <w:spacing w:before="0" w:after="0" w:line="440" w:lineRule="exact"/>
        <w:ind w:firstLine="422" w:firstLineChars="200"/>
        <w:textAlignment w:val="auto"/>
        <w:rPr>
          <w:rFonts w:hint="eastAsia" w:ascii="宋体" w:hAnsi="宋体" w:eastAsia="宋体" w:cs="宋体"/>
          <w:color w:val="auto"/>
          <w:sz w:val="21"/>
          <w:szCs w:val="21"/>
          <w:highlight w:val="none"/>
        </w:rPr>
      </w:pPr>
      <w:bookmarkStart w:id="86" w:name="_Toc10838"/>
      <w:bookmarkStart w:id="87" w:name="_Toc3058"/>
      <w:r>
        <w:rPr>
          <w:rFonts w:hint="eastAsia" w:ascii="宋体" w:hAnsi="宋体" w:eastAsia="宋体" w:cs="宋体"/>
          <w:color w:val="auto"/>
          <w:sz w:val="21"/>
          <w:szCs w:val="21"/>
          <w:highlight w:val="none"/>
        </w:rPr>
        <w:t>磋商报价及采购预算金额</w:t>
      </w:r>
      <w:bookmarkEnd w:id="86"/>
      <w:bookmarkEnd w:id="87"/>
    </w:p>
    <w:p w14:paraId="65425FAA">
      <w:pPr>
        <w:keepNext w:val="0"/>
        <w:keepLines w:val="0"/>
        <w:pageBreakBefore w:val="0"/>
        <w:widowControl w:val="0"/>
        <w:wordWrap/>
        <w:topLinePunct w:val="0"/>
        <w:bidi w:val="0"/>
        <w:spacing w:line="360" w:lineRule="exact"/>
        <w:ind w:firstLine="420" w:firstLineChars="200"/>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val="en-US" w:eastAsia="zh-CN"/>
        </w:rPr>
        <w:t>14</w:t>
      </w:r>
      <w:r>
        <w:rPr>
          <w:rFonts w:hint="eastAsia" w:ascii="宋体" w:hAnsi="宋体" w:eastAsia="宋体" w:cs="宋体"/>
          <w:bCs/>
          <w:color w:val="auto"/>
          <w:sz w:val="21"/>
          <w:szCs w:val="21"/>
          <w:highlight w:val="none"/>
          <w:lang w:eastAsia="zh-CN"/>
        </w:rPr>
        <w:t>.1磋商总报价应按采购文件中相关附表格式填写。</w:t>
      </w:r>
    </w:p>
    <w:p w14:paraId="3215D0F2">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val="en-US" w:eastAsia="zh-CN"/>
        </w:rPr>
        <w:t>14</w:t>
      </w:r>
      <w:r>
        <w:rPr>
          <w:rFonts w:hint="eastAsia" w:ascii="宋体" w:hAnsi="宋体" w:eastAsia="宋体" w:cs="宋体"/>
          <w:bCs/>
          <w:color w:val="auto"/>
          <w:sz w:val="21"/>
          <w:szCs w:val="21"/>
          <w:highlight w:val="none"/>
          <w:lang w:eastAsia="zh-CN"/>
        </w:rPr>
        <w:t>.2磋商供应商必须就磋商文件所有内容作完整唯一报价，否则，其磋商将被拒绝。响应文件只允许有一个报价，有选择的或有条件的报价将不予接受。</w:t>
      </w:r>
    </w:p>
    <w:p w14:paraId="3647C486">
      <w:pPr>
        <w:keepNext w:val="0"/>
        <w:keepLines w:val="0"/>
        <w:pageBreakBefore w:val="0"/>
        <w:widowControl w:val="0"/>
        <w:wordWrap/>
        <w:topLinePunct w:val="0"/>
        <w:bidi w:val="0"/>
        <w:spacing w:line="360" w:lineRule="exact"/>
        <w:ind w:firstLine="420" w:firstLineChars="200"/>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val="en-US" w:eastAsia="zh-CN"/>
        </w:rPr>
        <w:t>14</w:t>
      </w:r>
      <w:r>
        <w:rPr>
          <w:rFonts w:hint="eastAsia" w:ascii="宋体" w:hAnsi="宋体" w:eastAsia="宋体" w:cs="宋体"/>
          <w:bCs/>
          <w:color w:val="auto"/>
          <w:sz w:val="21"/>
          <w:szCs w:val="21"/>
          <w:highlight w:val="none"/>
          <w:lang w:eastAsia="zh-CN"/>
        </w:rPr>
        <w:t>.3</w:t>
      </w:r>
      <w:r>
        <w:rPr>
          <w:rFonts w:hint="eastAsia" w:ascii="宋体" w:hAnsi="宋体" w:cs="宋体"/>
          <w:color w:val="auto"/>
          <w:kern w:val="0"/>
          <w:szCs w:val="21"/>
        </w:rPr>
        <w:t>本项目</w:t>
      </w:r>
      <w:r>
        <w:rPr>
          <w:rFonts w:hint="eastAsia" w:ascii="宋体" w:hAnsi="宋体" w:cs="宋体"/>
          <w:color w:val="auto"/>
          <w:kern w:val="0"/>
          <w:szCs w:val="21"/>
          <w:lang w:val="en-US" w:eastAsia="zh-CN"/>
        </w:rPr>
        <w:t>审定</w:t>
      </w:r>
      <w:r>
        <w:rPr>
          <w:rFonts w:hint="eastAsia" w:ascii="宋体" w:hAnsi="宋体" w:cs="宋体"/>
          <w:color w:val="auto"/>
          <w:kern w:val="0"/>
          <w:szCs w:val="21"/>
        </w:rPr>
        <w:t>预算总金额为</w:t>
      </w:r>
      <w:r>
        <w:rPr>
          <w:rFonts w:hint="eastAsia" w:ascii="宋体" w:hAnsi="宋体" w:cs="宋体"/>
          <w:color w:val="auto"/>
          <w:kern w:val="0"/>
          <w:szCs w:val="21"/>
          <w:u w:val="single"/>
        </w:rPr>
        <w:t xml:space="preserve"> </w:t>
      </w:r>
      <w:r>
        <w:rPr>
          <w:rFonts w:hint="eastAsia" w:ascii="宋体" w:hAnsi="宋体" w:cs="宋体"/>
          <w:color w:val="auto"/>
          <w:kern w:val="0"/>
          <w:szCs w:val="21"/>
          <w:u w:val="single"/>
          <w:lang w:eastAsia="zh-CN"/>
        </w:rPr>
        <w:t>1061171.64</w:t>
      </w:r>
      <w:r>
        <w:rPr>
          <w:rFonts w:hint="eastAsia" w:ascii="宋体" w:hAnsi="宋体" w:cs="宋体"/>
          <w:color w:val="auto"/>
          <w:kern w:val="0"/>
          <w:szCs w:val="21"/>
          <w:u w:val="single"/>
        </w:rPr>
        <w:t xml:space="preserve"> </w:t>
      </w:r>
      <w:r>
        <w:rPr>
          <w:rFonts w:hint="eastAsia" w:ascii="宋体" w:hAnsi="宋体" w:cs="宋体"/>
          <w:color w:val="auto"/>
          <w:kern w:val="0"/>
          <w:szCs w:val="21"/>
        </w:rPr>
        <w:t>元。</w:t>
      </w:r>
      <w:r>
        <w:rPr>
          <w:rFonts w:hint="eastAsia" w:ascii="宋体" w:hAnsi="宋体" w:cs="宋体"/>
          <w:color w:val="auto"/>
          <w:kern w:val="0"/>
          <w:szCs w:val="21"/>
          <w:lang w:val="en-US" w:eastAsia="zh-CN"/>
        </w:rPr>
        <w:t>根据资政办发〔2025〕8号文《资源县人民政府办公室关于规范政府投资工程项目财政管理的通知</w:t>
      </w:r>
      <w:r>
        <w:rPr>
          <w:rFonts w:hint="eastAsia" w:ascii="宋体" w:hAnsi="宋体" w:eastAsia="宋体" w:cs="宋体"/>
          <w:color w:val="auto"/>
          <w:kern w:val="0"/>
          <w:szCs w:val="21"/>
          <w:lang w:val="en-US" w:eastAsia="zh-CN"/>
        </w:rPr>
        <w:t>》，</w:t>
      </w:r>
      <w:r>
        <w:rPr>
          <w:rFonts w:hint="eastAsia" w:ascii="宋体" w:hAnsi="宋体" w:cs="宋体"/>
          <w:color w:val="auto"/>
          <w:kern w:val="0"/>
          <w:szCs w:val="21"/>
          <w:lang w:val="en-US" w:eastAsia="zh-CN"/>
        </w:rPr>
        <w:t>经采购人确认</w:t>
      </w:r>
      <w:r>
        <w:rPr>
          <w:rFonts w:hint="eastAsia" w:ascii="宋体" w:hAnsi="宋体" w:cs="宋体"/>
          <w:color w:val="auto"/>
          <w:kern w:val="0"/>
          <w:szCs w:val="21"/>
          <w:u w:val="single"/>
          <w:lang w:val="en-US" w:eastAsia="zh-CN"/>
        </w:rPr>
        <w:t>本项目为配电工程</w:t>
      </w:r>
      <w:r>
        <w:rPr>
          <w:rFonts w:hint="eastAsia" w:ascii="宋体" w:hAnsi="宋体" w:eastAsia="宋体" w:cs="宋体"/>
          <w:color w:val="auto"/>
          <w:kern w:val="0"/>
          <w:szCs w:val="21"/>
          <w:lang w:val="en-US" w:eastAsia="zh-CN"/>
        </w:rPr>
        <w:t>，本工程审定的预算总金额</w:t>
      </w:r>
      <w:r>
        <w:rPr>
          <w:rFonts w:hint="eastAsia" w:ascii="宋体" w:hAnsi="宋体" w:cs="宋体"/>
          <w:color w:val="auto"/>
          <w:kern w:val="0"/>
          <w:szCs w:val="21"/>
          <w:u w:val="single"/>
          <w:lang w:val="en-US" w:eastAsia="zh-CN"/>
        </w:rPr>
        <w:t>下浮5%</w:t>
      </w:r>
      <w:r>
        <w:rPr>
          <w:rFonts w:hint="eastAsia" w:ascii="宋体" w:hAnsi="宋体" w:eastAsia="宋体" w:cs="宋体"/>
          <w:color w:val="auto"/>
          <w:kern w:val="0"/>
          <w:szCs w:val="21"/>
          <w:lang w:val="en-US" w:eastAsia="zh-CN"/>
        </w:rPr>
        <w:t>做为本项目的预算控制价（最高限价），本项目预算控制价（最高限价）为</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cs="宋体"/>
          <w:bCs/>
          <w:color w:val="auto"/>
          <w:sz w:val="21"/>
          <w:szCs w:val="21"/>
          <w:highlight w:val="none"/>
          <w:u w:val="single"/>
          <w:lang w:val="en-US" w:eastAsia="zh-CN"/>
        </w:rPr>
        <w:t>1008113.05</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color w:val="auto"/>
          <w:kern w:val="0"/>
          <w:szCs w:val="21"/>
          <w:lang w:val="en-US" w:eastAsia="zh-CN"/>
        </w:rPr>
        <w:t>元。</w:t>
      </w:r>
      <w:r>
        <w:rPr>
          <w:rFonts w:hint="eastAsia" w:ascii="宋体" w:hAnsi="宋体" w:eastAsia="宋体" w:cs="宋体"/>
          <w:bCs/>
          <w:color w:val="auto"/>
          <w:sz w:val="21"/>
          <w:szCs w:val="21"/>
          <w:highlight w:val="none"/>
          <w:lang w:eastAsia="zh-CN"/>
        </w:rPr>
        <w:t>磋商总报价包括本项目采购范围内一切服务价款的总和；供应商综合考虑在报价中。</w:t>
      </w:r>
    </w:p>
    <w:p w14:paraId="235EFAF6">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val="en-US" w:eastAsia="zh-CN"/>
        </w:rPr>
        <w:t>14</w:t>
      </w:r>
      <w:r>
        <w:rPr>
          <w:rFonts w:hint="eastAsia" w:ascii="宋体" w:hAnsi="宋体" w:eastAsia="宋体" w:cs="宋体"/>
          <w:bCs/>
          <w:color w:val="auto"/>
          <w:sz w:val="21"/>
          <w:szCs w:val="21"/>
          <w:highlight w:val="none"/>
          <w:lang w:eastAsia="zh-CN"/>
        </w:rPr>
        <w:t>.4供应商按照采购人提供的工程量清单填写本合同各工程子目的单价、合价和总额价。磋商小组将按照下述规定对磋商报价进行算术性错误修正及其他错误修正。</w:t>
      </w:r>
    </w:p>
    <w:p w14:paraId="65ED6A85">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val="en-US" w:eastAsia="zh-CN"/>
        </w:rPr>
        <w:t>14</w:t>
      </w:r>
      <w:r>
        <w:rPr>
          <w:rFonts w:hint="eastAsia" w:ascii="宋体" w:hAnsi="宋体" w:eastAsia="宋体" w:cs="宋体"/>
          <w:bCs/>
          <w:color w:val="auto"/>
          <w:sz w:val="21"/>
          <w:szCs w:val="21"/>
          <w:highlight w:val="none"/>
          <w:lang w:eastAsia="zh-CN"/>
        </w:rPr>
        <w:t>.4.1磋商报价有算术错误的，磋商小组按以下原则对磋商报价进行修正，修正的价格经供应商书面确认后具有约束力。供应商不接受修正价格的，磋商小组应否决其投标。</w:t>
      </w:r>
    </w:p>
    <w:p w14:paraId="1E90DAF1">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(1)响应文件中的大写金额与小写金额不一致的，以大写金额为准;</w:t>
      </w:r>
    </w:p>
    <w:p w14:paraId="0A05426C">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2</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lang w:eastAsia="zh-CN"/>
        </w:rPr>
        <w:t>总价金额与依据单价计算出的结果不一致的，以单价金额为准修正总价，但单价金额小数点有明显错误的除外;</w:t>
      </w:r>
    </w:p>
    <w:p w14:paraId="7660475C">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3</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lang w:eastAsia="zh-CN"/>
        </w:rPr>
        <w:t>当单价与数量相乘不等于合价时，以单价计算为准，如果单价有明显的小数点位置差错，应以标出的合价为准，同时对单价予以修正;</w:t>
      </w:r>
    </w:p>
    <w:p w14:paraId="20316531">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(4)当各子目的合价累计不等于总价时，应以各子目合价累计数为准，修正总价。</w:t>
      </w:r>
    </w:p>
    <w:p w14:paraId="5EEA4A40">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val="en-US" w:eastAsia="zh-CN"/>
        </w:rPr>
        <w:t>14</w:t>
      </w:r>
      <w:r>
        <w:rPr>
          <w:rFonts w:hint="eastAsia" w:ascii="宋体" w:hAnsi="宋体" w:eastAsia="宋体" w:cs="宋体"/>
          <w:bCs/>
          <w:color w:val="auto"/>
          <w:sz w:val="21"/>
          <w:szCs w:val="21"/>
          <w:highlight w:val="none"/>
          <w:lang w:eastAsia="zh-CN"/>
        </w:rPr>
        <w:t>.4.2工程量清单中的磋商报价有其他错误的，磋商小组按以下原则对磋商报价进行修正，修正的价格经供应商书面确认后具有约束力。供应商不接受修正价格的，磋商小组应否决其投标。</w:t>
      </w:r>
    </w:p>
    <w:p w14:paraId="68B5B54A">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1</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lang w:eastAsia="zh-CN"/>
        </w:rPr>
        <w:t>在采购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14:paraId="6E81BA72">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(2)在采购人给定的工程量清单中多报了某个工程子目的单价、合价或总额价，或所报单价、合价或总额价增加了报价范围，则从磋商报价中扣除多报的工程子目报价或工程子目报价中增加了报价范围的部分报价。</w:t>
      </w:r>
    </w:p>
    <w:p w14:paraId="2FBD2D06">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(3)当单价与数量的乘积与合价(金额)虽然一致，但供应商修改了该子目的工程数量，则其合价按采购人给定的工程数量乘以供应商所报单价予以修正。</w:t>
      </w:r>
    </w:p>
    <w:p w14:paraId="0B48C136">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val="en-US" w:eastAsia="zh-CN"/>
        </w:rPr>
        <w:t>14</w:t>
      </w:r>
      <w:r>
        <w:rPr>
          <w:rFonts w:hint="eastAsia" w:ascii="宋体" w:hAnsi="宋体" w:eastAsia="宋体" w:cs="宋体"/>
          <w:bCs/>
          <w:color w:val="auto"/>
          <w:sz w:val="21"/>
          <w:szCs w:val="21"/>
          <w:highlight w:val="none"/>
          <w:lang w:eastAsia="zh-CN"/>
        </w:rPr>
        <w:t>.5未书面退出磋商的供应商在规定时间内提交最后报价，其最后报价超出采购预算金额导致已通过评审的响应文件无效的，按供应商在提交响应文件截止时间后撤回响应文件处理。</w:t>
      </w:r>
    </w:p>
    <w:p w14:paraId="67D8AC0F">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val="en-US" w:eastAsia="zh-CN"/>
        </w:rPr>
        <w:t>14</w:t>
      </w:r>
      <w:r>
        <w:rPr>
          <w:rFonts w:hint="eastAsia" w:ascii="宋体" w:hAnsi="宋体" w:eastAsia="宋体" w:cs="宋体"/>
          <w:bCs/>
          <w:color w:val="auto"/>
          <w:sz w:val="21"/>
          <w:szCs w:val="21"/>
          <w:highlight w:val="none"/>
          <w:lang w:eastAsia="zh-CN"/>
        </w:rPr>
        <w:t>.6最后磋商总报价超出本项目采购预算总金额的将被视为无效磋商。</w:t>
      </w:r>
    </w:p>
    <w:p w14:paraId="71B57A95">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val="en-US" w:eastAsia="zh-CN"/>
        </w:rPr>
        <w:t>14</w:t>
      </w:r>
      <w:r>
        <w:rPr>
          <w:rFonts w:hint="eastAsia" w:ascii="宋体" w:hAnsi="宋体" w:eastAsia="宋体" w:cs="宋体"/>
          <w:bCs/>
          <w:color w:val="auto"/>
          <w:sz w:val="21"/>
          <w:szCs w:val="21"/>
          <w:highlight w:val="none"/>
          <w:lang w:eastAsia="zh-CN"/>
        </w:rPr>
        <w:t>.7磋商总报价应包括本次采购范围内提供的服务、技术费、人工费、保险、税金、培训、版权费等全部费用，磋商供应商综合考虑在报价中。</w:t>
      </w:r>
    </w:p>
    <w:p w14:paraId="4A582DF3">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val="en-US" w:eastAsia="zh-CN"/>
        </w:rPr>
        <w:t>14</w:t>
      </w:r>
      <w:r>
        <w:rPr>
          <w:rFonts w:hint="eastAsia" w:ascii="宋体" w:hAnsi="宋体" w:eastAsia="宋体" w:cs="宋体"/>
          <w:bCs/>
          <w:color w:val="auto"/>
          <w:sz w:val="21"/>
          <w:szCs w:val="21"/>
          <w:highlight w:val="none"/>
          <w:lang w:eastAsia="zh-CN"/>
        </w:rPr>
        <w:t>.8工程量清单报价表中所报的单价和合价，以及报价汇总表中的价格应包括施工设备（含脚手架）、主要材料、辅助材料、安装（如工程量清单中未列所安装设备则包含所安装设备的采购）、垃圾清运、劳务、管理、维护、保险、利润、增值税、政策性文件规定及合同包含的所有风险、责任等各项应有费用。</w:t>
      </w:r>
    </w:p>
    <w:p w14:paraId="530302DA">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val="en-US" w:eastAsia="zh-CN"/>
        </w:rPr>
        <w:t>14</w:t>
      </w:r>
      <w:r>
        <w:rPr>
          <w:rFonts w:hint="eastAsia" w:ascii="宋体" w:hAnsi="宋体" w:eastAsia="宋体" w:cs="宋体"/>
          <w:bCs/>
          <w:color w:val="auto"/>
          <w:sz w:val="21"/>
          <w:szCs w:val="21"/>
          <w:highlight w:val="none"/>
          <w:lang w:eastAsia="zh-CN"/>
        </w:rPr>
        <w:t>.9磋商供应商应按磋商文件提供的工程量清单计算工程项目的综合单价和合价。清单中的每一项均需计算填写综合单价和合价，磋商供应商没有填写综合单价和合价的项目将不予支付，并认为此项费用已包括在清单的其他综合单价和合价中。磋商供应商在清单中多报的细目或单价、合价或总额价发包人将不予支持。</w:t>
      </w:r>
    </w:p>
    <w:p w14:paraId="4C956482">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val="en-US" w:eastAsia="zh-CN"/>
        </w:rPr>
        <w:t>14</w:t>
      </w:r>
      <w:r>
        <w:rPr>
          <w:rFonts w:hint="eastAsia" w:ascii="宋体" w:hAnsi="宋体" w:eastAsia="宋体" w:cs="宋体"/>
          <w:bCs/>
          <w:color w:val="auto"/>
          <w:sz w:val="21"/>
          <w:szCs w:val="21"/>
          <w:highlight w:val="none"/>
          <w:lang w:eastAsia="zh-CN"/>
        </w:rPr>
        <w:t>.10磋商供应商应对磋商文件中清单所列的各项内容和要求作实质性响应。</w:t>
      </w:r>
    </w:p>
    <w:p w14:paraId="0093BFC5">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textAlignment w:val="auto"/>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val="en-US" w:eastAsia="zh-CN"/>
        </w:rPr>
        <w:t>14</w:t>
      </w:r>
      <w:r>
        <w:rPr>
          <w:rFonts w:hint="eastAsia" w:ascii="宋体" w:hAnsi="宋体" w:eastAsia="宋体" w:cs="宋体"/>
          <w:bCs/>
          <w:color w:val="auto"/>
          <w:sz w:val="21"/>
          <w:szCs w:val="21"/>
          <w:highlight w:val="none"/>
          <w:lang w:eastAsia="zh-CN"/>
        </w:rPr>
        <w:t>.11磋商供应商应采用综合单价对工程量清单进行磋商，不得采用总价让利或以百分比让利等形式进行磋商。</w:t>
      </w:r>
    </w:p>
    <w:p w14:paraId="06E4395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bCs/>
          <w:color w:val="auto"/>
          <w:szCs w:val="21"/>
          <w:highlight w:val="none"/>
        </w:rPr>
      </w:pPr>
      <w:r>
        <w:rPr>
          <w:rFonts w:hint="eastAsia" w:ascii="宋体" w:hAnsi="宋体" w:cs="宋体"/>
          <w:color w:val="auto"/>
          <w:szCs w:val="21"/>
          <w:highlight w:val="none"/>
          <w:lang w:val="en-US" w:eastAsia="zh-CN"/>
        </w:rPr>
        <w:t>14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供应商应在规定时间内在</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系统上提交最后报价，超出</w:t>
      </w:r>
      <w:r>
        <w:rPr>
          <w:rFonts w:hint="eastAsia" w:ascii="宋体" w:hAnsi="宋体" w:cs="宋体"/>
          <w:color w:val="auto"/>
          <w:szCs w:val="21"/>
          <w:highlight w:val="none"/>
          <w:lang w:eastAsia="zh-CN"/>
        </w:rPr>
        <w:t>磋商小组</w:t>
      </w:r>
      <w:r>
        <w:rPr>
          <w:rFonts w:hint="eastAsia" w:ascii="宋体" w:hAnsi="宋体" w:eastAsia="宋体" w:cs="宋体"/>
          <w:color w:val="auto"/>
          <w:szCs w:val="21"/>
          <w:highlight w:val="none"/>
        </w:rPr>
        <w:t>设定的最后报价时限或其最后报价超出采购预算导致已通过评审的响应文件无效的，按供应商在提交响应文件截止时间后撤回响应文件处理。</w:t>
      </w:r>
    </w:p>
    <w:p w14:paraId="6583F818">
      <w:pPr>
        <w:pStyle w:val="4"/>
        <w:keepNext w:val="0"/>
        <w:keepLines w:val="0"/>
        <w:pageBreakBefore w:val="0"/>
        <w:widowControl w:val="0"/>
        <w:numPr>
          <w:ilvl w:val="0"/>
          <w:numId w:val="2"/>
        </w:numPr>
        <w:kinsoku/>
        <w:wordWrap/>
        <w:overflowPunct/>
        <w:topLinePunct w:val="0"/>
        <w:bidi w:val="0"/>
        <w:spacing w:before="0" w:after="0" w:line="440" w:lineRule="exact"/>
        <w:ind w:firstLine="422" w:firstLineChars="200"/>
        <w:textAlignment w:val="auto"/>
        <w:rPr>
          <w:rFonts w:hint="eastAsia" w:ascii="宋体" w:hAnsi="宋体" w:eastAsia="宋体" w:cs="宋体"/>
          <w:color w:val="auto"/>
          <w:sz w:val="21"/>
          <w:szCs w:val="21"/>
          <w:highlight w:val="none"/>
        </w:rPr>
      </w:pPr>
      <w:bookmarkStart w:id="88" w:name="_Toc30554"/>
      <w:bookmarkStart w:id="89" w:name="_Toc26881"/>
      <w:r>
        <w:rPr>
          <w:rFonts w:hint="eastAsia" w:ascii="宋体" w:hAnsi="宋体" w:eastAsia="宋体" w:cs="宋体"/>
          <w:color w:val="auto"/>
          <w:sz w:val="21"/>
          <w:szCs w:val="21"/>
          <w:highlight w:val="none"/>
        </w:rPr>
        <w:t>响应文件有效期</w:t>
      </w:r>
      <w:bookmarkEnd w:id="88"/>
      <w:bookmarkEnd w:id="89"/>
    </w:p>
    <w:p w14:paraId="6D9FD9BB">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15</w:t>
      </w:r>
      <w:r>
        <w:rPr>
          <w:rFonts w:hint="eastAsia" w:ascii="宋体" w:hAnsi="宋体" w:eastAsia="宋体" w:cs="宋体"/>
          <w:color w:val="auto"/>
          <w:szCs w:val="21"/>
          <w:highlight w:val="none"/>
        </w:rPr>
        <w:t>.1 响应文件有效期：响应文件递交截止时间之日起90天，有效期不足的响应文件将被拒绝。</w:t>
      </w:r>
    </w:p>
    <w:p w14:paraId="57D9B4FD">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15</w:t>
      </w:r>
      <w:r>
        <w:rPr>
          <w:rFonts w:hint="eastAsia" w:ascii="宋体" w:hAnsi="宋体" w:eastAsia="宋体" w:cs="宋体"/>
          <w:color w:val="auto"/>
          <w:szCs w:val="21"/>
          <w:highlight w:val="none"/>
        </w:rPr>
        <w:t>.2 出现特殊情况下，需要延长响应文件有效期的，采购代理机构</w:t>
      </w:r>
      <w:r>
        <w:rPr>
          <w:rFonts w:hint="eastAsia" w:ascii="宋体" w:hAnsi="宋体" w:eastAsia="宋体" w:cs="宋体"/>
          <w:color w:val="auto"/>
          <w:szCs w:val="21"/>
          <w:highlight w:val="none"/>
          <w:lang w:eastAsia="zh-CN"/>
        </w:rPr>
        <w:t>书面</w:t>
      </w:r>
      <w:r>
        <w:rPr>
          <w:rFonts w:hint="eastAsia" w:ascii="宋体" w:hAnsi="宋体" w:eastAsia="宋体" w:cs="宋体"/>
          <w:color w:val="auto"/>
          <w:szCs w:val="21"/>
          <w:highlight w:val="none"/>
        </w:rPr>
        <w:t>通知供应商延长响应文件有效期。供应商同意延长的，但不能修改响应文件。供应商拒绝延长的，其响应文件无效。</w:t>
      </w:r>
    </w:p>
    <w:p w14:paraId="7001A65A">
      <w:pPr>
        <w:pStyle w:val="4"/>
        <w:keepNext w:val="0"/>
        <w:keepLines w:val="0"/>
        <w:pageBreakBefore w:val="0"/>
        <w:widowControl w:val="0"/>
        <w:numPr>
          <w:ilvl w:val="0"/>
          <w:numId w:val="2"/>
        </w:numPr>
        <w:kinsoku/>
        <w:wordWrap/>
        <w:overflowPunct/>
        <w:topLinePunct w:val="0"/>
        <w:bidi w:val="0"/>
        <w:spacing w:before="0" w:after="0" w:line="440" w:lineRule="exact"/>
        <w:ind w:firstLine="422" w:firstLineChars="200"/>
        <w:textAlignment w:val="auto"/>
        <w:rPr>
          <w:rFonts w:hint="eastAsia" w:ascii="宋体" w:hAnsi="宋体" w:eastAsia="宋体" w:cs="宋体"/>
          <w:color w:val="auto"/>
          <w:sz w:val="21"/>
          <w:szCs w:val="21"/>
          <w:highlight w:val="none"/>
        </w:rPr>
      </w:pPr>
      <w:bookmarkStart w:id="90" w:name="_Toc20698"/>
      <w:bookmarkStart w:id="91" w:name="_Toc22602"/>
      <w:r>
        <w:rPr>
          <w:rFonts w:hint="eastAsia" w:ascii="宋体" w:hAnsi="宋体" w:eastAsia="宋体" w:cs="宋体"/>
          <w:color w:val="auto"/>
          <w:sz w:val="21"/>
          <w:szCs w:val="21"/>
          <w:highlight w:val="none"/>
        </w:rPr>
        <w:t>保证金</w:t>
      </w:r>
      <w:bookmarkEnd w:id="90"/>
      <w:bookmarkEnd w:id="91"/>
    </w:p>
    <w:p w14:paraId="54FE4CE1">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本项目无需缴纳磋商保证金。</w:t>
      </w:r>
    </w:p>
    <w:p w14:paraId="52776D7B">
      <w:pPr>
        <w:pStyle w:val="4"/>
        <w:keepNext w:val="0"/>
        <w:keepLines w:val="0"/>
        <w:pageBreakBefore w:val="0"/>
        <w:widowControl w:val="0"/>
        <w:numPr>
          <w:ilvl w:val="0"/>
          <w:numId w:val="2"/>
        </w:numPr>
        <w:kinsoku/>
        <w:wordWrap/>
        <w:overflowPunct/>
        <w:topLinePunct w:val="0"/>
        <w:bidi w:val="0"/>
        <w:spacing w:before="0" w:after="0" w:line="440" w:lineRule="exact"/>
        <w:ind w:firstLine="422" w:firstLineChars="200"/>
        <w:textAlignment w:val="auto"/>
        <w:rPr>
          <w:rFonts w:hint="eastAsia" w:ascii="宋体" w:hAnsi="宋体" w:eastAsia="宋体" w:cs="宋体"/>
          <w:color w:val="auto"/>
          <w:sz w:val="21"/>
          <w:szCs w:val="21"/>
          <w:highlight w:val="none"/>
          <w:lang w:eastAsia="zh-CN"/>
        </w:rPr>
      </w:pPr>
      <w:bookmarkStart w:id="92" w:name="_Toc387"/>
      <w:bookmarkStart w:id="93" w:name="_Toc30118"/>
      <w:r>
        <w:rPr>
          <w:rFonts w:hint="eastAsia" w:ascii="宋体" w:hAnsi="宋体" w:eastAsia="宋体" w:cs="宋体"/>
          <w:color w:val="auto"/>
          <w:sz w:val="21"/>
          <w:szCs w:val="21"/>
          <w:highlight w:val="none"/>
        </w:rPr>
        <w:t>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响应文件的</w:t>
      </w:r>
      <w:bookmarkEnd w:id="92"/>
      <w:r>
        <w:rPr>
          <w:rFonts w:hint="eastAsia" w:ascii="宋体" w:hAnsi="宋体" w:eastAsia="宋体" w:cs="宋体"/>
          <w:color w:val="auto"/>
          <w:sz w:val="21"/>
          <w:szCs w:val="21"/>
          <w:highlight w:val="none"/>
          <w:lang w:eastAsia="zh-CN"/>
        </w:rPr>
        <w:t>制作</w:t>
      </w:r>
      <w:bookmarkEnd w:id="93"/>
    </w:p>
    <w:p w14:paraId="004CEE11">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17.</w:t>
      </w:r>
      <w:r>
        <w:rPr>
          <w:rFonts w:hint="eastAsia" w:ascii="宋体" w:hAnsi="宋体" w:eastAsia="宋体" w:cs="宋体"/>
          <w:color w:val="auto"/>
          <w:szCs w:val="21"/>
          <w:highlight w:val="none"/>
        </w:rPr>
        <w:t>1 电子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响应文件中须加盖供应商公章部分均采用</w:t>
      </w:r>
      <w:r>
        <w:rPr>
          <w:rFonts w:hint="eastAsia" w:ascii="宋体" w:hAnsi="宋体" w:cs="宋体"/>
          <w:color w:val="auto"/>
          <w:szCs w:val="21"/>
          <w:highlight w:val="none"/>
          <w:lang w:eastAsia="zh-CN"/>
        </w:rPr>
        <w:t>数字证书（CA认证）</w:t>
      </w:r>
      <w:r>
        <w:rPr>
          <w:rFonts w:hint="eastAsia" w:ascii="宋体" w:hAnsi="宋体" w:eastAsia="宋体" w:cs="宋体"/>
          <w:color w:val="auto"/>
          <w:szCs w:val="21"/>
          <w:highlight w:val="none"/>
        </w:rPr>
        <w:t xml:space="preserve"> 签章，并根据“政府采购项目电子交易管理操作指南-供应商” 及本</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文件规定的格式和顺序编制电子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响应文件并进行关联定位，以便</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小组在评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时，点击评分项可直接定位到该评分项内容。如对</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文件的某项要求，供应商的电子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响应文件未能关联定位提供相应的内容与其对应，则</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小组在评审时如做出对供应商不利的评审由供应商自行承担。电子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响应文件如内容不完整、编排混乱导致</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响应文件被误读、 漏读，或者在按采购文件规定的部位查找不到相关内容的，由供应商自行承担。</w:t>
      </w:r>
    </w:p>
    <w:p w14:paraId="107D33F4">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17.</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供应商法人（负责人）或授权代表持有个人</w:t>
      </w:r>
      <w:r>
        <w:rPr>
          <w:rFonts w:hint="eastAsia" w:ascii="宋体" w:hAnsi="宋体" w:cs="宋体"/>
          <w:color w:val="auto"/>
          <w:szCs w:val="21"/>
          <w:highlight w:val="none"/>
          <w:lang w:eastAsia="zh-CN"/>
        </w:rPr>
        <w:t>数字证书（CA认证）</w:t>
      </w:r>
      <w:r>
        <w:rPr>
          <w:rFonts w:hint="eastAsia" w:ascii="宋体" w:hAnsi="宋体" w:eastAsia="宋体" w:cs="宋体"/>
          <w:color w:val="auto"/>
          <w:szCs w:val="21"/>
          <w:highlight w:val="none"/>
        </w:rPr>
        <w:t>签章的，应在</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文件中涉及到签字的位置使用个人</w:t>
      </w:r>
      <w:r>
        <w:rPr>
          <w:rFonts w:hint="eastAsia" w:ascii="宋体" w:hAnsi="宋体" w:cs="宋体"/>
          <w:color w:val="auto"/>
          <w:szCs w:val="21"/>
          <w:highlight w:val="none"/>
          <w:lang w:eastAsia="zh-CN"/>
        </w:rPr>
        <w:t>数字证书（CA认证）</w:t>
      </w:r>
      <w:r>
        <w:rPr>
          <w:rFonts w:hint="eastAsia" w:ascii="宋体" w:hAnsi="宋体" w:eastAsia="宋体" w:cs="宋体"/>
          <w:color w:val="auto"/>
          <w:szCs w:val="21"/>
          <w:highlight w:val="none"/>
        </w:rPr>
        <w:t>签章，没有办理个人</w:t>
      </w:r>
      <w:r>
        <w:rPr>
          <w:rFonts w:hint="eastAsia" w:ascii="宋体" w:hAnsi="宋体" w:cs="宋体"/>
          <w:color w:val="auto"/>
          <w:szCs w:val="21"/>
          <w:highlight w:val="none"/>
          <w:lang w:eastAsia="zh-CN"/>
        </w:rPr>
        <w:t>数字证书（CA认证）</w:t>
      </w:r>
      <w:r>
        <w:rPr>
          <w:rFonts w:hint="eastAsia" w:ascii="宋体" w:hAnsi="宋体" w:eastAsia="宋体" w:cs="宋体"/>
          <w:color w:val="auto"/>
          <w:szCs w:val="21"/>
          <w:highlight w:val="none"/>
        </w:rPr>
        <w:t>签章的可在</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文件中涉及到签字的位置手写签字后扫描或者拍照做成 PDF 的格式上传即可。</w:t>
      </w:r>
    </w:p>
    <w:p w14:paraId="4D5A91DA">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17.</w:t>
      </w:r>
      <w:r>
        <w:rPr>
          <w:rFonts w:hint="eastAsia" w:ascii="宋体" w:hAnsi="宋体" w:eastAsia="宋体" w:cs="宋体"/>
          <w:color w:val="auto"/>
          <w:szCs w:val="21"/>
          <w:highlight w:val="none"/>
        </w:rPr>
        <w:t xml:space="preserve">3 </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响应文件不得涂改，若有修改错漏处，须法定代表人（负责人）或授权委托人签字</w:t>
      </w:r>
      <w:r>
        <w:rPr>
          <w:rFonts w:hint="eastAsia" w:ascii="宋体" w:hAnsi="宋体" w:eastAsia="宋体" w:cs="宋体"/>
          <w:color w:val="auto"/>
          <w:szCs w:val="21"/>
          <w:highlight w:val="none"/>
          <w:lang w:eastAsia="zh-CN"/>
        </w:rPr>
        <w:t>（或个人</w:t>
      </w:r>
      <w:r>
        <w:rPr>
          <w:rFonts w:hint="eastAsia" w:ascii="宋体" w:hAnsi="宋体" w:cs="宋体"/>
          <w:color w:val="auto"/>
          <w:szCs w:val="21"/>
          <w:highlight w:val="none"/>
          <w:lang w:val="en-US" w:eastAsia="zh-CN"/>
        </w:rPr>
        <w:t>数字证书（CA认证）</w:t>
      </w:r>
      <w:r>
        <w:rPr>
          <w:rFonts w:hint="eastAsia" w:ascii="宋体" w:hAnsi="宋体" w:eastAsia="宋体" w:cs="宋体"/>
          <w:color w:val="auto"/>
          <w:szCs w:val="21"/>
          <w:highlight w:val="none"/>
          <w:lang w:val="en-US" w:eastAsia="zh-CN"/>
        </w:rPr>
        <w:t>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响应文件因字迹潦草或表达不清所引起的后果由供应商负责。</w:t>
      </w:r>
    </w:p>
    <w:p w14:paraId="1F7855BF">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17.</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eastAsia="zh-CN"/>
        </w:rPr>
        <w:t xml:space="preserve">磋商前准备 </w:t>
      </w:r>
    </w:p>
    <w:p w14:paraId="619C6C36">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17.</w:t>
      </w:r>
      <w:r>
        <w:rPr>
          <w:rFonts w:hint="eastAsia" w:ascii="宋体" w:hAnsi="宋体" w:eastAsia="宋体" w:cs="宋体"/>
          <w:color w:val="auto"/>
          <w:szCs w:val="21"/>
          <w:highlight w:val="none"/>
          <w:lang w:val="en-US" w:eastAsia="zh-CN"/>
        </w:rPr>
        <w:t>4.1</w:t>
      </w:r>
      <w:r>
        <w:rPr>
          <w:rFonts w:hint="eastAsia" w:ascii="宋体" w:hAnsi="宋体" w:eastAsia="宋体" w:cs="宋体"/>
          <w:color w:val="auto"/>
          <w:szCs w:val="21"/>
          <w:highlight w:val="none"/>
          <w:lang w:eastAsia="zh-CN"/>
        </w:rPr>
        <w:t xml:space="preserve">本项目实行在线磋商，采用电子磋商响应文件。若供应商参与磋商，自行承担磋商一切费用。 </w:t>
      </w:r>
    </w:p>
    <w:p w14:paraId="1006E918">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17.</w:t>
      </w:r>
      <w:r>
        <w:rPr>
          <w:rFonts w:hint="eastAsia" w:ascii="宋体" w:hAnsi="宋体" w:eastAsia="宋体" w:cs="宋体"/>
          <w:color w:val="auto"/>
          <w:szCs w:val="21"/>
          <w:highlight w:val="none"/>
          <w:lang w:val="en-US" w:eastAsia="zh-CN"/>
        </w:rPr>
        <w:t>4.2</w:t>
      </w:r>
      <w:r>
        <w:rPr>
          <w:rFonts w:hint="eastAsia" w:ascii="宋体" w:hAnsi="宋体" w:eastAsia="宋体" w:cs="宋体"/>
          <w:color w:val="auto"/>
          <w:szCs w:val="21"/>
          <w:highlight w:val="none"/>
          <w:lang w:eastAsia="zh-CN"/>
        </w:rPr>
        <w:t>各供应商应在截标前应确保成为</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lang w:eastAsia="zh-CN"/>
        </w:rPr>
        <w:t>正式注册入库供应商，并完成</w:t>
      </w:r>
      <w:r>
        <w:rPr>
          <w:rFonts w:hint="eastAsia" w:ascii="宋体" w:hAnsi="宋体" w:cs="宋体"/>
          <w:color w:val="auto"/>
          <w:szCs w:val="21"/>
          <w:highlight w:val="none"/>
          <w:lang w:eastAsia="zh-CN"/>
        </w:rPr>
        <w:t>数字证书（CA认证）</w:t>
      </w:r>
      <w:r>
        <w:rPr>
          <w:rFonts w:hint="eastAsia" w:ascii="宋体" w:hAnsi="宋体" w:eastAsia="宋体" w:cs="宋体"/>
          <w:color w:val="auto"/>
          <w:szCs w:val="21"/>
          <w:highlight w:val="none"/>
          <w:lang w:eastAsia="zh-CN"/>
        </w:rPr>
        <w:t xml:space="preserve"> 申领。因未注册入库、未办理</w:t>
      </w:r>
      <w:r>
        <w:rPr>
          <w:rFonts w:hint="eastAsia" w:ascii="宋体" w:hAnsi="宋体" w:cs="宋体"/>
          <w:color w:val="auto"/>
          <w:szCs w:val="21"/>
          <w:highlight w:val="none"/>
          <w:lang w:eastAsia="zh-CN"/>
        </w:rPr>
        <w:t>数字证书（CA认证）</w:t>
      </w:r>
      <w:r>
        <w:rPr>
          <w:rFonts w:hint="eastAsia" w:ascii="宋体" w:hAnsi="宋体" w:eastAsia="宋体" w:cs="宋体"/>
          <w:color w:val="auto"/>
          <w:szCs w:val="21"/>
          <w:highlight w:val="none"/>
          <w:lang w:eastAsia="zh-CN"/>
        </w:rPr>
        <w:t xml:space="preserve">等原因造成无法磋商或磋商失败等后果由供应商自行承担。 </w:t>
      </w:r>
    </w:p>
    <w:p w14:paraId="72E68780">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17.</w:t>
      </w:r>
      <w:r>
        <w:rPr>
          <w:rFonts w:hint="eastAsia" w:ascii="宋体" w:hAnsi="宋体" w:eastAsia="宋体" w:cs="宋体"/>
          <w:color w:val="auto"/>
          <w:szCs w:val="21"/>
          <w:highlight w:val="none"/>
          <w:lang w:val="en-US" w:eastAsia="zh-CN"/>
        </w:rPr>
        <w:t>4.3</w:t>
      </w:r>
      <w:r>
        <w:rPr>
          <w:rFonts w:hint="eastAsia" w:ascii="宋体" w:hAnsi="宋体" w:eastAsia="宋体" w:cs="宋体"/>
          <w:color w:val="auto"/>
          <w:szCs w:val="21"/>
          <w:highlight w:val="none"/>
          <w:lang w:eastAsia="zh-CN"/>
        </w:rPr>
        <w:t>供应商将</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lang w:eastAsia="zh-CN"/>
        </w:rPr>
        <w:t>电子交易客户端下载、安装完成后，可通过账号密码或</w:t>
      </w:r>
      <w:r>
        <w:rPr>
          <w:rFonts w:hint="eastAsia" w:ascii="宋体" w:hAnsi="宋体" w:cs="宋体"/>
          <w:color w:val="auto"/>
          <w:szCs w:val="21"/>
          <w:highlight w:val="none"/>
          <w:lang w:eastAsia="zh-CN"/>
        </w:rPr>
        <w:t>数字证书（CA认证）</w:t>
      </w:r>
      <w:r>
        <w:rPr>
          <w:rFonts w:hint="eastAsia" w:ascii="宋体" w:hAnsi="宋体" w:eastAsia="宋体" w:cs="宋体"/>
          <w:color w:val="auto"/>
          <w:szCs w:val="21"/>
          <w:highlight w:val="none"/>
          <w:lang w:eastAsia="zh-CN"/>
        </w:rPr>
        <w:t xml:space="preserve"> 登录客户端进行响应文件制作。客户端请至网站下载专区查看，如有问题可拨打</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lang w:eastAsia="zh-CN"/>
        </w:rPr>
        <w:t xml:space="preserve">客户服务热线 </w:t>
      </w:r>
      <w:r>
        <w:rPr>
          <w:rFonts w:hint="eastAsia" w:ascii="宋体" w:hAnsi="宋体" w:cs="宋体"/>
          <w:color w:val="auto"/>
          <w:szCs w:val="21"/>
          <w:highlight w:val="none"/>
          <w:lang w:eastAsia="zh-CN"/>
        </w:rPr>
        <w:t>95763</w:t>
      </w:r>
      <w:r>
        <w:rPr>
          <w:rFonts w:hint="eastAsia" w:ascii="宋体" w:hAnsi="宋体" w:eastAsia="宋体" w:cs="宋体"/>
          <w:color w:val="auto"/>
          <w:szCs w:val="21"/>
          <w:highlight w:val="none"/>
          <w:lang w:eastAsia="zh-CN"/>
        </w:rPr>
        <w:t xml:space="preserve"> 进行咨询。</w:t>
      </w:r>
    </w:p>
    <w:p w14:paraId="4E9A47D6">
      <w:pPr>
        <w:pStyle w:val="4"/>
        <w:keepNext w:val="0"/>
        <w:keepLines w:val="0"/>
        <w:pageBreakBefore w:val="0"/>
        <w:widowControl w:val="0"/>
        <w:numPr>
          <w:ilvl w:val="0"/>
          <w:numId w:val="2"/>
        </w:numPr>
        <w:kinsoku/>
        <w:wordWrap/>
        <w:overflowPunct/>
        <w:topLinePunct w:val="0"/>
        <w:bidi w:val="0"/>
        <w:spacing w:before="0" w:after="0" w:line="440" w:lineRule="exact"/>
        <w:ind w:firstLine="422" w:firstLineChars="200"/>
        <w:textAlignment w:val="auto"/>
        <w:rPr>
          <w:rFonts w:hint="eastAsia" w:ascii="宋体" w:hAnsi="宋体" w:eastAsia="宋体" w:cs="宋体"/>
          <w:color w:val="auto"/>
          <w:sz w:val="21"/>
          <w:szCs w:val="21"/>
          <w:highlight w:val="none"/>
        </w:rPr>
      </w:pPr>
      <w:bookmarkStart w:id="94" w:name="_Toc9738"/>
      <w:r>
        <w:rPr>
          <w:rFonts w:hint="eastAsia" w:ascii="宋体" w:hAnsi="宋体" w:eastAsia="宋体" w:cs="宋体"/>
          <w:color w:val="auto"/>
          <w:sz w:val="21"/>
          <w:szCs w:val="21"/>
          <w:highlight w:val="none"/>
        </w:rPr>
        <w:t>响应文件的修改和撤回</w:t>
      </w:r>
      <w:bookmarkEnd w:id="94"/>
    </w:p>
    <w:p w14:paraId="2941775C">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18</w:t>
      </w:r>
      <w:r>
        <w:rPr>
          <w:rFonts w:hint="eastAsia" w:ascii="宋体" w:hAnsi="宋体" w:eastAsia="宋体" w:cs="宋体"/>
          <w:color w:val="auto"/>
          <w:szCs w:val="21"/>
          <w:highlight w:val="none"/>
        </w:rPr>
        <w:t xml:space="preserve">.1 </w:t>
      </w:r>
      <w:r>
        <w:rPr>
          <w:rFonts w:hint="eastAsia" w:ascii="宋体" w:hAnsi="宋体" w:eastAsia="宋体" w:cs="宋体"/>
          <w:color w:val="auto"/>
          <w:szCs w:val="21"/>
          <w:highlight w:val="none"/>
          <w:lang w:eastAsia="zh-CN"/>
        </w:rPr>
        <w:t>响应文件递交截止时间前可以撤回电子磋商响应文件。补充或者修改电子磋商响应文件的，应当先行撤回原文件，补充、修改后重新传输递交，磋商响应文件递交截止时间前未完成传输的，视为撤回磋商响应文件。</w:t>
      </w:r>
    </w:p>
    <w:p w14:paraId="29C68274">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18</w:t>
      </w:r>
      <w:r>
        <w:rPr>
          <w:rFonts w:hint="eastAsia" w:ascii="宋体" w:hAnsi="宋体" w:eastAsia="宋体" w:cs="宋体"/>
          <w:color w:val="auto"/>
          <w:szCs w:val="21"/>
          <w:highlight w:val="none"/>
        </w:rPr>
        <w:t>.2 在响应文件递交截止时间后的响应文件有效期内，供应商不得撤回其响应文件。</w:t>
      </w:r>
    </w:p>
    <w:p w14:paraId="7A22F8A9">
      <w:pPr>
        <w:pStyle w:val="4"/>
        <w:keepNext w:val="0"/>
        <w:keepLines w:val="0"/>
        <w:pageBreakBefore w:val="0"/>
        <w:widowControl w:val="0"/>
        <w:numPr>
          <w:ilvl w:val="0"/>
          <w:numId w:val="2"/>
        </w:numPr>
        <w:kinsoku/>
        <w:wordWrap/>
        <w:overflowPunct/>
        <w:topLinePunct w:val="0"/>
        <w:bidi w:val="0"/>
        <w:spacing w:before="0" w:after="0" w:line="440" w:lineRule="exact"/>
        <w:ind w:firstLine="422" w:firstLineChars="200"/>
        <w:textAlignment w:val="auto"/>
        <w:rPr>
          <w:rFonts w:hint="eastAsia" w:ascii="宋体" w:hAnsi="宋体" w:eastAsia="宋体" w:cs="宋体"/>
          <w:color w:val="auto"/>
          <w:sz w:val="21"/>
          <w:szCs w:val="21"/>
          <w:highlight w:val="none"/>
          <w:lang w:eastAsia="zh-CN"/>
        </w:rPr>
      </w:pPr>
      <w:bookmarkStart w:id="95" w:name="_Toc30156"/>
      <w:bookmarkStart w:id="96" w:name="_Toc24690"/>
      <w:r>
        <w:rPr>
          <w:rFonts w:hint="eastAsia" w:ascii="宋体" w:hAnsi="宋体" w:eastAsia="宋体" w:cs="宋体"/>
          <w:color w:val="auto"/>
          <w:sz w:val="21"/>
          <w:szCs w:val="21"/>
          <w:highlight w:val="none"/>
        </w:rPr>
        <w:t>响应文件的递交</w:t>
      </w:r>
      <w:r>
        <w:rPr>
          <w:rFonts w:hint="eastAsia" w:ascii="宋体" w:hAnsi="宋体" w:eastAsia="宋体" w:cs="宋体"/>
          <w:color w:val="auto"/>
          <w:sz w:val="21"/>
          <w:szCs w:val="21"/>
          <w:highlight w:val="none"/>
          <w:lang w:eastAsia="zh-CN"/>
        </w:rPr>
        <w:t>和解密</w:t>
      </w:r>
      <w:bookmarkEnd w:id="95"/>
      <w:bookmarkEnd w:id="96"/>
    </w:p>
    <w:p w14:paraId="11DDCCB7">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19.</w:t>
      </w:r>
      <w:r>
        <w:rPr>
          <w:rFonts w:hint="eastAsia" w:ascii="宋体" w:hAnsi="宋体" w:eastAsia="宋体" w:cs="宋体"/>
          <w:color w:val="auto"/>
          <w:szCs w:val="21"/>
          <w:highlight w:val="none"/>
        </w:rPr>
        <w:t>1响应文件递交截止时间</w:t>
      </w:r>
      <w:r>
        <w:rPr>
          <w:rFonts w:hint="eastAsia" w:ascii="宋体" w:hAnsi="宋体" w:eastAsia="宋体" w:cs="宋体"/>
          <w:color w:val="auto"/>
          <w:szCs w:val="21"/>
          <w:highlight w:val="none"/>
          <w:lang w:eastAsia="zh-CN"/>
        </w:rPr>
        <w:t>：于</w:t>
      </w:r>
      <w:r>
        <w:rPr>
          <w:rFonts w:hint="eastAsia" w:ascii="宋体" w:hAnsi="宋体" w:cs="宋体"/>
          <w:color w:val="auto"/>
          <w:sz w:val="21"/>
          <w:szCs w:val="21"/>
          <w:highlight w:val="none"/>
          <w:u w:val="single"/>
          <w:lang w:eastAsia="zh-CN"/>
        </w:rPr>
        <w:t>2025年11月11日</w:t>
      </w:r>
      <w:r>
        <w:rPr>
          <w:rFonts w:hint="eastAsia" w:ascii="宋体" w:hAnsi="宋体" w:cs="宋体"/>
          <w:color w:val="auto"/>
          <w:sz w:val="21"/>
          <w:szCs w:val="21"/>
          <w:highlight w:val="none"/>
          <w:u w:val="single"/>
          <w:lang w:val="en-US" w:eastAsia="zh-CN"/>
        </w:rPr>
        <w:t>9时30分</w:t>
      </w:r>
      <w:r>
        <w:rPr>
          <w:rFonts w:hint="eastAsia" w:ascii="宋体" w:hAnsi="宋体" w:eastAsia="宋体" w:cs="宋体"/>
          <w:color w:val="auto"/>
          <w:szCs w:val="21"/>
          <w:highlight w:val="none"/>
        </w:rPr>
        <w:t>之前将电子磋商响应文件上传到</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。应按照本项目磋商文件和</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的要求编制、加密传输磋商响应文件。供应商在使用系统进行</w:t>
      </w:r>
      <w:r>
        <w:rPr>
          <w:rFonts w:hint="eastAsia" w:ascii="宋体" w:hAnsi="宋体" w:cs="宋体"/>
          <w:color w:val="auto"/>
          <w:szCs w:val="21"/>
          <w:highlight w:val="none"/>
          <w:lang w:eastAsia="zh-CN"/>
        </w:rPr>
        <w:t>响应</w:t>
      </w:r>
      <w:r>
        <w:rPr>
          <w:rFonts w:hint="eastAsia" w:ascii="宋体" w:hAnsi="宋体" w:eastAsia="宋体" w:cs="宋体"/>
          <w:color w:val="auto"/>
          <w:szCs w:val="21"/>
          <w:highlight w:val="none"/>
        </w:rPr>
        <w:t>的过程中遇到涉及平台使用的任何问题，可致电</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技术支持热线咨询，联系方式：</w:t>
      </w:r>
      <w:r>
        <w:rPr>
          <w:rFonts w:hint="eastAsia" w:ascii="宋体" w:hAnsi="宋体" w:cs="宋体"/>
          <w:color w:val="auto"/>
          <w:szCs w:val="21"/>
          <w:highlight w:val="none"/>
          <w:lang w:eastAsia="zh-CN"/>
        </w:rPr>
        <w:t>95763</w:t>
      </w:r>
      <w:r>
        <w:rPr>
          <w:rFonts w:hint="eastAsia" w:ascii="宋体" w:hAnsi="宋体" w:eastAsia="宋体" w:cs="宋体"/>
          <w:color w:val="auto"/>
          <w:szCs w:val="21"/>
          <w:highlight w:val="none"/>
        </w:rPr>
        <w:t>。</w:t>
      </w:r>
    </w:p>
    <w:p w14:paraId="6DA69799">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19.</w:t>
      </w:r>
      <w:r>
        <w:rPr>
          <w:rFonts w:hint="eastAsia" w:ascii="宋体" w:hAnsi="宋体" w:eastAsia="宋体" w:cs="宋体"/>
          <w:color w:val="auto"/>
          <w:szCs w:val="21"/>
          <w:highlight w:val="none"/>
        </w:rPr>
        <w:t>2磋商响应文件解密时间：截标时</w:t>
      </w:r>
      <w:r>
        <w:rPr>
          <w:rFonts w:hint="eastAsia" w:ascii="宋体" w:hAnsi="宋体" w:eastAsia="宋体" w:cs="宋体"/>
          <w:color w:val="auto"/>
          <w:szCs w:val="21"/>
          <w:highlight w:val="none"/>
          <w:u w:val="none"/>
        </w:rPr>
        <w:t>间后30分钟内（</w:t>
      </w:r>
      <w:r>
        <w:rPr>
          <w:rFonts w:hint="eastAsia" w:ascii="宋体" w:hAnsi="宋体" w:cs="宋体"/>
          <w:color w:val="auto"/>
          <w:szCs w:val="21"/>
          <w:highlight w:val="none"/>
          <w:u w:val="none"/>
          <w:lang w:eastAsia="zh-CN"/>
        </w:rPr>
        <w:t>2025年11月11日</w:t>
      </w:r>
      <w:r>
        <w:rPr>
          <w:rFonts w:hint="eastAsia" w:ascii="宋体" w:hAnsi="宋体" w:eastAsia="宋体" w:cs="宋体"/>
          <w:color w:val="auto"/>
          <w:szCs w:val="21"/>
          <w:highlight w:val="none"/>
          <w:u w:val="none"/>
        </w:rPr>
        <w:t>9时30分至10时00分)磋商</w:t>
      </w:r>
      <w:r>
        <w:rPr>
          <w:rFonts w:hint="eastAsia" w:ascii="宋体" w:hAnsi="宋体" w:eastAsia="宋体" w:cs="宋体"/>
          <w:color w:val="auto"/>
          <w:szCs w:val="21"/>
          <w:highlight w:val="none"/>
        </w:rPr>
        <w:t>供应商可以登录</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，用“项目采购-开标评标”功能进行解密磋商文件。若磋商供应商在规定时间内无法解密或解密失败，可以以电子备份磋商响应文件作为依据</w:t>
      </w:r>
      <w:r>
        <w:rPr>
          <w:rFonts w:hint="eastAsia" w:ascii="宋体" w:hAnsi="宋体" w:eastAsia="宋体" w:cs="宋体"/>
          <w:b/>
          <w:bCs/>
          <w:color w:val="auto"/>
          <w:szCs w:val="21"/>
          <w:highlight w:val="none"/>
        </w:rPr>
        <w:t>【在接到无法解密或解密失败的通知后，磋商供应商可根据自身实际情况按通知时要求的时间到桂林市公共资源交易中心开标室现场提交或以电子邮件的形式（以通知时所告知的电子邮箱地址为准）提交电子备份磋商响应文件】</w:t>
      </w:r>
      <w:r>
        <w:rPr>
          <w:rFonts w:hint="eastAsia" w:ascii="宋体" w:hAnsi="宋体" w:eastAsia="宋体" w:cs="宋体"/>
          <w:color w:val="auto"/>
          <w:szCs w:val="21"/>
          <w:highlight w:val="none"/>
        </w:rPr>
        <w:t>，若磋商供应商在规定时间内无法解密或解密失败且未提供电子备份磋商响应文件的(包含提供的电子备份文件无效或无法解密的情况)，视为响应文件撤回。</w:t>
      </w:r>
    </w:p>
    <w:p w14:paraId="27BE098B">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19.</w:t>
      </w:r>
      <w:r>
        <w:rPr>
          <w:rFonts w:hint="eastAsia" w:ascii="宋体" w:hAnsi="宋体" w:eastAsia="宋体" w:cs="宋体"/>
          <w:color w:val="auto"/>
          <w:szCs w:val="21"/>
          <w:highlight w:val="none"/>
        </w:rPr>
        <w:t>3 除竞争性磋商文件另有规定外，供应商所递交的响应文件不予退还。</w:t>
      </w:r>
    </w:p>
    <w:p w14:paraId="18189E68">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19.</w:t>
      </w:r>
      <w:r>
        <w:rPr>
          <w:rFonts w:hint="eastAsia" w:ascii="宋体" w:hAnsi="宋体" w:eastAsia="宋体" w:cs="宋体"/>
          <w:color w:val="auto"/>
          <w:szCs w:val="21"/>
          <w:highlight w:val="none"/>
          <w:lang w:val="en-US" w:eastAsia="zh-CN"/>
        </w:rPr>
        <w:t xml:space="preserve">4 </w:t>
      </w:r>
      <w:r>
        <w:rPr>
          <w:rFonts w:hint="eastAsia" w:ascii="宋体" w:hAnsi="宋体" w:eastAsia="宋体" w:cs="宋体"/>
          <w:color w:val="auto"/>
          <w:szCs w:val="21"/>
          <w:highlight w:val="none"/>
        </w:rPr>
        <w:t>电子响应文件的相关说明</w:t>
      </w:r>
    </w:p>
    <w:p w14:paraId="0E342FEF">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（1）供应商进行电子</w:t>
      </w:r>
      <w:r>
        <w:rPr>
          <w:rFonts w:hint="eastAsia" w:ascii="宋体" w:hAnsi="宋体" w:cs="宋体"/>
          <w:color w:val="auto"/>
          <w:szCs w:val="21"/>
          <w:highlight w:val="none"/>
          <w:lang w:eastAsia="zh-CN"/>
        </w:rPr>
        <w:t>响应</w:t>
      </w:r>
      <w:r>
        <w:rPr>
          <w:rFonts w:hint="eastAsia" w:ascii="宋体" w:hAnsi="宋体" w:eastAsia="宋体" w:cs="宋体"/>
          <w:color w:val="auto"/>
          <w:szCs w:val="21"/>
          <w:highlight w:val="none"/>
        </w:rPr>
        <w:t>应安装客户端软件，并按照采购文件和电子交易平台的要求编制并加密</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响应文件。供应商未按规定加密的</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响应文件，电子交易平台将拒收。供应商应当在</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截止时间前完成</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响应文件的传输递交，并可以补充、修改或者撤回</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响应文件。补充或者修改</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响应文件的，应当先行撤回原文件，补充、修改后重新传输递交。</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截止时间前未完成传输的，视为撤回</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响应文件。</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截止时间后递交的</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 xml:space="preserve">响应文件，电子交易平台将拒收。 </w:t>
      </w:r>
    </w:p>
    <w:p w14:paraId="01FD0D78">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（2）如有特殊情况，采购代理机构延长截止时间和开标时间，采购代理机构和供应商的权利和义务将受到新的截止时间和开标时间的约束。</w:t>
      </w:r>
    </w:p>
    <w:p w14:paraId="03A5DF00">
      <w:pPr>
        <w:keepNext w:val="0"/>
        <w:keepLines w:val="0"/>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val="0"/>
          <w:color w:val="auto"/>
          <w:szCs w:val="28"/>
          <w:highlight w:val="none"/>
        </w:rPr>
      </w:pPr>
      <w:bookmarkStart w:id="97" w:name="_Toc2433"/>
    </w:p>
    <w:p w14:paraId="033C46EA">
      <w:pPr>
        <w:pStyle w:val="3"/>
        <w:keepNext w:val="0"/>
        <w:keepLines w:val="0"/>
        <w:pageBreakBefore w:val="0"/>
        <w:widowControl w:val="0"/>
        <w:tabs>
          <w:tab w:val="left" w:pos="567"/>
        </w:tabs>
        <w:kinsoku/>
        <w:wordWrap/>
        <w:overflowPunct/>
        <w:topLinePunct w:val="0"/>
        <w:bidi w:val="0"/>
        <w:spacing w:line="440" w:lineRule="exact"/>
        <w:jc w:val="center"/>
        <w:textAlignment w:val="auto"/>
        <w:rPr>
          <w:rFonts w:hint="eastAsia" w:ascii="宋体" w:hAnsi="宋体" w:eastAsia="宋体" w:cs="宋体"/>
          <w:b/>
          <w:bCs w:val="0"/>
          <w:color w:val="auto"/>
          <w:szCs w:val="28"/>
          <w:highlight w:val="none"/>
        </w:rPr>
      </w:pPr>
      <w:bookmarkStart w:id="98" w:name="_Toc24017"/>
      <w:bookmarkStart w:id="99" w:name="_Toc5807"/>
      <w:bookmarkStart w:id="100" w:name="_Toc16485"/>
      <w:r>
        <w:rPr>
          <w:rFonts w:hint="eastAsia" w:ascii="宋体" w:hAnsi="宋体" w:eastAsia="宋体" w:cs="宋体"/>
          <w:b/>
          <w:bCs w:val="0"/>
          <w:color w:val="auto"/>
          <w:szCs w:val="28"/>
          <w:highlight w:val="none"/>
        </w:rPr>
        <w:t>四、竞争性磋商（简称磋商）与评审</w:t>
      </w:r>
      <w:bookmarkEnd w:id="97"/>
      <w:bookmarkEnd w:id="98"/>
      <w:bookmarkEnd w:id="99"/>
      <w:bookmarkEnd w:id="100"/>
    </w:p>
    <w:p w14:paraId="3B012A8C">
      <w:pPr>
        <w:pStyle w:val="4"/>
        <w:keepNext w:val="0"/>
        <w:keepLines w:val="0"/>
        <w:pageBreakBefore w:val="0"/>
        <w:widowControl w:val="0"/>
        <w:numPr>
          <w:ilvl w:val="0"/>
          <w:numId w:val="2"/>
        </w:numPr>
        <w:kinsoku/>
        <w:wordWrap/>
        <w:overflowPunct/>
        <w:topLinePunct w:val="0"/>
        <w:bidi w:val="0"/>
        <w:spacing w:before="0" w:after="0" w:line="440" w:lineRule="exact"/>
        <w:ind w:firstLine="422" w:firstLineChars="200"/>
        <w:textAlignment w:val="auto"/>
        <w:rPr>
          <w:rFonts w:hint="eastAsia" w:ascii="宋体" w:hAnsi="宋体" w:eastAsia="宋体" w:cs="宋体"/>
          <w:color w:val="auto"/>
          <w:sz w:val="21"/>
          <w:szCs w:val="21"/>
          <w:highlight w:val="none"/>
        </w:rPr>
      </w:pPr>
      <w:bookmarkStart w:id="101" w:name="_Toc31588"/>
      <w:bookmarkStart w:id="102" w:name="_Toc11021"/>
      <w:r>
        <w:rPr>
          <w:rFonts w:hint="eastAsia" w:ascii="宋体" w:hAnsi="宋体" w:eastAsia="宋体" w:cs="宋体"/>
          <w:color w:val="auto"/>
          <w:sz w:val="21"/>
          <w:szCs w:val="21"/>
          <w:highlight w:val="none"/>
        </w:rPr>
        <w:t>磋商小组组成及磋商时间、地点、人员</w:t>
      </w:r>
      <w:bookmarkEnd w:id="101"/>
      <w:bookmarkEnd w:id="102"/>
    </w:p>
    <w:p w14:paraId="51169DA9">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20.</w:t>
      </w:r>
      <w:r>
        <w:rPr>
          <w:rFonts w:hint="eastAsia" w:ascii="宋体" w:hAnsi="宋体" w:eastAsia="宋体" w:cs="宋体"/>
          <w:color w:val="auto"/>
          <w:szCs w:val="21"/>
          <w:highlight w:val="none"/>
        </w:rPr>
        <w:t>1 磋商小组组成：</w:t>
      </w:r>
    </w:p>
    <w:p w14:paraId="142997FB">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磋商及评审工作由采购代理机构负责组织，具体磋商、评审工作由依法组建的磋商小组负责，磋商小组由采购人代表和有关方面的专家组成。磋商小组的构成：</w:t>
      </w:r>
      <w:r>
        <w:rPr>
          <w:rFonts w:hint="eastAsia" w:ascii="宋体" w:hAnsi="宋体" w:eastAsia="宋体" w:cs="宋体"/>
          <w:color w:val="auto"/>
          <w:szCs w:val="21"/>
          <w:highlight w:val="none"/>
          <w:u w:val="single"/>
        </w:rPr>
        <w:t xml:space="preserve"> 3 </w:t>
      </w:r>
      <w:r>
        <w:rPr>
          <w:rFonts w:hint="eastAsia" w:ascii="宋体" w:hAnsi="宋体" w:eastAsia="宋体" w:cs="宋体"/>
          <w:color w:val="auto"/>
          <w:szCs w:val="21"/>
          <w:highlight w:val="none"/>
        </w:rPr>
        <w:t>人，其中采购人代表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1 </w:t>
      </w:r>
      <w:r>
        <w:rPr>
          <w:rFonts w:hint="eastAsia" w:ascii="宋体" w:hAnsi="宋体" w:eastAsia="宋体" w:cs="宋体"/>
          <w:color w:val="auto"/>
          <w:szCs w:val="21"/>
          <w:highlight w:val="none"/>
        </w:rPr>
        <w:t>人， 专家</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2 </w:t>
      </w:r>
      <w:r>
        <w:rPr>
          <w:rFonts w:hint="eastAsia" w:ascii="宋体" w:hAnsi="宋体" w:eastAsia="宋体" w:cs="宋体"/>
          <w:color w:val="auto"/>
          <w:szCs w:val="21"/>
          <w:highlight w:val="none"/>
        </w:rPr>
        <w:t>人。</w:t>
      </w:r>
    </w:p>
    <w:p w14:paraId="558B9E91">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20.</w:t>
      </w:r>
      <w:r>
        <w:rPr>
          <w:rFonts w:hint="eastAsia" w:ascii="宋体" w:hAnsi="宋体" w:eastAsia="宋体" w:cs="宋体"/>
          <w:color w:val="auto"/>
          <w:szCs w:val="21"/>
          <w:highlight w:val="none"/>
        </w:rPr>
        <w:t>2 磋商时间、地点、人员：</w:t>
      </w:r>
    </w:p>
    <w:p w14:paraId="69AE17A5">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bookmarkStart w:id="103" w:name="_Toc9878"/>
      <w:r>
        <w:rPr>
          <w:rFonts w:hint="eastAsia" w:ascii="宋体" w:hAnsi="宋体" w:cs="宋体"/>
          <w:color w:val="auto"/>
          <w:szCs w:val="21"/>
          <w:highlight w:val="none"/>
          <w:lang w:eastAsia="zh-CN"/>
        </w:rPr>
        <w:t>20.</w:t>
      </w:r>
      <w:r>
        <w:rPr>
          <w:rFonts w:hint="eastAsia" w:ascii="宋体" w:hAnsi="宋体" w:eastAsia="宋体" w:cs="宋体"/>
          <w:color w:val="auto"/>
          <w:szCs w:val="21"/>
          <w:highlight w:val="none"/>
        </w:rPr>
        <w:t>2.1磋商时间：响应文件递交截止时间后。</w:t>
      </w:r>
      <w:bookmarkEnd w:id="103"/>
    </w:p>
    <w:p w14:paraId="014BA274">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lang w:eastAsia="zh-CN"/>
        </w:rPr>
      </w:pPr>
      <w:bookmarkStart w:id="104" w:name="_Toc29268"/>
      <w:r>
        <w:rPr>
          <w:rFonts w:hint="eastAsia" w:ascii="宋体" w:hAnsi="宋体" w:cs="宋体"/>
          <w:color w:val="auto"/>
          <w:szCs w:val="21"/>
          <w:highlight w:val="none"/>
          <w:lang w:val="en-US" w:eastAsia="zh-CN"/>
        </w:rPr>
        <w:t>20.</w:t>
      </w:r>
      <w:r>
        <w:rPr>
          <w:rFonts w:hint="eastAsia" w:ascii="宋体" w:hAnsi="宋体" w:eastAsia="宋体" w:cs="宋体"/>
          <w:color w:val="auto"/>
          <w:szCs w:val="21"/>
          <w:highlight w:val="none"/>
          <w:lang w:val="en-US" w:eastAsia="zh-CN"/>
        </w:rPr>
        <w:t>2.2磋商地点</w:t>
      </w:r>
      <w:r>
        <w:rPr>
          <w:rFonts w:hint="eastAsia" w:ascii="宋体" w:hAnsi="宋体" w:eastAsia="宋体" w:cs="宋体"/>
          <w:color w:val="auto"/>
          <w:szCs w:val="21"/>
          <w:highlight w:val="none"/>
        </w:rPr>
        <w:t>：</w:t>
      </w:r>
      <w:bookmarkEnd w:id="104"/>
      <w:r>
        <w:rPr>
          <w:rFonts w:hint="eastAsia" w:ascii="宋体" w:hAnsi="宋体" w:eastAsia="宋体" w:cs="宋体"/>
          <w:color w:val="auto"/>
          <w:szCs w:val="21"/>
          <w:highlight w:val="none"/>
        </w:rPr>
        <w:t>本项目需要磋商供应商代表在截标当天截标后，按磋商小组要求及时登陆</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等候在线磋商</w:t>
      </w:r>
      <w:r>
        <w:rPr>
          <w:rFonts w:hint="eastAsia" w:ascii="宋体" w:hAnsi="宋体" w:eastAsia="宋体" w:cs="宋体"/>
          <w:color w:val="auto"/>
          <w:szCs w:val="21"/>
          <w:highlight w:val="none"/>
          <w:lang w:eastAsia="zh-CN"/>
        </w:rPr>
        <w:t>。</w:t>
      </w:r>
    </w:p>
    <w:p w14:paraId="08F3D118">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b w:val="0"/>
          <w:bCs/>
          <w:color w:val="auto"/>
          <w:sz w:val="21"/>
          <w:szCs w:val="21"/>
          <w:highlight w:val="none"/>
        </w:rPr>
      </w:pPr>
      <w:bookmarkStart w:id="105" w:name="_Toc21307"/>
      <w:r>
        <w:rPr>
          <w:rFonts w:hint="eastAsia" w:ascii="宋体" w:hAnsi="宋体" w:cs="宋体"/>
          <w:color w:val="auto"/>
          <w:szCs w:val="21"/>
          <w:highlight w:val="none"/>
          <w:lang w:eastAsia="zh-CN"/>
        </w:rPr>
        <w:t>20.</w:t>
      </w:r>
      <w:r>
        <w:rPr>
          <w:rFonts w:hint="eastAsia" w:ascii="宋体" w:hAnsi="宋体" w:eastAsia="宋体" w:cs="宋体"/>
          <w:b w:val="0"/>
          <w:bCs/>
          <w:color w:val="auto"/>
          <w:sz w:val="21"/>
          <w:szCs w:val="21"/>
          <w:highlight w:val="none"/>
        </w:rPr>
        <w:t>2.3磋商参加人员：供应商法定代表人、负责人、自然人或相应的委托代理人持</w:t>
      </w:r>
      <w:r>
        <w:rPr>
          <w:rFonts w:hint="eastAsia" w:ascii="宋体" w:hAnsi="宋体" w:eastAsia="宋体" w:cs="宋体"/>
          <w:b w:val="0"/>
          <w:bCs/>
          <w:color w:val="auto"/>
          <w:sz w:val="21"/>
          <w:szCs w:val="21"/>
          <w:highlight w:val="none"/>
          <w:u w:val="single"/>
        </w:rPr>
        <w:t>有效身份证</w:t>
      </w:r>
      <w:r>
        <w:rPr>
          <w:rFonts w:hint="eastAsia" w:ascii="宋体" w:hAnsi="宋体" w:eastAsia="宋体" w:cs="宋体"/>
          <w:b w:val="0"/>
          <w:bCs/>
          <w:color w:val="auto"/>
          <w:sz w:val="21"/>
          <w:szCs w:val="21"/>
          <w:highlight w:val="none"/>
          <w:u w:val="single"/>
          <w:lang w:eastAsia="zh-CN"/>
        </w:rPr>
        <w:t>原件</w:t>
      </w:r>
      <w:r>
        <w:rPr>
          <w:rFonts w:hint="eastAsia" w:ascii="宋体" w:hAnsi="宋体" w:eastAsia="宋体" w:cs="宋体"/>
          <w:b w:val="0"/>
          <w:bCs/>
          <w:color w:val="auto"/>
          <w:sz w:val="21"/>
          <w:szCs w:val="21"/>
          <w:highlight w:val="none"/>
        </w:rPr>
        <w:t>和供应商</w:t>
      </w:r>
      <w:r>
        <w:rPr>
          <w:rFonts w:hint="eastAsia" w:ascii="宋体" w:hAnsi="宋体" w:cs="宋体"/>
          <w:b w:val="0"/>
          <w:bCs/>
          <w:color w:val="auto"/>
          <w:sz w:val="21"/>
          <w:szCs w:val="21"/>
          <w:highlight w:val="none"/>
          <w:u w:val="single"/>
          <w:lang w:eastAsia="zh-CN"/>
        </w:rPr>
        <w:t>广西政府采购云平台</w:t>
      </w:r>
      <w:r>
        <w:rPr>
          <w:rFonts w:hint="eastAsia" w:ascii="宋体" w:hAnsi="宋体" w:eastAsia="宋体" w:cs="宋体"/>
          <w:b w:val="0"/>
          <w:bCs/>
          <w:color w:val="auto"/>
          <w:sz w:val="21"/>
          <w:szCs w:val="21"/>
          <w:highlight w:val="none"/>
          <w:u w:val="single"/>
        </w:rPr>
        <w:t>CA数字证书</w:t>
      </w:r>
      <w:r>
        <w:rPr>
          <w:rFonts w:hint="eastAsia" w:ascii="宋体" w:hAnsi="宋体" w:eastAsia="宋体" w:cs="宋体"/>
          <w:b w:val="0"/>
          <w:bCs/>
          <w:color w:val="auto"/>
          <w:sz w:val="21"/>
          <w:szCs w:val="21"/>
          <w:highlight w:val="none"/>
        </w:rPr>
        <w:t>参加磋商。请供应商按时等候磋商。</w:t>
      </w:r>
      <w:bookmarkEnd w:id="105"/>
    </w:p>
    <w:p w14:paraId="710BA91A">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b w:val="0"/>
          <w:bCs/>
          <w:color w:val="auto"/>
          <w:sz w:val="21"/>
          <w:szCs w:val="21"/>
          <w:highlight w:val="none"/>
        </w:rPr>
      </w:pPr>
      <w:bookmarkStart w:id="106" w:name="_Toc6288"/>
      <w:r>
        <w:rPr>
          <w:rFonts w:hint="eastAsia" w:ascii="宋体" w:hAnsi="宋体" w:cs="宋体"/>
          <w:b w:val="0"/>
          <w:bCs/>
          <w:color w:val="auto"/>
          <w:sz w:val="21"/>
          <w:szCs w:val="21"/>
          <w:highlight w:val="none"/>
          <w:lang w:val="en-US" w:eastAsia="zh-CN"/>
        </w:rPr>
        <w:t>20</w:t>
      </w:r>
      <w:r>
        <w:rPr>
          <w:rFonts w:hint="eastAsia" w:ascii="宋体" w:hAnsi="宋体" w:eastAsia="宋体" w:cs="宋体"/>
          <w:b w:val="0"/>
          <w:bCs/>
          <w:color w:val="auto"/>
          <w:sz w:val="21"/>
          <w:szCs w:val="21"/>
          <w:highlight w:val="none"/>
        </w:rPr>
        <w:t>.2.4响应文件递交截止时间后，由磋商小组在评标室内线上开启响应文件。</w:t>
      </w:r>
      <w:bookmarkEnd w:id="106"/>
    </w:p>
    <w:p w14:paraId="21A37BCB">
      <w:pPr>
        <w:pStyle w:val="4"/>
        <w:keepNext w:val="0"/>
        <w:keepLines w:val="0"/>
        <w:pageBreakBefore w:val="0"/>
        <w:widowControl w:val="0"/>
        <w:numPr>
          <w:ilvl w:val="0"/>
          <w:numId w:val="2"/>
        </w:numPr>
        <w:kinsoku/>
        <w:wordWrap/>
        <w:overflowPunct/>
        <w:topLinePunct w:val="0"/>
        <w:bidi w:val="0"/>
        <w:spacing w:before="0" w:after="0" w:line="440" w:lineRule="exact"/>
        <w:ind w:firstLine="422" w:firstLineChars="200"/>
        <w:textAlignment w:val="auto"/>
        <w:rPr>
          <w:rFonts w:hint="eastAsia" w:ascii="宋体" w:hAnsi="宋体" w:eastAsia="宋体" w:cs="宋体"/>
          <w:color w:val="auto"/>
          <w:sz w:val="21"/>
          <w:szCs w:val="21"/>
          <w:highlight w:val="none"/>
        </w:rPr>
      </w:pPr>
      <w:bookmarkStart w:id="107" w:name="_Toc21088"/>
      <w:bookmarkStart w:id="108" w:name="_Toc25258"/>
      <w:r>
        <w:rPr>
          <w:rFonts w:hint="eastAsia" w:ascii="宋体" w:hAnsi="宋体" w:eastAsia="宋体" w:cs="宋体"/>
          <w:color w:val="auto"/>
          <w:sz w:val="21"/>
          <w:szCs w:val="21"/>
          <w:highlight w:val="none"/>
        </w:rPr>
        <w:t>评审原则</w:t>
      </w:r>
      <w:bookmarkEnd w:id="107"/>
      <w:bookmarkEnd w:id="108"/>
    </w:p>
    <w:p w14:paraId="308C5DEE">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21.</w:t>
      </w:r>
      <w:r>
        <w:rPr>
          <w:rFonts w:hint="eastAsia" w:ascii="宋体" w:hAnsi="宋体" w:eastAsia="宋体" w:cs="宋体"/>
          <w:color w:val="auto"/>
          <w:szCs w:val="21"/>
          <w:highlight w:val="none"/>
        </w:rPr>
        <w:t>1 磋商小组必须坚持公平、公正、科学和择优的原则。</w:t>
      </w:r>
    </w:p>
    <w:p w14:paraId="717BD211">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21.</w:t>
      </w:r>
      <w:r>
        <w:rPr>
          <w:rFonts w:hint="eastAsia" w:ascii="宋体" w:hAnsi="宋体" w:eastAsia="宋体" w:cs="宋体"/>
          <w:color w:val="auto"/>
          <w:szCs w:val="21"/>
          <w:highlight w:val="none"/>
        </w:rPr>
        <w:t>2 评审办法：综合评分法，具体详见第四章评审办法。</w:t>
      </w:r>
    </w:p>
    <w:p w14:paraId="7B11F4E8">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21.</w:t>
      </w:r>
      <w:r>
        <w:rPr>
          <w:rFonts w:hint="eastAsia" w:ascii="宋体" w:hAnsi="宋体" w:eastAsia="宋体" w:cs="宋体"/>
          <w:color w:val="auto"/>
          <w:szCs w:val="21"/>
          <w:highlight w:val="none"/>
        </w:rPr>
        <w:t>3 磋商小组应按磋商文件进行评审，不得擅自更改评审办法。</w:t>
      </w:r>
    </w:p>
    <w:p w14:paraId="27ECE580">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21.</w:t>
      </w:r>
      <w:r>
        <w:rPr>
          <w:rFonts w:hint="eastAsia" w:ascii="宋体" w:hAnsi="宋体" w:eastAsia="宋体" w:cs="宋体"/>
          <w:color w:val="auto"/>
          <w:szCs w:val="21"/>
          <w:highlight w:val="none"/>
        </w:rPr>
        <w:t>4 在评审过程中，磋商小组任何人不得对某个供应商发表任何倾向性意见，不得向其他磋商小组成员明示或者暗示自己的评审意见。</w:t>
      </w:r>
    </w:p>
    <w:p w14:paraId="7090CD22">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21.</w:t>
      </w:r>
      <w:r>
        <w:rPr>
          <w:rFonts w:hint="eastAsia" w:ascii="宋体" w:hAnsi="宋体" w:eastAsia="宋体" w:cs="宋体"/>
          <w:color w:val="auto"/>
          <w:szCs w:val="21"/>
          <w:highlight w:val="none"/>
        </w:rPr>
        <w:t>5 磋商小组成员对需要共同认定的事项存在争议的，按照少数服从多数的原则作出结论。持不同意见的磋商小组成员应当在评审报告上签署不同意见并说明理由，否则视为同意。</w:t>
      </w:r>
    </w:p>
    <w:p w14:paraId="6B03B9E4">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21.</w:t>
      </w:r>
      <w:r>
        <w:rPr>
          <w:rFonts w:hint="eastAsia" w:ascii="宋体" w:hAnsi="宋体" w:eastAsia="宋体" w:cs="宋体"/>
          <w:color w:val="auto"/>
          <w:szCs w:val="21"/>
          <w:highlight w:val="none"/>
        </w:rPr>
        <w:t>6 响应文件最后报价出现前后不一致的，除竞争性磋商文件另有规定外，按照下列规定修正：</w:t>
      </w:r>
    </w:p>
    <w:p w14:paraId="5D47C3A6">
      <w:pPr>
        <w:pStyle w:val="32"/>
        <w:keepNext w:val="0"/>
        <w:keepLines w:val="0"/>
        <w:pageBreakBefore w:val="0"/>
        <w:widowControl w:val="0"/>
        <w:tabs>
          <w:tab w:val="left" w:pos="1099"/>
        </w:tabs>
        <w:kinsoku/>
        <w:wordWrap/>
        <w:overflowPunct/>
        <w:topLinePunct w:val="0"/>
        <w:autoSpaceDE/>
        <w:autoSpaceDN/>
        <w:bidi w:val="0"/>
        <w:adjustRightInd/>
        <w:snapToGrid/>
        <w:spacing w:line="44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 xml:space="preserve">(1) </w:t>
      </w:r>
      <w:r>
        <w:rPr>
          <w:rFonts w:hint="eastAsia" w:ascii="宋体" w:hAnsi="宋体" w:eastAsia="宋体" w:cs="宋体"/>
          <w:color w:val="auto"/>
          <w:highlight w:val="none"/>
        </w:rPr>
        <w:t>响应文件中磋商报价表内容与响应文件中相应内容不一致的，以最后磋商报价表为准；</w:t>
      </w:r>
    </w:p>
    <w:p w14:paraId="1AFEDC1A">
      <w:pPr>
        <w:pStyle w:val="32"/>
        <w:keepNext w:val="0"/>
        <w:keepLines w:val="0"/>
        <w:pageBreakBefore w:val="0"/>
        <w:widowControl w:val="0"/>
        <w:tabs>
          <w:tab w:val="left" w:pos="1099"/>
        </w:tabs>
        <w:kinsoku/>
        <w:wordWrap/>
        <w:overflowPunct/>
        <w:topLinePunct w:val="0"/>
        <w:autoSpaceDE/>
        <w:autoSpaceDN/>
        <w:bidi w:val="0"/>
        <w:adjustRightInd/>
        <w:snapToGrid/>
        <w:spacing w:line="44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(2)</w:t>
      </w:r>
      <w:r>
        <w:rPr>
          <w:rFonts w:hint="eastAsia" w:ascii="宋体" w:hAnsi="宋体" w:eastAsia="宋体" w:cs="宋体"/>
          <w:color w:val="auto"/>
          <w:highlight w:val="none"/>
        </w:rPr>
        <w:t xml:space="preserve"> 大写金额和小写金额不一致的，以大写金额为准；</w:t>
      </w:r>
    </w:p>
    <w:p w14:paraId="7CD4DBC9">
      <w:pPr>
        <w:pStyle w:val="32"/>
        <w:keepNext w:val="0"/>
        <w:keepLines w:val="0"/>
        <w:pageBreakBefore w:val="0"/>
        <w:widowControl w:val="0"/>
        <w:tabs>
          <w:tab w:val="left" w:pos="1099"/>
        </w:tabs>
        <w:kinsoku/>
        <w:wordWrap/>
        <w:overflowPunct/>
        <w:topLinePunct w:val="0"/>
        <w:autoSpaceDE/>
        <w:autoSpaceDN/>
        <w:bidi w:val="0"/>
        <w:adjustRightInd/>
        <w:snapToGrid/>
        <w:spacing w:line="44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(3)</w:t>
      </w:r>
      <w:r>
        <w:rPr>
          <w:rFonts w:hint="eastAsia" w:ascii="宋体" w:hAnsi="宋体" w:eastAsia="宋体" w:cs="宋体"/>
          <w:color w:val="auto"/>
          <w:highlight w:val="none"/>
        </w:rPr>
        <w:t xml:space="preserve"> 总价金额与依据单价计算出的结果不一致的，以单价金额为准修正总价，但单价金额小数点有明显错误的除外；</w:t>
      </w:r>
    </w:p>
    <w:p w14:paraId="49711EAA">
      <w:pPr>
        <w:pStyle w:val="32"/>
        <w:keepNext w:val="0"/>
        <w:keepLines w:val="0"/>
        <w:pageBreakBefore w:val="0"/>
        <w:widowControl w:val="0"/>
        <w:tabs>
          <w:tab w:val="left" w:pos="1099"/>
        </w:tabs>
        <w:kinsoku/>
        <w:wordWrap/>
        <w:overflowPunct/>
        <w:topLinePunct w:val="0"/>
        <w:autoSpaceDE/>
        <w:autoSpaceDN/>
        <w:bidi w:val="0"/>
        <w:adjustRightInd/>
        <w:snapToGrid/>
        <w:spacing w:line="44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(4) 当单价与数量相乘不等于合价时，以单价计算为准，如果单价有明显的小数点位置差错，应以标出的合价为准，同时对单价予以修正</w:t>
      </w:r>
      <w:r>
        <w:rPr>
          <w:rFonts w:hint="eastAsia" w:ascii="宋体" w:hAnsi="宋体" w:eastAsia="宋体" w:cs="宋体"/>
          <w:color w:val="auto"/>
          <w:highlight w:val="none"/>
        </w:rPr>
        <w:t>。</w:t>
      </w:r>
    </w:p>
    <w:p w14:paraId="37ED2171">
      <w:pPr>
        <w:pStyle w:val="32"/>
        <w:keepNext w:val="0"/>
        <w:keepLines w:val="0"/>
        <w:pageBreakBefore w:val="0"/>
        <w:widowControl w:val="0"/>
        <w:tabs>
          <w:tab w:val="left" w:pos="1099"/>
        </w:tabs>
        <w:kinsoku/>
        <w:wordWrap/>
        <w:overflowPunct/>
        <w:topLinePunct w:val="0"/>
        <w:autoSpaceDE/>
        <w:autoSpaceDN/>
        <w:bidi w:val="0"/>
        <w:adjustRightInd/>
        <w:snapToGrid/>
        <w:spacing w:line="44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5</w:t>
      </w:r>
      <w:r>
        <w:rPr>
          <w:rFonts w:hint="eastAsia" w:ascii="宋体" w:hAnsi="宋体" w:cs="宋体"/>
          <w:color w:val="auto"/>
          <w:highlight w:val="none"/>
          <w:lang w:eastAsia="zh-CN"/>
        </w:rPr>
        <w:t>）</w:t>
      </w:r>
      <w:r>
        <w:rPr>
          <w:rFonts w:hint="eastAsia" w:ascii="宋体" w:hAnsi="宋体" w:eastAsia="宋体" w:cs="宋体"/>
          <w:color w:val="auto"/>
          <w:highlight w:val="none"/>
        </w:rPr>
        <w:t>当各子目的合价累计不等于总价时，应以各子目合价累计数为准，修正总价。</w:t>
      </w:r>
    </w:p>
    <w:p w14:paraId="77D3B247">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同时出现两种以上不一致的，按照前款规定的顺序修正。修正后的报价（不得超出响应文件的范围或者改变响应文件的实质性内容）经磋商供应商确认后产生约束力，磋商供应商不确认的，作无效响应处理。</w:t>
      </w:r>
    </w:p>
    <w:p w14:paraId="68CAC1BD">
      <w:pPr>
        <w:pStyle w:val="4"/>
        <w:keepNext w:val="0"/>
        <w:keepLines w:val="0"/>
        <w:pageBreakBefore w:val="0"/>
        <w:widowControl w:val="0"/>
        <w:numPr>
          <w:ilvl w:val="0"/>
          <w:numId w:val="2"/>
        </w:numPr>
        <w:kinsoku/>
        <w:wordWrap/>
        <w:overflowPunct/>
        <w:topLinePunct w:val="0"/>
        <w:bidi w:val="0"/>
        <w:spacing w:before="0" w:after="0" w:line="440" w:lineRule="exact"/>
        <w:ind w:firstLine="422" w:firstLineChars="200"/>
        <w:textAlignment w:val="auto"/>
        <w:rPr>
          <w:rFonts w:hint="eastAsia" w:ascii="宋体" w:hAnsi="宋体" w:eastAsia="宋体" w:cs="宋体"/>
          <w:color w:val="auto"/>
          <w:sz w:val="21"/>
          <w:szCs w:val="21"/>
          <w:highlight w:val="none"/>
        </w:rPr>
      </w:pPr>
      <w:bookmarkStart w:id="109" w:name="_Toc21012"/>
      <w:bookmarkStart w:id="110" w:name="_Toc27193"/>
      <w:r>
        <w:rPr>
          <w:rFonts w:hint="eastAsia" w:ascii="宋体" w:hAnsi="宋体" w:eastAsia="宋体" w:cs="宋体"/>
          <w:color w:val="auto"/>
          <w:sz w:val="21"/>
          <w:szCs w:val="21"/>
          <w:highlight w:val="none"/>
        </w:rPr>
        <w:t>评审程序及磋商要求</w:t>
      </w:r>
      <w:bookmarkEnd w:id="109"/>
      <w:bookmarkEnd w:id="110"/>
    </w:p>
    <w:p w14:paraId="5B36A23C">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22.</w:t>
      </w:r>
      <w:r>
        <w:rPr>
          <w:rFonts w:hint="eastAsia" w:ascii="宋体" w:hAnsi="宋体" w:eastAsia="宋体" w:cs="宋体"/>
          <w:color w:val="auto"/>
          <w:szCs w:val="21"/>
          <w:highlight w:val="none"/>
        </w:rPr>
        <w:t>1磋商小组成员的通讯工具或相关电子设备交由桂林市公共资源交易中心统一保管后到达评标室，采购代理机构核实磋商小组成员身份，告知回避要求，宣布评审工作纪律和程序，推选磋商小组组长。</w:t>
      </w:r>
    </w:p>
    <w:p w14:paraId="2119D88B">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22.</w:t>
      </w:r>
      <w:r>
        <w:rPr>
          <w:rFonts w:hint="eastAsia" w:ascii="宋体" w:hAnsi="宋体" w:eastAsia="宋体" w:cs="宋体"/>
          <w:color w:val="auto"/>
          <w:szCs w:val="21"/>
          <w:highlight w:val="none"/>
        </w:rPr>
        <w:t>2磋商小组应当对发布公告的竞争性磋商文件（简称磋商文件）进行确认，审查供应商的响应文件并作出评价；要求供应商解释或者澄清其响应文件；编写评审报告；告知采购人、采购代理机构在评审过程中发现的供应商的违法违规行为。</w:t>
      </w:r>
    </w:p>
    <w:p w14:paraId="0D3CED40">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22.</w:t>
      </w:r>
      <w:r>
        <w:rPr>
          <w:rFonts w:hint="eastAsia" w:ascii="宋体" w:hAnsi="宋体" w:eastAsia="宋体" w:cs="宋体"/>
          <w:color w:val="auto"/>
          <w:szCs w:val="21"/>
          <w:highlight w:val="none"/>
        </w:rPr>
        <w:t xml:space="preserve">3 磋商小组依据竞争性磋商文件的规定，首先对响应文件进行资格性审查，以确定供应商是否具备本项 目供应商资格；再对通过资格性审查的供应商响应文件的有效性、完整性和对磋商文件的响应程度进行符合性 审查，以确定是否对磋商文件的实质性要求做出响应。 </w:t>
      </w:r>
    </w:p>
    <w:p w14:paraId="17F8C861">
      <w:pPr>
        <w:keepNext w:val="0"/>
        <w:keepLines w:val="0"/>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cs="宋体"/>
          <w:b/>
          <w:bCs/>
          <w:color w:val="auto"/>
          <w:szCs w:val="21"/>
          <w:highlight w:val="none"/>
          <w:lang w:eastAsia="zh-CN"/>
        </w:rPr>
        <w:t>22.</w:t>
      </w:r>
      <w:r>
        <w:rPr>
          <w:rFonts w:hint="eastAsia" w:ascii="宋体" w:hAnsi="宋体" w:eastAsia="宋体" w:cs="宋体"/>
          <w:b/>
          <w:bCs/>
          <w:color w:val="auto"/>
          <w:szCs w:val="21"/>
          <w:highlight w:val="none"/>
        </w:rPr>
        <w:t>4 磋商小组在对供应商进行资格性审查时，将对供应商企业股东及出资等信息进行查询。根据 《 中华人民共和国政府采购法实施条例 》 第十八条第一款规定，审查中如发现供应商存在单位负责人为同一人或者存在直接控股、管理关系的不同供应商参加同一合同项下的政府采购活动的，按响应文件无效处理 。</w:t>
      </w:r>
    </w:p>
    <w:p w14:paraId="45879C01">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22.</w:t>
      </w:r>
      <w:r>
        <w:rPr>
          <w:rFonts w:hint="eastAsia" w:ascii="宋体" w:hAnsi="宋体" w:eastAsia="宋体" w:cs="宋体"/>
          <w:color w:val="auto"/>
          <w:szCs w:val="21"/>
          <w:highlight w:val="none"/>
        </w:rPr>
        <w:t>4.1 查询渠道：《国家企业信用信息公示系统》（网址：www.gsxt.gov.cn/index.html）</w:t>
      </w:r>
      <w:r>
        <w:rPr>
          <w:rFonts w:hint="eastAsia" w:ascii="宋体" w:hAnsi="宋体" w:cs="宋体"/>
          <w:color w:val="auto"/>
          <w:szCs w:val="21"/>
          <w:highlight w:val="none"/>
          <w:lang w:val="en-US" w:eastAsia="zh-CN"/>
        </w:rPr>
        <w:t>；</w:t>
      </w:r>
    </w:p>
    <w:p w14:paraId="2081585D">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22.</w:t>
      </w:r>
      <w:r>
        <w:rPr>
          <w:rFonts w:hint="eastAsia" w:ascii="宋体" w:hAnsi="宋体" w:eastAsia="宋体" w:cs="宋体"/>
          <w:color w:val="auto"/>
          <w:szCs w:val="21"/>
          <w:highlight w:val="none"/>
        </w:rPr>
        <w:t>4.2 审查流程：</w:t>
      </w:r>
    </w:p>
    <w:p w14:paraId="4A93E900">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（1）进入《国家企业信用信息公示系统》（网址：www.gsxt.gov.cn/index.html），输入企业名称，进入企业信息主页面；</w:t>
      </w:r>
    </w:p>
    <w:p w14:paraId="15E384B2">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（2）查看主页“股东及出资信息”栏，或年报中的“股东及出资信息”栏信息；</w:t>
      </w:r>
    </w:p>
    <w:p w14:paraId="0175432F">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（3）将各供应商的股东及出资信息进行比对，得出审查结论；</w:t>
      </w:r>
    </w:p>
    <w:p w14:paraId="2C081B7C">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（4）将相关资料作为评审资料打印存档。</w:t>
      </w:r>
    </w:p>
    <w:p w14:paraId="22CCE649">
      <w:pPr>
        <w:keepNext w:val="0"/>
        <w:keepLines w:val="0"/>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cs="宋体"/>
          <w:b/>
          <w:bCs/>
          <w:color w:val="auto"/>
          <w:szCs w:val="21"/>
          <w:highlight w:val="none"/>
          <w:lang w:eastAsia="zh-CN"/>
        </w:rPr>
        <w:t>22.</w:t>
      </w:r>
      <w:r>
        <w:rPr>
          <w:rFonts w:hint="eastAsia" w:ascii="宋体" w:hAnsi="宋体" w:eastAsia="宋体" w:cs="宋体"/>
          <w:b/>
          <w:bCs/>
          <w:color w:val="auto"/>
          <w:szCs w:val="21"/>
          <w:highlight w:val="none"/>
        </w:rPr>
        <w:t>5 磋商小组如发现供应商提供的证明文件不齐全或不符合规定格式的，应一次性告知供应商，供应商应在规定的时间内</w:t>
      </w:r>
      <w:r>
        <w:rPr>
          <w:rFonts w:hint="eastAsia" w:ascii="宋体" w:hAnsi="宋体" w:eastAsia="宋体" w:cs="宋体"/>
          <w:b/>
          <w:bCs/>
          <w:color w:val="auto"/>
          <w:szCs w:val="21"/>
          <w:highlight w:val="none"/>
          <w:lang w:eastAsia="zh-CN"/>
        </w:rPr>
        <w:t>线上</w:t>
      </w:r>
      <w:r>
        <w:rPr>
          <w:rFonts w:hint="eastAsia" w:ascii="宋体" w:hAnsi="宋体" w:eastAsia="宋体" w:cs="宋体"/>
          <w:b/>
          <w:bCs/>
          <w:color w:val="auto"/>
          <w:szCs w:val="21"/>
          <w:highlight w:val="none"/>
        </w:rPr>
        <w:t>补正或更正。</w:t>
      </w:r>
    </w:p>
    <w:p w14:paraId="2F0B36A3">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22.</w:t>
      </w:r>
      <w:r>
        <w:rPr>
          <w:rFonts w:hint="eastAsia" w:ascii="宋体" w:hAnsi="宋体" w:eastAsia="宋体" w:cs="宋体"/>
          <w:color w:val="auto"/>
          <w:szCs w:val="21"/>
          <w:highlight w:val="none"/>
        </w:rPr>
        <w:t>6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澄清、说明或者更正应由其法定代表人或相应的授权委托代表签字</w:t>
      </w:r>
      <w:r>
        <w:rPr>
          <w:rFonts w:hint="eastAsia" w:ascii="宋体" w:hAnsi="宋体" w:eastAsia="宋体" w:cs="宋体"/>
          <w:color w:val="auto"/>
          <w:szCs w:val="21"/>
          <w:highlight w:val="none"/>
          <w:lang w:eastAsia="zh-CN"/>
        </w:rPr>
        <w:t>（</w:t>
      </w:r>
      <w:r>
        <w:rPr>
          <w:rFonts w:hint="eastAsia" w:ascii="宋体" w:hAnsi="宋体" w:eastAsia="宋体" w:cs="宋体"/>
          <w:color w:val="auto"/>
          <w:highlight w:val="none"/>
          <w:lang w:val="en-US" w:eastAsia="zh-CN"/>
        </w:rPr>
        <w:t>个人</w:t>
      </w:r>
      <w:r>
        <w:rPr>
          <w:rFonts w:hint="eastAsia" w:ascii="宋体" w:hAnsi="宋体" w:cs="宋体"/>
          <w:color w:val="auto"/>
          <w:highlight w:val="none"/>
          <w:lang w:val="en-US" w:eastAsia="zh-CN"/>
        </w:rPr>
        <w:t>数字证书（CA认证）</w:t>
      </w:r>
      <w:r>
        <w:rPr>
          <w:rFonts w:hint="eastAsia" w:ascii="宋体" w:hAnsi="宋体" w:eastAsia="宋体" w:cs="宋体"/>
          <w:color w:val="auto"/>
          <w:highlight w:val="none"/>
          <w:lang w:val="en-US" w:eastAsia="zh-CN"/>
        </w:rPr>
        <w:t>签章)</w:t>
      </w:r>
      <w:r>
        <w:rPr>
          <w:rFonts w:hint="eastAsia" w:ascii="宋体" w:hAnsi="宋体" w:eastAsia="宋体" w:cs="宋体"/>
          <w:color w:val="auto"/>
          <w:szCs w:val="21"/>
          <w:highlight w:val="none"/>
        </w:rPr>
        <w:t>或者加盖供应商公章</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数字证书（CA认证）</w:t>
      </w:r>
      <w:r>
        <w:rPr>
          <w:rFonts w:hint="eastAsia" w:ascii="宋体" w:hAnsi="宋体" w:eastAsia="宋体" w:cs="宋体"/>
          <w:color w:val="auto"/>
          <w:szCs w:val="21"/>
          <w:highlight w:val="none"/>
          <w:lang w:val="en-US" w:eastAsia="zh-CN"/>
        </w:rPr>
        <w:t>签章)</w:t>
      </w:r>
      <w:r>
        <w:rPr>
          <w:rFonts w:hint="eastAsia" w:ascii="宋体" w:hAnsi="宋体" w:eastAsia="宋体" w:cs="宋体"/>
          <w:color w:val="auto"/>
          <w:szCs w:val="21"/>
          <w:highlight w:val="none"/>
        </w:rPr>
        <w:t>。</w:t>
      </w:r>
    </w:p>
    <w:p w14:paraId="08EEAA91">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根据磋商文件规定的程序、评定成交的标准等事项与实质性响应竞争性磋商文件要求的供应商进行磋商。 </w:t>
      </w:r>
    </w:p>
    <w:p w14:paraId="0FFE68D3">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未实质性响应磋商文件的响应文件按无效处理，磋商小组应当告知有关供应商。 </w:t>
      </w:r>
    </w:p>
    <w:p w14:paraId="2E251C1D">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磋商小组所有成员应当按已确定的磋商顺序集中与单一供应商分别进行磋商，并给予所有实质性响应竞争性磋商文件要求的供应商平等的磋商机会。 </w:t>
      </w:r>
    </w:p>
    <w:p w14:paraId="2A07869E">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磋商中，磋商小组不得透露与磋商有关的其他供应商的技术资料、价格和其他信息。 </w:t>
      </w:r>
    </w:p>
    <w:p w14:paraId="4107BD4D">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磋商小组对磋商过程和重要磋商内容进行记录，磋商双方在记录上签字确认。 </w:t>
      </w:r>
    </w:p>
    <w:p w14:paraId="37C078A8">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cs="宋体"/>
          <w:color w:val="auto"/>
          <w:szCs w:val="21"/>
          <w:highlight w:val="none"/>
          <w:lang w:eastAsia="zh-CN"/>
        </w:rPr>
        <w:t>22.</w:t>
      </w:r>
      <w:r>
        <w:rPr>
          <w:rFonts w:hint="eastAsia" w:ascii="宋体" w:hAnsi="宋体" w:eastAsia="宋体" w:cs="宋体"/>
          <w:color w:val="auto"/>
          <w:szCs w:val="21"/>
          <w:highlight w:val="none"/>
        </w:rPr>
        <w:t>7当磋商小组一致确定磋商供应商的竞争性磋商响应文件能够详细列明采购标的的技术、服务要求且符合竞争性磋商文件要求，无需再磋商的，磋商小组按竞争性磋商文件设定的</w:t>
      </w:r>
      <w:r>
        <w:rPr>
          <w:rFonts w:hint="eastAsia" w:ascii="宋体" w:hAnsi="宋体" w:cs="宋体"/>
          <w:color w:val="auto"/>
          <w:szCs w:val="21"/>
          <w:highlight w:val="none"/>
          <w:lang w:eastAsia="zh-CN"/>
        </w:rPr>
        <w:t>22.</w:t>
      </w:r>
      <w:r>
        <w:rPr>
          <w:rFonts w:hint="eastAsia" w:ascii="宋体" w:hAnsi="宋体" w:eastAsia="宋体" w:cs="宋体"/>
          <w:color w:val="auto"/>
          <w:szCs w:val="21"/>
          <w:highlight w:val="none"/>
        </w:rPr>
        <w:t>11、</w:t>
      </w:r>
      <w:r>
        <w:rPr>
          <w:rFonts w:hint="eastAsia" w:ascii="宋体" w:hAnsi="宋体" w:cs="宋体"/>
          <w:color w:val="auto"/>
          <w:szCs w:val="21"/>
          <w:highlight w:val="none"/>
          <w:lang w:eastAsia="zh-CN"/>
        </w:rPr>
        <w:t>22.</w:t>
      </w:r>
      <w:r>
        <w:rPr>
          <w:rFonts w:hint="eastAsia" w:ascii="宋体" w:hAnsi="宋体" w:eastAsia="宋体" w:cs="宋体"/>
          <w:color w:val="auto"/>
          <w:szCs w:val="21"/>
          <w:highlight w:val="none"/>
        </w:rPr>
        <w:t>16程序和综合评分法确定成交候选人。第一轮磋商后竞争性磋商文件有实质性变动或仍需磋商的，磋商小组对竞争性磋商文件变动或提出磋商意见后进行第二轮磋商。</w:t>
      </w:r>
    </w:p>
    <w:p w14:paraId="36E5914F">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22.</w:t>
      </w:r>
      <w:r>
        <w:rPr>
          <w:rFonts w:hint="eastAsia" w:ascii="宋体" w:hAnsi="宋体" w:eastAsia="宋体" w:cs="宋体"/>
          <w:color w:val="auto"/>
          <w:szCs w:val="21"/>
          <w:highlight w:val="none"/>
        </w:rPr>
        <w:t xml:space="preserve">8 在磋商过程中，磋商小组可以根据磋商文件和磋商情况实质性变动项目需求中的技术、服务要求以及合同草案条款，但不得变动磋商文件中的其他内容。实质性变动的内容，须经采购人代表确认。 </w:t>
      </w:r>
    </w:p>
    <w:p w14:paraId="718F236D">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对磋商文件作出的实质性变动是磋商文件的有效组成部分，磋商小组应当及时</w:t>
      </w:r>
      <w:r>
        <w:rPr>
          <w:rFonts w:hint="eastAsia" w:ascii="宋体" w:hAnsi="宋体" w:eastAsia="宋体" w:cs="宋体"/>
          <w:color w:val="auto"/>
          <w:szCs w:val="21"/>
          <w:highlight w:val="none"/>
          <w:lang w:eastAsia="zh-CN"/>
        </w:rPr>
        <w:t>通过</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lang w:eastAsia="zh-CN"/>
        </w:rPr>
        <w:t>同时</w:t>
      </w:r>
      <w:r>
        <w:rPr>
          <w:rFonts w:hint="eastAsia" w:ascii="宋体" w:hAnsi="宋体" w:eastAsia="宋体" w:cs="宋体"/>
          <w:color w:val="auto"/>
          <w:szCs w:val="21"/>
          <w:highlight w:val="none"/>
        </w:rPr>
        <w:t xml:space="preserve">通知所有参加磋商的供应商。 </w:t>
      </w:r>
    </w:p>
    <w:p w14:paraId="6CA0E295">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供应商应当按照磋商文件的变动情况和磋商小组的要求重新提交响应文件，并由其法定代表人、负责人、</w:t>
      </w:r>
      <w:r>
        <w:rPr>
          <w:rFonts w:hint="eastAsia" w:ascii="宋体" w:hAnsi="宋体" w:eastAsia="宋体" w:cs="宋体"/>
          <w:color w:val="auto"/>
          <w:szCs w:val="21"/>
          <w:highlight w:val="none"/>
          <w:lang w:eastAsia="zh-CN"/>
        </w:rPr>
        <w:t>自然人或相应的授权委托代表签字（个人</w:t>
      </w:r>
      <w:r>
        <w:rPr>
          <w:rFonts w:hint="eastAsia" w:ascii="宋体" w:hAnsi="宋体" w:cs="宋体"/>
          <w:color w:val="auto"/>
          <w:szCs w:val="21"/>
          <w:highlight w:val="none"/>
          <w:lang w:val="en-US" w:eastAsia="zh-CN"/>
        </w:rPr>
        <w:t>数字证书（CA认证）</w:t>
      </w:r>
      <w:r>
        <w:rPr>
          <w:rFonts w:hint="eastAsia" w:ascii="宋体" w:hAnsi="宋体" w:eastAsia="宋体" w:cs="宋体"/>
          <w:color w:val="auto"/>
          <w:szCs w:val="21"/>
          <w:highlight w:val="none"/>
          <w:lang w:val="en-US" w:eastAsia="zh-CN"/>
        </w:rPr>
        <w:t>签章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或者加盖供应商公章</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数字证书（CA认证）</w:t>
      </w:r>
      <w:r>
        <w:rPr>
          <w:rFonts w:hint="eastAsia" w:ascii="宋体" w:hAnsi="宋体" w:eastAsia="宋体" w:cs="宋体"/>
          <w:color w:val="auto"/>
          <w:szCs w:val="21"/>
          <w:highlight w:val="none"/>
          <w:lang w:val="en-US" w:eastAsia="zh-CN"/>
        </w:rPr>
        <w:t>签章)</w:t>
      </w:r>
      <w:r>
        <w:rPr>
          <w:rFonts w:hint="eastAsia" w:ascii="宋体" w:hAnsi="宋体" w:eastAsia="宋体" w:cs="宋体"/>
          <w:color w:val="auto"/>
          <w:szCs w:val="21"/>
          <w:highlight w:val="none"/>
        </w:rPr>
        <w:t xml:space="preserve">。逾时不交的，视同放弃磋商。 </w:t>
      </w:r>
    </w:p>
    <w:p w14:paraId="0BB57D4A">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22.</w:t>
      </w:r>
      <w:r>
        <w:rPr>
          <w:rFonts w:hint="eastAsia" w:ascii="宋体" w:hAnsi="宋体" w:eastAsia="宋体" w:cs="宋体"/>
          <w:color w:val="auto"/>
          <w:szCs w:val="21"/>
          <w:highlight w:val="none"/>
        </w:rPr>
        <w:t>9 第二轮磋商</w:t>
      </w:r>
    </w:p>
    <w:p w14:paraId="2535508D">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磋商小组集中就重新提交的响应文件或磋商小组提出的磋商意见与单一响应供应商分别进行磋商。磋商小组对磋商过程和重要磋商内容进行记录，磋商双方在记录上签字确认</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数字证书（CA认证）</w:t>
      </w:r>
      <w:r>
        <w:rPr>
          <w:rFonts w:hint="eastAsia" w:ascii="宋体" w:hAnsi="宋体" w:eastAsia="宋体" w:cs="宋体"/>
          <w:color w:val="auto"/>
          <w:szCs w:val="21"/>
          <w:highlight w:val="none"/>
          <w:lang w:val="en-US" w:eastAsia="zh-CN"/>
        </w:rPr>
        <w:t>签章确认</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p>
    <w:p w14:paraId="227888F2">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磋商后，供应商根据磋商小组统一整理的书面磋商记录要求做出书面承诺，并由其法定代表人或授权代表签字或者加盖公章</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数字证书（CA认证）</w:t>
      </w:r>
      <w:r>
        <w:rPr>
          <w:rFonts w:hint="eastAsia" w:ascii="宋体" w:hAnsi="宋体" w:eastAsia="宋体" w:cs="宋体"/>
          <w:color w:val="auto"/>
          <w:szCs w:val="21"/>
          <w:highlight w:val="none"/>
          <w:lang w:val="en-US" w:eastAsia="zh-CN"/>
        </w:rPr>
        <w:t>签章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后按时</w:t>
      </w:r>
      <w:r>
        <w:rPr>
          <w:rFonts w:hint="eastAsia" w:ascii="宋体" w:hAnsi="宋体" w:eastAsia="宋体" w:cs="宋体"/>
          <w:color w:val="auto"/>
          <w:szCs w:val="21"/>
          <w:highlight w:val="none"/>
          <w:lang w:eastAsia="zh-CN"/>
        </w:rPr>
        <w:t>线上</w:t>
      </w:r>
      <w:r>
        <w:rPr>
          <w:rFonts w:hint="eastAsia" w:ascii="宋体" w:hAnsi="宋体" w:eastAsia="宋体" w:cs="宋体"/>
          <w:color w:val="auto"/>
          <w:szCs w:val="21"/>
          <w:highlight w:val="none"/>
          <w:lang w:val="en-US" w:eastAsia="zh-CN"/>
        </w:rPr>
        <w:t>提交</w:t>
      </w:r>
      <w:r>
        <w:rPr>
          <w:rFonts w:hint="eastAsia" w:ascii="宋体" w:hAnsi="宋体" w:eastAsia="宋体" w:cs="宋体"/>
          <w:color w:val="auto"/>
          <w:szCs w:val="21"/>
          <w:highlight w:val="none"/>
        </w:rPr>
        <w:t>。</w:t>
      </w:r>
    </w:p>
    <w:p w14:paraId="79D4B94D">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当磋商小组一致确定供应商的竞争性磋商响应文件符合竞争性磋商文件要求，无需再磋商的，磋商小组按竞争性磋商文件设定的</w:t>
      </w:r>
      <w:r>
        <w:rPr>
          <w:rFonts w:hint="eastAsia" w:ascii="宋体" w:hAnsi="宋体" w:cs="宋体"/>
          <w:color w:val="auto"/>
          <w:szCs w:val="21"/>
          <w:highlight w:val="none"/>
          <w:lang w:eastAsia="zh-CN"/>
        </w:rPr>
        <w:t>22.</w:t>
      </w:r>
      <w:r>
        <w:rPr>
          <w:rFonts w:hint="eastAsia" w:ascii="宋体" w:hAnsi="宋体" w:eastAsia="宋体" w:cs="宋体"/>
          <w:color w:val="auto"/>
          <w:szCs w:val="21"/>
          <w:highlight w:val="none"/>
        </w:rPr>
        <w:t>11、</w:t>
      </w:r>
      <w:r>
        <w:rPr>
          <w:rFonts w:hint="eastAsia" w:ascii="宋体" w:hAnsi="宋体" w:cs="宋体"/>
          <w:color w:val="auto"/>
          <w:szCs w:val="21"/>
          <w:highlight w:val="none"/>
          <w:lang w:eastAsia="zh-CN"/>
        </w:rPr>
        <w:t>22.</w:t>
      </w:r>
      <w:r>
        <w:rPr>
          <w:rFonts w:hint="eastAsia" w:ascii="宋体" w:hAnsi="宋体" w:eastAsia="宋体" w:cs="宋体"/>
          <w:color w:val="auto"/>
          <w:szCs w:val="21"/>
          <w:highlight w:val="none"/>
        </w:rPr>
        <w:t>16程序和评审方法确定成交候选人。第二轮磋商后竞争性磋商文件仍有实质性变动的或仍需磋商的，磋商小组对竞争性磋商文件变动或提出磋商意见后进行第三轮磋商。以此类推。</w:t>
      </w:r>
    </w:p>
    <w:p w14:paraId="642FEC36">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22.</w:t>
      </w:r>
      <w:r>
        <w:rPr>
          <w:rFonts w:hint="eastAsia" w:ascii="宋体" w:hAnsi="宋体" w:eastAsia="宋体" w:cs="宋体"/>
          <w:color w:val="auto"/>
          <w:szCs w:val="21"/>
          <w:highlight w:val="none"/>
        </w:rPr>
        <w:t xml:space="preserve">10 在采购过程中符合竞争要求的供应商或者报价未超过采购预算的供应商不足 3 家的，采购人或者采购代理机构应当终止竞争性磋商采购活动。 </w:t>
      </w:r>
    </w:p>
    <w:p w14:paraId="47727F3A">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22.</w:t>
      </w:r>
      <w:r>
        <w:rPr>
          <w:rFonts w:hint="eastAsia" w:ascii="宋体" w:hAnsi="宋体" w:eastAsia="宋体" w:cs="宋体"/>
          <w:color w:val="auto"/>
          <w:szCs w:val="21"/>
          <w:highlight w:val="none"/>
        </w:rPr>
        <w:t xml:space="preserve">11 最后报价 </w:t>
      </w:r>
    </w:p>
    <w:p w14:paraId="2CED0281">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22.</w:t>
      </w:r>
      <w:r>
        <w:rPr>
          <w:rFonts w:hint="eastAsia" w:ascii="宋体" w:hAnsi="宋体" w:eastAsia="宋体" w:cs="宋体"/>
          <w:color w:val="auto"/>
          <w:szCs w:val="21"/>
          <w:highlight w:val="none"/>
        </w:rPr>
        <w:t>11.1 磋商文件能够详细列明采购标的的质量要求的，磋商结束后，磋商小组应当要求所有继续参加磋商的供应商在规定时间内</w:t>
      </w:r>
      <w:r>
        <w:rPr>
          <w:rFonts w:hint="eastAsia" w:ascii="宋体" w:hAnsi="宋体" w:eastAsia="宋体" w:cs="宋体"/>
          <w:color w:val="auto"/>
          <w:szCs w:val="21"/>
          <w:highlight w:val="none"/>
          <w:lang w:eastAsia="zh-CN"/>
        </w:rPr>
        <w:t>线上</w:t>
      </w:r>
      <w:r>
        <w:rPr>
          <w:rFonts w:hint="eastAsia" w:ascii="宋体" w:hAnsi="宋体" w:eastAsia="宋体" w:cs="宋体"/>
          <w:color w:val="auto"/>
          <w:szCs w:val="21"/>
          <w:highlight w:val="none"/>
        </w:rPr>
        <w:t xml:space="preserve">提交最后报价，提交最后报价的供应商不得少于 3 家。 </w:t>
      </w:r>
    </w:p>
    <w:p w14:paraId="64A4086C">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22.</w:t>
      </w:r>
      <w:r>
        <w:rPr>
          <w:rFonts w:hint="eastAsia" w:ascii="宋体" w:hAnsi="宋体" w:eastAsia="宋体" w:cs="宋体"/>
          <w:color w:val="auto"/>
          <w:szCs w:val="21"/>
          <w:highlight w:val="none"/>
        </w:rPr>
        <w:t xml:space="preserve">11.2 </w:t>
      </w:r>
      <w:r>
        <w:rPr>
          <w:rFonts w:hint="eastAsia" w:ascii="宋体" w:hAnsi="宋体" w:cs="宋体"/>
          <w:color w:val="auto"/>
          <w:szCs w:val="21"/>
          <w:highlight w:val="none"/>
        </w:rPr>
        <w:t>磋商文件不能详细列明采购标的的施工要求，需经磋商由供应商提供最终设计方案或解决方案的</w:t>
      </w:r>
      <w:r>
        <w:rPr>
          <w:rFonts w:hint="eastAsia" w:ascii="宋体" w:hAnsi="宋体" w:eastAsia="宋体" w:cs="宋体"/>
          <w:color w:val="auto"/>
          <w:szCs w:val="21"/>
          <w:highlight w:val="none"/>
        </w:rPr>
        <w:t>，磋商结束后，磋商小组应当按照少数服从多数的原则投票推荐 3 家以上（含 3 家）供应商的设计方案或者解决方案，并要求其在规定时间内</w:t>
      </w:r>
      <w:r>
        <w:rPr>
          <w:rFonts w:hint="eastAsia" w:ascii="宋体" w:hAnsi="宋体" w:eastAsia="宋体" w:cs="宋体"/>
          <w:color w:val="auto"/>
          <w:szCs w:val="21"/>
          <w:highlight w:val="none"/>
          <w:lang w:eastAsia="zh-CN"/>
        </w:rPr>
        <w:t>线上</w:t>
      </w:r>
      <w:r>
        <w:rPr>
          <w:rFonts w:hint="eastAsia" w:ascii="宋体" w:hAnsi="宋体" w:eastAsia="宋体" w:cs="宋体"/>
          <w:color w:val="auto"/>
          <w:szCs w:val="21"/>
          <w:highlight w:val="none"/>
        </w:rPr>
        <w:t xml:space="preserve">提交最后报价。 </w:t>
      </w:r>
    </w:p>
    <w:p w14:paraId="35B0E557">
      <w:pPr>
        <w:keepNext w:val="0"/>
        <w:keepLines w:val="0"/>
        <w:pageBreakBefore w:val="0"/>
        <w:widowControl w:val="0"/>
        <w:kinsoku/>
        <w:wordWrap/>
        <w:overflowPunct/>
        <w:topLinePunct w:val="0"/>
        <w:bidi w:val="0"/>
        <w:spacing w:line="44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22.</w:t>
      </w:r>
      <w:r>
        <w:rPr>
          <w:rFonts w:hint="eastAsia" w:ascii="宋体" w:hAnsi="宋体" w:eastAsia="宋体" w:cs="宋体"/>
          <w:color w:val="auto"/>
          <w:szCs w:val="21"/>
          <w:highlight w:val="none"/>
          <w:lang w:val="en-US" w:eastAsia="zh-CN"/>
        </w:rPr>
        <w:t>11.3</w:t>
      </w:r>
      <w:r>
        <w:rPr>
          <w:rFonts w:hint="eastAsia" w:hAnsi="宋体" w:cs="宋体"/>
          <w:color w:val="auto"/>
          <w:kern w:val="0"/>
          <w:szCs w:val="21"/>
          <w:highlight w:val="none"/>
        </w:rPr>
        <w:t>最后报价（应答文件）是供应商响应文件的有效组成部分：</w:t>
      </w:r>
      <w:r>
        <w:rPr>
          <w:rFonts w:hint="eastAsia" w:hAnsi="宋体" w:cs="宋体"/>
          <w:b/>
          <w:color w:val="auto"/>
          <w:spacing w:val="-4"/>
          <w:szCs w:val="21"/>
          <w:highlight w:val="none"/>
        </w:rPr>
        <w:t>供应商做</w:t>
      </w:r>
      <w:r>
        <w:rPr>
          <w:rFonts w:hint="eastAsia" w:hAnsi="宋体" w:cs="宋体"/>
          <w:b/>
          <w:color w:val="auto"/>
          <w:spacing w:val="-4"/>
          <w:szCs w:val="21"/>
          <w:highlight w:val="none"/>
          <w:lang w:eastAsia="zh-CN"/>
        </w:rPr>
        <w:t>最后报价</w:t>
      </w:r>
      <w:r>
        <w:rPr>
          <w:rFonts w:hint="eastAsia" w:hAnsi="宋体" w:cs="宋体"/>
          <w:b/>
          <w:color w:val="auto"/>
          <w:spacing w:val="-4"/>
          <w:szCs w:val="21"/>
          <w:highlight w:val="none"/>
        </w:rPr>
        <w:t>时，</w:t>
      </w:r>
      <w:r>
        <w:rPr>
          <w:rFonts w:hint="eastAsia" w:ascii="宋体" w:hAnsi="宋体" w:cs="宋体"/>
          <w:b/>
          <w:color w:val="auto"/>
          <w:szCs w:val="21"/>
        </w:rPr>
        <w:t>供应商的第二次磋商报价</w:t>
      </w:r>
      <w:r>
        <w:rPr>
          <w:rFonts w:hint="eastAsia" w:ascii="宋体" w:hAnsi="宋体" w:cs="宋体"/>
          <w:b/>
          <w:color w:val="auto"/>
          <w:szCs w:val="21"/>
          <w:lang w:eastAsia="zh-CN"/>
        </w:rPr>
        <w:t>（</w:t>
      </w:r>
      <w:r>
        <w:rPr>
          <w:rFonts w:hint="eastAsia" w:ascii="宋体" w:hAnsi="宋体" w:cs="宋体"/>
          <w:b/>
          <w:color w:val="auto"/>
          <w:szCs w:val="21"/>
        </w:rPr>
        <w:t>或总报价</w:t>
      </w:r>
      <w:r>
        <w:rPr>
          <w:rFonts w:hint="eastAsia" w:ascii="宋体" w:hAnsi="宋体" w:cs="宋体"/>
          <w:b/>
          <w:color w:val="auto"/>
          <w:szCs w:val="21"/>
          <w:lang w:eastAsia="zh-CN"/>
        </w:rPr>
        <w:t>）</w:t>
      </w:r>
      <w:r>
        <w:rPr>
          <w:rFonts w:hint="eastAsia" w:ascii="宋体" w:hAnsi="宋体" w:cs="宋体"/>
          <w:b/>
          <w:color w:val="auto"/>
          <w:szCs w:val="21"/>
        </w:rPr>
        <w:t>不得高于该供应商第一次磋商报价</w:t>
      </w:r>
      <w:r>
        <w:rPr>
          <w:rFonts w:hint="eastAsia" w:ascii="宋体" w:hAnsi="宋体" w:cs="宋体"/>
          <w:b/>
          <w:color w:val="auto"/>
          <w:szCs w:val="21"/>
          <w:lang w:eastAsia="zh-CN"/>
        </w:rPr>
        <w:t>（</w:t>
      </w:r>
      <w:r>
        <w:rPr>
          <w:rFonts w:hint="eastAsia" w:ascii="宋体" w:hAnsi="宋体" w:cs="宋体"/>
          <w:b/>
          <w:color w:val="auto"/>
          <w:szCs w:val="21"/>
        </w:rPr>
        <w:t>或总报价</w:t>
      </w:r>
      <w:r>
        <w:rPr>
          <w:rFonts w:hint="eastAsia" w:ascii="宋体" w:hAnsi="宋体" w:cs="宋体"/>
          <w:b/>
          <w:color w:val="auto"/>
          <w:szCs w:val="21"/>
          <w:lang w:eastAsia="zh-CN"/>
        </w:rPr>
        <w:t>）</w:t>
      </w:r>
      <w:r>
        <w:rPr>
          <w:rFonts w:hint="eastAsia" w:ascii="宋体" w:hAnsi="宋体" w:cs="宋体"/>
          <w:b/>
          <w:color w:val="auto"/>
          <w:szCs w:val="21"/>
        </w:rPr>
        <w:t>，否则响应文件做无效处理</w:t>
      </w:r>
      <w:r>
        <w:rPr>
          <w:rFonts w:hint="eastAsia" w:ascii="宋体" w:hAnsi="宋体" w:cs="宋体"/>
          <w:b/>
          <w:color w:val="auto"/>
          <w:szCs w:val="21"/>
          <w:lang w:val="en-US" w:eastAsia="zh-CN"/>
        </w:rPr>
        <w:t>；</w:t>
      </w:r>
      <w:r>
        <w:rPr>
          <w:rFonts w:hint="eastAsia" w:hAnsi="宋体" w:cs="宋体"/>
          <w:b/>
          <w:color w:val="auto"/>
          <w:spacing w:val="-4"/>
          <w:szCs w:val="21"/>
          <w:highlight w:val="none"/>
        </w:rPr>
        <w:t>如供应商维持磋商报价不变</w:t>
      </w:r>
      <w:r>
        <w:rPr>
          <w:rFonts w:hint="eastAsia" w:hAnsi="宋体" w:cs="宋体"/>
          <w:b/>
          <w:color w:val="auto"/>
          <w:spacing w:val="-4"/>
          <w:szCs w:val="21"/>
          <w:highlight w:val="none"/>
          <w:lang w:eastAsia="zh-CN"/>
        </w:rPr>
        <w:t>，</w:t>
      </w:r>
      <w:r>
        <w:rPr>
          <w:rFonts w:hint="eastAsia" w:hAnsi="宋体" w:cs="宋体"/>
          <w:b/>
          <w:color w:val="auto"/>
          <w:spacing w:val="-4"/>
          <w:szCs w:val="21"/>
          <w:highlight w:val="none"/>
        </w:rPr>
        <w:t>以原磋商报价作为供应商最后报价；</w:t>
      </w:r>
      <w:r>
        <w:rPr>
          <w:rFonts w:hint="eastAsia" w:ascii="宋体" w:hAnsi="宋体" w:cs="宋体"/>
          <w:b/>
          <w:bCs/>
          <w:color w:val="auto"/>
          <w:szCs w:val="21"/>
        </w:rPr>
        <w:t>如供应商需要改变原磋商报价</w:t>
      </w:r>
      <w:r>
        <w:rPr>
          <w:rFonts w:hint="eastAsia" w:ascii="宋体" w:hAnsi="宋体" w:cs="宋体"/>
          <w:b/>
          <w:bCs/>
          <w:color w:val="auto"/>
          <w:szCs w:val="21"/>
          <w:lang w:eastAsia="zh-CN"/>
        </w:rPr>
        <w:t>（</w:t>
      </w:r>
      <w:r>
        <w:rPr>
          <w:rFonts w:hint="eastAsia" w:ascii="宋体" w:hAnsi="宋体" w:cs="宋体"/>
          <w:b/>
          <w:color w:val="auto"/>
          <w:szCs w:val="21"/>
        </w:rPr>
        <w:t>或总报价</w:t>
      </w:r>
      <w:r>
        <w:rPr>
          <w:rFonts w:hint="eastAsia" w:ascii="宋体" w:hAnsi="宋体" w:cs="宋体"/>
          <w:b/>
          <w:color w:val="auto"/>
          <w:szCs w:val="21"/>
          <w:lang w:eastAsia="zh-CN"/>
        </w:rPr>
        <w:t>）</w:t>
      </w:r>
      <w:r>
        <w:rPr>
          <w:rFonts w:hint="eastAsia" w:ascii="宋体" w:hAnsi="宋体" w:cs="宋体"/>
          <w:b/>
          <w:bCs/>
          <w:color w:val="auto"/>
          <w:szCs w:val="21"/>
        </w:rPr>
        <w:t>时，</w:t>
      </w:r>
      <w:r>
        <w:rPr>
          <w:rFonts w:hint="eastAsia" w:hAnsi="宋体" w:cs="宋体"/>
          <w:b/>
          <w:color w:val="auto"/>
          <w:spacing w:val="-4"/>
          <w:szCs w:val="21"/>
          <w:highlight w:val="none"/>
        </w:rPr>
        <w:t>供应商应预先准备好调整后的完整已标价的工程量清单</w:t>
      </w:r>
      <w:r>
        <w:rPr>
          <w:rFonts w:hint="eastAsia" w:hAnsi="宋体" w:cs="宋体"/>
          <w:b/>
          <w:color w:val="auto"/>
          <w:spacing w:val="-4"/>
          <w:szCs w:val="21"/>
          <w:highlight w:val="none"/>
          <w:lang w:eastAsia="zh-CN"/>
        </w:rPr>
        <w:t>，</w:t>
      </w:r>
      <w:r>
        <w:rPr>
          <w:rFonts w:hint="eastAsia" w:hAnsi="宋体" w:cs="宋体"/>
          <w:b/>
          <w:color w:val="auto"/>
          <w:spacing w:val="-4"/>
          <w:szCs w:val="21"/>
          <w:highlight w:val="none"/>
        </w:rPr>
        <w:t>供应商在磋商过程中，改变原报价且未按竞争性磋商文件要求提供调整后的磋商报价</w:t>
      </w:r>
      <w:r>
        <w:rPr>
          <w:rFonts w:hint="eastAsia" w:hAnsi="宋体" w:cs="宋体"/>
          <w:b/>
          <w:color w:val="auto"/>
          <w:spacing w:val="-4"/>
          <w:szCs w:val="21"/>
          <w:highlight w:val="none"/>
          <w:lang w:eastAsia="zh-CN"/>
        </w:rPr>
        <w:t>电子</w:t>
      </w:r>
      <w:r>
        <w:rPr>
          <w:rFonts w:hint="eastAsia" w:hAnsi="宋体" w:cs="宋体"/>
          <w:b/>
          <w:color w:val="auto"/>
          <w:spacing w:val="-4"/>
          <w:szCs w:val="21"/>
          <w:highlight w:val="none"/>
        </w:rPr>
        <w:t>版的，其报价不予认可，视供应商维持原磋商报价不变</w:t>
      </w:r>
      <w:r>
        <w:rPr>
          <w:rFonts w:hint="eastAsia" w:hAnsi="宋体" w:cs="宋体"/>
          <w:b/>
          <w:color w:val="auto"/>
          <w:szCs w:val="21"/>
          <w:highlight w:val="none"/>
        </w:rPr>
        <w:t>。</w:t>
      </w:r>
      <w:r>
        <w:rPr>
          <w:rFonts w:hint="eastAsia" w:hAnsi="宋体" w:cs="宋体"/>
          <w:color w:val="auto"/>
          <w:spacing w:val="-4"/>
          <w:szCs w:val="21"/>
          <w:highlight w:val="none"/>
        </w:rPr>
        <w:t>必须由供应商</w:t>
      </w:r>
      <w:r>
        <w:rPr>
          <w:rFonts w:hint="eastAsia" w:ascii="宋体" w:hAnsi="宋体" w:eastAsia="宋体" w:cs="宋体"/>
          <w:color w:val="auto"/>
          <w:szCs w:val="21"/>
          <w:highlight w:val="none"/>
        </w:rPr>
        <w:t>加盖公章</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数字证书（CA认证）</w:t>
      </w:r>
      <w:r>
        <w:rPr>
          <w:rFonts w:hint="eastAsia" w:ascii="宋体" w:hAnsi="宋体" w:eastAsia="宋体" w:cs="宋体"/>
          <w:color w:val="auto"/>
          <w:szCs w:val="21"/>
          <w:highlight w:val="none"/>
          <w:lang w:val="en-US" w:eastAsia="zh-CN"/>
        </w:rPr>
        <w:t>签章</w:t>
      </w:r>
      <w:r>
        <w:rPr>
          <w:rFonts w:hint="eastAsia" w:ascii="宋体" w:hAnsi="宋体" w:eastAsia="宋体" w:cs="宋体"/>
          <w:color w:val="auto"/>
          <w:szCs w:val="21"/>
          <w:highlight w:val="none"/>
          <w:lang w:eastAsia="zh-CN"/>
        </w:rPr>
        <w:t>）</w:t>
      </w:r>
      <w:r>
        <w:rPr>
          <w:rFonts w:hint="eastAsia" w:hAnsi="宋体" w:cs="宋体"/>
          <w:color w:val="auto"/>
          <w:spacing w:val="-4"/>
          <w:szCs w:val="21"/>
          <w:highlight w:val="none"/>
        </w:rPr>
        <w:t>。</w:t>
      </w:r>
    </w:p>
    <w:p w14:paraId="74768298">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cs="宋体"/>
          <w:color w:val="auto"/>
          <w:szCs w:val="21"/>
          <w:highlight w:val="none"/>
          <w:lang w:eastAsia="zh-CN"/>
        </w:rPr>
        <w:t>22.</w:t>
      </w:r>
      <w:r>
        <w:rPr>
          <w:rFonts w:hint="eastAsia" w:ascii="宋体" w:hAnsi="宋体" w:eastAsia="宋体" w:cs="宋体"/>
          <w:color w:val="auto"/>
          <w:szCs w:val="21"/>
          <w:highlight w:val="none"/>
        </w:rPr>
        <w:t>11.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 xml:space="preserve"> 根据《财政部关于政府采购竞争性磋商采购方式管理暂行办法有关问题的补充通知》</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财库〔2014〕214 号</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的规定，如采购项目为政府购买服务项目（含政府和社会资本合作项目），在采购过程中符合要求的供应商（社会资本）只有 2 家的，竞争性磋商采购活动可以继续进行，并要求其在规定时间内</w:t>
      </w:r>
      <w:r>
        <w:rPr>
          <w:rFonts w:hint="eastAsia" w:ascii="宋体" w:hAnsi="宋体" w:eastAsia="宋体" w:cs="宋体"/>
          <w:color w:val="auto"/>
          <w:szCs w:val="21"/>
          <w:highlight w:val="none"/>
          <w:lang w:eastAsia="zh-CN"/>
        </w:rPr>
        <w:t>线上</w:t>
      </w:r>
      <w:r>
        <w:rPr>
          <w:rFonts w:hint="eastAsia" w:ascii="宋体" w:hAnsi="宋体" w:eastAsia="宋体" w:cs="宋体"/>
          <w:color w:val="auto"/>
          <w:szCs w:val="21"/>
          <w:highlight w:val="none"/>
        </w:rPr>
        <w:t xml:space="preserve">提交最后报价；采购过程中符合要求的供应商（社会资本）只有 1 家的，采购人或者采购代理机构应当终止竞争性磋商采购活动，发布项目终止公告并说明原因，重新开展采购活动。 </w:t>
      </w:r>
    </w:p>
    <w:p w14:paraId="70FA308C">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b/>
          <w:bCs/>
          <w:color w:val="auto"/>
          <w:szCs w:val="21"/>
          <w:highlight w:val="none"/>
        </w:rPr>
      </w:pPr>
      <w:r>
        <w:rPr>
          <w:rFonts w:hint="eastAsia" w:ascii="宋体" w:hAnsi="宋体" w:cs="宋体"/>
          <w:color w:val="auto"/>
          <w:szCs w:val="21"/>
          <w:highlight w:val="none"/>
          <w:lang w:eastAsia="zh-CN"/>
        </w:rPr>
        <w:t>22.</w:t>
      </w:r>
      <w:r>
        <w:rPr>
          <w:rFonts w:hint="eastAsia" w:ascii="宋体" w:hAnsi="宋体" w:eastAsia="宋体" w:cs="宋体"/>
          <w:color w:val="auto"/>
          <w:szCs w:val="21"/>
          <w:highlight w:val="none"/>
        </w:rPr>
        <w:t>11.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 xml:space="preserve"> 根据《政府采购竞争性磋商采购方式管理暂行办法》</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财库〔2014〕214 号</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的规定：</w:t>
      </w:r>
      <w:r>
        <w:rPr>
          <w:rFonts w:hint="eastAsia" w:ascii="宋体" w:hAnsi="宋体" w:eastAsia="宋体" w:cs="宋体"/>
          <w:b/>
          <w:bCs/>
          <w:color w:val="auto"/>
          <w:szCs w:val="21"/>
          <w:highlight w:val="none"/>
        </w:rPr>
        <w:t xml:space="preserve">最后报价是供应商响应文件的有效组成部分。 </w:t>
      </w:r>
      <w:r>
        <w:rPr>
          <w:rFonts w:hint="eastAsia" w:ascii="宋体" w:hAnsi="宋体" w:eastAsia="宋体" w:cs="宋体"/>
          <w:color w:val="auto"/>
          <w:szCs w:val="21"/>
          <w:highlight w:val="none"/>
        </w:rPr>
        <w:t>符合本办法(财库〔2014〕214号文)第三条第四项情形的，提交最后报价的供应商可以为2家。</w:t>
      </w:r>
      <w:r>
        <w:rPr>
          <w:rFonts w:hint="eastAsia" w:ascii="宋体" w:hAnsi="宋体" w:eastAsia="宋体" w:cs="宋体"/>
          <w:b/>
          <w:bCs/>
          <w:color w:val="auto"/>
          <w:szCs w:val="21"/>
          <w:highlight w:val="none"/>
        </w:rPr>
        <w:t>（财库〔2014〕214号文第三条第四项：市场竞争不充分的科研项目，以及需要扶持的科技成果转化项目。）</w:t>
      </w:r>
    </w:p>
    <w:p w14:paraId="09B5374D">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22.</w:t>
      </w:r>
      <w:r>
        <w:rPr>
          <w:rFonts w:hint="eastAsia" w:ascii="宋体" w:hAnsi="宋体" w:eastAsia="宋体" w:cs="宋体"/>
          <w:color w:val="auto"/>
          <w:szCs w:val="21"/>
          <w:highlight w:val="none"/>
        </w:rPr>
        <w:t xml:space="preserve">12 已提交响应文件的供应商，在提交最后报价之前，可以根据磋商情况书面退出磋商。 </w:t>
      </w:r>
    </w:p>
    <w:p w14:paraId="7DF31B33">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未书面退出磋商的供应商在规定时间内</w:t>
      </w:r>
      <w:r>
        <w:rPr>
          <w:rFonts w:hint="eastAsia" w:ascii="宋体" w:hAnsi="宋体" w:eastAsia="宋体" w:cs="宋体"/>
          <w:color w:val="auto"/>
          <w:szCs w:val="21"/>
          <w:highlight w:val="none"/>
          <w:lang w:eastAsia="zh-CN"/>
        </w:rPr>
        <w:t>线上</w:t>
      </w:r>
      <w:r>
        <w:rPr>
          <w:rFonts w:hint="eastAsia" w:ascii="宋体" w:hAnsi="宋体" w:eastAsia="宋体" w:cs="宋体"/>
          <w:color w:val="auto"/>
          <w:szCs w:val="21"/>
          <w:highlight w:val="none"/>
        </w:rPr>
        <w:t xml:space="preserve">提交最后报价，其最后报价超出采购预算导致已通过评审的响应文件无效的，按供应商在提交响应文件截止时间后撤回响应文件处理。 </w:t>
      </w:r>
    </w:p>
    <w:p w14:paraId="65887C07">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22.</w:t>
      </w:r>
      <w:r>
        <w:rPr>
          <w:rFonts w:hint="eastAsia" w:ascii="宋体" w:hAnsi="宋体" w:eastAsia="宋体" w:cs="宋体"/>
          <w:color w:val="auto"/>
          <w:szCs w:val="21"/>
          <w:highlight w:val="none"/>
        </w:rPr>
        <w:t xml:space="preserve">13 评审报告 </w:t>
      </w:r>
    </w:p>
    <w:p w14:paraId="1C39DD8E">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磋商小组应当从质量和服务均能满足磋商文件全部实质性响应要求的供应商中，按照最后综合得分由高到低的顺序提出 3 名以上（含 3 名）成交候选人，并编写评审报告。</w:t>
      </w:r>
    </w:p>
    <w:p w14:paraId="6A8D7B0E">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22.</w:t>
      </w:r>
      <w:r>
        <w:rPr>
          <w:rFonts w:hint="eastAsia" w:ascii="宋体" w:hAnsi="宋体" w:eastAsia="宋体" w:cs="宋体"/>
          <w:color w:val="auto"/>
          <w:szCs w:val="21"/>
          <w:highlight w:val="none"/>
        </w:rPr>
        <w:t xml:space="preserve">14 在评审过程中出现法律法规和磋商文件均没有明确规定的情形时，由磋商小组现场协商解决，协商不一致的，由全体磋商小组投票表决，以得票率二分之一以上磋商小组成员的意见为准。 </w:t>
      </w:r>
    </w:p>
    <w:p w14:paraId="53AA9A38">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22.</w:t>
      </w:r>
      <w:r>
        <w:rPr>
          <w:rFonts w:hint="eastAsia" w:ascii="宋体" w:hAnsi="宋体" w:eastAsia="宋体" w:cs="宋体"/>
          <w:color w:val="auto"/>
          <w:szCs w:val="21"/>
          <w:highlight w:val="none"/>
        </w:rPr>
        <w:t>15 采购代理机构发现磋商小组有明显的违规倾向或歧视现象，或不按评审办法进行，或其他不正常行为的，应当及时制止。如制止无效，应及时向政府采购监督管理机构报告。</w:t>
      </w:r>
    </w:p>
    <w:p w14:paraId="2384FBEA">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b w:val="0"/>
          <w:bCs w:val="0"/>
          <w:color w:val="auto"/>
          <w:highlight w:val="none"/>
        </w:rPr>
      </w:pPr>
      <w:r>
        <w:rPr>
          <w:rFonts w:hint="eastAsia" w:ascii="宋体" w:hAnsi="宋体" w:cs="宋体"/>
          <w:color w:val="auto"/>
          <w:szCs w:val="21"/>
          <w:highlight w:val="none"/>
          <w:lang w:eastAsia="zh-CN"/>
        </w:rPr>
        <w:t>22.</w:t>
      </w:r>
      <w:r>
        <w:rPr>
          <w:rFonts w:hint="eastAsia" w:ascii="宋体" w:hAnsi="宋体" w:eastAsia="宋体" w:cs="宋体"/>
          <w:color w:val="auto"/>
          <w:szCs w:val="21"/>
          <w:highlight w:val="none"/>
        </w:rPr>
        <w:t>16 本采购项目的评审依据为竞争性磋商文件和竞争性磋商响应文件，采用的评审方法为</w:t>
      </w:r>
      <w:r>
        <w:rPr>
          <w:rFonts w:hint="eastAsia" w:ascii="宋体" w:hAnsi="宋体" w:eastAsia="宋体" w:cs="宋体"/>
          <w:b/>
          <w:bCs/>
          <w:color w:val="auto"/>
          <w:szCs w:val="21"/>
          <w:highlight w:val="none"/>
        </w:rPr>
        <w:t>综合评分法</w:t>
      </w:r>
      <w:r>
        <w:rPr>
          <w:rFonts w:hint="eastAsia" w:ascii="宋体" w:hAnsi="宋体" w:eastAsia="宋体" w:cs="宋体"/>
          <w:b w:val="0"/>
          <w:bCs w:val="0"/>
          <w:color w:val="auto"/>
          <w:szCs w:val="21"/>
          <w:highlight w:val="none"/>
        </w:rPr>
        <w:t>。</w:t>
      </w:r>
    </w:p>
    <w:p w14:paraId="6CEF725C">
      <w:pPr>
        <w:pStyle w:val="4"/>
        <w:keepNext w:val="0"/>
        <w:keepLines w:val="0"/>
        <w:pageBreakBefore w:val="0"/>
        <w:widowControl w:val="0"/>
        <w:numPr>
          <w:ilvl w:val="0"/>
          <w:numId w:val="2"/>
        </w:numPr>
        <w:kinsoku/>
        <w:wordWrap/>
        <w:overflowPunct/>
        <w:topLinePunct w:val="0"/>
        <w:bidi w:val="0"/>
        <w:spacing w:before="0" w:after="0" w:line="440" w:lineRule="exact"/>
        <w:ind w:firstLine="422" w:firstLineChars="200"/>
        <w:textAlignment w:val="auto"/>
        <w:rPr>
          <w:rFonts w:hint="eastAsia" w:ascii="宋体" w:hAnsi="宋体" w:eastAsia="宋体" w:cs="宋体"/>
          <w:color w:val="auto"/>
          <w:sz w:val="21"/>
          <w:szCs w:val="21"/>
          <w:highlight w:val="none"/>
        </w:rPr>
      </w:pPr>
      <w:bookmarkStart w:id="111" w:name="_Toc18722"/>
      <w:bookmarkStart w:id="112" w:name="_Toc32470"/>
      <w:r>
        <w:rPr>
          <w:rFonts w:hint="eastAsia" w:ascii="宋体" w:hAnsi="宋体" w:eastAsia="宋体" w:cs="宋体"/>
          <w:color w:val="auto"/>
          <w:sz w:val="21"/>
          <w:szCs w:val="21"/>
          <w:highlight w:val="none"/>
        </w:rPr>
        <w:t>确定成交供应商</w:t>
      </w:r>
      <w:bookmarkEnd w:id="111"/>
      <w:bookmarkEnd w:id="112"/>
    </w:p>
    <w:p w14:paraId="6C160655">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23</w:t>
      </w:r>
      <w:r>
        <w:rPr>
          <w:rFonts w:hint="eastAsia" w:ascii="宋体" w:hAnsi="宋体" w:eastAsia="宋体" w:cs="宋体"/>
          <w:color w:val="auto"/>
          <w:szCs w:val="21"/>
          <w:highlight w:val="none"/>
        </w:rPr>
        <w:t>.1磋商小组应当根据综合得分情况，按照综合得分由高到低顺序推荐成交候选人，并编写评审报告。磋商小组根据综合得分由高到低排列次序，若得分相同时，以评审报价由低到高顺序排列；若得分相同且评审报价相同的，以最后报价由低到高顺序排列；若仍相同的，由磋商小组按照抽签的方式决定排列次序。</w:t>
      </w:r>
    </w:p>
    <w:p w14:paraId="3194C4E6">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cs="宋体"/>
          <w:color w:val="auto"/>
          <w:szCs w:val="21"/>
          <w:highlight w:val="none"/>
          <w:lang w:val="en-US" w:eastAsia="zh-CN"/>
        </w:rPr>
        <w:t>23</w:t>
      </w:r>
      <w:r>
        <w:rPr>
          <w:rFonts w:hint="eastAsia" w:ascii="宋体" w:hAnsi="宋体" w:eastAsia="宋体" w:cs="宋体"/>
          <w:color w:val="auto"/>
          <w:szCs w:val="21"/>
          <w:highlight w:val="none"/>
        </w:rPr>
        <w:t>.2采购单位应当确定磋商小组推荐排名第一的成交候选人为成交供应商。</w:t>
      </w:r>
    </w:p>
    <w:p w14:paraId="5191E814">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23</w:t>
      </w:r>
      <w:r>
        <w:rPr>
          <w:rFonts w:hint="eastAsia" w:ascii="宋体" w:hAnsi="宋体" w:eastAsia="宋体" w:cs="宋体"/>
          <w:color w:val="auto"/>
          <w:szCs w:val="21"/>
          <w:highlight w:val="none"/>
        </w:rPr>
        <w:t>.3排名第一的成交候选人放弃成交、因不可抗力提出不能履行合同，或信用信息记录不符合相关规定的，或者磋商文件规定应当提交履约保证金而在规定的期限内未能提交的（本项目免收履约保证金），采购单位可以确定排名第二的成交候选人为成交供应商。</w:t>
      </w:r>
    </w:p>
    <w:p w14:paraId="67CB03B2">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23</w:t>
      </w:r>
      <w:r>
        <w:rPr>
          <w:rFonts w:hint="eastAsia" w:ascii="宋体" w:hAnsi="宋体" w:eastAsia="宋体" w:cs="宋体"/>
          <w:color w:val="auto"/>
          <w:szCs w:val="21"/>
          <w:highlight w:val="none"/>
        </w:rPr>
        <w:t>.4排名第二的成交候选人因前款规定的同样原因不能签订合同的，采购单位可以确定排名第三的成交候选人为成交供应商。</w:t>
      </w:r>
    </w:p>
    <w:p w14:paraId="642D518B">
      <w:pPr>
        <w:pStyle w:val="4"/>
        <w:keepNext w:val="0"/>
        <w:keepLines w:val="0"/>
        <w:pageBreakBefore w:val="0"/>
        <w:widowControl w:val="0"/>
        <w:numPr>
          <w:ilvl w:val="0"/>
          <w:numId w:val="2"/>
        </w:numPr>
        <w:kinsoku/>
        <w:wordWrap/>
        <w:overflowPunct/>
        <w:topLinePunct w:val="0"/>
        <w:bidi w:val="0"/>
        <w:spacing w:before="0" w:after="0" w:line="440" w:lineRule="exact"/>
        <w:ind w:firstLine="422" w:firstLineChars="200"/>
        <w:textAlignment w:val="auto"/>
        <w:rPr>
          <w:rFonts w:hint="eastAsia" w:ascii="宋体" w:hAnsi="宋体" w:eastAsia="宋体" w:cs="宋体"/>
          <w:color w:val="auto"/>
          <w:sz w:val="21"/>
          <w:szCs w:val="21"/>
          <w:highlight w:val="none"/>
        </w:rPr>
      </w:pPr>
      <w:bookmarkStart w:id="113" w:name="_Toc15332"/>
      <w:bookmarkStart w:id="114" w:name="_Toc21715"/>
      <w:r>
        <w:rPr>
          <w:rFonts w:hint="eastAsia" w:ascii="宋体" w:hAnsi="宋体" w:eastAsia="宋体" w:cs="宋体"/>
          <w:color w:val="auto"/>
          <w:sz w:val="21"/>
          <w:szCs w:val="21"/>
          <w:highlight w:val="none"/>
        </w:rPr>
        <w:t>属于下列情况之一者，响应文件无效</w:t>
      </w:r>
      <w:bookmarkEnd w:id="113"/>
      <w:bookmarkEnd w:id="114"/>
    </w:p>
    <w:p w14:paraId="187DE9CE">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（1）未按磋商文件规定完整</w:t>
      </w:r>
      <w:r>
        <w:rPr>
          <w:rFonts w:hint="eastAsia" w:ascii="宋体" w:hAnsi="宋体" w:eastAsia="宋体" w:cs="宋体"/>
          <w:color w:val="auto"/>
          <w:szCs w:val="21"/>
          <w:highlight w:val="none"/>
          <w:lang w:val="en-US" w:eastAsia="zh-CN"/>
        </w:rPr>
        <w:t>线上</w:t>
      </w:r>
      <w:r>
        <w:rPr>
          <w:rFonts w:hint="eastAsia" w:ascii="宋体" w:hAnsi="宋体" w:eastAsia="宋体" w:cs="宋体"/>
          <w:color w:val="auto"/>
          <w:szCs w:val="21"/>
          <w:highlight w:val="none"/>
        </w:rPr>
        <w:t>提交响应文件或未按规定要求</w:t>
      </w:r>
      <w:r>
        <w:rPr>
          <w:rFonts w:hint="eastAsia" w:ascii="宋体" w:hAnsi="宋体" w:eastAsia="宋体" w:cs="宋体"/>
          <w:color w:val="auto"/>
          <w:szCs w:val="21"/>
          <w:highlight w:val="none"/>
          <w:lang w:eastAsia="zh-CN"/>
        </w:rPr>
        <w:t>线上</w:t>
      </w:r>
      <w:r>
        <w:rPr>
          <w:rFonts w:hint="eastAsia" w:ascii="宋体" w:hAnsi="宋体" w:eastAsia="宋体" w:cs="宋体"/>
          <w:color w:val="auto"/>
          <w:szCs w:val="21"/>
          <w:highlight w:val="none"/>
        </w:rPr>
        <w:t>签字、</w:t>
      </w:r>
      <w:r>
        <w:rPr>
          <w:rFonts w:hint="eastAsia" w:ascii="宋体" w:hAnsi="宋体" w:eastAsia="宋体" w:cs="宋体"/>
          <w:color w:val="auto"/>
          <w:szCs w:val="21"/>
          <w:highlight w:val="none"/>
          <w:lang w:val="en-US" w:eastAsia="zh-CN"/>
        </w:rPr>
        <w:t>签章</w:t>
      </w:r>
      <w:r>
        <w:rPr>
          <w:rFonts w:hint="eastAsia" w:ascii="宋体" w:hAnsi="宋体" w:eastAsia="宋体" w:cs="宋体"/>
          <w:color w:val="auto"/>
          <w:szCs w:val="21"/>
          <w:highlight w:val="none"/>
        </w:rPr>
        <w:t>的；</w:t>
      </w:r>
    </w:p>
    <w:p w14:paraId="73EAA0E7">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（2）不具备磋商文件规定的资格要求的；</w:t>
      </w:r>
    </w:p>
    <w:p w14:paraId="76532F5F">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在进行资格性审查时，磋商小组将进入《国家企业信用信息公示系统》对企业股东及出资等信息进行查询，对存在《中华人民共和国政府采购法实施条例》第十八条第一款情形的，即单位负责人为同一人或者存在直接控股、管理关系的不同供应商，不得参加同一合同项下的政府采购活动，其磋商文件将被视为无效文件；</w:t>
      </w:r>
    </w:p>
    <w:p w14:paraId="67868D7C">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）响应文件未按磋商文件的内容和要求编制，或提供虚假材料的；</w:t>
      </w:r>
    </w:p>
    <w:p w14:paraId="7CE3E717">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rPr>
        <w:t>响应文件有效期、质量要求、工期要求不能满足采购文件要求的</w:t>
      </w:r>
      <w:r>
        <w:rPr>
          <w:rFonts w:hint="eastAsia" w:ascii="宋体" w:hAnsi="宋体" w:eastAsia="宋体" w:cs="宋体"/>
          <w:color w:val="auto"/>
          <w:szCs w:val="21"/>
          <w:highlight w:val="none"/>
        </w:rPr>
        <w:t>；</w:t>
      </w:r>
    </w:p>
    <w:p w14:paraId="0B6438E6">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）未在磋商小组规定的时间内提交响应文件(包括最后报价)的；</w:t>
      </w:r>
    </w:p>
    <w:p w14:paraId="38364AFA">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）超越了按照法律法规规定必须获得行政许可或者行政审批的经营范围的；</w:t>
      </w:r>
    </w:p>
    <w:p w14:paraId="352BCA77">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）未满足磋商文件实质性要求的或者响应文件有采购人不能接受的附加条件的；</w:t>
      </w:r>
    </w:p>
    <w:p w14:paraId="471D43EC">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）响应文件实质性要求未做变动，供应商最后报价高于第一次报价的；</w:t>
      </w:r>
    </w:p>
    <w:p w14:paraId="5E366836">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）不符合法律、法规和磋商文件规定的其他实质性要求和条件的。</w:t>
      </w:r>
    </w:p>
    <w:p w14:paraId="757936A6">
      <w:pPr>
        <w:keepNext w:val="0"/>
        <w:keepLines w:val="0"/>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供应商有下列情形之一的视为供应商相互串通磋商，响应文件将被视为无效</w:t>
      </w:r>
    </w:p>
    <w:p w14:paraId="6DEE0BB1">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（1）不同供应商的响应文件由同一单位或者个人编制；或不同供应商报名的IP地址一致的；</w:t>
      </w:r>
    </w:p>
    <w:p w14:paraId="0950C520">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（2）不同供应商委托同一单位或者个人办理磋商事宜；</w:t>
      </w:r>
    </w:p>
    <w:p w14:paraId="53FE2611">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14:paraId="4A64EA34">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w:t>
      </w:r>
      <w:r>
        <w:rPr>
          <w:rFonts w:hint="eastAsia" w:ascii="宋体" w:hAnsi="宋体" w:cs="宋体"/>
          <w:color w:val="auto"/>
          <w:szCs w:val="21"/>
          <w:highlight w:val="none"/>
          <w:lang w:eastAsia="zh-CN"/>
        </w:rPr>
        <w:t>磋商</w:t>
      </w:r>
      <w:r>
        <w:rPr>
          <w:rFonts w:hint="eastAsia" w:ascii="宋体" w:hAnsi="宋体" w:eastAsia="宋体" w:cs="宋体"/>
          <w:color w:val="auto"/>
          <w:szCs w:val="21"/>
          <w:highlight w:val="none"/>
        </w:rPr>
        <w:t>报价呈规律性差异；</w:t>
      </w:r>
    </w:p>
    <w:p w14:paraId="169087D2">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w:t>
      </w:r>
      <w:r>
        <w:rPr>
          <w:rFonts w:hint="eastAsia" w:ascii="宋体" w:hAnsi="宋体" w:cs="宋体"/>
          <w:color w:val="auto"/>
          <w:szCs w:val="21"/>
          <w:highlight w:val="none"/>
          <w:lang w:eastAsia="zh-CN"/>
        </w:rPr>
        <w:t>编</w:t>
      </w:r>
      <w:r>
        <w:rPr>
          <w:rFonts w:hint="eastAsia" w:ascii="宋体" w:hAnsi="宋体" w:eastAsia="宋体" w:cs="宋体"/>
          <w:color w:val="auto"/>
          <w:szCs w:val="21"/>
          <w:highlight w:val="none"/>
        </w:rPr>
        <w:t>。</w:t>
      </w:r>
    </w:p>
    <w:p w14:paraId="7C54B9AC">
      <w:pPr>
        <w:pStyle w:val="4"/>
        <w:keepNext w:val="0"/>
        <w:keepLines w:val="0"/>
        <w:pageBreakBefore w:val="0"/>
        <w:widowControl w:val="0"/>
        <w:numPr>
          <w:ilvl w:val="0"/>
          <w:numId w:val="2"/>
        </w:numPr>
        <w:kinsoku/>
        <w:wordWrap/>
        <w:overflowPunct/>
        <w:topLinePunct w:val="0"/>
        <w:bidi w:val="0"/>
        <w:spacing w:before="0" w:after="0" w:line="440" w:lineRule="exact"/>
        <w:ind w:firstLine="422" w:firstLineChars="200"/>
        <w:textAlignment w:val="auto"/>
        <w:rPr>
          <w:rFonts w:hint="eastAsia" w:ascii="宋体" w:hAnsi="宋体" w:eastAsia="宋体" w:cs="宋体"/>
          <w:color w:val="auto"/>
          <w:sz w:val="21"/>
          <w:szCs w:val="21"/>
          <w:highlight w:val="none"/>
        </w:rPr>
      </w:pPr>
      <w:bookmarkStart w:id="115" w:name="_Toc5714"/>
      <w:bookmarkStart w:id="116" w:name="_Toc27786"/>
      <w:r>
        <w:rPr>
          <w:rFonts w:hint="eastAsia" w:ascii="宋体" w:hAnsi="宋体" w:eastAsia="宋体" w:cs="宋体"/>
          <w:color w:val="auto"/>
          <w:sz w:val="21"/>
          <w:szCs w:val="21"/>
          <w:highlight w:val="none"/>
        </w:rPr>
        <w:t>出现下列情形之一的，采购人或者采购代理机构应当终止竞争性磋商采购活动，发布项目终止公告并说明原因，重新开展采购活动</w:t>
      </w:r>
      <w:bookmarkEnd w:id="115"/>
      <w:bookmarkEnd w:id="116"/>
    </w:p>
    <w:p w14:paraId="7C8AE8B6">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（1）因情况变化，不再符合规定的竞争性磋商采购方式适用情形的；</w:t>
      </w:r>
    </w:p>
    <w:p w14:paraId="5ED6264A">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（2）出现影响采购公正的违法、违规行为的； </w:t>
      </w:r>
    </w:p>
    <w:p w14:paraId="14479E3A">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（3）在采购过程中符合竞争要求的供应商或者报价未超过采购预算的供应商不足3家的。</w:t>
      </w:r>
      <w:r>
        <w:rPr>
          <w:rFonts w:hint="eastAsia" w:ascii="宋体" w:hAnsi="宋体" w:eastAsia="宋体" w:cs="宋体"/>
          <w:b/>
          <w:bCs/>
          <w:color w:val="auto"/>
          <w:szCs w:val="21"/>
          <w:highlight w:val="none"/>
        </w:rPr>
        <w:t xml:space="preserve">（除财库〔2014〕214 号《政府采购竞争性磋商采购方式管理暂行办法》第二十一条第三款规定的情形外） </w:t>
      </w:r>
    </w:p>
    <w:p w14:paraId="41E8B0E6">
      <w:pPr>
        <w:pStyle w:val="4"/>
        <w:keepNext w:val="0"/>
        <w:keepLines w:val="0"/>
        <w:pageBreakBefore w:val="0"/>
        <w:widowControl w:val="0"/>
        <w:numPr>
          <w:ilvl w:val="0"/>
          <w:numId w:val="2"/>
        </w:numPr>
        <w:kinsoku/>
        <w:wordWrap/>
        <w:overflowPunct/>
        <w:topLinePunct w:val="0"/>
        <w:bidi w:val="0"/>
        <w:spacing w:before="0" w:after="0" w:line="440" w:lineRule="exact"/>
        <w:ind w:firstLine="422" w:firstLineChars="200"/>
        <w:textAlignment w:val="auto"/>
        <w:rPr>
          <w:rFonts w:hint="eastAsia" w:ascii="宋体" w:hAnsi="宋体" w:eastAsia="宋体" w:cs="宋体"/>
          <w:color w:val="auto"/>
          <w:sz w:val="21"/>
          <w:szCs w:val="21"/>
          <w:highlight w:val="none"/>
        </w:rPr>
      </w:pPr>
      <w:bookmarkStart w:id="117" w:name="_Toc19105"/>
      <w:bookmarkStart w:id="118" w:name="_Toc19910"/>
      <w:r>
        <w:rPr>
          <w:rFonts w:hint="eastAsia" w:ascii="宋体" w:hAnsi="宋体" w:eastAsia="宋体" w:cs="宋体"/>
          <w:color w:val="auto"/>
          <w:sz w:val="21"/>
          <w:szCs w:val="21"/>
          <w:highlight w:val="none"/>
        </w:rPr>
        <w:t>磋商过程的监控</w:t>
      </w:r>
      <w:bookmarkEnd w:id="117"/>
      <w:bookmarkEnd w:id="118"/>
    </w:p>
    <w:p w14:paraId="02740474">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本项目磋商过程实行全程录音、录像监控，供应商在磋商过程中所进行的试图影响磋商结果的不公正活动，可能导致其磋商被拒绝。</w:t>
      </w:r>
    </w:p>
    <w:p w14:paraId="593D1AA2">
      <w:pPr>
        <w:pStyle w:val="4"/>
        <w:keepNext w:val="0"/>
        <w:keepLines w:val="0"/>
        <w:pageBreakBefore w:val="0"/>
        <w:widowControl w:val="0"/>
        <w:numPr>
          <w:ilvl w:val="0"/>
          <w:numId w:val="2"/>
        </w:numPr>
        <w:kinsoku/>
        <w:wordWrap/>
        <w:overflowPunct/>
        <w:topLinePunct w:val="0"/>
        <w:bidi w:val="0"/>
        <w:spacing w:before="0" w:after="0" w:line="440" w:lineRule="exact"/>
        <w:ind w:firstLine="422" w:firstLineChars="200"/>
        <w:textAlignment w:val="auto"/>
        <w:rPr>
          <w:rFonts w:hint="eastAsia" w:ascii="宋体" w:hAnsi="宋体" w:eastAsia="宋体" w:cs="宋体"/>
          <w:color w:val="auto"/>
          <w:sz w:val="21"/>
          <w:szCs w:val="21"/>
          <w:highlight w:val="none"/>
        </w:rPr>
      </w:pPr>
      <w:bookmarkStart w:id="119" w:name="_Toc26291"/>
      <w:bookmarkStart w:id="120" w:name="_Toc14787"/>
      <w:r>
        <w:rPr>
          <w:rFonts w:hint="eastAsia" w:ascii="宋体" w:hAnsi="宋体" w:eastAsia="宋体" w:cs="宋体"/>
          <w:color w:val="auto"/>
          <w:sz w:val="21"/>
          <w:szCs w:val="21"/>
          <w:highlight w:val="none"/>
        </w:rPr>
        <w:t>信用查询</w:t>
      </w:r>
      <w:bookmarkEnd w:id="119"/>
      <w:bookmarkEnd w:id="120"/>
    </w:p>
    <w:p w14:paraId="26D7B6E9">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根据《关于做好政府采购有关信用主体标识码登记及在政府采购活动中查询使用信用记录有关问题的通知》桂财采〔2016〕37号的通知，采购代理机构对成交人的成交资格进行信用查询：</w:t>
      </w:r>
    </w:p>
    <w:p w14:paraId="07D5A4D7">
      <w:pPr>
        <w:keepNext w:val="0"/>
        <w:keepLines w:val="0"/>
        <w:pageBreakBefore w:val="0"/>
        <w:widowControl w:val="0"/>
        <w:kinsoku/>
        <w:wordWrap/>
        <w:overflowPunct/>
        <w:topLinePunct w:val="0"/>
        <w:bidi w:val="0"/>
        <w:spacing w:line="44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（1）查询渠道：“信用中国”网站(www.creditchina.gov.cn)、中国政府采购网(www.ccgp.gov.cn)等；</w:t>
      </w:r>
    </w:p>
    <w:p w14:paraId="33552219">
      <w:pPr>
        <w:keepNext w:val="0"/>
        <w:keepLines w:val="0"/>
        <w:pageBreakBefore w:val="0"/>
        <w:widowControl w:val="0"/>
        <w:kinsoku/>
        <w:wordWrap/>
        <w:overflowPunct/>
        <w:topLinePunct w:val="0"/>
        <w:bidi w:val="0"/>
        <w:spacing w:line="44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（2）查询时间：成交通知书发出前；</w:t>
      </w:r>
    </w:p>
    <w:p w14:paraId="413A5A72">
      <w:pPr>
        <w:keepNext w:val="0"/>
        <w:keepLines w:val="0"/>
        <w:pageBreakBefore w:val="0"/>
        <w:widowControl w:val="0"/>
        <w:kinsoku/>
        <w:wordWrap/>
        <w:overflowPunct/>
        <w:topLinePunct w:val="0"/>
        <w:bidi w:val="0"/>
        <w:spacing w:line="44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（3）信用信息查询记录和证据留存方式：在查询网站中直接打印查询记录，打印材料作为采购活动资料保存。</w:t>
      </w:r>
    </w:p>
    <w:p w14:paraId="63748397">
      <w:pPr>
        <w:keepNext w:val="0"/>
        <w:keepLines w:val="0"/>
        <w:pageBreakBefore w:val="0"/>
        <w:widowControl w:val="0"/>
        <w:kinsoku/>
        <w:wordWrap/>
        <w:overflowPunct/>
        <w:topLinePunct w:val="0"/>
        <w:bidi w:val="0"/>
        <w:spacing w:line="44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取消其成交候选人资格。采购人依法按照评审报告中磋商小组推荐成交候选人排序表确定排名第二的成交候选人为成交供应商或者重新组织采购。</w:t>
      </w:r>
    </w:p>
    <w:p w14:paraId="00D2E399">
      <w:pPr>
        <w:pStyle w:val="4"/>
        <w:keepNext w:val="0"/>
        <w:keepLines w:val="0"/>
        <w:pageBreakBefore w:val="0"/>
        <w:widowControl w:val="0"/>
        <w:numPr>
          <w:ilvl w:val="0"/>
          <w:numId w:val="2"/>
        </w:numPr>
        <w:kinsoku/>
        <w:wordWrap/>
        <w:overflowPunct/>
        <w:topLinePunct w:val="0"/>
        <w:bidi w:val="0"/>
        <w:spacing w:before="0" w:after="0" w:line="440" w:lineRule="exact"/>
        <w:ind w:firstLine="422" w:firstLineChars="200"/>
        <w:textAlignment w:val="auto"/>
        <w:rPr>
          <w:rFonts w:hint="eastAsia" w:ascii="宋体" w:hAnsi="宋体" w:eastAsia="宋体" w:cs="宋体"/>
          <w:color w:val="auto"/>
          <w:sz w:val="21"/>
          <w:szCs w:val="21"/>
          <w:highlight w:val="none"/>
        </w:rPr>
      </w:pPr>
      <w:bookmarkStart w:id="121" w:name="_Toc9438"/>
      <w:bookmarkStart w:id="122" w:name="_Toc25468"/>
      <w:r>
        <w:rPr>
          <w:rFonts w:hint="eastAsia" w:ascii="宋体" w:hAnsi="宋体" w:eastAsia="宋体" w:cs="宋体"/>
          <w:color w:val="auto"/>
          <w:sz w:val="21"/>
          <w:szCs w:val="21"/>
          <w:highlight w:val="none"/>
        </w:rPr>
        <w:t>成交结果公告及成交通知书</w:t>
      </w:r>
      <w:bookmarkEnd w:id="121"/>
      <w:bookmarkEnd w:id="122"/>
    </w:p>
    <w:p w14:paraId="5D89C746">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28</w:t>
      </w:r>
      <w:r>
        <w:rPr>
          <w:rFonts w:hint="eastAsia" w:ascii="宋体" w:hAnsi="宋体" w:eastAsia="宋体" w:cs="宋体"/>
          <w:color w:val="auto"/>
          <w:szCs w:val="21"/>
          <w:highlight w:val="none"/>
        </w:rPr>
        <w:t>.1 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61B24418">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28</w:t>
      </w:r>
      <w:r>
        <w:rPr>
          <w:rFonts w:hint="eastAsia" w:ascii="宋体" w:hAnsi="宋体" w:eastAsia="宋体" w:cs="宋体"/>
          <w:color w:val="auto"/>
          <w:szCs w:val="21"/>
          <w:highlight w:val="none"/>
        </w:rPr>
        <w:t>.2 在发布成交公告的同时，采购代理机构向成交供应商发出成交通知书。成交供应商自接到通知之日起七个工作日内，办理成交通知书领取手续。</w:t>
      </w:r>
    </w:p>
    <w:p w14:paraId="5179F6A4">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28</w:t>
      </w:r>
      <w:r>
        <w:rPr>
          <w:rFonts w:hint="eastAsia" w:ascii="宋体" w:hAnsi="宋体" w:eastAsia="宋体" w:cs="宋体"/>
          <w:color w:val="auto"/>
          <w:szCs w:val="21"/>
          <w:highlight w:val="none"/>
        </w:rPr>
        <w:t>.3 采购代理机构无义务向未成交的供应商解释未成交原因和退还响应文件。</w:t>
      </w:r>
    </w:p>
    <w:p w14:paraId="01C77339">
      <w:pPr>
        <w:keepNext w:val="0"/>
        <w:keepLines w:val="0"/>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val="0"/>
          <w:color w:val="auto"/>
          <w:szCs w:val="28"/>
          <w:highlight w:val="none"/>
        </w:rPr>
      </w:pPr>
      <w:bookmarkStart w:id="123" w:name="_Toc25593"/>
    </w:p>
    <w:p w14:paraId="34B5A446">
      <w:pPr>
        <w:pStyle w:val="3"/>
        <w:keepNext w:val="0"/>
        <w:keepLines w:val="0"/>
        <w:pageBreakBefore w:val="0"/>
        <w:widowControl w:val="0"/>
        <w:tabs>
          <w:tab w:val="left" w:pos="567"/>
        </w:tabs>
        <w:kinsoku/>
        <w:wordWrap/>
        <w:overflowPunct/>
        <w:topLinePunct w:val="0"/>
        <w:bidi w:val="0"/>
        <w:spacing w:line="440" w:lineRule="exact"/>
        <w:jc w:val="center"/>
        <w:textAlignment w:val="auto"/>
        <w:rPr>
          <w:rFonts w:hint="eastAsia" w:ascii="宋体" w:hAnsi="宋体" w:eastAsia="宋体" w:cs="宋体"/>
          <w:b/>
          <w:bCs w:val="0"/>
          <w:color w:val="auto"/>
          <w:szCs w:val="28"/>
          <w:highlight w:val="none"/>
        </w:rPr>
      </w:pPr>
      <w:bookmarkStart w:id="124" w:name="_Toc24102"/>
      <w:bookmarkStart w:id="125" w:name="_Toc13901"/>
      <w:bookmarkStart w:id="126" w:name="_Toc29518"/>
      <w:r>
        <w:rPr>
          <w:rFonts w:hint="eastAsia" w:ascii="宋体" w:hAnsi="宋体" w:eastAsia="宋体" w:cs="宋体"/>
          <w:b/>
          <w:bCs w:val="0"/>
          <w:color w:val="auto"/>
          <w:szCs w:val="28"/>
          <w:highlight w:val="none"/>
        </w:rPr>
        <w:t>五、签订合同</w:t>
      </w:r>
      <w:bookmarkEnd w:id="123"/>
      <w:bookmarkEnd w:id="124"/>
      <w:bookmarkEnd w:id="125"/>
      <w:bookmarkEnd w:id="126"/>
    </w:p>
    <w:p w14:paraId="6FF4BC5C">
      <w:pPr>
        <w:pStyle w:val="4"/>
        <w:keepNext w:val="0"/>
        <w:keepLines w:val="0"/>
        <w:pageBreakBefore w:val="0"/>
        <w:widowControl w:val="0"/>
        <w:numPr>
          <w:ilvl w:val="0"/>
          <w:numId w:val="2"/>
        </w:numPr>
        <w:kinsoku/>
        <w:wordWrap/>
        <w:overflowPunct/>
        <w:topLinePunct w:val="0"/>
        <w:bidi w:val="0"/>
        <w:spacing w:before="0" w:after="0" w:line="440" w:lineRule="exact"/>
        <w:ind w:firstLine="422" w:firstLineChars="200"/>
        <w:textAlignment w:val="auto"/>
        <w:rPr>
          <w:rFonts w:hint="eastAsia" w:ascii="宋体" w:hAnsi="宋体" w:eastAsia="宋体" w:cs="宋体"/>
          <w:color w:val="auto"/>
          <w:highlight w:val="none"/>
        </w:rPr>
      </w:pPr>
      <w:bookmarkStart w:id="127" w:name="_Toc1032"/>
      <w:bookmarkStart w:id="128" w:name="_Toc26520"/>
      <w:r>
        <w:rPr>
          <w:rFonts w:hint="eastAsia" w:ascii="宋体" w:hAnsi="宋体" w:eastAsia="宋体" w:cs="宋体"/>
          <w:color w:val="auto"/>
          <w:sz w:val="21"/>
          <w:szCs w:val="21"/>
          <w:highlight w:val="none"/>
        </w:rPr>
        <w:t>履约保证金</w:t>
      </w:r>
      <w:bookmarkEnd w:id="127"/>
      <w:bookmarkEnd w:id="128"/>
    </w:p>
    <w:p w14:paraId="20AFCFC9">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bookmarkStart w:id="129" w:name="_Toc22004"/>
      <w:bookmarkStart w:id="130" w:name="_Toc4956"/>
      <w:r>
        <w:rPr>
          <w:rFonts w:hint="eastAsia" w:ascii="宋体" w:hAnsi="宋体" w:cs="宋体"/>
          <w:color w:val="auto"/>
          <w:szCs w:val="21"/>
          <w:highlight w:val="none"/>
          <w:lang w:eastAsia="zh-CN"/>
        </w:rPr>
        <w:t>本项目不收取履约保证金</w:t>
      </w:r>
      <w:r>
        <w:rPr>
          <w:rFonts w:hint="eastAsia" w:ascii="宋体" w:hAnsi="宋体" w:eastAsia="宋体" w:cs="宋体"/>
          <w:color w:val="auto"/>
          <w:szCs w:val="21"/>
          <w:highlight w:val="none"/>
        </w:rPr>
        <w:t>。</w:t>
      </w:r>
    </w:p>
    <w:p w14:paraId="7AA5E1FA">
      <w:pPr>
        <w:pStyle w:val="4"/>
        <w:keepNext w:val="0"/>
        <w:keepLines w:val="0"/>
        <w:pageBreakBefore w:val="0"/>
        <w:widowControl w:val="0"/>
        <w:numPr>
          <w:ilvl w:val="0"/>
          <w:numId w:val="2"/>
        </w:numPr>
        <w:kinsoku/>
        <w:wordWrap/>
        <w:overflowPunct/>
        <w:topLinePunct w:val="0"/>
        <w:bidi w:val="0"/>
        <w:spacing w:before="0" w:after="0" w:line="44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签订合同</w:t>
      </w:r>
      <w:bookmarkEnd w:id="129"/>
      <w:bookmarkEnd w:id="130"/>
    </w:p>
    <w:p w14:paraId="75049EE7">
      <w:pPr>
        <w:keepNext w:val="0"/>
        <w:keepLines w:val="0"/>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cs="宋体"/>
          <w:b/>
          <w:bCs/>
          <w:color w:val="auto"/>
          <w:szCs w:val="21"/>
          <w:highlight w:val="none"/>
          <w:lang w:val="en-US" w:eastAsia="zh-CN"/>
        </w:rPr>
        <w:t>30</w:t>
      </w:r>
      <w:r>
        <w:rPr>
          <w:rFonts w:hint="eastAsia" w:ascii="宋体" w:hAnsi="宋体" w:eastAsia="宋体" w:cs="宋体"/>
          <w:b/>
          <w:bCs/>
          <w:color w:val="auto"/>
          <w:szCs w:val="21"/>
          <w:highlight w:val="none"/>
        </w:rPr>
        <w:t>.1 签订合同时间：</w:t>
      </w:r>
      <w:r>
        <w:rPr>
          <w:rFonts w:hint="eastAsia" w:ascii="宋体" w:hAnsi="宋体" w:eastAsia="宋体" w:cs="宋体"/>
          <w:b/>
          <w:bCs/>
          <w:color w:val="auto"/>
          <w:szCs w:val="21"/>
          <w:highlight w:val="none"/>
          <w:lang w:eastAsia="zh-CN"/>
        </w:rPr>
        <w:t>成交通知书</w:t>
      </w:r>
      <w:r>
        <w:rPr>
          <w:rFonts w:hint="eastAsia" w:ascii="宋体" w:hAnsi="宋体" w:eastAsia="宋体" w:cs="宋体"/>
          <w:b/>
          <w:bCs/>
          <w:color w:val="auto"/>
          <w:szCs w:val="21"/>
          <w:highlight w:val="none"/>
        </w:rPr>
        <w:t>发出之日起</w:t>
      </w:r>
      <w:r>
        <w:rPr>
          <w:rFonts w:hint="eastAsia" w:ascii="宋体" w:hAnsi="宋体" w:cs="宋体"/>
          <w:b/>
          <w:bCs/>
          <w:color w:val="auto"/>
          <w:szCs w:val="21"/>
          <w:highlight w:val="none"/>
          <w:lang w:val="en-US" w:eastAsia="zh-CN"/>
        </w:rPr>
        <w:t>25个日历</w:t>
      </w:r>
      <w:r>
        <w:rPr>
          <w:rFonts w:hint="eastAsia" w:ascii="宋体" w:hAnsi="宋体" w:eastAsia="宋体" w:cs="宋体"/>
          <w:b/>
          <w:bCs/>
          <w:color w:val="auto"/>
          <w:szCs w:val="21"/>
          <w:highlight w:val="none"/>
        </w:rPr>
        <w:t>日内签订合同。成交供应商领取成交通知书后，应按规定与采购人签订合同。</w:t>
      </w:r>
    </w:p>
    <w:p w14:paraId="7C581898">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30</w:t>
      </w:r>
      <w:r>
        <w:rPr>
          <w:rFonts w:hint="eastAsia" w:ascii="宋体" w:hAnsi="宋体" w:eastAsia="宋体" w:cs="宋体"/>
          <w:color w:val="auto"/>
          <w:szCs w:val="21"/>
          <w:highlight w:val="none"/>
        </w:rPr>
        <w:t>.2 如成交供应商有下列情形之一的，情节严重的，由财政部门将其列入不良行为记录名单，在一至三年内禁止参加政府采购活动，并予以通报。采购代理机构可从磋商小组推荐的成交候选人中按顺序重新确定成交供应商或重新组织采购。拒绝签订政府采购合同的成交供应商不得参加对该项目重新开展的采购活动。</w:t>
      </w:r>
    </w:p>
    <w:p w14:paraId="2F7DA703">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（1）成交后不与采购人签订合同的（不可抗力除外）；</w:t>
      </w:r>
    </w:p>
    <w:p w14:paraId="3A0D92BF">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（2）将成交项目转让给他人，或者在响应文件中未说明，且未经采购人同意，将成交项目分包给他人的；</w:t>
      </w:r>
    </w:p>
    <w:p w14:paraId="1DBDA688">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（3）拒绝履行合同义务的。</w:t>
      </w:r>
    </w:p>
    <w:p w14:paraId="69693A41">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cs="宋体"/>
          <w:color w:val="auto"/>
          <w:szCs w:val="21"/>
          <w:highlight w:val="none"/>
          <w:lang w:val="en-US" w:eastAsia="zh-CN"/>
        </w:rPr>
        <w:t>30</w:t>
      </w:r>
      <w:r>
        <w:rPr>
          <w:rFonts w:hint="eastAsia" w:ascii="宋体" w:hAnsi="宋体" w:eastAsia="宋体" w:cs="宋体"/>
          <w:color w:val="auto"/>
          <w:szCs w:val="21"/>
          <w:highlight w:val="none"/>
        </w:rPr>
        <w:t>.3 合同备案存档：</w:t>
      </w:r>
      <w:r>
        <w:rPr>
          <w:rFonts w:hint="eastAsia" w:ascii="宋体" w:hAnsi="宋体" w:eastAsia="宋体" w:cs="宋体"/>
          <w:color w:val="auto"/>
          <w:highlight w:val="none"/>
        </w:rPr>
        <w:t>政府采购合同双方自签订之日起一个工作日内将合同原件一份交采购代理机构，采购代理机构将政府采购合同在省级以上人民政府财政部门指定媒体上公告。采购人于合同签订之日起七个工作日内将一份合同原件送本级财政部门备案，一份由</w:t>
      </w:r>
      <w:r>
        <w:rPr>
          <w:rFonts w:hint="eastAsia" w:ascii="宋体" w:hAnsi="宋体" w:cs="宋体"/>
          <w:color w:val="auto"/>
          <w:highlight w:val="none"/>
          <w:lang w:eastAsia="zh-CN"/>
        </w:rPr>
        <w:t>广西晟鑫项目管理有限公司</w:t>
      </w:r>
      <w:r>
        <w:rPr>
          <w:rFonts w:hint="eastAsia" w:ascii="宋体" w:hAnsi="宋体" w:eastAsia="宋体" w:cs="宋体"/>
          <w:color w:val="auto"/>
          <w:highlight w:val="none"/>
        </w:rPr>
        <w:t>存档。</w:t>
      </w:r>
    </w:p>
    <w:p w14:paraId="401F2BBA">
      <w:pPr>
        <w:pStyle w:val="9"/>
        <w:rPr>
          <w:rFonts w:hint="eastAsia" w:ascii="宋体" w:hAnsi="宋体" w:eastAsia="宋体" w:cs="宋体"/>
          <w:color w:val="auto"/>
          <w:highlight w:val="none"/>
        </w:rPr>
      </w:pPr>
    </w:p>
    <w:p w14:paraId="54D61E1A">
      <w:pPr>
        <w:pStyle w:val="3"/>
        <w:keepNext w:val="0"/>
        <w:keepLines w:val="0"/>
        <w:pageBreakBefore w:val="0"/>
        <w:widowControl w:val="0"/>
        <w:tabs>
          <w:tab w:val="left" w:pos="567"/>
        </w:tabs>
        <w:kinsoku/>
        <w:wordWrap/>
        <w:overflowPunct/>
        <w:topLinePunct w:val="0"/>
        <w:bidi w:val="0"/>
        <w:spacing w:line="440" w:lineRule="exact"/>
        <w:jc w:val="center"/>
        <w:textAlignment w:val="auto"/>
        <w:rPr>
          <w:rFonts w:hint="eastAsia" w:ascii="宋体" w:hAnsi="宋体" w:eastAsia="宋体" w:cs="宋体"/>
          <w:b/>
          <w:bCs w:val="0"/>
          <w:color w:val="auto"/>
          <w:szCs w:val="28"/>
          <w:highlight w:val="none"/>
        </w:rPr>
      </w:pPr>
      <w:bookmarkStart w:id="131" w:name="_Toc16348"/>
      <w:bookmarkStart w:id="132" w:name="_Toc30713"/>
      <w:bookmarkStart w:id="133" w:name="_Toc17898"/>
      <w:bookmarkStart w:id="134" w:name="_Toc3186"/>
      <w:r>
        <w:rPr>
          <w:rFonts w:hint="eastAsia" w:ascii="宋体" w:hAnsi="宋体" w:eastAsia="宋体" w:cs="宋体"/>
          <w:b/>
          <w:bCs w:val="0"/>
          <w:color w:val="auto"/>
          <w:szCs w:val="28"/>
          <w:highlight w:val="none"/>
        </w:rPr>
        <w:t>六、其他事项</w:t>
      </w:r>
      <w:bookmarkEnd w:id="131"/>
      <w:bookmarkEnd w:id="132"/>
      <w:bookmarkEnd w:id="133"/>
      <w:bookmarkEnd w:id="134"/>
    </w:p>
    <w:p w14:paraId="6DE03AB2">
      <w:pPr>
        <w:pStyle w:val="4"/>
        <w:keepNext w:val="0"/>
        <w:keepLines w:val="0"/>
        <w:pageBreakBefore w:val="0"/>
        <w:widowControl w:val="0"/>
        <w:numPr>
          <w:ilvl w:val="0"/>
          <w:numId w:val="2"/>
        </w:numPr>
        <w:kinsoku/>
        <w:wordWrap/>
        <w:overflowPunct/>
        <w:topLinePunct w:val="0"/>
        <w:bidi w:val="0"/>
        <w:spacing w:before="0" w:after="0" w:line="440" w:lineRule="exact"/>
        <w:ind w:firstLine="422" w:firstLineChars="200"/>
        <w:textAlignment w:val="auto"/>
        <w:rPr>
          <w:rFonts w:hint="eastAsia" w:ascii="宋体" w:hAnsi="宋体" w:eastAsia="宋体" w:cs="宋体"/>
          <w:color w:val="auto"/>
          <w:sz w:val="21"/>
          <w:szCs w:val="21"/>
          <w:highlight w:val="none"/>
        </w:rPr>
      </w:pPr>
      <w:bookmarkStart w:id="135" w:name="_Toc29572"/>
      <w:bookmarkStart w:id="136" w:name="_Toc28647"/>
      <w:r>
        <w:rPr>
          <w:rFonts w:hint="eastAsia" w:ascii="宋体" w:hAnsi="宋体" w:eastAsia="宋体" w:cs="宋体"/>
          <w:color w:val="auto"/>
          <w:sz w:val="21"/>
          <w:szCs w:val="21"/>
          <w:highlight w:val="none"/>
        </w:rPr>
        <w:t xml:space="preserve"> 采购代理服务费</w:t>
      </w:r>
      <w:bookmarkEnd w:id="135"/>
      <w:bookmarkEnd w:id="136"/>
    </w:p>
    <w:p w14:paraId="1D012A81">
      <w:pPr>
        <w:keepNext w:val="0"/>
        <w:keepLines w:val="0"/>
        <w:pageBreakBefore w:val="0"/>
        <w:widowControl w:val="0"/>
        <w:wordWrap/>
        <w:topLinePunct w:val="0"/>
        <w:bidi w:val="0"/>
        <w:spacing w:line="400" w:lineRule="exact"/>
        <w:ind w:firstLine="420"/>
        <w:rPr>
          <w:rFonts w:hint="eastAsia" w:ascii="宋体" w:hAnsi="宋体" w:eastAsia="宋体" w:cs="宋体"/>
          <w:color w:val="auto"/>
          <w:szCs w:val="21"/>
          <w:highlight w:val="none"/>
        </w:rPr>
      </w:pPr>
      <w:bookmarkStart w:id="137" w:name="_Toc12374"/>
      <w:r>
        <w:rPr>
          <w:rFonts w:hint="eastAsia" w:ascii="宋体" w:hAnsi="宋体" w:cs="宋体"/>
          <w:color w:val="auto"/>
          <w:highlight w:val="none"/>
          <w:lang w:val="en-US" w:eastAsia="zh-CN"/>
        </w:rPr>
        <w:t>31</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成交供应商领取成交通知书前，</w:t>
      </w:r>
      <w:r>
        <w:rPr>
          <w:rFonts w:hint="eastAsia" w:ascii="宋体" w:hAnsi="宋体" w:eastAsia="宋体" w:cs="宋体"/>
          <w:color w:val="auto"/>
          <w:szCs w:val="21"/>
          <w:highlight w:val="none"/>
        </w:rPr>
        <w:t>向</w:t>
      </w:r>
      <w:r>
        <w:rPr>
          <w:rFonts w:hint="eastAsia" w:ascii="宋体" w:hAnsi="宋体" w:cs="宋体"/>
          <w:color w:val="auto"/>
          <w:highlight w:val="none"/>
          <w:lang w:eastAsia="zh-CN"/>
        </w:rPr>
        <w:t>广西晟鑫项目管理有限公司</w:t>
      </w:r>
      <w:r>
        <w:rPr>
          <w:rFonts w:hint="eastAsia" w:ascii="宋体" w:hAnsi="宋体" w:eastAsia="宋体" w:cs="宋体"/>
          <w:color w:val="auto"/>
          <w:highlight w:val="none"/>
        </w:rPr>
        <w:t>一次性付清代理服务费。</w:t>
      </w:r>
      <w:r>
        <w:rPr>
          <w:rFonts w:hint="eastAsia" w:ascii="宋体" w:hAnsi="宋体" w:eastAsia="宋体" w:cs="宋体"/>
          <w:color w:val="auto"/>
          <w:szCs w:val="21"/>
          <w:highlight w:val="none"/>
        </w:rPr>
        <w:t>本项目招标代理服务收费标准参照计价格[2002]1980号《招标代理服务收费管理暂行办法》</w:t>
      </w:r>
      <w:r>
        <w:rPr>
          <w:rFonts w:hint="eastAsia" w:ascii="宋体" w:hAnsi="宋体" w:eastAsia="宋体" w:cs="宋体"/>
          <w:color w:val="auto"/>
          <w:szCs w:val="21"/>
          <w:highlight w:val="none"/>
          <w:lang w:eastAsia="zh-CN"/>
        </w:rPr>
        <w:t>工程</w:t>
      </w:r>
      <w:r>
        <w:rPr>
          <w:rFonts w:hint="eastAsia" w:ascii="宋体" w:hAnsi="宋体" w:eastAsia="宋体" w:cs="宋体"/>
          <w:color w:val="auto"/>
          <w:szCs w:val="21"/>
          <w:highlight w:val="none"/>
        </w:rPr>
        <w:t>类收费标准</w:t>
      </w:r>
      <w:r>
        <w:rPr>
          <w:rFonts w:hint="eastAsia" w:ascii="宋体" w:hAnsi="宋体" w:cs="宋体"/>
          <w:color w:val="auto"/>
          <w:szCs w:val="21"/>
          <w:highlight w:val="none"/>
          <w:lang w:val="en-US" w:eastAsia="zh-CN"/>
        </w:rPr>
        <w:t>下浮10%</w:t>
      </w:r>
      <w:r>
        <w:rPr>
          <w:rFonts w:hint="eastAsia" w:ascii="宋体" w:hAnsi="宋体" w:eastAsia="宋体" w:cs="宋体"/>
          <w:color w:val="auto"/>
          <w:szCs w:val="21"/>
          <w:highlight w:val="none"/>
        </w:rPr>
        <w:t>向</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收取。</w:t>
      </w:r>
    </w:p>
    <w:tbl>
      <w:tblPr>
        <w:tblStyle w:val="27"/>
        <w:tblW w:w="9006"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1841"/>
        <w:gridCol w:w="1992"/>
        <w:gridCol w:w="2293"/>
      </w:tblGrid>
      <w:tr w14:paraId="49201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880" w:type="dxa"/>
            <w:noWrap w:val="0"/>
            <w:vAlign w:val="top"/>
          </w:tcPr>
          <w:p w14:paraId="7F7B8B05">
            <w:pPr>
              <w:keepNext w:val="0"/>
              <w:keepLines w:val="0"/>
              <w:pageBreakBefore w:val="0"/>
              <w:widowControl w:val="0"/>
              <w:wordWrap/>
              <w:topLinePunct w:val="0"/>
              <w:bidi w:val="0"/>
              <w:spacing w:before="0" w:after="0" w:line="400" w:lineRule="exact"/>
              <w:ind w:left="23"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59264" behindDoc="0" locked="0" layoutInCell="1" allowOverlap="1">
                      <wp:simplePos x="0" y="0"/>
                      <wp:positionH relativeFrom="column">
                        <wp:posOffset>296545</wp:posOffset>
                      </wp:positionH>
                      <wp:positionV relativeFrom="paragraph">
                        <wp:posOffset>10795</wp:posOffset>
                      </wp:positionV>
                      <wp:extent cx="1463675" cy="653415"/>
                      <wp:effectExtent l="1905" t="4445" r="20320" b="8890"/>
                      <wp:wrapNone/>
                      <wp:docPr id="1026" name="直接连接符 1026"/>
                      <wp:cNvGraphicFramePr/>
                      <a:graphic xmlns:a="http://schemas.openxmlformats.org/drawingml/2006/main">
                        <a:graphicData uri="http://schemas.microsoft.com/office/word/2010/wordprocessingShape">
                          <wps:wsp>
                            <wps:cNvCnPr/>
                            <wps:spPr>
                              <a:xfrm>
                                <a:off x="0" y="0"/>
                                <a:ext cx="1463675" cy="653415"/>
                              </a:xfrm>
                              <a:prstGeom prst="line">
                                <a:avLst/>
                              </a:prstGeom>
                              <a:ln w="9525" cap="flat" cmpd="sng">
                                <a:solidFill>
                                  <a:srgbClr val="000000"/>
                                </a:solidFill>
                                <a:prstDash val="solid"/>
                                <a:round/>
                                <a:headEnd type="none" w="med" len="med"/>
                                <a:tailEnd type="none" w="med" len="med"/>
                              </a:ln>
                              <a:effectLst/>
                            </wps:spPr>
                            <wps:bodyPr/>
                          </wps:wsp>
                        </a:graphicData>
                      </a:graphic>
                    </wp:anchor>
                  </w:drawing>
                </mc:Choice>
                <mc:Fallback>
                  <w:pict>
                    <v:line id="_x0000_s1026" o:spid="_x0000_s1026" o:spt="20" style="position:absolute;left:0pt;margin-left:23.35pt;margin-top:0.85pt;height:51.45pt;width:115.25pt;z-index:251659264;mso-width-relative:page;mso-height-relative:page;" filled="f" stroked="t" coordsize="21600,21600" o:gfxdata="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gFTNNYAAAAIAQAADwAAAAAAAAABACAAAAAiAAAAZHJzL2Rvd25yZXYu&#10;eG1sUEsBAhQAFAAAAAgAh07iQDnnG0P9AQAA+wMAAA4AAAAAAAAAAQAgAAAAJQEAAGRycy9lMm9E&#10;b2MueG1sUEsFBgAAAAAGAAYAWQEAAJQFAAAAAA==&#10;">
                      <v:fill on="f" focussize="0,0"/>
                      <v:stroke color="#000000" joinstyle="round"/>
                      <v:imagedata o:title=""/>
                      <o:lock v:ext="edit" aspectratio="f"/>
                    </v:line>
                  </w:pict>
                </mc:Fallback>
              </mc:AlternateContent>
            </w:r>
            <w:r>
              <w:rPr>
                <w:rFonts w:hint="eastAsia" w:ascii="宋体" w:hAnsi="宋体" w:eastAsia="宋体" w:cs="宋体"/>
                <w:color w:val="auto"/>
                <w:szCs w:val="21"/>
                <w:highlight w:val="none"/>
              </w:rPr>
              <w:t>费率           服务类型</w:t>
            </w:r>
          </w:p>
          <w:p w14:paraId="0A5F258C">
            <w:pPr>
              <w:keepNext w:val="0"/>
              <w:keepLines w:val="0"/>
              <w:pageBreakBefore w:val="0"/>
              <w:widowControl w:val="0"/>
              <w:wordWrap/>
              <w:topLinePunct w:val="0"/>
              <w:bidi w:val="0"/>
              <w:spacing w:before="0" w:after="0" w:line="400" w:lineRule="exact"/>
              <w:ind w:left="23"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60288" behindDoc="0" locked="0" layoutInCell="1" allowOverlap="1">
                      <wp:simplePos x="0" y="0"/>
                      <wp:positionH relativeFrom="column">
                        <wp:posOffset>-78740</wp:posOffset>
                      </wp:positionH>
                      <wp:positionV relativeFrom="paragraph">
                        <wp:posOffset>92075</wp:posOffset>
                      </wp:positionV>
                      <wp:extent cx="1828800" cy="396240"/>
                      <wp:effectExtent l="1270" t="4445" r="17780" b="18415"/>
                      <wp:wrapNone/>
                      <wp:docPr id="1027" name="直接连接符 1027"/>
                      <wp:cNvGraphicFramePr/>
                      <a:graphic xmlns:a="http://schemas.openxmlformats.org/drawingml/2006/main">
                        <a:graphicData uri="http://schemas.microsoft.com/office/word/2010/wordprocessingShape">
                          <wps:wsp>
                            <wps:cNvCnPr/>
                            <wps:spPr>
                              <a:xfrm>
                                <a:off x="0" y="0"/>
                                <a:ext cx="1828800" cy="396239"/>
                              </a:xfrm>
                              <a:prstGeom prst="line">
                                <a:avLst/>
                              </a:prstGeom>
                              <a:ln w="9525" cap="flat" cmpd="sng">
                                <a:solidFill>
                                  <a:srgbClr val="000000"/>
                                </a:solidFill>
                                <a:prstDash val="solid"/>
                                <a:round/>
                                <a:headEnd type="none" w="med" len="med"/>
                                <a:tailEnd type="none" w="med" len="med"/>
                              </a:ln>
                              <a:effectLst/>
                            </wps:spPr>
                            <wps:bodyPr/>
                          </wps:wsp>
                        </a:graphicData>
                      </a:graphic>
                    </wp:anchor>
                  </w:drawing>
                </mc:Choice>
                <mc:Fallback>
                  <w:pict>
                    <v:line id="_x0000_s1026" o:spid="_x0000_s1026" o:spt="20" style="position:absolute;left:0pt;margin-left:-6.2pt;margin-top:7.25pt;height:31.2pt;width:144pt;z-index:251660288;mso-width-relative:page;mso-height-relative:page;" filled="f" stroked="t" coordsize="21600,21600" o:gfxdata="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sl4YhtgAAAAJAQAADwAAAAAAAAABACAAAAAiAAAAZHJzL2Rvd25y&#10;ZXYueG1sUEsBAhQAFAAAAAgAh07iQMv7It3+AQAA+wMAAA4AAAAAAAAAAQAgAAAAJwEAAGRycy9l&#10;Mm9Eb2MueG1sUEsFBgAAAAAGAAYAWQEAAJcFAAAAAA==&#10;">
                      <v:fill on="f" focussize="0,0"/>
                      <v:stroke color="#000000" joinstyle="round"/>
                      <v:imagedata o:title=""/>
                      <o:lock v:ext="edit" aspectratio="f"/>
                    </v:line>
                  </w:pict>
                </mc:Fallback>
              </mc:AlternateContent>
            </w:r>
          </w:p>
          <w:p w14:paraId="721C559C">
            <w:pPr>
              <w:keepNext w:val="0"/>
              <w:keepLines w:val="0"/>
              <w:pageBreakBefore w:val="0"/>
              <w:widowControl w:val="0"/>
              <w:wordWrap/>
              <w:topLinePunct w:val="0"/>
              <w:bidi w:val="0"/>
              <w:spacing w:before="0" w:after="0" w:line="400" w:lineRule="exact"/>
              <w:ind w:left="23"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中标金额（万元）</w:t>
            </w:r>
          </w:p>
        </w:tc>
        <w:tc>
          <w:tcPr>
            <w:tcW w:w="1841" w:type="dxa"/>
            <w:noWrap w:val="0"/>
            <w:vAlign w:val="center"/>
          </w:tcPr>
          <w:p w14:paraId="65A5FC41">
            <w:pPr>
              <w:keepNext w:val="0"/>
              <w:keepLines w:val="0"/>
              <w:pageBreakBefore w:val="0"/>
              <w:widowControl w:val="0"/>
              <w:wordWrap/>
              <w:topLinePunct w:val="0"/>
              <w:bidi w:val="0"/>
              <w:spacing w:before="0" w:after="0" w:line="400" w:lineRule="exact"/>
              <w:ind w:left="23"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货物招标</w:t>
            </w:r>
          </w:p>
        </w:tc>
        <w:tc>
          <w:tcPr>
            <w:tcW w:w="1992" w:type="dxa"/>
            <w:noWrap w:val="0"/>
            <w:vAlign w:val="center"/>
          </w:tcPr>
          <w:p w14:paraId="5715F046">
            <w:pPr>
              <w:keepNext w:val="0"/>
              <w:keepLines w:val="0"/>
              <w:pageBreakBefore w:val="0"/>
              <w:widowControl w:val="0"/>
              <w:wordWrap/>
              <w:topLinePunct w:val="0"/>
              <w:bidi w:val="0"/>
              <w:spacing w:before="0" w:after="0" w:line="400" w:lineRule="exact"/>
              <w:ind w:left="23"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服务招标</w:t>
            </w:r>
          </w:p>
        </w:tc>
        <w:tc>
          <w:tcPr>
            <w:tcW w:w="2293" w:type="dxa"/>
            <w:noWrap w:val="0"/>
            <w:vAlign w:val="center"/>
          </w:tcPr>
          <w:p w14:paraId="4DF184DE">
            <w:pPr>
              <w:keepNext w:val="0"/>
              <w:keepLines w:val="0"/>
              <w:pageBreakBefore w:val="0"/>
              <w:widowControl w:val="0"/>
              <w:wordWrap/>
              <w:topLinePunct w:val="0"/>
              <w:bidi w:val="0"/>
              <w:spacing w:before="0" w:after="0" w:line="400" w:lineRule="exact"/>
              <w:ind w:left="23"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工程招标</w:t>
            </w:r>
          </w:p>
        </w:tc>
      </w:tr>
      <w:tr w14:paraId="241A5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880" w:type="dxa"/>
            <w:noWrap w:val="0"/>
            <w:vAlign w:val="top"/>
          </w:tcPr>
          <w:p w14:paraId="6D7A3BEA">
            <w:pPr>
              <w:keepNext w:val="0"/>
              <w:keepLines w:val="0"/>
              <w:pageBreakBefore w:val="0"/>
              <w:widowControl w:val="0"/>
              <w:wordWrap/>
              <w:topLinePunct w:val="0"/>
              <w:bidi w:val="0"/>
              <w:spacing w:before="0" w:after="0" w:line="400" w:lineRule="exact"/>
              <w:ind w:left="23"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100以下</w:t>
            </w:r>
          </w:p>
        </w:tc>
        <w:tc>
          <w:tcPr>
            <w:tcW w:w="1841" w:type="dxa"/>
            <w:noWrap w:val="0"/>
            <w:vAlign w:val="top"/>
          </w:tcPr>
          <w:p w14:paraId="7B70A422">
            <w:pPr>
              <w:keepNext w:val="0"/>
              <w:keepLines w:val="0"/>
              <w:pageBreakBefore w:val="0"/>
              <w:widowControl w:val="0"/>
              <w:wordWrap/>
              <w:topLinePunct w:val="0"/>
              <w:bidi w:val="0"/>
              <w:spacing w:before="0" w:after="0" w:line="400" w:lineRule="exact"/>
              <w:ind w:left="23"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1992" w:type="dxa"/>
            <w:noWrap w:val="0"/>
            <w:vAlign w:val="top"/>
          </w:tcPr>
          <w:p w14:paraId="199179A0">
            <w:pPr>
              <w:keepNext w:val="0"/>
              <w:keepLines w:val="0"/>
              <w:pageBreakBefore w:val="0"/>
              <w:widowControl w:val="0"/>
              <w:wordWrap/>
              <w:topLinePunct w:val="0"/>
              <w:bidi w:val="0"/>
              <w:spacing w:before="0" w:after="0" w:line="400" w:lineRule="exact"/>
              <w:ind w:left="23"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2293" w:type="dxa"/>
            <w:noWrap w:val="0"/>
            <w:vAlign w:val="top"/>
          </w:tcPr>
          <w:p w14:paraId="5C2FB69A">
            <w:pPr>
              <w:keepNext w:val="0"/>
              <w:keepLines w:val="0"/>
              <w:pageBreakBefore w:val="0"/>
              <w:widowControl w:val="0"/>
              <w:wordWrap/>
              <w:topLinePunct w:val="0"/>
              <w:bidi w:val="0"/>
              <w:spacing w:before="0" w:after="0" w:line="400" w:lineRule="exact"/>
              <w:ind w:left="23"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r>
      <w:tr w14:paraId="525A5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2880" w:type="dxa"/>
            <w:noWrap w:val="0"/>
            <w:vAlign w:val="top"/>
          </w:tcPr>
          <w:p w14:paraId="25BCCEE2">
            <w:pPr>
              <w:keepNext w:val="0"/>
              <w:keepLines w:val="0"/>
              <w:pageBreakBefore w:val="0"/>
              <w:widowControl w:val="0"/>
              <w:wordWrap/>
              <w:topLinePunct w:val="0"/>
              <w:bidi w:val="0"/>
              <w:spacing w:before="0" w:after="0" w:line="400" w:lineRule="exact"/>
              <w:ind w:left="23"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100-500</w:t>
            </w:r>
          </w:p>
        </w:tc>
        <w:tc>
          <w:tcPr>
            <w:tcW w:w="1841" w:type="dxa"/>
            <w:noWrap w:val="0"/>
            <w:vAlign w:val="top"/>
          </w:tcPr>
          <w:p w14:paraId="0B1F6035">
            <w:pPr>
              <w:keepNext w:val="0"/>
              <w:keepLines w:val="0"/>
              <w:pageBreakBefore w:val="0"/>
              <w:widowControl w:val="0"/>
              <w:wordWrap/>
              <w:topLinePunct w:val="0"/>
              <w:bidi w:val="0"/>
              <w:spacing w:before="0" w:after="0" w:line="400" w:lineRule="exact"/>
              <w:ind w:left="23"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1992" w:type="dxa"/>
            <w:noWrap w:val="0"/>
            <w:vAlign w:val="top"/>
          </w:tcPr>
          <w:p w14:paraId="786C69F8">
            <w:pPr>
              <w:keepNext w:val="0"/>
              <w:keepLines w:val="0"/>
              <w:pageBreakBefore w:val="0"/>
              <w:widowControl w:val="0"/>
              <w:wordWrap/>
              <w:topLinePunct w:val="0"/>
              <w:bidi w:val="0"/>
              <w:spacing w:before="0" w:after="0" w:line="400" w:lineRule="exact"/>
              <w:ind w:left="23"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0.8%</w:t>
            </w:r>
          </w:p>
        </w:tc>
        <w:tc>
          <w:tcPr>
            <w:tcW w:w="2293" w:type="dxa"/>
            <w:noWrap w:val="0"/>
            <w:vAlign w:val="top"/>
          </w:tcPr>
          <w:p w14:paraId="0119718C">
            <w:pPr>
              <w:keepNext w:val="0"/>
              <w:keepLines w:val="0"/>
              <w:pageBreakBefore w:val="0"/>
              <w:widowControl w:val="0"/>
              <w:wordWrap/>
              <w:topLinePunct w:val="0"/>
              <w:bidi w:val="0"/>
              <w:spacing w:before="0" w:after="0" w:line="400" w:lineRule="exact"/>
              <w:ind w:left="23"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w:t>
            </w:r>
          </w:p>
        </w:tc>
      </w:tr>
      <w:tr w14:paraId="12038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0C4B0C06">
            <w:pPr>
              <w:keepNext w:val="0"/>
              <w:keepLines w:val="0"/>
              <w:pageBreakBefore w:val="0"/>
              <w:widowControl w:val="0"/>
              <w:wordWrap/>
              <w:topLinePunct w:val="0"/>
              <w:bidi w:val="0"/>
              <w:spacing w:before="0" w:after="0" w:line="400" w:lineRule="exact"/>
              <w:ind w:left="23"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500-1000</w:t>
            </w:r>
          </w:p>
        </w:tc>
        <w:tc>
          <w:tcPr>
            <w:tcW w:w="1841" w:type="dxa"/>
            <w:noWrap w:val="0"/>
            <w:vAlign w:val="top"/>
          </w:tcPr>
          <w:p w14:paraId="520A601E">
            <w:pPr>
              <w:keepNext w:val="0"/>
              <w:keepLines w:val="0"/>
              <w:pageBreakBefore w:val="0"/>
              <w:widowControl w:val="0"/>
              <w:wordWrap/>
              <w:topLinePunct w:val="0"/>
              <w:bidi w:val="0"/>
              <w:spacing w:before="0" w:after="0" w:line="400" w:lineRule="exact"/>
              <w:ind w:left="23"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0.8%</w:t>
            </w:r>
          </w:p>
        </w:tc>
        <w:tc>
          <w:tcPr>
            <w:tcW w:w="1992" w:type="dxa"/>
            <w:noWrap w:val="0"/>
            <w:vAlign w:val="top"/>
          </w:tcPr>
          <w:p w14:paraId="2D580FF7">
            <w:pPr>
              <w:keepNext w:val="0"/>
              <w:keepLines w:val="0"/>
              <w:pageBreakBefore w:val="0"/>
              <w:widowControl w:val="0"/>
              <w:wordWrap/>
              <w:topLinePunct w:val="0"/>
              <w:bidi w:val="0"/>
              <w:spacing w:before="0" w:after="0" w:line="400" w:lineRule="exact"/>
              <w:ind w:left="23"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0.45%</w:t>
            </w:r>
          </w:p>
        </w:tc>
        <w:tc>
          <w:tcPr>
            <w:tcW w:w="2293" w:type="dxa"/>
            <w:noWrap w:val="0"/>
            <w:vAlign w:val="top"/>
          </w:tcPr>
          <w:p w14:paraId="244F6DAA">
            <w:pPr>
              <w:keepNext w:val="0"/>
              <w:keepLines w:val="0"/>
              <w:pageBreakBefore w:val="0"/>
              <w:widowControl w:val="0"/>
              <w:wordWrap/>
              <w:topLinePunct w:val="0"/>
              <w:bidi w:val="0"/>
              <w:spacing w:before="0" w:after="0" w:line="400" w:lineRule="exact"/>
              <w:ind w:left="23"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0.55%</w:t>
            </w:r>
          </w:p>
        </w:tc>
      </w:tr>
      <w:tr w14:paraId="30735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2EA645B6">
            <w:pPr>
              <w:keepNext w:val="0"/>
              <w:keepLines w:val="0"/>
              <w:pageBreakBefore w:val="0"/>
              <w:widowControl w:val="0"/>
              <w:wordWrap/>
              <w:topLinePunct w:val="0"/>
              <w:bidi w:val="0"/>
              <w:spacing w:before="0" w:after="0" w:line="400" w:lineRule="exact"/>
              <w:ind w:left="23"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1000-5000</w:t>
            </w:r>
          </w:p>
        </w:tc>
        <w:tc>
          <w:tcPr>
            <w:tcW w:w="1841" w:type="dxa"/>
            <w:noWrap w:val="0"/>
            <w:vAlign w:val="top"/>
          </w:tcPr>
          <w:p w14:paraId="321B402C">
            <w:pPr>
              <w:keepNext w:val="0"/>
              <w:keepLines w:val="0"/>
              <w:pageBreakBefore w:val="0"/>
              <w:widowControl w:val="0"/>
              <w:wordWrap/>
              <w:topLinePunct w:val="0"/>
              <w:bidi w:val="0"/>
              <w:spacing w:before="0" w:after="0" w:line="400" w:lineRule="exact"/>
              <w:ind w:left="23"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0.5%</w:t>
            </w:r>
          </w:p>
        </w:tc>
        <w:tc>
          <w:tcPr>
            <w:tcW w:w="1992" w:type="dxa"/>
            <w:noWrap w:val="0"/>
            <w:vAlign w:val="top"/>
          </w:tcPr>
          <w:p w14:paraId="3207DEBC">
            <w:pPr>
              <w:keepNext w:val="0"/>
              <w:keepLines w:val="0"/>
              <w:pageBreakBefore w:val="0"/>
              <w:widowControl w:val="0"/>
              <w:wordWrap/>
              <w:topLinePunct w:val="0"/>
              <w:bidi w:val="0"/>
              <w:spacing w:before="0" w:after="0" w:line="400" w:lineRule="exact"/>
              <w:ind w:left="23"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0.25%</w:t>
            </w:r>
          </w:p>
        </w:tc>
        <w:tc>
          <w:tcPr>
            <w:tcW w:w="2293" w:type="dxa"/>
            <w:noWrap w:val="0"/>
            <w:vAlign w:val="top"/>
          </w:tcPr>
          <w:p w14:paraId="35A0B552">
            <w:pPr>
              <w:keepNext w:val="0"/>
              <w:keepLines w:val="0"/>
              <w:pageBreakBefore w:val="0"/>
              <w:widowControl w:val="0"/>
              <w:wordWrap/>
              <w:topLinePunct w:val="0"/>
              <w:bidi w:val="0"/>
              <w:spacing w:before="0" w:after="0" w:line="400" w:lineRule="exact"/>
              <w:ind w:left="23"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0.35%</w:t>
            </w:r>
          </w:p>
        </w:tc>
      </w:tr>
      <w:tr w14:paraId="12AC3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057D369E">
            <w:pPr>
              <w:keepNext w:val="0"/>
              <w:keepLines w:val="0"/>
              <w:pageBreakBefore w:val="0"/>
              <w:widowControl w:val="0"/>
              <w:wordWrap/>
              <w:topLinePunct w:val="0"/>
              <w:bidi w:val="0"/>
              <w:spacing w:before="0" w:after="0" w:line="400" w:lineRule="exact"/>
              <w:ind w:left="23"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5000-10000</w:t>
            </w:r>
          </w:p>
        </w:tc>
        <w:tc>
          <w:tcPr>
            <w:tcW w:w="1841" w:type="dxa"/>
            <w:noWrap w:val="0"/>
            <w:vAlign w:val="top"/>
          </w:tcPr>
          <w:p w14:paraId="04E06271">
            <w:pPr>
              <w:keepNext w:val="0"/>
              <w:keepLines w:val="0"/>
              <w:pageBreakBefore w:val="0"/>
              <w:widowControl w:val="0"/>
              <w:wordWrap/>
              <w:topLinePunct w:val="0"/>
              <w:bidi w:val="0"/>
              <w:spacing w:before="0" w:after="0" w:line="400" w:lineRule="exact"/>
              <w:ind w:left="23"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0.25%</w:t>
            </w:r>
          </w:p>
        </w:tc>
        <w:tc>
          <w:tcPr>
            <w:tcW w:w="1992" w:type="dxa"/>
            <w:noWrap w:val="0"/>
            <w:vAlign w:val="top"/>
          </w:tcPr>
          <w:p w14:paraId="67171A32">
            <w:pPr>
              <w:keepNext w:val="0"/>
              <w:keepLines w:val="0"/>
              <w:pageBreakBefore w:val="0"/>
              <w:widowControl w:val="0"/>
              <w:wordWrap/>
              <w:topLinePunct w:val="0"/>
              <w:bidi w:val="0"/>
              <w:spacing w:before="0" w:after="0" w:line="400" w:lineRule="exact"/>
              <w:ind w:left="23"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0.1%</w:t>
            </w:r>
          </w:p>
        </w:tc>
        <w:tc>
          <w:tcPr>
            <w:tcW w:w="2293" w:type="dxa"/>
            <w:noWrap w:val="0"/>
            <w:vAlign w:val="top"/>
          </w:tcPr>
          <w:p w14:paraId="2F0931E3">
            <w:pPr>
              <w:keepNext w:val="0"/>
              <w:keepLines w:val="0"/>
              <w:pageBreakBefore w:val="0"/>
              <w:widowControl w:val="0"/>
              <w:wordWrap/>
              <w:topLinePunct w:val="0"/>
              <w:bidi w:val="0"/>
              <w:spacing w:before="0" w:after="0" w:line="400" w:lineRule="exact"/>
              <w:ind w:left="23"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0.2%</w:t>
            </w:r>
          </w:p>
        </w:tc>
      </w:tr>
    </w:tbl>
    <w:p w14:paraId="06261A5E">
      <w:pPr>
        <w:keepNext w:val="0"/>
        <w:keepLines w:val="0"/>
        <w:pageBreakBefore w:val="0"/>
        <w:widowControl w:val="0"/>
        <w:wordWrap/>
        <w:topLinePunct w:val="0"/>
        <w:bidi w:val="0"/>
        <w:spacing w:before="0" w:after="0" w:line="400" w:lineRule="exact"/>
        <w:ind w:left="25" w:firstLine="0" w:firstLineChars="0"/>
        <w:rPr>
          <w:rFonts w:hint="eastAsia" w:ascii="宋体" w:hAnsi="宋体" w:eastAsia="宋体" w:cs="宋体"/>
          <w:color w:val="auto"/>
          <w:szCs w:val="20"/>
          <w:highlight w:val="none"/>
        </w:rPr>
      </w:pPr>
      <w:r>
        <w:rPr>
          <w:rFonts w:hint="eastAsia" w:ascii="宋体" w:hAnsi="宋体" w:eastAsia="宋体" w:cs="宋体"/>
          <w:color w:val="auto"/>
          <w:szCs w:val="20"/>
          <w:highlight w:val="none"/>
        </w:rPr>
        <w:t>注：招标代理服务收费按差额定率累进法计算。</w:t>
      </w:r>
    </w:p>
    <w:p w14:paraId="265F0258">
      <w:pPr>
        <w:keepNext w:val="0"/>
        <w:keepLines w:val="0"/>
        <w:pageBreakBefore w:val="0"/>
        <w:widowControl w:val="0"/>
        <w:wordWrap/>
        <w:topLinePunct w:val="0"/>
        <w:bidi w:val="0"/>
        <w:spacing w:before="0" w:after="0" w:line="400" w:lineRule="exact"/>
        <w:ind w:firstLine="422"/>
        <w:rPr>
          <w:rFonts w:hint="eastAsia" w:ascii="宋体" w:hAnsi="宋体" w:eastAsia="宋体" w:cs="宋体"/>
          <w:b w:val="0"/>
          <w:bCs/>
          <w:color w:val="auto"/>
          <w:highlight w:val="none"/>
        </w:rPr>
      </w:pPr>
      <w:r>
        <w:rPr>
          <w:rFonts w:hint="eastAsia" w:ascii="宋体" w:hAnsi="宋体" w:cs="宋体"/>
          <w:b w:val="0"/>
          <w:bCs/>
          <w:color w:val="auto"/>
          <w:highlight w:val="none"/>
          <w:lang w:val="en-US" w:eastAsia="zh-CN"/>
        </w:rPr>
        <w:t>31</w:t>
      </w:r>
      <w:r>
        <w:rPr>
          <w:rFonts w:hint="eastAsia" w:ascii="宋体" w:hAnsi="宋体" w:eastAsia="宋体" w:cs="宋体"/>
          <w:b w:val="0"/>
          <w:bCs/>
          <w:color w:val="auto"/>
          <w:highlight w:val="none"/>
          <w:lang w:val="en-US" w:eastAsia="zh-CN"/>
        </w:rPr>
        <w:t>.2</w:t>
      </w:r>
      <w:r>
        <w:rPr>
          <w:rFonts w:hint="eastAsia" w:ascii="宋体" w:hAnsi="宋体" w:eastAsia="宋体" w:cs="宋体"/>
          <w:b w:val="0"/>
          <w:bCs/>
          <w:color w:val="auto"/>
          <w:highlight w:val="none"/>
        </w:rPr>
        <w:t>招标代理服务费缴纳账户：</w:t>
      </w:r>
    </w:p>
    <w:p w14:paraId="73ACB8C2">
      <w:pPr>
        <w:keepNext w:val="0"/>
        <w:keepLines w:val="0"/>
        <w:pageBreakBefore w:val="0"/>
        <w:widowControl w:val="0"/>
        <w:kinsoku/>
        <w:wordWrap/>
        <w:overflowPunct/>
        <w:topLinePunct w:val="0"/>
        <w:bidi w:val="0"/>
        <w:spacing w:line="440" w:lineRule="exact"/>
        <w:ind w:firstLine="420" w:firstLineChars="200"/>
        <w:textAlignment w:val="auto"/>
        <w:rPr>
          <w:rStyle w:val="33"/>
          <w:rFonts w:hint="eastAsia" w:ascii="宋体" w:hAnsi="宋体" w:eastAsia="宋体" w:cs="宋体"/>
          <w:b w:val="0"/>
          <w:bCs/>
          <w:color w:val="auto"/>
          <w:sz w:val="21"/>
          <w:szCs w:val="21"/>
          <w:highlight w:val="none"/>
          <w:lang w:val="en-US" w:eastAsia="zh-CN"/>
        </w:rPr>
      </w:pPr>
      <w:bookmarkStart w:id="138" w:name="_Toc9779"/>
      <w:r>
        <w:rPr>
          <w:rStyle w:val="33"/>
          <w:rFonts w:hint="eastAsia" w:ascii="宋体" w:hAnsi="宋体" w:eastAsia="宋体" w:cs="宋体"/>
          <w:b w:val="0"/>
          <w:bCs/>
          <w:color w:val="auto"/>
          <w:sz w:val="21"/>
          <w:szCs w:val="21"/>
          <w:highlight w:val="none"/>
          <w:lang w:val="en-US"/>
        </w:rPr>
        <w:t>开户名称：</w:t>
      </w:r>
      <w:r>
        <w:rPr>
          <w:rStyle w:val="33"/>
          <w:rFonts w:hint="eastAsia" w:ascii="宋体" w:hAnsi="宋体" w:cs="宋体"/>
          <w:b w:val="0"/>
          <w:bCs/>
          <w:color w:val="auto"/>
          <w:sz w:val="21"/>
          <w:szCs w:val="21"/>
          <w:highlight w:val="none"/>
          <w:lang w:val="en-US" w:eastAsia="zh-CN"/>
        </w:rPr>
        <w:t>广西晟鑫项目管理有限公司</w:t>
      </w:r>
    </w:p>
    <w:p w14:paraId="2A3EB6BD">
      <w:pPr>
        <w:keepNext w:val="0"/>
        <w:keepLines w:val="0"/>
        <w:pageBreakBefore w:val="0"/>
        <w:widowControl w:val="0"/>
        <w:kinsoku/>
        <w:wordWrap/>
        <w:overflowPunct/>
        <w:topLinePunct w:val="0"/>
        <w:bidi w:val="0"/>
        <w:spacing w:line="440" w:lineRule="exact"/>
        <w:ind w:firstLine="420" w:firstLineChars="200"/>
        <w:textAlignment w:val="auto"/>
        <w:rPr>
          <w:rStyle w:val="33"/>
          <w:rFonts w:hint="eastAsia" w:ascii="宋体" w:hAnsi="宋体" w:eastAsia="宋体" w:cs="宋体"/>
          <w:b w:val="0"/>
          <w:bCs/>
          <w:color w:val="auto"/>
          <w:sz w:val="21"/>
          <w:szCs w:val="21"/>
          <w:highlight w:val="none"/>
          <w:lang w:val="en-US" w:eastAsia="zh-CN"/>
        </w:rPr>
      </w:pPr>
      <w:r>
        <w:rPr>
          <w:rStyle w:val="33"/>
          <w:rFonts w:hint="eastAsia" w:ascii="宋体" w:hAnsi="宋体" w:eastAsia="宋体" w:cs="宋体"/>
          <w:b w:val="0"/>
          <w:bCs/>
          <w:color w:val="auto"/>
          <w:sz w:val="21"/>
          <w:szCs w:val="21"/>
          <w:highlight w:val="none"/>
          <w:lang w:val="en-US"/>
        </w:rPr>
        <w:t>开户银行：</w:t>
      </w:r>
      <w:r>
        <w:rPr>
          <w:rFonts w:hint="eastAsia" w:ascii="宋体" w:hAnsi="宋体" w:eastAsia="宋体" w:cs="Times New Roman"/>
          <w:color w:val="auto"/>
          <w:szCs w:val="21"/>
        </w:rPr>
        <w:t>工行桂林阳桥支行</w:t>
      </w:r>
    </w:p>
    <w:p w14:paraId="4A2074BE">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Style w:val="33"/>
          <w:rFonts w:hint="eastAsia" w:ascii="宋体" w:hAnsi="宋体" w:eastAsia="宋体" w:cs="宋体"/>
          <w:b w:val="0"/>
          <w:bCs/>
          <w:color w:val="auto"/>
          <w:sz w:val="21"/>
          <w:szCs w:val="21"/>
          <w:highlight w:val="none"/>
          <w:lang w:val="en-US"/>
        </w:rPr>
        <w:t>账    号：</w:t>
      </w:r>
      <w:r>
        <w:rPr>
          <w:rStyle w:val="33"/>
          <w:rFonts w:hint="eastAsia" w:ascii="宋体" w:hAnsi="宋体" w:cs="宋体"/>
          <w:b w:val="0"/>
          <w:bCs/>
          <w:color w:val="auto"/>
          <w:sz w:val="21"/>
          <w:szCs w:val="21"/>
          <w:highlight w:val="none"/>
          <w:lang w:val="en-US" w:eastAsia="zh-CN"/>
        </w:rPr>
        <w:t>2103 2061 0930 0177 671</w:t>
      </w:r>
    </w:p>
    <w:p w14:paraId="72BBC692">
      <w:pPr>
        <w:pStyle w:val="4"/>
        <w:keepNext w:val="0"/>
        <w:keepLines w:val="0"/>
        <w:pageBreakBefore w:val="0"/>
        <w:widowControl w:val="0"/>
        <w:numPr>
          <w:ilvl w:val="0"/>
          <w:numId w:val="2"/>
        </w:numPr>
        <w:kinsoku/>
        <w:wordWrap/>
        <w:overflowPunct/>
        <w:topLinePunct w:val="0"/>
        <w:bidi w:val="0"/>
        <w:spacing w:before="0" w:after="0" w:line="44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解释权</w:t>
      </w:r>
      <w:bookmarkEnd w:id="137"/>
      <w:bookmarkEnd w:id="138"/>
      <w:r>
        <w:rPr>
          <w:rStyle w:val="33"/>
          <w:rFonts w:hint="eastAsia" w:ascii="宋体" w:hAnsi="宋体" w:eastAsia="宋体" w:cs="宋体"/>
          <w:b/>
          <w:bCs/>
          <w:color w:val="auto"/>
          <w:sz w:val="21"/>
          <w:szCs w:val="21"/>
          <w:highlight w:val="none"/>
        </w:rPr>
        <w:t>：</w:t>
      </w:r>
      <w:r>
        <w:rPr>
          <w:rFonts w:hint="eastAsia" w:ascii="宋体" w:hAnsi="宋体" w:eastAsia="宋体" w:cs="宋体"/>
          <w:b w:val="0"/>
          <w:bCs w:val="0"/>
          <w:color w:val="auto"/>
          <w:sz w:val="21"/>
          <w:szCs w:val="21"/>
          <w:highlight w:val="none"/>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p w14:paraId="34361CC3">
      <w:pPr>
        <w:pStyle w:val="4"/>
        <w:keepNext w:val="0"/>
        <w:keepLines w:val="0"/>
        <w:pageBreakBefore w:val="0"/>
        <w:widowControl w:val="0"/>
        <w:numPr>
          <w:ilvl w:val="0"/>
          <w:numId w:val="2"/>
        </w:numPr>
        <w:kinsoku/>
        <w:wordWrap/>
        <w:overflowPunct/>
        <w:topLinePunct w:val="0"/>
        <w:bidi w:val="0"/>
        <w:spacing w:before="0" w:after="0" w:line="440" w:lineRule="exact"/>
        <w:ind w:firstLine="422" w:firstLineChars="200"/>
        <w:textAlignment w:val="auto"/>
        <w:rPr>
          <w:rFonts w:hint="eastAsia" w:ascii="宋体" w:hAnsi="宋体" w:eastAsia="宋体" w:cs="宋体"/>
          <w:b/>
          <w:bCs/>
          <w:color w:val="auto"/>
          <w:sz w:val="21"/>
          <w:szCs w:val="21"/>
          <w:highlight w:val="none"/>
        </w:rPr>
      </w:pPr>
      <w:bookmarkStart w:id="139" w:name="_Toc32738"/>
      <w:r>
        <w:rPr>
          <w:rStyle w:val="33"/>
          <w:rFonts w:hint="eastAsia" w:ascii="宋体" w:hAnsi="宋体" w:eastAsia="宋体" w:cs="宋体"/>
          <w:b/>
          <w:bCs/>
          <w:color w:val="auto"/>
          <w:sz w:val="21"/>
          <w:szCs w:val="21"/>
          <w:highlight w:val="none"/>
        </w:rPr>
        <w:t>监督管理机构</w:t>
      </w:r>
      <w:bookmarkEnd w:id="139"/>
      <w:r>
        <w:rPr>
          <w:rFonts w:hint="eastAsia" w:ascii="宋体" w:hAnsi="宋体" w:eastAsia="宋体" w:cs="宋体"/>
          <w:b/>
          <w:bCs/>
          <w:color w:val="auto"/>
          <w:szCs w:val="21"/>
          <w:highlight w:val="none"/>
        </w:rPr>
        <w:t>：</w:t>
      </w:r>
      <w:r>
        <w:rPr>
          <w:rFonts w:hint="eastAsia" w:ascii="宋体" w:hAnsi="宋体"/>
          <w:b/>
          <w:bCs/>
          <w:color w:val="auto"/>
          <w:highlight w:val="none"/>
        </w:rPr>
        <w:t xml:space="preserve"> </w:t>
      </w:r>
      <w:r>
        <w:rPr>
          <w:rFonts w:hint="eastAsia" w:ascii="宋体" w:hAnsi="宋体" w:eastAsia="宋体" w:cs="宋体"/>
          <w:b w:val="0"/>
          <w:bCs w:val="0"/>
          <w:color w:val="auto"/>
          <w:sz w:val="21"/>
          <w:szCs w:val="21"/>
          <w:highlight w:val="none"/>
        </w:rPr>
        <w:t>资源县政府采购管理办公室     电话：0773-4315648</w:t>
      </w:r>
    </w:p>
    <w:p w14:paraId="3B115BD9">
      <w:pPr>
        <w:rPr>
          <w:rFonts w:hint="eastAsia"/>
          <w:color w:val="auto"/>
        </w:rPr>
      </w:pPr>
    </w:p>
    <w:p w14:paraId="6753E1B4">
      <w:pPr>
        <w:rPr>
          <w:rFonts w:hint="eastAsia" w:ascii="宋体" w:hAnsi="宋体" w:eastAsia="宋体" w:cs="宋体"/>
          <w:b w:val="0"/>
          <w:bCs w:val="0"/>
          <w:color w:val="auto"/>
          <w:sz w:val="21"/>
          <w:szCs w:val="21"/>
          <w:highlight w:val="none"/>
        </w:rPr>
      </w:pPr>
    </w:p>
    <w:p w14:paraId="45676A09">
      <w:pPr>
        <w:keepNext w:val="0"/>
        <w:keepLines w:val="0"/>
        <w:pageBreakBefore w:val="0"/>
        <w:widowControl w:val="0"/>
        <w:wordWrap/>
        <w:topLinePunct w:val="0"/>
        <w:bidi w:val="0"/>
        <w:snapToGrid w:val="0"/>
        <w:rPr>
          <w:rFonts w:hint="eastAsia"/>
          <w:b/>
          <w:color w:val="auto"/>
          <w:kern w:val="0"/>
          <w:sz w:val="24"/>
          <w:highlight w:val="none"/>
        </w:rPr>
        <w:sectPr>
          <w:pgSz w:w="11906" w:h="16838"/>
          <w:pgMar w:top="1418" w:right="1115" w:bottom="1418" w:left="1131" w:header="851" w:footer="992" w:gutter="0"/>
          <w:pgNumType w:fmt="decimal"/>
          <w:cols w:space="720" w:num="1"/>
          <w:titlePg/>
          <w:docGrid w:type="lines" w:linePitch="312" w:charSpace="0"/>
        </w:sectPr>
      </w:pPr>
    </w:p>
    <w:p w14:paraId="4E42F1A2">
      <w:pPr>
        <w:keepNext w:val="0"/>
        <w:keepLines w:val="0"/>
        <w:pageBreakBefore w:val="0"/>
        <w:widowControl w:val="0"/>
        <w:wordWrap/>
        <w:topLinePunct w:val="0"/>
        <w:bidi w:val="0"/>
        <w:snapToGrid w:val="0"/>
        <w:rPr>
          <w:rFonts w:hint="eastAsia"/>
          <w:b/>
          <w:color w:val="auto"/>
          <w:kern w:val="0"/>
          <w:sz w:val="24"/>
          <w:highlight w:val="none"/>
        </w:rPr>
      </w:pPr>
    </w:p>
    <w:p w14:paraId="21F4B71C">
      <w:pPr>
        <w:keepNext w:val="0"/>
        <w:keepLines w:val="0"/>
        <w:pageBreakBefore w:val="0"/>
        <w:widowControl w:val="0"/>
        <w:wordWrap/>
        <w:topLinePunct w:val="0"/>
        <w:bidi w:val="0"/>
        <w:snapToGrid w:val="0"/>
        <w:rPr>
          <w:rFonts w:hAnsi="宋体"/>
          <w:b/>
          <w:color w:val="auto"/>
          <w:kern w:val="0"/>
          <w:sz w:val="24"/>
          <w:highlight w:val="none"/>
        </w:rPr>
      </w:pPr>
      <w:r>
        <w:rPr>
          <w:rFonts w:hint="eastAsia"/>
          <w:b/>
          <w:color w:val="auto"/>
          <w:kern w:val="0"/>
          <w:sz w:val="24"/>
          <w:highlight w:val="none"/>
        </w:rPr>
        <w:t>附表1：</w:t>
      </w:r>
    </w:p>
    <w:p w14:paraId="0C0028C2">
      <w:pPr>
        <w:keepNext w:val="0"/>
        <w:keepLines w:val="0"/>
        <w:pageBreakBefore w:val="0"/>
        <w:widowControl w:val="0"/>
        <w:wordWrap/>
        <w:topLinePunct w:val="0"/>
        <w:bidi w:val="0"/>
        <w:spacing w:line="460" w:lineRule="exact"/>
        <w:jc w:val="center"/>
        <w:rPr>
          <w:rFonts w:eastAsia="隶书"/>
          <w:color w:val="auto"/>
          <w:kern w:val="0"/>
          <w:sz w:val="44"/>
          <w:highlight w:val="none"/>
        </w:rPr>
      </w:pPr>
      <w:r>
        <w:rPr>
          <w:rFonts w:hint="eastAsia" w:eastAsia="隶书"/>
          <w:color w:val="auto"/>
          <w:kern w:val="0"/>
          <w:sz w:val="44"/>
          <w:highlight w:val="none"/>
        </w:rPr>
        <w:t>质疑函（格式）</w:t>
      </w:r>
    </w:p>
    <w:p w14:paraId="31413585">
      <w:pPr>
        <w:keepNext w:val="0"/>
        <w:keepLines w:val="0"/>
        <w:pageBreakBefore w:val="0"/>
        <w:widowControl w:val="0"/>
        <w:wordWrap/>
        <w:topLinePunct w:val="0"/>
        <w:bidi w:val="0"/>
        <w:snapToGrid w:val="0"/>
        <w:spacing w:line="360" w:lineRule="exact"/>
        <w:ind w:firstLine="422" w:firstLineChars="200"/>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t>一、质疑供应商基本信息：</w:t>
      </w:r>
    </w:p>
    <w:p w14:paraId="7E7E6CB6">
      <w:pPr>
        <w:keepNext w:val="0"/>
        <w:keepLines w:val="0"/>
        <w:pageBreakBefore w:val="0"/>
        <w:widowControl w:val="0"/>
        <w:wordWrap/>
        <w:topLinePunct w:val="0"/>
        <w:bidi w:val="0"/>
        <w:snapToGrid w:val="0"/>
        <w:spacing w:line="360" w:lineRule="exact"/>
        <w:ind w:firstLine="420" w:firstLineChars="200"/>
        <w:rPr>
          <w:rFonts w:hint="eastAsia" w:ascii="宋体" w:hAnsi="宋体" w:eastAsia="宋体" w:cs="宋体"/>
          <w:bCs/>
          <w:color w:val="auto"/>
          <w:kern w:val="0"/>
          <w:highlight w:val="none"/>
          <w:u w:val="single"/>
        </w:rPr>
      </w:pPr>
      <w:r>
        <w:rPr>
          <w:rFonts w:hint="eastAsia" w:ascii="宋体" w:hAnsi="宋体" w:eastAsia="宋体" w:cs="宋体"/>
          <w:bCs/>
          <w:color w:val="auto"/>
          <w:kern w:val="0"/>
          <w:highlight w:val="none"/>
        </w:rPr>
        <w:t>质疑供应商：</w:t>
      </w:r>
    </w:p>
    <w:p w14:paraId="454B0E8E">
      <w:pPr>
        <w:keepNext w:val="0"/>
        <w:keepLines w:val="0"/>
        <w:pageBreakBefore w:val="0"/>
        <w:widowControl w:val="0"/>
        <w:wordWrap/>
        <w:topLinePunct w:val="0"/>
        <w:bidi w:val="0"/>
        <w:snapToGrid w:val="0"/>
        <w:spacing w:line="360" w:lineRule="exact"/>
        <w:ind w:firstLine="420" w:firstLineChars="200"/>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地址：邮编：</w:t>
      </w:r>
    </w:p>
    <w:p w14:paraId="115754A1">
      <w:pPr>
        <w:keepNext w:val="0"/>
        <w:keepLines w:val="0"/>
        <w:pageBreakBefore w:val="0"/>
        <w:widowControl w:val="0"/>
        <w:wordWrap/>
        <w:topLinePunct w:val="0"/>
        <w:bidi w:val="0"/>
        <w:snapToGrid w:val="0"/>
        <w:spacing w:line="360" w:lineRule="exact"/>
        <w:ind w:firstLine="420" w:firstLineChars="200"/>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联系人：联系电话：</w:t>
      </w:r>
    </w:p>
    <w:p w14:paraId="06B23A1B">
      <w:pPr>
        <w:keepNext w:val="0"/>
        <w:keepLines w:val="0"/>
        <w:pageBreakBefore w:val="0"/>
        <w:widowControl w:val="0"/>
        <w:wordWrap/>
        <w:topLinePunct w:val="0"/>
        <w:bidi w:val="0"/>
        <w:snapToGrid w:val="0"/>
        <w:spacing w:line="360" w:lineRule="exact"/>
        <w:ind w:firstLine="420" w:firstLineChars="200"/>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授权代表：</w:t>
      </w:r>
    </w:p>
    <w:p w14:paraId="21DDFD0F">
      <w:pPr>
        <w:keepNext w:val="0"/>
        <w:keepLines w:val="0"/>
        <w:pageBreakBefore w:val="0"/>
        <w:widowControl w:val="0"/>
        <w:wordWrap/>
        <w:topLinePunct w:val="0"/>
        <w:bidi w:val="0"/>
        <w:snapToGrid w:val="0"/>
        <w:spacing w:line="360" w:lineRule="exact"/>
        <w:ind w:firstLine="420" w:firstLineChars="200"/>
        <w:rPr>
          <w:rFonts w:hint="eastAsia" w:ascii="宋体" w:hAnsi="宋体" w:eastAsia="宋体" w:cs="宋体"/>
          <w:bCs/>
          <w:color w:val="auto"/>
          <w:kern w:val="0"/>
          <w:highlight w:val="none"/>
          <w:u w:val="single"/>
        </w:rPr>
      </w:pPr>
      <w:r>
        <w:rPr>
          <w:rFonts w:hint="eastAsia" w:ascii="宋体" w:hAnsi="宋体" w:eastAsia="宋体" w:cs="宋体"/>
          <w:bCs/>
          <w:color w:val="auto"/>
          <w:kern w:val="0"/>
          <w:highlight w:val="none"/>
        </w:rPr>
        <w:t>联系电话：</w:t>
      </w:r>
    </w:p>
    <w:p w14:paraId="04709483">
      <w:pPr>
        <w:keepNext w:val="0"/>
        <w:keepLines w:val="0"/>
        <w:pageBreakBefore w:val="0"/>
        <w:widowControl w:val="0"/>
        <w:wordWrap/>
        <w:topLinePunct w:val="0"/>
        <w:bidi w:val="0"/>
        <w:snapToGrid w:val="0"/>
        <w:spacing w:line="360" w:lineRule="exact"/>
        <w:ind w:firstLine="420" w:firstLineChars="200"/>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地址：邮编：</w:t>
      </w:r>
    </w:p>
    <w:p w14:paraId="4C55E016">
      <w:pPr>
        <w:keepNext w:val="0"/>
        <w:keepLines w:val="0"/>
        <w:pageBreakBefore w:val="0"/>
        <w:widowControl w:val="0"/>
        <w:wordWrap/>
        <w:topLinePunct w:val="0"/>
        <w:bidi w:val="0"/>
        <w:snapToGrid w:val="0"/>
        <w:spacing w:line="360" w:lineRule="exact"/>
        <w:ind w:firstLine="422" w:firstLineChars="200"/>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t>二、质疑项目基本情况：</w:t>
      </w:r>
    </w:p>
    <w:p w14:paraId="7E58F191">
      <w:pPr>
        <w:keepNext w:val="0"/>
        <w:keepLines w:val="0"/>
        <w:pageBreakBefore w:val="0"/>
        <w:widowControl w:val="0"/>
        <w:wordWrap/>
        <w:topLinePunct w:val="0"/>
        <w:bidi w:val="0"/>
        <w:spacing w:line="360" w:lineRule="exact"/>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bCs/>
          <w:color w:val="auto"/>
          <w:kern w:val="0"/>
          <w:highlight w:val="none"/>
        </w:rPr>
        <w:t>质疑</w:t>
      </w:r>
      <w:r>
        <w:rPr>
          <w:rFonts w:hint="eastAsia" w:ascii="宋体" w:hAnsi="宋体" w:eastAsia="宋体" w:cs="宋体"/>
          <w:color w:val="auto"/>
          <w:kern w:val="0"/>
          <w:szCs w:val="21"/>
          <w:highlight w:val="none"/>
        </w:rPr>
        <w:t>项目的名称：</w:t>
      </w:r>
    </w:p>
    <w:p w14:paraId="7751F888">
      <w:pPr>
        <w:keepNext w:val="0"/>
        <w:keepLines w:val="0"/>
        <w:pageBreakBefore w:val="0"/>
        <w:widowControl w:val="0"/>
        <w:wordWrap/>
        <w:topLinePunct w:val="0"/>
        <w:bidi w:val="0"/>
        <w:spacing w:line="360" w:lineRule="exact"/>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bCs/>
          <w:color w:val="auto"/>
          <w:kern w:val="0"/>
          <w:highlight w:val="none"/>
        </w:rPr>
        <w:t>质疑</w:t>
      </w:r>
      <w:r>
        <w:rPr>
          <w:rFonts w:hint="eastAsia" w:ascii="宋体" w:hAnsi="宋体" w:eastAsia="宋体" w:cs="宋体"/>
          <w:color w:val="auto"/>
          <w:kern w:val="0"/>
          <w:szCs w:val="21"/>
          <w:highlight w:val="none"/>
        </w:rPr>
        <w:t>项目的编号：</w:t>
      </w:r>
    </w:p>
    <w:p w14:paraId="1823C1B9">
      <w:pPr>
        <w:keepNext w:val="0"/>
        <w:keepLines w:val="0"/>
        <w:pageBreakBefore w:val="0"/>
        <w:widowControl w:val="0"/>
        <w:wordWrap/>
        <w:topLinePunct w:val="0"/>
        <w:bidi w:val="0"/>
        <w:spacing w:line="360" w:lineRule="exact"/>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采购人名称：</w:t>
      </w:r>
    </w:p>
    <w:p w14:paraId="6649594A">
      <w:pPr>
        <w:keepNext w:val="0"/>
        <w:keepLines w:val="0"/>
        <w:pageBreakBefore w:val="0"/>
        <w:widowControl w:val="0"/>
        <w:wordWrap/>
        <w:topLinePunct w:val="0"/>
        <w:bidi w:val="0"/>
        <w:spacing w:line="360" w:lineRule="exact"/>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质疑事项：</w:t>
      </w:r>
    </w:p>
    <w:p w14:paraId="1CD6E922">
      <w:pPr>
        <w:keepNext w:val="0"/>
        <w:keepLines w:val="0"/>
        <w:pageBreakBefore w:val="0"/>
        <w:widowControl w:val="0"/>
        <w:wordWrap/>
        <w:topLinePunct w:val="0"/>
        <w:bidi w:val="0"/>
        <w:spacing w:line="360" w:lineRule="exact"/>
        <w:ind w:left="25" w:leftChars="12" w:firstLine="441" w:firstLineChars="147"/>
        <w:rPr>
          <w:rFonts w:hint="eastAsia" w:ascii="宋体" w:hAnsi="宋体" w:eastAsia="宋体" w:cs="宋体"/>
          <w:color w:val="auto"/>
          <w:kern w:val="0"/>
          <w:szCs w:val="21"/>
          <w:highlight w:val="none"/>
        </w:rPr>
      </w:pPr>
      <w:r>
        <w:rPr>
          <w:rFonts w:hint="eastAsia" w:ascii="宋体" w:hAnsi="宋体" w:eastAsia="宋体" w:cs="宋体"/>
          <w:color w:val="auto"/>
          <w:kern w:val="0"/>
          <w:sz w:val="30"/>
          <w:szCs w:val="30"/>
          <w:highlight w:val="none"/>
        </w:rPr>
        <w:t>□</w:t>
      </w:r>
      <w:r>
        <w:rPr>
          <w:rFonts w:hint="eastAsia" w:ascii="宋体" w:hAnsi="宋体" w:eastAsia="宋体" w:cs="宋体"/>
          <w:color w:val="auto"/>
          <w:kern w:val="0"/>
          <w:szCs w:val="21"/>
          <w:highlight w:val="none"/>
        </w:rPr>
        <w:t>采购文件   采购文件获取日期：</w:t>
      </w:r>
    </w:p>
    <w:p w14:paraId="274D0516">
      <w:pPr>
        <w:keepNext w:val="0"/>
        <w:keepLines w:val="0"/>
        <w:pageBreakBefore w:val="0"/>
        <w:widowControl w:val="0"/>
        <w:wordWrap/>
        <w:topLinePunct w:val="0"/>
        <w:bidi w:val="0"/>
        <w:spacing w:line="360" w:lineRule="exact"/>
        <w:ind w:left="25" w:leftChars="12" w:firstLine="441" w:firstLineChars="147"/>
        <w:rPr>
          <w:rFonts w:hint="eastAsia" w:ascii="宋体" w:hAnsi="宋体" w:eastAsia="宋体" w:cs="宋体"/>
          <w:color w:val="auto"/>
          <w:kern w:val="0"/>
          <w:szCs w:val="21"/>
          <w:highlight w:val="none"/>
        </w:rPr>
      </w:pPr>
      <w:r>
        <w:rPr>
          <w:rFonts w:hint="eastAsia" w:ascii="宋体" w:hAnsi="宋体" w:eastAsia="宋体" w:cs="宋体"/>
          <w:color w:val="auto"/>
          <w:kern w:val="0"/>
          <w:sz w:val="30"/>
          <w:szCs w:val="30"/>
          <w:highlight w:val="none"/>
        </w:rPr>
        <w:t>□</w:t>
      </w:r>
      <w:r>
        <w:rPr>
          <w:rFonts w:hint="eastAsia" w:ascii="宋体" w:hAnsi="宋体" w:eastAsia="宋体" w:cs="宋体"/>
          <w:color w:val="auto"/>
          <w:kern w:val="0"/>
          <w:szCs w:val="21"/>
          <w:highlight w:val="none"/>
        </w:rPr>
        <w:t xml:space="preserve">采购过程   </w:t>
      </w:r>
    </w:p>
    <w:p w14:paraId="2101F68D">
      <w:pPr>
        <w:keepNext w:val="0"/>
        <w:keepLines w:val="0"/>
        <w:pageBreakBefore w:val="0"/>
        <w:widowControl w:val="0"/>
        <w:wordWrap/>
        <w:topLinePunct w:val="0"/>
        <w:bidi w:val="0"/>
        <w:spacing w:line="360" w:lineRule="exact"/>
        <w:ind w:left="25" w:leftChars="12" w:firstLine="441" w:firstLineChars="147"/>
        <w:rPr>
          <w:rFonts w:hint="eastAsia" w:ascii="宋体" w:hAnsi="宋体" w:eastAsia="宋体" w:cs="宋体"/>
          <w:bCs/>
          <w:color w:val="auto"/>
          <w:kern w:val="0"/>
          <w:highlight w:val="none"/>
          <w:u w:val="single"/>
        </w:rPr>
      </w:pPr>
      <w:r>
        <w:rPr>
          <w:rFonts w:hint="eastAsia" w:ascii="宋体" w:hAnsi="宋体" w:eastAsia="宋体" w:cs="宋体"/>
          <w:color w:val="auto"/>
          <w:kern w:val="0"/>
          <w:sz w:val="30"/>
          <w:szCs w:val="30"/>
          <w:highlight w:val="none"/>
        </w:rPr>
        <w:t>□</w:t>
      </w:r>
      <w:r>
        <w:rPr>
          <w:rFonts w:hint="eastAsia" w:ascii="宋体" w:hAnsi="宋体" w:eastAsia="宋体" w:cs="宋体"/>
          <w:color w:val="auto"/>
          <w:kern w:val="0"/>
          <w:szCs w:val="21"/>
          <w:highlight w:val="none"/>
        </w:rPr>
        <w:t xml:space="preserve">成交结果   </w:t>
      </w:r>
    </w:p>
    <w:p w14:paraId="261DEE90">
      <w:pPr>
        <w:keepNext w:val="0"/>
        <w:keepLines w:val="0"/>
        <w:pageBreakBefore w:val="0"/>
        <w:widowControl w:val="0"/>
        <w:wordWrap/>
        <w:topLinePunct w:val="0"/>
        <w:bidi w:val="0"/>
        <w:spacing w:line="360" w:lineRule="exact"/>
        <w:ind w:left="25" w:leftChars="12" w:firstLine="413" w:firstLineChars="196"/>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三、质疑事项具体内容</w:t>
      </w:r>
    </w:p>
    <w:p w14:paraId="61185B8B">
      <w:pPr>
        <w:keepNext w:val="0"/>
        <w:keepLines w:val="0"/>
        <w:pageBreakBefore w:val="0"/>
        <w:widowControl w:val="0"/>
        <w:wordWrap/>
        <w:topLinePunct w:val="0"/>
        <w:bidi w:val="0"/>
        <w:spacing w:line="360" w:lineRule="exact"/>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质疑事项1：</w:t>
      </w:r>
    </w:p>
    <w:p w14:paraId="58592240">
      <w:pPr>
        <w:keepNext w:val="0"/>
        <w:keepLines w:val="0"/>
        <w:pageBreakBefore w:val="0"/>
        <w:widowControl w:val="0"/>
        <w:wordWrap/>
        <w:topLinePunct w:val="0"/>
        <w:bidi w:val="0"/>
        <w:spacing w:line="360" w:lineRule="exact"/>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事实依据：</w:t>
      </w:r>
    </w:p>
    <w:p w14:paraId="0B604B5B">
      <w:pPr>
        <w:keepNext w:val="0"/>
        <w:keepLines w:val="0"/>
        <w:pageBreakBefore w:val="0"/>
        <w:widowControl w:val="0"/>
        <w:wordWrap/>
        <w:topLinePunct w:val="0"/>
        <w:bidi w:val="0"/>
        <w:spacing w:line="360" w:lineRule="exact"/>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法律依据：</w:t>
      </w:r>
    </w:p>
    <w:p w14:paraId="1A8BF963">
      <w:pPr>
        <w:keepNext w:val="0"/>
        <w:keepLines w:val="0"/>
        <w:pageBreakBefore w:val="0"/>
        <w:widowControl w:val="0"/>
        <w:wordWrap/>
        <w:topLinePunct w:val="0"/>
        <w:bidi w:val="0"/>
        <w:spacing w:line="360" w:lineRule="exact"/>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质疑事项2</w:t>
      </w:r>
    </w:p>
    <w:p w14:paraId="5A4C7659">
      <w:pPr>
        <w:keepNext w:val="0"/>
        <w:keepLines w:val="0"/>
        <w:pageBreakBefore w:val="0"/>
        <w:widowControl w:val="0"/>
        <w:wordWrap/>
        <w:topLinePunct w:val="0"/>
        <w:bidi w:val="0"/>
        <w:spacing w:line="360" w:lineRule="exact"/>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p w14:paraId="52CD6282">
      <w:pPr>
        <w:keepNext w:val="0"/>
        <w:keepLines w:val="0"/>
        <w:pageBreakBefore w:val="0"/>
        <w:widowControl w:val="0"/>
        <w:wordWrap/>
        <w:topLinePunct w:val="0"/>
        <w:bidi w:val="0"/>
        <w:spacing w:line="360" w:lineRule="exact"/>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四、与质疑事项相关的质疑请求：</w:t>
      </w:r>
    </w:p>
    <w:p w14:paraId="45504BB1">
      <w:pPr>
        <w:keepNext w:val="0"/>
        <w:keepLines w:val="0"/>
        <w:pageBreakBefore w:val="0"/>
        <w:widowControl w:val="0"/>
        <w:wordWrap/>
        <w:topLinePunct w:val="0"/>
        <w:bidi w:val="0"/>
        <w:spacing w:line="360" w:lineRule="exact"/>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请求：</w:t>
      </w:r>
    </w:p>
    <w:p w14:paraId="37EDB123">
      <w:pPr>
        <w:keepNext w:val="0"/>
        <w:keepLines w:val="0"/>
        <w:pageBreakBefore w:val="0"/>
        <w:widowControl w:val="0"/>
        <w:wordWrap/>
        <w:topLinePunct w:val="0"/>
        <w:bidi w:val="0"/>
        <w:spacing w:line="360" w:lineRule="exact"/>
        <w:ind w:left="25" w:leftChars="12" w:firstLine="308" w:firstLineChars="147"/>
        <w:rPr>
          <w:rFonts w:hint="eastAsia" w:ascii="宋体" w:hAnsi="宋体" w:eastAsia="宋体" w:cs="宋体"/>
          <w:color w:val="auto"/>
          <w:kern w:val="0"/>
          <w:szCs w:val="21"/>
          <w:highlight w:val="none"/>
        </w:rPr>
      </w:pPr>
    </w:p>
    <w:p w14:paraId="728E55B7">
      <w:pPr>
        <w:keepNext w:val="0"/>
        <w:keepLines w:val="0"/>
        <w:pageBreakBefore w:val="0"/>
        <w:widowControl w:val="0"/>
        <w:wordWrap/>
        <w:topLinePunct w:val="0"/>
        <w:bidi w:val="0"/>
        <w:spacing w:line="360" w:lineRule="exact"/>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签字（签章）：                                       公章：</w:t>
      </w:r>
    </w:p>
    <w:p w14:paraId="790DC104">
      <w:pPr>
        <w:keepNext w:val="0"/>
        <w:keepLines w:val="0"/>
        <w:pageBreakBefore w:val="0"/>
        <w:widowControl w:val="0"/>
        <w:wordWrap/>
        <w:topLinePunct w:val="0"/>
        <w:bidi w:val="0"/>
        <w:spacing w:line="360" w:lineRule="exact"/>
        <w:ind w:left="25" w:leftChars="12" w:firstLine="308" w:firstLineChars="147"/>
        <w:rPr>
          <w:rFonts w:hint="eastAsia" w:ascii="宋体" w:hAnsi="宋体" w:eastAsia="宋体" w:cs="宋体"/>
          <w:color w:val="auto"/>
          <w:kern w:val="0"/>
          <w:szCs w:val="21"/>
          <w:highlight w:val="none"/>
        </w:rPr>
      </w:pPr>
    </w:p>
    <w:p w14:paraId="27FD9765">
      <w:pPr>
        <w:keepNext w:val="0"/>
        <w:keepLines w:val="0"/>
        <w:pageBreakBefore w:val="0"/>
        <w:widowControl w:val="0"/>
        <w:wordWrap/>
        <w:topLinePunct w:val="0"/>
        <w:bidi w:val="0"/>
        <w:spacing w:line="360" w:lineRule="exact"/>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w:t>
      </w:r>
    </w:p>
    <w:p w14:paraId="032665A6">
      <w:pPr>
        <w:keepNext w:val="0"/>
        <w:keepLines w:val="0"/>
        <w:pageBreakBefore w:val="0"/>
        <w:widowControl w:val="0"/>
        <w:wordWrap/>
        <w:topLinePunct w:val="0"/>
        <w:bidi w:val="0"/>
        <w:snapToGrid w:val="0"/>
        <w:spacing w:line="340" w:lineRule="exact"/>
        <w:rPr>
          <w:rFonts w:hint="eastAsia" w:ascii="宋体" w:hAnsi="宋体" w:eastAsia="宋体" w:cs="宋体"/>
          <w:b/>
          <w:color w:val="auto"/>
          <w:kern w:val="0"/>
          <w:szCs w:val="21"/>
          <w:highlight w:val="none"/>
        </w:rPr>
      </w:pPr>
    </w:p>
    <w:p w14:paraId="4339FA47">
      <w:pPr>
        <w:keepNext w:val="0"/>
        <w:keepLines w:val="0"/>
        <w:pageBreakBefore w:val="0"/>
        <w:widowControl w:val="0"/>
        <w:wordWrap/>
        <w:topLinePunct w:val="0"/>
        <w:bidi w:val="0"/>
        <w:snapToGrid w:val="0"/>
        <w:spacing w:line="340" w:lineRule="exac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说明：</w:t>
      </w:r>
    </w:p>
    <w:p w14:paraId="09A32065">
      <w:pPr>
        <w:keepNext w:val="0"/>
        <w:keepLines w:val="0"/>
        <w:pageBreakBefore w:val="0"/>
        <w:widowControl w:val="0"/>
        <w:wordWrap/>
        <w:topLinePunct w:val="0"/>
        <w:bidi w:val="0"/>
        <w:spacing w:line="340" w:lineRule="exact"/>
        <w:ind w:left="25" w:leftChars="12" w:firstLine="310" w:firstLineChars="147"/>
        <w:rPr>
          <w:rFonts w:hint="eastAsia" w:ascii="宋体" w:hAnsi="宋体" w:eastAsia="宋体" w:cs="宋体"/>
          <w:b/>
          <w:bCs/>
          <w:color w:val="auto"/>
          <w:kern w:val="0"/>
          <w:highlight w:val="none"/>
        </w:rPr>
      </w:pPr>
      <w:r>
        <w:rPr>
          <w:rFonts w:hint="eastAsia" w:ascii="宋体" w:hAnsi="宋体" w:eastAsia="宋体" w:cs="宋体"/>
          <w:b/>
          <w:color w:val="auto"/>
          <w:kern w:val="0"/>
          <w:szCs w:val="21"/>
          <w:highlight w:val="none"/>
        </w:rPr>
        <w:t>1.供应商提出质疑时，应提交质疑函和必要的证明材料</w:t>
      </w:r>
      <w:r>
        <w:rPr>
          <w:rFonts w:hint="eastAsia" w:ascii="宋体" w:hAnsi="宋体" w:eastAsia="宋体" w:cs="宋体"/>
          <w:b/>
          <w:bCs/>
          <w:color w:val="auto"/>
          <w:kern w:val="0"/>
          <w:highlight w:val="none"/>
        </w:rPr>
        <w:t>。</w:t>
      </w:r>
    </w:p>
    <w:p w14:paraId="6A48CEC5">
      <w:pPr>
        <w:keepNext w:val="0"/>
        <w:keepLines w:val="0"/>
        <w:pageBreakBefore w:val="0"/>
        <w:widowControl w:val="0"/>
        <w:wordWrap/>
        <w:topLinePunct w:val="0"/>
        <w:bidi w:val="0"/>
        <w:spacing w:line="340" w:lineRule="exact"/>
        <w:ind w:left="25" w:leftChars="12" w:firstLine="310" w:firstLineChars="147"/>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47F24E4">
      <w:pPr>
        <w:keepNext w:val="0"/>
        <w:keepLines w:val="0"/>
        <w:pageBreakBefore w:val="0"/>
        <w:widowControl w:val="0"/>
        <w:wordWrap/>
        <w:topLinePunct w:val="0"/>
        <w:bidi w:val="0"/>
        <w:spacing w:line="340" w:lineRule="exact"/>
        <w:ind w:left="25" w:leftChars="12" w:firstLine="310" w:firstLineChars="147"/>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3.质疑函的质疑事项应具体、明确，并有必要的事实依据和法律依据。</w:t>
      </w:r>
    </w:p>
    <w:p w14:paraId="14484B66">
      <w:pPr>
        <w:keepNext w:val="0"/>
        <w:keepLines w:val="0"/>
        <w:pageBreakBefore w:val="0"/>
        <w:widowControl w:val="0"/>
        <w:wordWrap/>
        <w:topLinePunct w:val="0"/>
        <w:bidi w:val="0"/>
        <w:spacing w:line="340" w:lineRule="exact"/>
        <w:ind w:left="25" w:leftChars="12" w:firstLine="310" w:firstLineChars="147"/>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4.质疑函的质疑请求应与质疑事项相关。</w:t>
      </w:r>
    </w:p>
    <w:p w14:paraId="06DEF4C7">
      <w:pPr>
        <w:keepNext w:val="0"/>
        <w:keepLines w:val="0"/>
        <w:pageBreakBefore w:val="0"/>
        <w:widowControl w:val="0"/>
        <w:wordWrap/>
        <w:topLinePunct w:val="0"/>
        <w:bidi w:val="0"/>
        <w:spacing w:line="340" w:lineRule="exact"/>
        <w:ind w:left="25" w:leftChars="12" w:firstLine="310" w:firstLineChars="147"/>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6.质疑供应商为法人或者其他组织的，质疑函应由法定代表人、主要负责人，或者其授权代表签字或者盖章，并加盖公章。</w:t>
      </w:r>
    </w:p>
    <w:p w14:paraId="12C8D5DC">
      <w:pPr>
        <w:keepNext w:val="0"/>
        <w:keepLines w:val="0"/>
        <w:pageBreakBefore w:val="0"/>
        <w:widowControl w:val="0"/>
        <w:wordWrap/>
        <w:topLinePunct w:val="0"/>
        <w:bidi w:val="0"/>
        <w:snapToGrid w:val="0"/>
        <w:rPr>
          <w:rFonts w:hAnsi="宋体"/>
          <w:b/>
          <w:color w:val="auto"/>
          <w:kern w:val="0"/>
          <w:sz w:val="24"/>
          <w:highlight w:val="none"/>
        </w:rPr>
      </w:pPr>
      <w:r>
        <w:rPr>
          <w:rFonts w:hint="eastAsia"/>
          <w:b/>
          <w:color w:val="auto"/>
          <w:kern w:val="0"/>
          <w:sz w:val="24"/>
          <w:highlight w:val="none"/>
        </w:rPr>
        <w:t>附表2：</w:t>
      </w:r>
    </w:p>
    <w:p w14:paraId="3CBBA391">
      <w:pPr>
        <w:keepNext w:val="0"/>
        <w:keepLines w:val="0"/>
        <w:pageBreakBefore w:val="0"/>
        <w:widowControl w:val="0"/>
        <w:wordWrap/>
        <w:topLinePunct w:val="0"/>
        <w:bidi w:val="0"/>
        <w:spacing w:line="460" w:lineRule="exact"/>
        <w:jc w:val="center"/>
        <w:rPr>
          <w:rFonts w:eastAsia="隶书"/>
          <w:color w:val="auto"/>
          <w:kern w:val="0"/>
          <w:sz w:val="44"/>
          <w:highlight w:val="none"/>
        </w:rPr>
      </w:pPr>
    </w:p>
    <w:p w14:paraId="20269168">
      <w:pPr>
        <w:keepNext w:val="0"/>
        <w:keepLines w:val="0"/>
        <w:pageBreakBefore w:val="0"/>
        <w:widowControl w:val="0"/>
        <w:wordWrap/>
        <w:topLinePunct w:val="0"/>
        <w:bidi w:val="0"/>
        <w:spacing w:line="460" w:lineRule="exact"/>
        <w:jc w:val="center"/>
        <w:rPr>
          <w:rFonts w:eastAsia="隶书"/>
          <w:color w:val="auto"/>
          <w:kern w:val="0"/>
          <w:sz w:val="44"/>
          <w:highlight w:val="none"/>
        </w:rPr>
      </w:pPr>
      <w:r>
        <w:rPr>
          <w:rFonts w:hint="eastAsia" w:eastAsia="隶书"/>
          <w:color w:val="auto"/>
          <w:kern w:val="0"/>
          <w:sz w:val="44"/>
          <w:highlight w:val="none"/>
        </w:rPr>
        <w:t>投诉书（格式）</w:t>
      </w:r>
    </w:p>
    <w:p w14:paraId="288B4FB8">
      <w:pPr>
        <w:keepNext w:val="0"/>
        <w:keepLines w:val="0"/>
        <w:pageBreakBefore w:val="0"/>
        <w:widowControl w:val="0"/>
        <w:wordWrap/>
        <w:topLinePunct w:val="0"/>
        <w:bidi w:val="0"/>
        <w:snapToGrid w:val="0"/>
        <w:spacing w:line="400" w:lineRule="exact"/>
        <w:ind w:firstLine="422" w:firstLineChars="200"/>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t>一、投诉相关主体基本情况：</w:t>
      </w:r>
    </w:p>
    <w:p w14:paraId="3F864489">
      <w:pPr>
        <w:keepNext w:val="0"/>
        <w:keepLines w:val="0"/>
        <w:pageBreakBefore w:val="0"/>
        <w:widowControl w:val="0"/>
        <w:wordWrap/>
        <w:topLinePunct w:val="0"/>
        <w:bidi w:val="0"/>
        <w:snapToGrid w:val="0"/>
        <w:spacing w:line="400" w:lineRule="exact"/>
        <w:ind w:firstLine="420" w:firstLineChars="200"/>
        <w:rPr>
          <w:rFonts w:hint="eastAsia" w:ascii="宋体" w:hAnsi="宋体" w:eastAsia="宋体" w:cs="宋体"/>
          <w:bCs/>
          <w:color w:val="auto"/>
          <w:kern w:val="0"/>
          <w:highlight w:val="none"/>
          <w:u w:val="single"/>
        </w:rPr>
      </w:pPr>
      <w:r>
        <w:rPr>
          <w:rFonts w:hint="eastAsia" w:ascii="宋体" w:hAnsi="宋体" w:eastAsia="宋体" w:cs="宋体"/>
          <w:bCs/>
          <w:color w:val="auto"/>
          <w:kern w:val="0"/>
          <w:highlight w:val="none"/>
        </w:rPr>
        <w:t>供应商：</w:t>
      </w:r>
    </w:p>
    <w:p w14:paraId="7ED56497">
      <w:pPr>
        <w:keepNext w:val="0"/>
        <w:keepLines w:val="0"/>
        <w:pageBreakBefore w:val="0"/>
        <w:widowControl w:val="0"/>
        <w:wordWrap/>
        <w:topLinePunct w:val="0"/>
        <w:bidi w:val="0"/>
        <w:snapToGrid w:val="0"/>
        <w:spacing w:line="400" w:lineRule="exact"/>
        <w:ind w:firstLine="420" w:firstLineChars="200"/>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地址：邮编：</w:t>
      </w:r>
    </w:p>
    <w:p w14:paraId="51CED3AE">
      <w:pPr>
        <w:keepNext w:val="0"/>
        <w:keepLines w:val="0"/>
        <w:pageBreakBefore w:val="0"/>
        <w:widowControl w:val="0"/>
        <w:wordWrap/>
        <w:topLinePunct w:val="0"/>
        <w:bidi w:val="0"/>
        <w:snapToGrid w:val="0"/>
        <w:spacing w:line="400" w:lineRule="exact"/>
        <w:ind w:firstLine="420" w:firstLineChars="200"/>
        <w:rPr>
          <w:rFonts w:hint="eastAsia" w:ascii="宋体" w:hAnsi="宋体" w:eastAsia="宋体" w:cs="宋体"/>
          <w:bCs/>
          <w:color w:val="auto"/>
          <w:kern w:val="0"/>
          <w:highlight w:val="none"/>
          <w:u w:val="single"/>
        </w:rPr>
      </w:pPr>
      <w:r>
        <w:rPr>
          <w:rFonts w:hint="eastAsia" w:ascii="宋体" w:hAnsi="宋体" w:eastAsia="宋体" w:cs="宋体"/>
          <w:bCs/>
          <w:color w:val="auto"/>
          <w:kern w:val="0"/>
          <w:highlight w:val="none"/>
        </w:rPr>
        <w:t>法定代表人/主要负责人：</w:t>
      </w:r>
    </w:p>
    <w:p w14:paraId="66A894E1">
      <w:pPr>
        <w:keepNext w:val="0"/>
        <w:keepLines w:val="0"/>
        <w:pageBreakBefore w:val="0"/>
        <w:widowControl w:val="0"/>
        <w:wordWrap/>
        <w:topLinePunct w:val="0"/>
        <w:bidi w:val="0"/>
        <w:snapToGrid w:val="0"/>
        <w:spacing w:line="400" w:lineRule="exact"/>
        <w:ind w:firstLine="420" w:firstLineChars="200"/>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联系电话：</w:t>
      </w:r>
    </w:p>
    <w:p w14:paraId="32BE8261">
      <w:pPr>
        <w:keepNext w:val="0"/>
        <w:keepLines w:val="0"/>
        <w:pageBreakBefore w:val="0"/>
        <w:widowControl w:val="0"/>
        <w:wordWrap/>
        <w:topLinePunct w:val="0"/>
        <w:bidi w:val="0"/>
        <w:snapToGrid w:val="0"/>
        <w:spacing w:line="400" w:lineRule="exact"/>
        <w:ind w:firstLine="420" w:firstLineChars="200"/>
        <w:rPr>
          <w:rFonts w:hint="eastAsia" w:ascii="宋体" w:hAnsi="宋体" w:eastAsia="宋体" w:cs="宋体"/>
          <w:bCs/>
          <w:color w:val="auto"/>
          <w:kern w:val="0"/>
          <w:highlight w:val="none"/>
          <w:u w:val="single"/>
        </w:rPr>
      </w:pPr>
      <w:r>
        <w:rPr>
          <w:rFonts w:hint="eastAsia" w:ascii="宋体" w:hAnsi="宋体" w:eastAsia="宋体" w:cs="宋体"/>
          <w:bCs/>
          <w:color w:val="auto"/>
          <w:kern w:val="0"/>
          <w:highlight w:val="none"/>
        </w:rPr>
        <w:t>授权代表：联系电话：</w:t>
      </w:r>
    </w:p>
    <w:p w14:paraId="1984731B">
      <w:pPr>
        <w:keepNext w:val="0"/>
        <w:keepLines w:val="0"/>
        <w:pageBreakBefore w:val="0"/>
        <w:widowControl w:val="0"/>
        <w:wordWrap/>
        <w:topLinePunct w:val="0"/>
        <w:bidi w:val="0"/>
        <w:snapToGrid w:val="0"/>
        <w:spacing w:line="400" w:lineRule="exact"/>
        <w:ind w:firstLine="420" w:firstLineChars="200"/>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地址：邮编：</w:t>
      </w:r>
    </w:p>
    <w:p w14:paraId="77884CA4">
      <w:pPr>
        <w:keepNext w:val="0"/>
        <w:keepLines w:val="0"/>
        <w:pageBreakBefore w:val="0"/>
        <w:widowControl w:val="0"/>
        <w:wordWrap/>
        <w:topLinePunct w:val="0"/>
        <w:bidi w:val="0"/>
        <w:snapToGrid w:val="0"/>
        <w:spacing w:line="400" w:lineRule="exact"/>
        <w:ind w:firstLine="420" w:firstLineChars="200"/>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被投诉人1：</w:t>
      </w:r>
    </w:p>
    <w:p w14:paraId="456ECE31">
      <w:pPr>
        <w:keepNext w:val="0"/>
        <w:keepLines w:val="0"/>
        <w:pageBreakBefore w:val="0"/>
        <w:widowControl w:val="0"/>
        <w:wordWrap/>
        <w:topLinePunct w:val="0"/>
        <w:bidi w:val="0"/>
        <w:snapToGrid w:val="0"/>
        <w:spacing w:line="400" w:lineRule="exact"/>
        <w:ind w:firstLine="420" w:firstLineChars="200"/>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地址：邮编：</w:t>
      </w:r>
    </w:p>
    <w:p w14:paraId="6880FC1E">
      <w:pPr>
        <w:keepNext w:val="0"/>
        <w:keepLines w:val="0"/>
        <w:pageBreakBefore w:val="0"/>
        <w:widowControl w:val="0"/>
        <w:wordWrap/>
        <w:topLinePunct w:val="0"/>
        <w:bidi w:val="0"/>
        <w:snapToGrid w:val="0"/>
        <w:spacing w:line="400" w:lineRule="exact"/>
        <w:ind w:firstLine="420" w:firstLineChars="200"/>
        <w:rPr>
          <w:rFonts w:hint="eastAsia" w:ascii="宋体" w:hAnsi="宋体" w:eastAsia="宋体" w:cs="宋体"/>
          <w:bCs/>
          <w:color w:val="auto"/>
          <w:kern w:val="0"/>
          <w:highlight w:val="none"/>
          <w:u w:val="single"/>
        </w:rPr>
      </w:pPr>
      <w:r>
        <w:rPr>
          <w:rFonts w:hint="eastAsia" w:ascii="宋体" w:hAnsi="宋体" w:eastAsia="宋体" w:cs="宋体"/>
          <w:bCs/>
          <w:color w:val="auto"/>
          <w:kern w:val="0"/>
          <w:highlight w:val="none"/>
        </w:rPr>
        <w:t>联系人：联系电话：</w:t>
      </w:r>
    </w:p>
    <w:p w14:paraId="529EC779">
      <w:pPr>
        <w:keepNext w:val="0"/>
        <w:keepLines w:val="0"/>
        <w:pageBreakBefore w:val="0"/>
        <w:widowControl w:val="0"/>
        <w:wordWrap/>
        <w:topLinePunct w:val="0"/>
        <w:bidi w:val="0"/>
        <w:snapToGrid w:val="0"/>
        <w:spacing w:line="400" w:lineRule="exact"/>
        <w:ind w:firstLine="420" w:firstLineChars="200"/>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被投诉人2：</w:t>
      </w:r>
    </w:p>
    <w:p w14:paraId="0A12D05F">
      <w:pPr>
        <w:keepNext w:val="0"/>
        <w:keepLines w:val="0"/>
        <w:pageBreakBefore w:val="0"/>
        <w:widowControl w:val="0"/>
        <w:wordWrap/>
        <w:topLinePunct w:val="0"/>
        <w:bidi w:val="0"/>
        <w:snapToGrid w:val="0"/>
        <w:spacing w:line="400" w:lineRule="exact"/>
        <w:ind w:firstLine="420" w:firstLineChars="200"/>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w:t>
      </w:r>
    </w:p>
    <w:p w14:paraId="3A14C262">
      <w:pPr>
        <w:keepNext w:val="0"/>
        <w:keepLines w:val="0"/>
        <w:pageBreakBefore w:val="0"/>
        <w:widowControl w:val="0"/>
        <w:wordWrap/>
        <w:topLinePunct w:val="0"/>
        <w:bidi w:val="0"/>
        <w:snapToGrid w:val="0"/>
        <w:spacing w:line="400" w:lineRule="exact"/>
        <w:ind w:firstLine="420" w:firstLineChars="200"/>
        <w:rPr>
          <w:rFonts w:hint="eastAsia" w:ascii="宋体" w:hAnsi="宋体" w:eastAsia="宋体" w:cs="宋体"/>
          <w:bCs/>
          <w:color w:val="auto"/>
          <w:kern w:val="0"/>
          <w:highlight w:val="none"/>
          <w:u w:val="single"/>
        </w:rPr>
      </w:pPr>
      <w:r>
        <w:rPr>
          <w:rFonts w:hint="eastAsia" w:ascii="宋体" w:hAnsi="宋体" w:eastAsia="宋体" w:cs="宋体"/>
          <w:bCs/>
          <w:color w:val="auto"/>
          <w:kern w:val="0"/>
          <w:highlight w:val="none"/>
        </w:rPr>
        <w:t>相关供应商：</w:t>
      </w:r>
    </w:p>
    <w:p w14:paraId="634D27DC">
      <w:pPr>
        <w:keepNext w:val="0"/>
        <w:keepLines w:val="0"/>
        <w:pageBreakBefore w:val="0"/>
        <w:widowControl w:val="0"/>
        <w:wordWrap/>
        <w:topLinePunct w:val="0"/>
        <w:bidi w:val="0"/>
        <w:snapToGrid w:val="0"/>
        <w:spacing w:line="400" w:lineRule="exact"/>
        <w:ind w:firstLine="420" w:firstLineChars="200"/>
        <w:rPr>
          <w:rFonts w:hint="eastAsia" w:ascii="宋体" w:hAnsi="宋体" w:eastAsia="宋体" w:cs="宋体"/>
          <w:bCs/>
          <w:color w:val="auto"/>
          <w:kern w:val="0"/>
          <w:highlight w:val="none"/>
          <w:u w:val="single"/>
        </w:rPr>
      </w:pPr>
      <w:r>
        <w:rPr>
          <w:rFonts w:hint="eastAsia" w:ascii="宋体" w:hAnsi="宋体" w:eastAsia="宋体" w:cs="宋体"/>
          <w:bCs/>
          <w:color w:val="auto"/>
          <w:kern w:val="0"/>
          <w:highlight w:val="none"/>
        </w:rPr>
        <w:t>地址：邮编：</w:t>
      </w:r>
    </w:p>
    <w:p w14:paraId="334F909E">
      <w:pPr>
        <w:keepNext w:val="0"/>
        <w:keepLines w:val="0"/>
        <w:pageBreakBefore w:val="0"/>
        <w:widowControl w:val="0"/>
        <w:wordWrap/>
        <w:topLinePunct w:val="0"/>
        <w:bidi w:val="0"/>
        <w:snapToGrid w:val="0"/>
        <w:spacing w:line="400" w:lineRule="exact"/>
        <w:ind w:firstLine="420" w:firstLineChars="200"/>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联系人：联系电话：</w:t>
      </w:r>
    </w:p>
    <w:p w14:paraId="722D5342">
      <w:pPr>
        <w:keepNext w:val="0"/>
        <w:keepLines w:val="0"/>
        <w:pageBreakBefore w:val="0"/>
        <w:widowControl w:val="0"/>
        <w:wordWrap/>
        <w:topLinePunct w:val="0"/>
        <w:bidi w:val="0"/>
        <w:snapToGrid w:val="0"/>
        <w:spacing w:line="400" w:lineRule="exact"/>
        <w:ind w:firstLine="422" w:firstLineChars="200"/>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t>二、投诉项目基本情况：</w:t>
      </w:r>
    </w:p>
    <w:p w14:paraId="55F86DAD">
      <w:pPr>
        <w:keepNext w:val="0"/>
        <w:keepLines w:val="0"/>
        <w:pageBreakBefore w:val="0"/>
        <w:widowControl w:val="0"/>
        <w:wordWrap/>
        <w:topLinePunct w:val="0"/>
        <w:bidi w:val="0"/>
        <w:spacing w:line="400" w:lineRule="exact"/>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bCs/>
          <w:color w:val="auto"/>
          <w:kern w:val="0"/>
          <w:highlight w:val="none"/>
        </w:rPr>
        <w:t>采购</w:t>
      </w:r>
      <w:r>
        <w:rPr>
          <w:rFonts w:hint="eastAsia" w:ascii="宋体" w:hAnsi="宋体" w:eastAsia="宋体" w:cs="宋体"/>
          <w:color w:val="auto"/>
          <w:kern w:val="0"/>
          <w:szCs w:val="21"/>
          <w:highlight w:val="none"/>
        </w:rPr>
        <w:t>项目的名称：</w:t>
      </w:r>
    </w:p>
    <w:p w14:paraId="29240A71">
      <w:pPr>
        <w:keepNext w:val="0"/>
        <w:keepLines w:val="0"/>
        <w:pageBreakBefore w:val="0"/>
        <w:widowControl w:val="0"/>
        <w:wordWrap/>
        <w:topLinePunct w:val="0"/>
        <w:bidi w:val="0"/>
        <w:spacing w:line="400" w:lineRule="exact"/>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bCs/>
          <w:color w:val="auto"/>
          <w:kern w:val="0"/>
          <w:highlight w:val="none"/>
        </w:rPr>
        <w:t>采购</w:t>
      </w:r>
      <w:r>
        <w:rPr>
          <w:rFonts w:hint="eastAsia" w:ascii="宋体" w:hAnsi="宋体" w:eastAsia="宋体" w:cs="宋体"/>
          <w:color w:val="auto"/>
          <w:kern w:val="0"/>
          <w:szCs w:val="21"/>
          <w:highlight w:val="none"/>
        </w:rPr>
        <w:t>项目的编号：</w:t>
      </w:r>
    </w:p>
    <w:p w14:paraId="7F5A638E">
      <w:pPr>
        <w:keepNext w:val="0"/>
        <w:keepLines w:val="0"/>
        <w:pageBreakBefore w:val="0"/>
        <w:widowControl w:val="0"/>
        <w:wordWrap/>
        <w:topLinePunct w:val="0"/>
        <w:bidi w:val="0"/>
        <w:spacing w:line="400" w:lineRule="exact"/>
        <w:ind w:left="25" w:leftChars="12" w:firstLine="413" w:firstLineChars="197"/>
        <w:rPr>
          <w:rFonts w:hint="eastAsia" w:ascii="宋体" w:hAnsi="宋体" w:eastAsia="宋体" w:cs="宋体"/>
          <w:bCs/>
          <w:color w:val="auto"/>
          <w:kern w:val="0"/>
          <w:highlight w:val="none"/>
          <w:u w:val="single"/>
        </w:rPr>
      </w:pPr>
      <w:r>
        <w:rPr>
          <w:rFonts w:hint="eastAsia" w:ascii="宋体" w:hAnsi="宋体" w:eastAsia="宋体" w:cs="宋体"/>
          <w:color w:val="auto"/>
          <w:kern w:val="0"/>
          <w:szCs w:val="21"/>
          <w:highlight w:val="none"/>
        </w:rPr>
        <w:t>采购人名称：</w:t>
      </w:r>
    </w:p>
    <w:p w14:paraId="660843BF">
      <w:pPr>
        <w:keepNext w:val="0"/>
        <w:keepLines w:val="0"/>
        <w:pageBreakBefore w:val="0"/>
        <w:widowControl w:val="0"/>
        <w:wordWrap/>
        <w:topLinePunct w:val="0"/>
        <w:bidi w:val="0"/>
        <w:spacing w:line="400" w:lineRule="exact"/>
        <w:ind w:left="25" w:leftChars="12" w:firstLine="413" w:firstLineChars="197"/>
        <w:rPr>
          <w:rFonts w:hint="eastAsia" w:ascii="宋体" w:hAnsi="宋体" w:eastAsia="宋体" w:cs="宋体"/>
          <w:bCs/>
          <w:color w:val="auto"/>
          <w:kern w:val="0"/>
          <w:highlight w:val="none"/>
          <w:u w:val="single"/>
        </w:rPr>
      </w:pPr>
      <w:r>
        <w:rPr>
          <w:rFonts w:hint="eastAsia" w:ascii="宋体" w:hAnsi="宋体" w:eastAsia="宋体" w:cs="宋体"/>
          <w:color w:val="auto"/>
          <w:kern w:val="0"/>
          <w:szCs w:val="21"/>
          <w:highlight w:val="none"/>
        </w:rPr>
        <w:t>代理机构名称：</w:t>
      </w:r>
    </w:p>
    <w:p w14:paraId="0902264E">
      <w:pPr>
        <w:keepNext w:val="0"/>
        <w:keepLines w:val="0"/>
        <w:pageBreakBefore w:val="0"/>
        <w:widowControl w:val="0"/>
        <w:wordWrap/>
        <w:topLinePunct w:val="0"/>
        <w:bidi w:val="0"/>
        <w:spacing w:line="400" w:lineRule="exact"/>
        <w:ind w:left="25" w:leftChars="12" w:firstLine="413" w:firstLineChars="197"/>
        <w:rPr>
          <w:rFonts w:hint="eastAsia" w:ascii="宋体" w:hAnsi="宋体" w:eastAsia="宋体" w:cs="宋体"/>
          <w:bCs/>
          <w:color w:val="auto"/>
          <w:kern w:val="0"/>
          <w:highlight w:val="none"/>
          <w:u w:val="single"/>
        </w:rPr>
      </w:pPr>
      <w:r>
        <w:rPr>
          <w:rFonts w:hint="eastAsia" w:ascii="宋体" w:hAnsi="宋体" w:eastAsia="宋体" w:cs="宋体"/>
          <w:bCs/>
          <w:color w:val="auto"/>
          <w:kern w:val="0"/>
          <w:highlight w:val="none"/>
        </w:rPr>
        <w:t>采购文件公告：</w:t>
      </w:r>
      <w:r>
        <w:rPr>
          <w:rFonts w:hint="eastAsia" w:ascii="宋体" w:hAnsi="宋体" w:eastAsia="宋体" w:cs="宋体"/>
          <w:bCs/>
          <w:color w:val="auto"/>
          <w:kern w:val="0"/>
          <w:highlight w:val="none"/>
          <w:u w:val="single"/>
        </w:rPr>
        <w:t>是/否</w:t>
      </w:r>
      <w:r>
        <w:rPr>
          <w:rFonts w:hint="eastAsia" w:ascii="宋体" w:hAnsi="宋体" w:eastAsia="宋体" w:cs="宋体"/>
          <w:bCs/>
          <w:color w:val="auto"/>
          <w:kern w:val="0"/>
          <w:highlight w:val="none"/>
        </w:rPr>
        <w:t>公告期限：</w:t>
      </w:r>
    </w:p>
    <w:p w14:paraId="61F3927A">
      <w:pPr>
        <w:keepNext w:val="0"/>
        <w:keepLines w:val="0"/>
        <w:pageBreakBefore w:val="0"/>
        <w:widowControl w:val="0"/>
        <w:wordWrap/>
        <w:topLinePunct w:val="0"/>
        <w:bidi w:val="0"/>
        <w:spacing w:line="400" w:lineRule="exact"/>
        <w:ind w:left="25" w:leftChars="12" w:firstLine="413" w:firstLineChars="197"/>
        <w:rPr>
          <w:rFonts w:hint="eastAsia" w:ascii="宋体" w:hAnsi="宋体" w:eastAsia="宋体" w:cs="宋体"/>
          <w:b/>
          <w:color w:val="auto"/>
          <w:kern w:val="0"/>
          <w:szCs w:val="21"/>
          <w:highlight w:val="none"/>
        </w:rPr>
      </w:pPr>
      <w:r>
        <w:rPr>
          <w:rFonts w:hint="eastAsia" w:ascii="宋体" w:hAnsi="宋体" w:eastAsia="宋体" w:cs="宋体"/>
          <w:bCs/>
          <w:color w:val="auto"/>
          <w:kern w:val="0"/>
          <w:highlight w:val="none"/>
        </w:rPr>
        <w:t>采购结果公告：</w:t>
      </w:r>
      <w:r>
        <w:rPr>
          <w:rFonts w:hint="eastAsia" w:ascii="宋体" w:hAnsi="宋体" w:eastAsia="宋体" w:cs="宋体"/>
          <w:bCs/>
          <w:color w:val="auto"/>
          <w:kern w:val="0"/>
          <w:highlight w:val="none"/>
          <w:u w:val="single"/>
        </w:rPr>
        <w:t>是/否</w:t>
      </w:r>
      <w:r>
        <w:rPr>
          <w:rFonts w:hint="eastAsia" w:ascii="宋体" w:hAnsi="宋体" w:eastAsia="宋体" w:cs="宋体"/>
          <w:bCs/>
          <w:color w:val="auto"/>
          <w:kern w:val="0"/>
          <w:highlight w:val="none"/>
        </w:rPr>
        <w:t>公告期限：</w:t>
      </w:r>
    </w:p>
    <w:p w14:paraId="75A94B8D">
      <w:pPr>
        <w:keepNext w:val="0"/>
        <w:keepLines w:val="0"/>
        <w:pageBreakBefore w:val="0"/>
        <w:widowControl w:val="0"/>
        <w:wordWrap/>
        <w:topLinePunct w:val="0"/>
        <w:bidi w:val="0"/>
        <w:spacing w:line="400" w:lineRule="exact"/>
        <w:ind w:left="25" w:leftChars="12" w:firstLine="413" w:firstLineChars="196"/>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三、质疑基本情况</w:t>
      </w:r>
    </w:p>
    <w:p w14:paraId="0DA2CF96">
      <w:pPr>
        <w:keepNext w:val="0"/>
        <w:keepLines w:val="0"/>
        <w:pageBreakBefore w:val="0"/>
        <w:widowControl w:val="0"/>
        <w:wordWrap/>
        <w:topLinePunct w:val="0"/>
        <w:bidi w:val="0"/>
        <w:spacing w:line="400" w:lineRule="exact"/>
        <w:ind w:left="25" w:leftChars="12" w:firstLine="833" w:firstLineChars="39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投诉人于年月日，向提出质疑，质疑事项为：</w:t>
      </w:r>
    </w:p>
    <w:p w14:paraId="68AAE22E">
      <w:pPr>
        <w:keepNext w:val="0"/>
        <w:keepLines w:val="0"/>
        <w:pageBreakBefore w:val="0"/>
        <w:widowControl w:val="0"/>
        <w:wordWrap/>
        <w:topLinePunct w:val="0"/>
        <w:bidi w:val="0"/>
        <w:spacing w:line="400" w:lineRule="exact"/>
        <w:rPr>
          <w:rFonts w:hint="eastAsia" w:ascii="宋体" w:hAnsi="宋体" w:eastAsia="宋体" w:cs="宋体"/>
          <w:bCs/>
          <w:color w:val="auto"/>
          <w:kern w:val="0"/>
          <w:highlight w:val="none"/>
          <w:u w:val="single"/>
        </w:rPr>
      </w:pPr>
    </w:p>
    <w:p w14:paraId="68C6BAA1">
      <w:pPr>
        <w:keepNext w:val="0"/>
        <w:keepLines w:val="0"/>
        <w:pageBreakBefore w:val="0"/>
        <w:widowControl w:val="0"/>
        <w:wordWrap/>
        <w:topLinePunct w:val="0"/>
        <w:bidi w:val="0"/>
        <w:spacing w:line="400" w:lineRule="exact"/>
        <w:rPr>
          <w:rFonts w:hint="eastAsia" w:ascii="宋体" w:hAnsi="宋体" w:eastAsia="宋体" w:cs="宋体"/>
          <w:bCs/>
          <w:color w:val="auto"/>
          <w:kern w:val="0"/>
          <w:highlight w:val="none"/>
          <w:u w:val="single"/>
        </w:rPr>
      </w:pPr>
    </w:p>
    <w:p w14:paraId="2FD9859D">
      <w:pPr>
        <w:keepNext w:val="0"/>
        <w:keepLines w:val="0"/>
        <w:pageBreakBefore w:val="0"/>
        <w:widowControl w:val="0"/>
        <w:wordWrap/>
        <w:topLinePunct w:val="0"/>
        <w:bidi w:val="0"/>
        <w:spacing w:line="400" w:lineRule="exact"/>
        <w:rPr>
          <w:rFonts w:hint="eastAsia" w:ascii="宋体" w:hAnsi="宋体" w:eastAsia="宋体" w:cs="宋体"/>
          <w:color w:val="auto"/>
          <w:kern w:val="0"/>
          <w:szCs w:val="21"/>
          <w:highlight w:val="none"/>
        </w:rPr>
      </w:pPr>
      <w:r>
        <w:rPr>
          <w:rFonts w:hint="eastAsia" w:ascii="宋体" w:hAnsi="宋体" w:eastAsia="宋体" w:cs="宋体"/>
          <w:bCs/>
          <w:color w:val="auto"/>
          <w:kern w:val="0"/>
          <w:highlight w:val="none"/>
          <w:u w:val="single"/>
        </w:rPr>
        <w:t>采购人/代理机构</w:t>
      </w:r>
      <w:r>
        <w:rPr>
          <w:rFonts w:hint="eastAsia" w:ascii="宋体" w:hAnsi="宋体" w:eastAsia="宋体" w:cs="宋体"/>
          <w:bCs/>
          <w:color w:val="auto"/>
          <w:kern w:val="0"/>
          <w:highlight w:val="none"/>
        </w:rPr>
        <w:t>于</w:t>
      </w:r>
      <w:r>
        <w:rPr>
          <w:rFonts w:hint="eastAsia" w:ascii="宋体" w:hAnsi="宋体" w:eastAsia="宋体" w:cs="宋体"/>
          <w:color w:val="auto"/>
          <w:kern w:val="0"/>
          <w:szCs w:val="21"/>
          <w:highlight w:val="none"/>
        </w:rPr>
        <w:t>年月日，</w:t>
      </w:r>
      <w:r>
        <w:rPr>
          <w:rFonts w:hint="eastAsia" w:ascii="宋体" w:hAnsi="宋体" w:eastAsia="宋体" w:cs="宋体"/>
          <w:bCs/>
          <w:color w:val="auto"/>
          <w:kern w:val="0"/>
          <w:highlight w:val="none"/>
        </w:rPr>
        <w:t xml:space="preserve">就质疑事项作出了答复/没有在法定期限内作出答复。                                                                                             </w:t>
      </w:r>
    </w:p>
    <w:p w14:paraId="4422D385">
      <w:pPr>
        <w:keepNext w:val="0"/>
        <w:keepLines w:val="0"/>
        <w:pageBreakBefore w:val="0"/>
        <w:widowControl w:val="0"/>
        <w:wordWrap/>
        <w:topLinePunct w:val="0"/>
        <w:bidi w:val="0"/>
        <w:spacing w:line="400" w:lineRule="exact"/>
        <w:ind w:left="25" w:leftChars="12" w:firstLine="413" w:firstLineChars="196"/>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四、投诉事项具体内容</w:t>
      </w:r>
    </w:p>
    <w:p w14:paraId="5AB6ACF2">
      <w:pPr>
        <w:keepNext w:val="0"/>
        <w:keepLines w:val="0"/>
        <w:pageBreakBefore w:val="0"/>
        <w:widowControl w:val="0"/>
        <w:wordWrap/>
        <w:topLinePunct w:val="0"/>
        <w:bidi w:val="0"/>
        <w:spacing w:line="400" w:lineRule="exact"/>
        <w:ind w:left="25" w:leftChars="12" w:firstLine="413" w:firstLineChars="197"/>
        <w:rPr>
          <w:rFonts w:hint="eastAsia" w:ascii="宋体" w:hAnsi="宋体" w:eastAsia="宋体" w:cs="宋体"/>
          <w:bCs/>
          <w:color w:val="auto"/>
          <w:kern w:val="0"/>
          <w:highlight w:val="none"/>
          <w:u w:val="single"/>
        </w:rPr>
      </w:pPr>
      <w:r>
        <w:rPr>
          <w:rFonts w:hint="eastAsia" w:ascii="宋体" w:hAnsi="宋体" w:eastAsia="宋体" w:cs="宋体"/>
          <w:color w:val="auto"/>
          <w:kern w:val="0"/>
          <w:szCs w:val="21"/>
          <w:highlight w:val="none"/>
        </w:rPr>
        <w:t>投诉事项1：</w:t>
      </w:r>
    </w:p>
    <w:p w14:paraId="407F92EA">
      <w:pPr>
        <w:keepNext w:val="0"/>
        <w:keepLines w:val="0"/>
        <w:pageBreakBefore w:val="0"/>
        <w:widowControl w:val="0"/>
        <w:wordWrap/>
        <w:topLinePunct w:val="0"/>
        <w:bidi w:val="0"/>
        <w:spacing w:line="400" w:lineRule="exact"/>
        <w:ind w:firstLine="420" w:firstLineChars="200"/>
        <w:rPr>
          <w:rFonts w:hint="eastAsia" w:ascii="宋体" w:hAnsi="宋体" w:eastAsia="宋体" w:cs="宋体"/>
          <w:bCs/>
          <w:color w:val="auto"/>
          <w:kern w:val="0"/>
          <w:highlight w:val="none"/>
          <w:u w:val="single"/>
        </w:rPr>
      </w:pPr>
      <w:r>
        <w:rPr>
          <w:rFonts w:hint="eastAsia" w:ascii="宋体" w:hAnsi="宋体" w:eastAsia="宋体" w:cs="宋体"/>
          <w:bCs/>
          <w:color w:val="auto"/>
          <w:kern w:val="0"/>
          <w:highlight w:val="none"/>
        </w:rPr>
        <w:t>事实依据：</w:t>
      </w:r>
    </w:p>
    <w:p w14:paraId="15CBA066">
      <w:pPr>
        <w:keepNext w:val="0"/>
        <w:keepLines w:val="0"/>
        <w:pageBreakBefore w:val="0"/>
        <w:widowControl w:val="0"/>
        <w:wordWrap/>
        <w:topLinePunct w:val="0"/>
        <w:bidi w:val="0"/>
        <w:spacing w:line="400" w:lineRule="exact"/>
        <w:ind w:left="25" w:leftChars="12" w:firstLine="413" w:firstLineChars="197"/>
        <w:rPr>
          <w:rFonts w:hint="eastAsia" w:ascii="宋体" w:hAnsi="宋体" w:eastAsia="宋体" w:cs="宋体"/>
          <w:color w:val="auto"/>
          <w:kern w:val="0"/>
          <w:szCs w:val="21"/>
          <w:highlight w:val="none"/>
        </w:rPr>
      </w:pPr>
    </w:p>
    <w:p w14:paraId="24828164">
      <w:pPr>
        <w:keepNext w:val="0"/>
        <w:keepLines w:val="0"/>
        <w:pageBreakBefore w:val="0"/>
        <w:widowControl w:val="0"/>
        <w:wordWrap/>
        <w:topLinePunct w:val="0"/>
        <w:bidi w:val="0"/>
        <w:spacing w:line="400" w:lineRule="exact"/>
        <w:ind w:firstLine="420" w:firstLineChars="200"/>
        <w:rPr>
          <w:rFonts w:hint="eastAsia" w:ascii="宋体" w:hAnsi="宋体" w:eastAsia="宋体" w:cs="宋体"/>
          <w:bCs/>
          <w:color w:val="auto"/>
          <w:kern w:val="0"/>
          <w:highlight w:val="none"/>
          <w:u w:val="single"/>
        </w:rPr>
      </w:pPr>
      <w:r>
        <w:rPr>
          <w:rFonts w:hint="eastAsia" w:ascii="宋体" w:hAnsi="宋体" w:eastAsia="宋体" w:cs="宋体"/>
          <w:bCs/>
          <w:color w:val="auto"/>
          <w:kern w:val="0"/>
          <w:highlight w:val="none"/>
        </w:rPr>
        <w:t>法律依据：</w:t>
      </w:r>
    </w:p>
    <w:p w14:paraId="4196F373">
      <w:pPr>
        <w:keepNext w:val="0"/>
        <w:keepLines w:val="0"/>
        <w:pageBreakBefore w:val="0"/>
        <w:widowControl w:val="0"/>
        <w:wordWrap/>
        <w:topLinePunct w:val="0"/>
        <w:bidi w:val="0"/>
        <w:spacing w:line="400" w:lineRule="exact"/>
        <w:ind w:left="25" w:leftChars="12" w:firstLine="308" w:firstLineChars="147"/>
        <w:rPr>
          <w:rFonts w:hint="eastAsia" w:ascii="宋体" w:hAnsi="宋体" w:eastAsia="宋体" w:cs="宋体"/>
          <w:bCs/>
          <w:color w:val="auto"/>
          <w:kern w:val="0"/>
          <w:highlight w:val="none"/>
          <w:u w:val="single"/>
        </w:rPr>
      </w:pPr>
    </w:p>
    <w:p w14:paraId="3A176C5D">
      <w:pPr>
        <w:keepNext w:val="0"/>
        <w:keepLines w:val="0"/>
        <w:pageBreakBefore w:val="0"/>
        <w:widowControl w:val="0"/>
        <w:wordWrap/>
        <w:topLinePunct w:val="0"/>
        <w:bidi w:val="0"/>
        <w:spacing w:line="400" w:lineRule="exact"/>
        <w:ind w:left="25" w:leftChars="12" w:firstLine="413" w:firstLineChars="197"/>
        <w:rPr>
          <w:rFonts w:hint="eastAsia" w:ascii="宋体" w:hAnsi="宋体" w:eastAsia="宋体" w:cs="宋体"/>
          <w:bCs/>
          <w:color w:val="auto"/>
          <w:kern w:val="0"/>
          <w:highlight w:val="none"/>
        </w:rPr>
      </w:pPr>
      <w:r>
        <w:rPr>
          <w:rFonts w:hint="eastAsia" w:ascii="宋体" w:hAnsi="宋体" w:eastAsia="宋体" w:cs="宋体"/>
          <w:color w:val="auto"/>
          <w:kern w:val="0"/>
          <w:szCs w:val="21"/>
          <w:highlight w:val="none"/>
        </w:rPr>
        <w:t xml:space="preserve">投诉事项2  </w:t>
      </w:r>
    </w:p>
    <w:p w14:paraId="3B8D039F">
      <w:pPr>
        <w:keepNext w:val="0"/>
        <w:keepLines w:val="0"/>
        <w:pageBreakBefore w:val="0"/>
        <w:widowControl w:val="0"/>
        <w:wordWrap/>
        <w:topLinePunct w:val="0"/>
        <w:bidi w:val="0"/>
        <w:spacing w:line="400" w:lineRule="exact"/>
        <w:ind w:left="25" w:leftChars="12" w:firstLine="413" w:firstLineChars="197"/>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w:t>
      </w:r>
    </w:p>
    <w:p w14:paraId="59407BA0">
      <w:pPr>
        <w:keepNext w:val="0"/>
        <w:keepLines w:val="0"/>
        <w:pageBreakBefore w:val="0"/>
        <w:widowControl w:val="0"/>
        <w:wordWrap/>
        <w:topLinePunct w:val="0"/>
        <w:bidi w:val="0"/>
        <w:spacing w:line="400" w:lineRule="exact"/>
        <w:ind w:left="25" w:leftChars="12" w:firstLine="413" w:firstLineChars="196"/>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五、与投诉事项相关的投诉请求：</w:t>
      </w:r>
    </w:p>
    <w:p w14:paraId="340BF565">
      <w:pPr>
        <w:keepNext w:val="0"/>
        <w:keepLines w:val="0"/>
        <w:pageBreakBefore w:val="0"/>
        <w:widowControl w:val="0"/>
        <w:wordWrap/>
        <w:topLinePunct w:val="0"/>
        <w:bidi w:val="0"/>
        <w:spacing w:line="400" w:lineRule="exact"/>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请求：</w:t>
      </w:r>
    </w:p>
    <w:p w14:paraId="1A3E5BD9">
      <w:pPr>
        <w:keepNext w:val="0"/>
        <w:keepLines w:val="0"/>
        <w:pageBreakBefore w:val="0"/>
        <w:widowControl w:val="0"/>
        <w:wordWrap/>
        <w:topLinePunct w:val="0"/>
        <w:bidi w:val="0"/>
        <w:spacing w:line="400" w:lineRule="exact"/>
        <w:ind w:left="25" w:leftChars="12" w:firstLine="308" w:firstLineChars="147"/>
        <w:rPr>
          <w:rFonts w:hint="eastAsia" w:ascii="宋体" w:hAnsi="宋体" w:eastAsia="宋体" w:cs="宋体"/>
          <w:color w:val="auto"/>
          <w:kern w:val="0"/>
          <w:szCs w:val="21"/>
          <w:highlight w:val="none"/>
        </w:rPr>
      </w:pPr>
    </w:p>
    <w:p w14:paraId="4F58EA92">
      <w:pPr>
        <w:keepNext w:val="0"/>
        <w:keepLines w:val="0"/>
        <w:pageBreakBefore w:val="0"/>
        <w:widowControl w:val="0"/>
        <w:wordWrap/>
        <w:topLinePunct w:val="0"/>
        <w:bidi w:val="0"/>
        <w:spacing w:line="400" w:lineRule="exact"/>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签字（签章）：                                       公章：</w:t>
      </w:r>
    </w:p>
    <w:p w14:paraId="63814ED5">
      <w:pPr>
        <w:keepNext w:val="0"/>
        <w:keepLines w:val="0"/>
        <w:pageBreakBefore w:val="0"/>
        <w:widowControl w:val="0"/>
        <w:wordWrap/>
        <w:topLinePunct w:val="0"/>
        <w:bidi w:val="0"/>
        <w:spacing w:line="400" w:lineRule="exact"/>
        <w:ind w:left="25" w:leftChars="12" w:firstLine="308" w:firstLineChars="147"/>
        <w:rPr>
          <w:rFonts w:hint="eastAsia" w:ascii="宋体" w:hAnsi="宋体" w:eastAsia="宋体" w:cs="宋体"/>
          <w:color w:val="auto"/>
          <w:kern w:val="0"/>
          <w:szCs w:val="21"/>
          <w:highlight w:val="none"/>
        </w:rPr>
      </w:pPr>
    </w:p>
    <w:p w14:paraId="72EB8233">
      <w:pPr>
        <w:keepNext w:val="0"/>
        <w:keepLines w:val="0"/>
        <w:pageBreakBefore w:val="0"/>
        <w:widowControl w:val="0"/>
        <w:wordWrap/>
        <w:topLinePunct w:val="0"/>
        <w:bidi w:val="0"/>
        <w:spacing w:line="400" w:lineRule="exact"/>
        <w:ind w:left="25" w:leftChars="12" w:firstLine="413" w:firstLineChars="19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w:t>
      </w:r>
    </w:p>
    <w:p w14:paraId="382BC56B">
      <w:pPr>
        <w:keepNext w:val="0"/>
        <w:keepLines w:val="0"/>
        <w:pageBreakBefore w:val="0"/>
        <w:widowControl w:val="0"/>
        <w:wordWrap/>
        <w:topLinePunct w:val="0"/>
        <w:bidi w:val="0"/>
        <w:spacing w:line="360" w:lineRule="exact"/>
        <w:ind w:left="25" w:leftChars="12" w:firstLine="413" w:firstLineChars="197"/>
        <w:rPr>
          <w:rFonts w:hint="eastAsia" w:ascii="宋体" w:hAnsi="宋体" w:eastAsia="宋体" w:cs="宋体"/>
          <w:color w:val="auto"/>
          <w:kern w:val="0"/>
          <w:szCs w:val="21"/>
          <w:highlight w:val="none"/>
        </w:rPr>
      </w:pPr>
    </w:p>
    <w:p w14:paraId="737046DA">
      <w:pPr>
        <w:keepNext w:val="0"/>
        <w:keepLines w:val="0"/>
        <w:pageBreakBefore w:val="0"/>
        <w:widowControl w:val="0"/>
        <w:wordWrap/>
        <w:topLinePunct w:val="0"/>
        <w:bidi w:val="0"/>
        <w:snapToGrid w:val="0"/>
        <w:spacing w:line="340" w:lineRule="exact"/>
        <w:rPr>
          <w:rFonts w:hint="eastAsia" w:ascii="宋体" w:hAnsi="宋体" w:eastAsia="宋体" w:cs="宋体"/>
          <w:b/>
          <w:color w:val="auto"/>
          <w:kern w:val="0"/>
          <w:szCs w:val="21"/>
          <w:highlight w:val="none"/>
        </w:rPr>
      </w:pPr>
    </w:p>
    <w:p w14:paraId="11C22716">
      <w:pPr>
        <w:keepNext w:val="0"/>
        <w:keepLines w:val="0"/>
        <w:pageBreakBefore w:val="0"/>
        <w:widowControl w:val="0"/>
        <w:wordWrap/>
        <w:topLinePunct w:val="0"/>
        <w:bidi w:val="0"/>
        <w:snapToGrid w:val="0"/>
        <w:spacing w:line="340" w:lineRule="exac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说明：</w:t>
      </w:r>
    </w:p>
    <w:p w14:paraId="08158299">
      <w:pPr>
        <w:keepNext w:val="0"/>
        <w:keepLines w:val="0"/>
        <w:pageBreakBefore w:val="0"/>
        <w:widowControl w:val="0"/>
        <w:wordWrap/>
        <w:topLinePunct w:val="0"/>
        <w:bidi w:val="0"/>
        <w:spacing w:line="340" w:lineRule="exact"/>
        <w:ind w:left="25" w:leftChars="12" w:firstLine="310" w:firstLineChars="147"/>
        <w:rPr>
          <w:rFonts w:hint="eastAsia" w:ascii="宋体" w:hAnsi="宋体" w:eastAsia="宋体" w:cs="宋体"/>
          <w:b/>
          <w:bCs/>
          <w:color w:val="auto"/>
          <w:kern w:val="0"/>
          <w:highlight w:val="none"/>
        </w:rPr>
      </w:pPr>
      <w:r>
        <w:rPr>
          <w:rFonts w:hint="eastAsia" w:ascii="宋体" w:hAnsi="宋体" w:eastAsia="宋体" w:cs="宋体"/>
          <w:b/>
          <w:color w:val="auto"/>
          <w:kern w:val="0"/>
          <w:szCs w:val="21"/>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kern w:val="0"/>
          <w:highlight w:val="none"/>
        </w:rPr>
        <w:t>。</w:t>
      </w:r>
    </w:p>
    <w:p w14:paraId="213347C1">
      <w:pPr>
        <w:keepNext w:val="0"/>
        <w:keepLines w:val="0"/>
        <w:pageBreakBefore w:val="0"/>
        <w:widowControl w:val="0"/>
        <w:wordWrap/>
        <w:topLinePunct w:val="0"/>
        <w:bidi w:val="0"/>
        <w:spacing w:line="340" w:lineRule="exact"/>
        <w:ind w:left="25" w:leftChars="12" w:firstLine="310" w:firstLineChars="147"/>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3F71363">
      <w:pPr>
        <w:keepNext w:val="0"/>
        <w:keepLines w:val="0"/>
        <w:pageBreakBefore w:val="0"/>
        <w:widowControl w:val="0"/>
        <w:wordWrap/>
        <w:topLinePunct w:val="0"/>
        <w:bidi w:val="0"/>
        <w:spacing w:line="340" w:lineRule="exact"/>
        <w:ind w:left="25" w:leftChars="12" w:firstLine="310" w:firstLineChars="147"/>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3.投诉书应简要列明质疑事项，质疑函、质疑答复等作为附件材料提供。</w:t>
      </w:r>
    </w:p>
    <w:p w14:paraId="20E5B04A">
      <w:pPr>
        <w:keepNext w:val="0"/>
        <w:keepLines w:val="0"/>
        <w:pageBreakBefore w:val="0"/>
        <w:widowControl w:val="0"/>
        <w:wordWrap/>
        <w:topLinePunct w:val="0"/>
        <w:bidi w:val="0"/>
        <w:spacing w:line="340" w:lineRule="exact"/>
        <w:ind w:left="25" w:leftChars="12" w:firstLine="310" w:firstLineChars="147"/>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4.投诉书的投诉事项应具体、明确，并有必要的事实依据和法律依据。</w:t>
      </w:r>
    </w:p>
    <w:p w14:paraId="3BE190D3">
      <w:pPr>
        <w:keepNext w:val="0"/>
        <w:keepLines w:val="0"/>
        <w:pageBreakBefore w:val="0"/>
        <w:widowControl w:val="0"/>
        <w:wordWrap/>
        <w:topLinePunct w:val="0"/>
        <w:bidi w:val="0"/>
        <w:spacing w:line="340" w:lineRule="exact"/>
        <w:ind w:left="25" w:leftChars="12" w:firstLine="310" w:firstLineChars="147"/>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5.投诉书的投诉请求应与投诉事项相关。</w:t>
      </w:r>
    </w:p>
    <w:p w14:paraId="4F751CDF">
      <w:pPr>
        <w:keepNext w:val="0"/>
        <w:keepLines w:val="0"/>
        <w:pageBreakBefore w:val="0"/>
        <w:widowControl w:val="0"/>
        <w:wordWrap/>
        <w:topLinePunct w:val="0"/>
        <w:bidi w:val="0"/>
        <w:spacing w:line="340" w:lineRule="exact"/>
        <w:ind w:left="25" w:leftChars="12" w:firstLine="310" w:firstLineChars="147"/>
        <w:rPr>
          <w:rFonts w:hint="eastAsia" w:ascii="宋体" w:hAnsi="宋体" w:eastAsia="宋体" w:cs="宋体"/>
          <w:b/>
          <w:color w:val="auto"/>
          <w:szCs w:val="21"/>
          <w:highlight w:val="none"/>
        </w:rPr>
      </w:pPr>
      <w:r>
        <w:rPr>
          <w:rFonts w:hint="eastAsia" w:ascii="宋体" w:hAnsi="宋体" w:eastAsia="宋体" w:cs="宋体"/>
          <w:b/>
          <w:color w:val="auto"/>
          <w:kern w:val="0"/>
          <w:szCs w:val="21"/>
          <w:highlight w:val="none"/>
        </w:rPr>
        <w:t>6.</w:t>
      </w:r>
      <w:r>
        <w:rPr>
          <w:rFonts w:hint="eastAsia" w:ascii="宋体" w:hAnsi="宋体" w:eastAsia="宋体" w:cs="宋体"/>
          <w:b/>
          <w:color w:val="auto"/>
          <w:szCs w:val="21"/>
          <w:highlight w:val="none"/>
        </w:rPr>
        <w:t>投诉人为法人或者其他组织的，投诉书应由法定代表人、主要负责人，或者其授权代表签字或者盖章，并加盖公章。</w:t>
      </w:r>
    </w:p>
    <w:p w14:paraId="11F9DCB9">
      <w:pPr>
        <w:keepNext w:val="0"/>
        <w:keepLines w:val="0"/>
        <w:pageBreakBefore w:val="0"/>
        <w:widowControl w:val="0"/>
        <w:wordWrap/>
        <w:topLinePunct w:val="0"/>
        <w:bidi w:val="0"/>
        <w:spacing w:line="340" w:lineRule="exact"/>
        <w:ind w:left="25" w:leftChars="12" w:firstLine="310" w:firstLineChars="147"/>
        <w:rPr>
          <w:rFonts w:hAnsi="宋体"/>
          <w:b/>
          <w:color w:val="auto"/>
          <w:kern w:val="0"/>
          <w:szCs w:val="21"/>
          <w:highlight w:val="none"/>
        </w:rPr>
      </w:pPr>
    </w:p>
    <w:p w14:paraId="3F29D063">
      <w:pPr>
        <w:rPr>
          <w:rFonts w:hint="eastAsia"/>
          <w:color w:val="auto"/>
          <w:sz w:val="32"/>
          <w:szCs w:val="32"/>
          <w:highlight w:val="none"/>
        </w:rPr>
      </w:pPr>
      <w:bookmarkStart w:id="140" w:name="_Toc28939"/>
      <w:bookmarkStart w:id="141" w:name="_Toc2989"/>
      <w:r>
        <w:rPr>
          <w:rFonts w:hint="eastAsia"/>
          <w:color w:val="auto"/>
          <w:sz w:val="32"/>
          <w:szCs w:val="32"/>
          <w:highlight w:val="none"/>
        </w:rPr>
        <w:br w:type="page"/>
      </w:r>
    </w:p>
    <w:p w14:paraId="337369E0">
      <w:pPr>
        <w:pStyle w:val="2"/>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0"/>
        <w:rPr>
          <w:rFonts w:hint="eastAsia" w:eastAsia="宋体"/>
          <w:color w:val="auto"/>
          <w:sz w:val="32"/>
          <w:szCs w:val="32"/>
          <w:highlight w:val="none"/>
          <w:lang w:eastAsia="zh-CN"/>
        </w:rPr>
      </w:pPr>
      <w:bookmarkStart w:id="142" w:name="_Toc5924"/>
      <w:r>
        <w:rPr>
          <w:rFonts w:hint="eastAsia"/>
          <w:color w:val="auto"/>
          <w:sz w:val="32"/>
          <w:szCs w:val="32"/>
          <w:highlight w:val="none"/>
        </w:rPr>
        <w:t xml:space="preserve">第三章 </w:t>
      </w:r>
      <w:r>
        <w:rPr>
          <w:rFonts w:hint="eastAsia"/>
          <w:color w:val="auto"/>
          <w:sz w:val="32"/>
          <w:szCs w:val="32"/>
          <w:highlight w:val="none"/>
          <w:lang w:eastAsia="zh-CN"/>
        </w:rPr>
        <w:t>工程量清单</w:t>
      </w:r>
      <w:bookmarkEnd w:id="140"/>
      <w:bookmarkEnd w:id="142"/>
    </w:p>
    <w:p w14:paraId="7432A8C5">
      <w:pPr>
        <w:pStyle w:val="12"/>
        <w:keepNext w:val="0"/>
        <w:keepLines w:val="0"/>
        <w:pageBreakBefore w:val="0"/>
        <w:widowControl w:val="0"/>
        <w:wordWrap/>
        <w:topLinePunct w:val="0"/>
        <w:bidi w:val="0"/>
        <w:spacing w:line="400" w:lineRule="exact"/>
        <w:rPr>
          <w:rFonts w:hint="eastAsia" w:hAnsi="宋体" w:cs="宋体"/>
          <w:color w:val="auto"/>
          <w:kern w:val="21"/>
          <w:highlight w:val="none"/>
        </w:rPr>
      </w:pPr>
      <w:bookmarkStart w:id="143" w:name="_Toc164138057"/>
      <w:bookmarkStart w:id="144" w:name="_Toc160609998"/>
      <w:bookmarkStart w:id="145" w:name="_Toc194308407"/>
      <w:r>
        <w:rPr>
          <w:rFonts w:hint="eastAsia" w:hAnsi="宋体" w:cs="宋体"/>
          <w:b/>
          <w:color w:val="auto"/>
          <w:sz w:val="24"/>
          <w:szCs w:val="24"/>
          <w:highlight w:val="none"/>
        </w:rPr>
        <w:t>一、工程量清单说明</w:t>
      </w:r>
      <w:bookmarkEnd w:id="143"/>
      <w:bookmarkEnd w:id="144"/>
      <w:r>
        <w:rPr>
          <w:rFonts w:hint="eastAsia" w:hAnsi="宋体" w:cs="宋体"/>
          <w:color w:val="auto"/>
          <w:kern w:val="21"/>
          <w:sz w:val="32"/>
          <w:szCs w:val="32"/>
          <w:highlight w:val="none"/>
        </w:rPr>
        <w:t>：</w:t>
      </w:r>
      <w:bookmarkEnd w:id="145"/>
      <w:r>
        <w:rPr>
          <w:rFonts w:hint="eastAsia" w:hAnsi="宋体" w:cs="宋体"/>
          <w:color w:val="auto"/>
          <w:kern w:val="21"/>
          <w:highlight w:val="none"/>
        </w:rPr>
        <w:t xml:space="preserve"> </w:t>
      </w:r>
    </w:p>
    <w:p w14:paraId="1ABE2EF0">
      <w:pPr>
        <w:keepNext w:val="0"/>
        <w:keepLines w:val="0"/>
        <w:pageBreakBefore w:val="0"/>
        <w:widowControl w:val="0"/>
        <w:tabs>
          <w:tab w:val="left" w:pos="210"/>
        </w:tabs>
        <w:wordWrap/>
        <w:topLinePunct w:val="0"/>
        <w:bidi w:val="0"/>
        <w:spacing w:line="360" w:lineRule="exact"/>
        <w:ind w:left="420"/>
        <w:rPr>
          <w:rFonts w:hint="eastAsia" w:ascii="宋体" w:hAnsi="宋体" w:cs="宋体"/>
          <w:color w:val="auto"/>
          <w:szCs w:val="21"/>
          <w:highlight w:val="none"/>
          <w:lang w:eastAsia="zh-CN"/>
        </w:rPr>
      </w:pPr>
      <w:r>
        <w:rPr>
          <w:rFonts w:hint="eastAsia" w:hAnsi="宋体" w:cs="宋体"/>
          <w:color w:val="auto"/>
          <w:kern w:val="21"/>
          <w:highlight w:val="none"/>
          <w:lang w:eastAsia="zh-CN"/>
        </w:rPr>
        <w:t xml:space="preserve">  </w:t>
      </w:r>
      <w:r>
        <w:rPr>
          <w:rFonts w:hint="eastAsia" w:ascii="宋体" w:hAnsi="宋体" w:cs="宋体"/>
          <w:color w:val="auto"/>
          <w:szCs w:val="21"/>
          <w:highlight w:val="none"/>
          <w:lang w:eastAsia="zh-CN"/>
        </w:rPr>
        <w:t>1、工程概况：</w:t>
      </w:r>
    </w:p>
    <w:p w14:paraId="53060176">
      <w:pPr>
        <w:keepNext w:val="0"/>
        <w:keepLines w:val="0"/>
        <w:pageBreakBefore w:val="0"/>
        <w:widowControl w:val="0"/>
        <w:tabs>
          <w:tab w:val="left" w:pos="210"/>
        </w:tabs>
        <w:wordWrap/>
        <w:topLinePunct w:val="0"/>
        <w:bidi w:val="0"/>
        <w:spacing w:line="360" w:lineRule="exact"/>
        <w:ind w:left="840" w:leftChars="0" w:firstLine="0" w:firstLineChars="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工程名称：资源县武装部专变工程；</w:t>
      </w:r>
    </w:p>
    <w:p w14:paraId="49FAE20B">
      <w:pPr>
        <w:keepNext w:val="0"/>
        <w:keepLines w:val="0"/>
        <w:pageBreakBefore w:val="0"/>
        <w:widowControl w:val="0"/>
        <w:tabs>
          <w:tab w:val="left" w:pos="210"/>
        </w:tabs>
        <w:wordWrap/>
        <w:topLinePunct w:val="0"/>
        <w:bidi w:val="0"/>
        <w:spacing w:line="360" w:lineRule="exact"/>
        <w:ind w:left="420"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eastAsia="zh-CN"/>
        </w:rPr>
        <w:t>本</w:t>
      </w:r>
      <w:r>
        <w:rPr>
          <w:rFonts w:hint="eastAsia" w:ascii="宋体" w:hAnsi="宋体" w:eastAsia="宋体" w:cs="宋体"/>
          <w:color w:val="auto"/>
          <w:szCs w:val="21"/>
          <w:highlight w:val="none"/>
          <w:lang w:eastAsia="zh-CN"/>
        </w:rPr>
        <w:t>工程</w:t>
      </w:r>
      <w:r>
        <w:rPr>
          <w:rFonts w:hint="eastAsia" w:ascii="宋体" w:hAnsi="宋体" w:cs="宋体"/>
          <w:color w:val="auto"/>
          <w:szCs w:val="21"/>
          <w:highlight w:val="none"/>
          <w:lang w:eastAsia="zh-CN"/>
        </w:rPr>
        <w:t>主要</w:t>
      </w:r>
      <w:r>
        <w:rPr>
          <w:rFonts w:hint="eastAsia" w:ascii="宋体" w:hAnsi="宋体" w:cs="宋体"/>
          <w:color w:val="auto"/>
          <w:szCs w:val="21"/>
          <w:highlight w:val="none"/>
          <w:lang w:val="en-US" w:eastAsia="zh-CN"/>
        </w:rPr>
        <w:t>内容</w:t>
      </w:r>
      <w:r>
        <w:rPr>
          <w:rFonts w:hint="eastAsia" w:ascii="宋体" w:hAnsi="宋体" w:cs="宋体"/>
          <w:color w:val="auto"/>
          <w:szCs w:val="21"/>
          <w:highlight w:val="none"/>
          <w:lang w:eastAsia="zh-CN"/>
        </w:rPr>
        <w:t>为：</w:t>
      </w:r>
      <w:r>
        <w:rPr>
          <w:rFonts w:hint="eastAsia" w:ascii="宋体" w:hAnsi="宋体" w:eastAsia="宋体" w:cs="宋体"/>
          <w:bCs/>
          <w:color w:val="auto"/>
          <w:sz w:val="21"/>
          <w:szCs w:val="21"/>
          <w:highlight w:val="none"/>
          <w:lang w:val="en-US" w:eastAsia="zh-CN"/>
        </w:rPr>
        <w:t>安装1台2进4出开闭所；安装1台1000kVA欧式箱变，1台400kw发电机,搬迁1个250kVA台变；敷设YJV22-8.7/15kV-3*95电缆150米,YJV22-8.7/15kV-3*240电缆222米，VV22-0.6/1KW-4*240电缆20米；开挖4排管电缆沟110米,敷设电缆保护管(PVC-Cφ167x8.0 )440m；制作3个电缆井，弃土运距10公里；制作1个箱变基础,1个开闭所基础等</w:t>
      </w:r>
      <w:r>
        <w:rPr>
          <w:rFonts w:hint="eastAsia" w:ascii="宋体" w:hAnsi="宋体" w:cs="宋体"/>
          <w:color w:val="auto"/>
          <w:szCs w:val="21"/>
          <w:highlight w:val="none"/>
          <w:lang w:val="en-US" w:eastAsia="zh-CN"/>
        </w:rPr>
        <w:t>。具体详见施工图纸及工程量清单。</w:t>
      </w:r>
    </w:p>
    <w:p w14:paraId="0A27DD50">
      <w:pPr>
        <w:keepNext w:val="0"/>
        <w:keepLines w:val="0"/>
        <w:pageBreakBefore w:val="0"/>
        <w:widowControl w:val="0"/>
        <w:tabs>
          <w:tab w:val="left" w:pos="210"/>
        </w:tabs>
        <w:wordWrap/>
        <w:topLinePunct w:val="0"/>
        <w:bidi w:val="0"/>
        <w:spacing w:line="360" w:lineRule="exact"/>
        <w:ind w:left="42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 xml:space="preserve">  </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、编制依据：</w:t>
      </w:r>
    </w:p>
    <w:p w14:paraId="611E4181">
      <w:pPr>
        <w:keepNext w:val="0"/>
        <w:keepLines w:val="0"/>
        <w:pageBreakBefore w:val="0"/>
        <w:widowControl w:val="0"/>
        <w:tabs>
          <w:tab w:val="left" w:pos="210"/>
        </w:tabs>
        <w:wordWrap/>
        <w:topLinePunct w:val="0"/>
        <w:bidi w:val="0"/>
        <w:spacing w:line="360" w:lineRule="exact"/>
        <w:ind w:left="420"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（1）国家计价规范《建设工程工程量清单计价规范》(GB50500-2013)及广西壮族自治区实施细则(修订本)；</w:t>
      </w:r>
    </w:p>
    <w:p w14:paraId="706435EE">
      <w:pPr>
        <w:keepNext w:val="0"/>
        <w:keepLines w:val="0"/>
        <w:pageBreakBefore w:val="0"/>
        <w:widowControl w:val="0"/>
        <w:tabs>
          <w:tab w:val="left" w:pos="210"/>
        </w:tabs>
        <w:wordWrap/>
        <w:topLinePunct w:val="0"/>
        <w:bidi w:val="0"/>
        <w:spacing w:line="360" w:lineRule="exact"/>
        <w:ind w:left="420" w:firstLine="420" w:firstLineChars="20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（2）国家计量规范《建设工程工程量清单计算规范》(GB50854～50862-2013)及广西壮族自治区实施细则；</w:t>
      </w:r>
    </w:p>
    <w:p w14:paraId="68228C9A">
      <w:pPr>
        <w:keepNext w:val="0"/>
        <w:keepLines w:val="0"/>
        <w:pageBreakBefore w:val="0"/>
        <w:widowControl w:val="0"/>
        <w:tabs>
          <w:tab w:val="left" w:pos="210"/>
        </w:tabs>
        <w:wordWrap/>
        <w:topLinePunct w:val="0"/>
        <w:bidi w:val="0"/>
        <w:spacing w:line="360" w:lineRule="exact"/>
        <w:ind w:left="420"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自治区建设主管部门颁发的相关定额及计价规定：2023年《广西壮族自治区安装工程消耗最定额》、2022年《广西壮族自治区市政工程消耗量定额》、2013年《广西壮族自治区安装拆除工程消耗量定额》及相关配套费用定额；</w:t>
      </w:r>
    </w:p>
    <w:p w14:paraId="3576E81C">
      <w:pPr>
        <w:keepNext w:val="0"/>
        <w:keepLines w:val="0"/>
        <w:pageBreakBefore w:val="0"/>
        <w:widowControl w:val="0"/>
        <w:tabs>
          <w:tab w:val="left" w:pos="210"/>
        </w:tabs>
        <w:wordWrap/>
        <w:topLinePunct w:val="0"/>
        <w:bidi w:val="0"/>
        <w:spacing w:line="360" w:lineRule="exact"/>
        <w:ind w:left="420"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（4）《自治区关于调整建设工程定额人工费及有关费率的通知》(桂建标(2023)7号文)、《自治区关于调整建设工程计价增值税税率的通知》(桂建标(2019)12号)；</w:t>
      </w:r>
    </w:p>
    <w:p w14:paraId="30B518A4">
      <w:pPr>
        <w:keepNext w:val="0"/>
        <w:keepLines w:val="0"/>
        <w:pageBreakBefore w:val="0"/>
        <w:widowControl w:val="0"/>
        <w:tabs>
          <w:tab w:val="left" w:pos="210"/>
        </w:tabs>
        <w:wordWrap/>
        <w:topLinePunct w:val="0"/>
        <w:bidi w:val="0"/>
        <w:spacing w:line="360" w:lineRule="exact"/>
        <w:ind w:left="420"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5）建设工程造价管理机构发布的工程造价信息《桂林市建设工程造价信息》2025年7月刊资源县“除税价格”及参考南方电网发布的《南方电网公司2025年第二季度电网工程主要设备材料信息价》，项材料按市场询价除税价计算。</w:t>
      </w:r>
    </w:p>
    <w:p w14:paraId="60D70F74">
      <w:pPr>
        <w:pStyle w:val="12"/>
        <w:keepNext w:val="0"/>
        <w:keepLines w:val="0"/>
        <w:pageBreakBefore w:val="0"/>
        <w:widowControl w:val="0"/>
        <w:wordWrap/>
        <w:topLinePunct w:val="0"/>
        <w:bidi w:val="0"/>
        <w:spacing w:line="400" w:lineRule="exact"/>
        <w:rPr>
          <w:rFonts w:hint="eastAsia" w:hAnsi="宋体" w:cs="宋体"/>
          <w:b/>
          <w:color w:val="auto"/>
          <w:sz w:val="24"/>
          <w:szCs w:val="24"/>
          <w:highlight w:val="none"/>
        </w:rPr>
      </w:pPr>
      <w:r>
        <w:rPr>
          <w:rFonts w:hint="eastAsia" w:hAnsi="宋体" w:cs="宋体"/>
          <w:b/>
          <w:color w:val="auto"/>
          <w:sz w:val="24"/>
          <w:szCs w:val="24"/>
          <w:highlight w:val="none"/>
          <w:lang w:val="en-US" w:eastAsia="zh-CN"/>
        </w:rPr>
        <w:t>二</w:t>
      </w:r>
      <w:r>
        <w:rPr>
          <w:rFonts w:hint="eastAsia" w:hAnsi="宋体" w:cs="宋体"/>
          <w:b/>
          <w:color w:val="auto"/>
          <w:sz w:val="24"/>
          <w:szCs w:val="24"/>
          <w:highlight w:val="none"/>
        </w:rPr>
        <w:t>、</w:t>
      </w:r>
      <w:r>
        <w:rPr>
          <w:rFonts w:hint="eastAsia" w:hAnsi="宋体" w:cs="宋体"/>
          <w:b/>
          <w:color w:val="auto"/>
          <w:sz w:val="24"/>
          <w:szCs w:val="24"/>
          <w:highlight w:val="none"/>
          <w:lang w:val="en-US" w:eastAsia="zh-CN"/>
        </w:rPr>
        <w:t>磋商</w:t>
      </w:r>
      <w:r>
        <w:rPr>
          <w:rFonts w:hint="eastAsia" w:hAnsi="宋体" w:cs="宋体"/>
          <w:b/>
          <w:color w:val="auto"/>
          <w:sz w:val="24"/>
          <w:szCs w:val="24"/>
          <w:highlight w:val="none"/>
        </w:rPr>
        <w:t>报价说明</w:t>
      </w:r>
    </w:p>
    <w:p w14:paraId="17954399">
      <w:pPr>
        <w:tabs>
          <w:tab w:val="left" w:pos="210"/>
        </w:tabs>
        <w:spacing w:line="400" w:lineRule="exact"/>
        <w:ind w:left="420" w:firstLine="420" w:firstLineChars="200"/>
        <w:rPr>
          <w:rFonts w:hint="eastAsia" w:ascii="宋体" w:hAnsi="宋体" w:cs="宋体"/>
          <w:color w:val="auto"/>
          <w:szCs w:val="21"/>
        </w:rPr>
      </w:pPr>
      <w:r>
        <w:rPr>
          <w:rFonts w:hint="eastAsia" w:ascii="宋体" w:hAnsi="宋体" w:cs="宋体"/>
          <w:color w:val="auto"/>
          <w:szCs w:val="21"/>
        </w:rPr>
        <w:t>1、有价标的工程量清单中的每一细目须填入单价和合价，且只允许有一个报价。供应商没有填写单价和合价的细目，其费用应视为已分配在相关工程细目的单价与合价之中。</w:t>
      </w:r>
    </w:p>
    <w:p w14:paraId="70AFD1EB">
      <w:pPr>
        <w:tabs>
          <w:tab w:val="left" w:pos="210"/>
        </w:tabs>
        <w:spacing w:line="400" w:lineRule="exact"/>
        <w:ind w:left="420" w:firstLine="420" w:firstLineChars="200"/>
        <w:rPr>
          <w:rFonts w:hint="eastAsia" w:ascii="宋体" w:hAnsi="宋体" w:cs="宋体"/>
          <w:color w:val="auto"/>
          <w:szCs w:val="21"/>
        </w:rPr>
      </w:pPr>
      <w:r>
        <w:rPr>
          <w:rFonts w:hint="eastAsia" w:ascii="宋体" w:hAnsi="宋体" w:cs="宋体"/>
          <w:color w:val="auto"/>
          <w:szCs w:val="21"/>
        </w:rPr>
        <w:t>2、工程量清单中的任何算术性错误，磋商小组将按下述原则予以调整。</w:t>
      </w:r>
    </w:p>
    <w:p w14:paraId="091BFFEE">
      <w:pPr>
        <w:tabs>
          <w:tab w:val="left" w:pos="210"/>
        </w:tabs>
        <w:spacing w:line="400" w:lineRule="exact"/>
        <w:ind w:left="420" w:firstLine="420" w:firstLineChars="200"/>
        <w:rPr>
          <w:rFonts w:hint="eastAsia" w:ascii="宋体" w:hAnsi="宋体" w:cs="宋体"/>
          <w:color w:val="auto"/>
          <w:szCs w:val="21"/>
        </w:rPr>
      </w:pPr>
      <w:r>
        <w:rPr>
          <w:rFonts w:hint="eastAsia" w:ascii="宋体" w:hAnsi="宋体" w:cs="宋体"/>
          <w:color w:val="auto"/>
          <w:szCs w:val="21"/>
        </w:rPr>
        <w:t>（1）如果用数字表示的数额与用文字表示的数额不一致时，以文字数额为准。</w:t>
      </w:r>
    </w:p>
    <w:p w14:paraId="4F3B05AA">
      <w:pPr>
        <w:tabs>
          <w:tab w:val="left" w:pos="210"/>
        </w:tabs>
        <w:spacing w:line="400" w:lineRule="exact"/>
        <w:ind w:left="420" w:firstLine="420" w:firstLineChars="200"/>
        <w:rPr>
          <w:rFonts w:hint="eastAsia" w:ascii="宋体" w:hAnsi="宋体" w:cs="宋体"/>
          <w:color w:val="auto"/>
          <w:szCs w:val="21"/>
        </w:rPr>
      </w:pPr>
      <w:r>
        <w:rPr>
          <w:rFonts w:hint="eastAsia" w:ascii="宋体" w:hAnsi="宋体" w:cs="宋体"/>
          <w:color w:val="auto"/>
          <w:szCs w:val="21"/>
        </w:rPr>
        <w:t>（2）当单价与数量的乘积与总额之间不一致时，通常以标出的单价为准，除非磋商小组认为有明显的小数点出错，此时应以标出的总额为准，并修改单价。</w:t>
      </w:r>
    </w:p>
    <w:p w14:paraId="530635BC">
      <w:pPr>
        <w:tabs>
          <w:tab w:val="left" w:pos="210"/>
        </w:tabs>
        <w:spacing w:line="400" w:lineRule="exact"/>
        <w:ind w:left="420" w:firstLine="420" w:firstLineChars="200"/>
        <w:rPr>
          <w:rFonts w:hint="eastAsia" w:ascii="宋体" w:hAnsi="宋体" w:cs="宋体"/>
          <w:color w:val="auto"/>
          <w:szCs w:val="21"/>
        </w:rPr>
      </w:pPr>
      <w:r>
        <w:rPr>
          <w:rFonts w:hint="eastAsia" w:ascii="宋体" w:hAnsi="宋体" w:cs="宋体"/>
          <w:color w:val="auto"/>
          <w:szCs w:val="21"/>
        </w:rPr>
        <w:t>3、供应商在进行工程量清单报价时，应按照采购人（采购代理机构）提供的工程量清单进行报价。</w:t>
      </w:r>
    </w:p>
    <w:p w14:paraId="7755B6B4">
      <w:pPr>
        <w:tabs>
          <w:tab w:val="left" w:pos="210"/>
        </w:tabs>
        <w:spacing w:line="400" w:lineRule="exact"/>
        <w:ind w:left="420" w:firstLine="420" w:firstLineChars="200"/>
        <w:rPr>
          <w:rFonts w:hint="eastAsia" w:ascii="宋体" w:hAnsi="宋体" w:cs="宋体"/>
          <w:color w:val="auto"/>
          <w:szCs w:val="21"/>
        </w:rPr>
      </w:pPr>
      <w:r>
        <w:rPr>
          <w:rFonts w:hint="eastAsia" w:ascii="宋体" w:hAnsi="宋体" w:cs="宋体"/>
          <w:color w:val="auto"/>
          <w:szCs w:val="21"/>
        </w:rPr>
        <w:t>已标价工程量清单中项目编码、项目名称、项目特征、计量单位、工程量必须与招标工程量清单一致，供应商不得对招标工程量清单项目进行增减调整，否则响应文件无效。</w:t>
      </w:r>
    </w:p>
    <w:p w14:paraId="1B4086CF">
      <w:pPr>
        <w:tabs>
          <w:tab w:val="left" w:pos="210"/>
        </w:tabs>
        <w:spacing w:line="400" w:lineRule="exact"/>
        <w:ind w:left="420" w:firstLine="420" w:firstLineChars="200"/>
        <w:rPr>
          <w:rFonts w:hint="eastAsia" w:ascii="宋体" w:hAnsi="宋体" w:cs="宋体"/>
          <w:color w:val="auto"/>
          <w:szCs w:val="21"/>
        </w:rPr>
      </w:pPr>
      <w:r>
        <w:rPr>
          <w:rFonts w:hint="eastAsia" w:ascii="宋体" w:hAnsi="宋体" w:cs="宋体"/>
          <w:color w:val="auto"/>
          <w:szCs w:val="21"/>
        </w:rPr>
        <w:t>4、供应商应认真对照施工设计图纸等文件核对采购人颁布的工程预算控制价，发现工程预算控制价中计算存在明显误差或有遗漏的，必须在响应文件递交截止时间 2 天前向采购人（采购代理机构）提出书面异议或修正要求。</w:t>
      </w:r>
    </w:p>
    <w:p w14:paraId="17C11C5A">
      <w:pPr>
        <w:tabs>
          <w:tab w:val="left" w:pos="210"/>
        </w:tabs>
        <w:spacing w:line="400" w:lineRule="exact"/>
        <w:ind w:left="420" w:firstLine="420" w:firstLineChars="200"/>
        <w:rPr>
          <w:rFonts w:hint="eastAsia" w:ascii="宋体" w:hAnsi="宋体" w:cs="宋体"/>
          <w:color w:val="auto"/>
          <w:szCs w:val="21"/>
        </w:rPr>
      </w:pPr>
      <w:r>
        <w:rPr>
          <w:rFonts w:hint="eastAsia" w:ascii="宋体" w:hAnsi="宋体" w:cs="宋体"/>
          <w:color w:val="auto"/>
          <w:szCs w:val="21"/>
        </w:rPr>
        <w:t>5、供应商应对磋商文件中工程量清单所列的各项内容和要求作实质性响应，报价不得低于企业成本。</w:t>
      </w:r>
    </w:p>
    <w:p w14:paraId="61C31FA9">
      <w:pPr>
        <w:tabs>
          <w:tab w:val="left" w:pos="210"/>
        </w:tabs>
        <w:spacing w:line="400" w:lineRule="exact"/>
        <w:ind w:left="420" w:firstLine="420" w:firstLineChars="200"/>
        <w:rPr>
          <w:rFonts w:hint="eastAsia" w:ascii="宋体" w:hAnsi="宋体" w:cs="宋体"/>
          <w:color w:val="auto"/>
          <w:szCs w:val="21"/>
        </w:rPr>
      </w:pPr>
      <w:r>
        <w:rPr>
          <w:rFonts w:hint="eastAsia" w:ascii="宋体" w:hAnsi="宋体" w:cs="宋体"/>
          <w:color w:val="auto"/>
          <w:szCs w:val="21"/>
        </w:rPr>
        <w:t>6、供应商应采用综合单价进行工程量清单报价，不得采用总价让利或以百分比让利等形式进行报价。</w:t>
      </w:r>
    </w:p>
    <w:p w14:paraId="1C64EB81">
      <w:pPr>
        <w:tabs>
          <w:tab w:val="left" w:pos="210"/>
        </w:tabs>
        <w:spacing w:line="400" w:lineRule="exact"/>
        <w:ind w:left="420" w:firstLine="420" w:firstLineChars="200"/>
        <w:rPr>
          <w:rFonts w:hint="eastAsia" w:ascii="宋体" w:hAnsi="宋体" w:cs="宋体"/>
          <w:color w:val="auto"/>
          <w:szCs w:val="21"/>
        </w:rPr>
      </w:pPr>
      <w:r>
        <w:rPr>
          <w:rFonts w:hint="eastAsia" w:ascii="宋体" w:hAnsi="宋体" w:cs="宋体"/>
          <w:color w:val="auto"/>
          <w:szCs w:val="21"/>
        </w:rPr>
        <w:t>7、暂列金额的数量及拟用子目的说明（如有）：应按采购人在其他项目清单中列出的金额填写，不得变动。</w:t>
      </w:r>
    </w:p>
    <w:p w14:paraId="43305CD0">
      <w:pPr>
        <w:tabs>
          <w:tab w:val="left" w:pos="210"/>
        </w:tabs>
        <w:spacing w:line="400" w:lineRule="exact"/>
        <w:ind w:left="420" w:firstLine="420" w:firstLineChars="200"/>
        <w:rPr>
          <w:rFonts w:hint="eastAsia" w:ascii="宋体" w:hAnsi="宋体" w:cs="宋体"/>
          <w:color w:val="auto"/>
          <w:szCs w:val="21"/>
        </w:rPr>
      </w:pPr>
      <w:r>
        <w:rPr>
          <w:rFonts w:hint="eastAsia" w:ascii="宋体" w:hAnsi="宋体" w:cs="宋体"/>
          <w:color w:val="auto"/>
          <w:szCs w:val="21"/>
        </w:rPr>
        <w:t>8、暂估价的数量及拟用子目的说明（如有）：材料暂估价应按采购人在其他项目清单中列出的单价计入综合单价；专业工程暂估价应按采购人在其他项目清单中列出的金额填写。</w:t>
      </w:r>
    </w:p>
    <w:p w14:paraId="06714E6F">
      <w:pPr>
        <w:pStyle w:val="54"/>
        <w:spacing w:line="400" w:lineRule="exact"/>
        <w:rPr>
          <w:rFonts w:hint="eastAsia" w:ascii="宋体" w:hAnsi="宋体" w:cs="宋体"/>
          <w:color w:val="auto"/>
          <w:kern w:val="2"/>
          <w:sz w:val="21"/>
          <w:szCs w:val="21"/>
        </w:rPr>
      </w:pPr>
      <w:r>
        <w:rPr>
          <w:rFonts w:hint="eastAsia"/>
          <w:color w:val="auto"/>
        </w:rPr>
        <w:t xml:space="preserve">      </w:t>
      </w:r>
      <w:r>
        <w:rPr>
          <w:rFonts w:hint="eastAsia" w:ascii="宋体" w:hAnsi="宋体" w:cs="宋体"/>
          <w:color w:val="auto"/>
          <w:kern w:val="2"/>
          <w:sz w:val="21"/>
          <w:szCs w:val="21"/>
        </w:rPr>
        <w:t xml:space="preserve"> 9、供应商的第二次磋商报价不得高于该供应商第一次磋商报价，否则做无效标处理。如供应商维持磋商报价不变，以原磋商报价作为供应商最后报价；如供应商需要改变原磋商报价时，供应商应预先准备好调整后的已标价的工程量清单。 </w:t>
      </w:r>
    </w:p>
    <w:p w14:paraId="7AC15CE5">
      <w:pPr>
        <w:pStyle w:val="12"/>
        <w:keepNext w:val="0"/>
        <w:keepLines w:val="0"/>
        <w:pageBreakBefore w:val="0"/>
        <w:widowControl w:val="0"/>
        <w:wordWrap/>
        <w:topLinePunct w:val="0"/>
        <w:bidi w:val="0"/>
        <w:spacing w:line="400" w:lineRule="exact"/>
        <w:rPr>
          <w:rFonts w:hint="eastAsia" w:hAnsi="宋体" w:cs="宋体"/>
          <w:b/>
          <w:color w:val="auto"/>
          <w:sz w:val="24"/>
          <w:szCs w:val="24"/>
          <w:highlight w:val="none"/>
        </w:rPr>
      </w:pPr>
      <w:r>
        <w:rPr>
          <w:rFonts w:hint="eastAsia" w:hAnsi="宋体" w:cs="宋体"/>
          <w:b/>
          <w:color w:val="auto"/>
          <w:sz w:val="24"/>
          <w:szCs w:val="24"/>
          <w:highlight w:val="none"/>
          <w:lang w:val="en-US" w:eastAsia="zh-CN"/>
        </w:rPr>
        <w:t>三、</w:t>
      </w:r>
      <w:r>
        <w:rPr>
          <w:rFonts w:hint="eastAsia" w:hAnsi="宋体" w:cs="宋体"/>
          <w:b/>
          <w:color w:val="auto"/>
          <w:sz w:val="24"/>
          <w:szCs w:val="24"/>
          <w:highlight w:val="none"/>
        </w:rPr>
        <w:t>注意事项及要求：</w:t>
      </w:r>
    </w:p>
    <w:p w14:paraId="6CC2D93B">
      <w:pPr>
        <w:keepNext w:val="0"/>
        <w:keepLines w:val="0"/>
        <w:pageBreakBefore w:val="0"/>
        <w:widowControl w:val="0"/>
        <w:tabs>
          <w:tab w:val="left" w:pos="210"/>
        </w:tabs>
        <w:wordWrap/>
        <w:topLinePunct w:val="0"/>
        <w:bidi w:val="0"/>
        <w:spacing w:line="360" w:lineRule="exact"/>
        <w:ind w:left="420"/>
        <w:rPr>
          <w:rFonts w:hint="eastAsia" w:ascii="宋体" w:hAnsi="宋体" w:cs="宋体"/>
          <w:color w:val="auto"/>
          <w:szCs w:val="21"/>
          <w:highlight w:val="none"/>
        </w:rPr>
      </w:pPr>
      <w:r>
        <w:rPr>
          <w:rFonts w:hint="eastAsia" w:ascii="宋体" w:hAnsi="宋体" w:cs="宋体"/>
          <w:color w:val="auto"/>
          <w:szCs w:val="21"/>
          <w:highlight w:val="none"/>
        </w:rPr>
        <w:t>1、严格按国家标准及本项目工程量清单、图纸要求施工；</w:t>
      </w:r>
    </w:p>
    <w:p w14:paraId="3BFA50F0">
      <w:pPr>
        <w:pStyle w:val="12"/>
        <w:keepNext w:val="0"/>
        <w:keepLines w:val="0"/>
        <w:pageBreakBefore w:val="0"/>
        <w:widowControl w:val="0"/>
        <w:wordWrap/>
        <w:topLinePunct w:val="0"/>
        <w:bidi w:val="0"/>
        <w:spacing w:line="360" w:lineRule="exact"/>
        <w:ind w:firstLine="420" w:firstLineChars="200"/>
        <w:rPr>
          <w:rFonts w:hint="eastAsia" w:hAnsi="宋体" w:cs="宋体"/>
          <w:color w:val="auto"/>
          <w:highlight w:val="none"/>
        </w:rPr>
      </w:pPr>
      <w:r>
        <w:rPr>
          <w:rFonts w:hint="eastAsia" w:hAnsi="宋体" w:cs="宋体"/>
          <w:color w:val="auto"/>
          <w:szCs w:val="21"/>
          <w:highlight w:val="none"/>
        </w:rPr>
        <w:t>2、</w:t>
      </w:r>
      <w:r>
        <w:rPr>
          <w:rFonts w:hint="eastAsia" w:hAnsi="宋体" w:cs="宋体"/>
          <w:color w:val="auto"/>
          <w:highlight w:val="none"/>
        </w:rPr>
        <w:t>要求工期</w:t>
      </w:r>
      <w:r>
        <w:rPr>
          <w:rFonts w:hint="eastAsia" w:ascii="宋体" w:hAnsi="宋体" w:eastAsia="宋体" w:cs="宋体"/>
          <w:color w:val="auto"/>
          <w:sz w:val="21"/>
          <w:szCs w:val="21"/>
          <w:highlight w:val="none"/>
        </w:rPr>
        <w:t>：</w:t>
      </w:r>
      <w:r>
        <w:rPr>
          <w:rFonts w:hint="eastAsia" w:ascii="宋体" w:hAnsi="宋体"/>
          <w:color w:val="auto"/>
          <w:szCs w:val="21"/>
          <w:highlight w:val="none"/>
          <w:lang w:val="en-US" w:eastAsia="zh-CN"/>
        </w:rPr>
        <w:t>自合同签订之日起</w:t>
      </w:r>
      <w:r>
        <w:rPr>
          <w:rFonts w:hint="eastAsia" w:hAnsi="宋体"/>
          <w:color w:val="auto"/>
          <w:szCs w:val="21"/>
          <w:highlight w:val="none"/>
          <w:lang w:val="en-US" w:eastAsia="zh-CN"/>
        </w:rPr>
        <w:t>60个日历天内完工</w:t>
      </w:r>
      <w:r>
        <w:rPr>
          <w:rFonts w:hint="eastAsia" w:ascii="宋体" w:hAnsi="宋体" w:eastAsia="宋体" w:cs="宋体"/>
          <w:i w:val="0"/>
          <w:iCs w:val="0"/>
          <w:color w:val="auto"/>
          <w:sz w:val="21"/>
          <w:szCs w:val="21"/>
          <w:highlight w:val="none"/>
          <w:lang w:val="en-US" w:eastAsia="zh-CN"/>
        </w:rPr>
        <w:t>。</w:t>
      </w:r>
      <w:r>
        <w:rPr>
          <w:rFonts w:hint="eastAsia" w:hAnsi="宋体" w:cs="宋体"/>
          <w:color w:val="auto"/>
          <w:highlight w:val="none"/>
        </w:rPr>
        <w:t xml:space="preserve"> </w:t>
      </w:r>
    </w:p>
    <w:p w14:paraId="7B99A721">
      <w:pPr>
        <w:keepNext w:val="0"/>
        <w:keepLines w:val="0"/>
        <w:pageBreakBefore w:val="0"/>
        <w:widowControl w:val="0"/>
        <w:tabs>
          <w:tab w:val="left" w:pos="210"/>
        </w:tabs>
        <w:wordWrap/>
        <w:topLinePunct w:val="0"/>
        <w:bidi w:val="0"/>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lang w:val="en-US" w:eastAsia="zh-CN"/>
        </w:rPr>
        <w:t xml:space="preserve">   </w:t>
      </w:r>
      <w:r>
        <w:rPr>
          <w:rFonts w:hint="eastAsia" w:ascii="宋体" w:hAnsi="宋体" w:cs="宋体"/>
          <w:color w:val="auto"/>
          <w:highlight w:val="none"/>
        </w:rPr>
        <w:t>质量标准：</w:t>
      </w:r>
      <w:r>
        <w:rPr>
          <w:rFonts w:hint="eastAsia" w:ascii="宋体" w:hAnsi="宋体" w:cs="宋体"/>
          <w:color w:val="auto"/>
          <w:highlight w:val="none"/>
          <w:lang w:val="en-US" w:eastAsia="zh-CN"/>
        </w:rPr>
        <w:t>合格</w:t>
      </w:r>
      <w:r>
        <w:rPr>
          <w:rFonts w:hint="eastAsia" w:ascii="宋体" w:hAnsi="宋体" w:cs="宋体"/>
          <w:color w:val="auto"/>
          <w:highlight w:val="none"/>
        </w:rPr>
        <w:t>。</w:t>
      </w:r>
    </w:p>
    <w:p w14:paraId="510B9FD4">
      <w:pPr>
        <w:keepNext w:val="0"/>
        <w:keepLines w:val="0"/>
        <w:pageBreakBefore w:val="0"/>
        <w:widowControl w:val="0"/>
        <w:tabs>
          <w:tab w:val="left" w:pos="210"/>
        </w:tabs>
        <w:wordWrap/>
        <w:topLinePunct w:val="0"/>
        <w:bidi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highlight w:val="none"/>
        </w:rPr>
        <w:t>3、</w:t>
      </w:r>
      <w:r>
        <w:rPr>
          <w:rFonts w:hint="eastAsia" w:ascii="宋体" w:hAnsi="宋体" w:cs="宋体"/>
          <w:b/>
          <w:bCs/>
          <w:color w:val="auto"/>
          <w:szCs w:val="21"/>
          <w:highlight w:val="none"/>
        </w:rPr>
        <w:t>供应商承诺工程竣工后，供应商应按照采购人的要求免费对开工的工程场地进行清理及清洁。</w:t>
      </w:r>
    </w:p>
    <w:p w14:paraId="783E1308">
      <w:pPr>
        <w:keepNext w:val="0"/>
        <w:keepLines w:val="0"/>
        <w:pageBreakBefore w:val="0"/>
        <w:widowControl w:val="0"/>
        <w:wordWrap/>
        <w:topLinePunct w:val="0"/>
        <w:bidi w:val="0"/>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4、工程量不明确的，供应商在现场考察时详细测量，</w:t>
      </w:r>
      <w:r>
        <w:rPr>
          <w:rFonts w:hint="eastAsia" w:ascii="宋体" w:hAnsi="宋体" w:cs="宋体"/>
          <w:color w:val="auto"/>
          <w:highlight w:val="none"/>
          <w:lang w:val="en-US" w:eastAsia="zh-CN"/>
        </w:rPr>
        <w:t>磋商</w:t>
      </w:r>
      <w:r>
        <w:rPr>
          <w:rFonts w:hint="eastAsia" w:ascii="宋体" w:hAnsi="宋体" w:cs="宋体"/>
          <w:color w:val="auto"/>
          <w:highlight w:val="none"/>
        </w:rPr>
        <w:t>时必须详细列明所报工作范围，并在施工方案中保证工程完整、全面。</w:t>
      </w:r>
    </w:p>
    <w:p w14:paraId="69F3A92E">
      <w:pPr>
        <w:tabs>
          <w:tab w:val="left" w:pos="6720"/>
        </w:tabs>
        <w:spacing w:line="360" w:lineRule="auto"/>
        <w:ind w:firstLine="420" w:firstLineChars="200"/>
        <w:jc w:val="both"/>
        <w:rPr>
          <w:rFonts w:hint="eastAsia" w:ascii="宋体" w:hAnsi="宋体" w:cs="宋体"/>
          <w:color w:val="auto"/>
          <w:kern w:val="0"/>
          <w:szCs w:val="21"/>
        </w:rPr>
      </w:pPr>
      <w:r>
        <w:rPr>
          <w:rFonts w:hint="eastAsia" w:ascii="宋体" w:hAnsi="宋体" w:cs="宋体"/>
          <w:color w:val="auto"/>
          <w:highlight w:val="none"/>
        </w:rPr>
        <w:t>5、</w:t>
      </w:r>
      <w:r>
        <w:rPr>
          <w:rFonts w:hint="eastAsia" w:ascii="宋体" w:hAnsi="宋体" w:cs="宋体"/>
          <w:color w:val="auto"/>
          <w:kern w:val="0"/>
          <w:szCs w:val="21"/>
        </w:rPr>
        <w:t>本项目</w:t>
      </w:r>
      <w:r>
        <w:rPr>
          <w:rFonts w:hint="eastAsia" w:ascii="宋体" w:hAnsi="宋体" w:cs="宋体"/>
          <w:color w:val="auto"/>
          <w:kern w:val="0"/>
          <w:szCs w:val="21"/>
          <w:lang w:val="en-US" w:eastAsia="zh-CN"/>
        </w:rPr>
        <w:t>审定</w:t>
      </w:r>
      <w:r>
        <w:rPr>
          <w:rFonts w:hint="eastAsia" w:ascii="宋体" w:hAnsi="宋体" w:cs="宋体"/>
          <w:color w:val="auto"/>
          <w:kern w:val="0"/>
          <w:szCs w:val="21"/>
        </w:rPr>
        <w:t>预算总金额为</w:t>
      </w:r>
      <w:r>
        <w:rPr>
          <w:rFonts w:hint="eastAsia" w:ascii="宋体" w:hAnsi="宋体" w:cs="宋体"/>
          <w:color w:val="auto"/>
          <w:kern w:val="0"/>
          <w:szCs w:val="21"/>
          <w:u w:val="single"/>
        </w:rPr>
        <w:t xml:space="preserve"> </w:t>
      </w:r>
      <w:r>
        <w:rPr>
          <w:rFonts w:hint="eastAsia" w:ascii="宋体" w:hAnsi="宋体" w:cs="宋体"/>
          <w:color w:val="auto"/>
          <w:kern w:val="0"/>
          <w:szCs w:val="21"/>
          <w:u w:val="single"/>
          <w:lang w:eastAsia="zh-CN"/>
        </w:rPr>
        <w:t>1061171.64</w:t>
      </w:r>
      <w:r>
        <w:rPr>
          <w:rFonts w:hint="eastAsia" w:ascii="宋体" w:hAnsi="宋体" w:cs="宋体"/>
          <w:color w:val="auto"/>
          <w:kern w:val="0"/>
          <w:szCs w:val="21"/>
          <w:u w:val="single"/>
        </w:rPr>
        <w:t xml:space="preserve"> </w:t>
      </w:r>
      <w:r>
        <w:rPr>
          <w:rFonts w:hint="eastAsia" w:ascii="宋体" w:hAnsi="宋体" w:cs="宋体"/>
          <w:color w:val="auto"/>
          <w:kern w:val="0"/>
          <w:szCs w:val="21"/>
        </w:rPr>
        <w:t>元。</w:t>
      </w:r>
      <w:r>
        <w:rPr>
          <w:rFonts w:hint="eastAsia" w:ascii="宋体" w:hAnsi="宋体" w:cs="宋体"/>
          <w:color w:val="auto"/>
          <w:kern w:val="0"/>
          <w:szCs w:val="21"/>
          <w:lang w:val="en-US" w:eastAsia="zh-CN"/>
        </w:rPr>
        <w:t>根据资政办发〔2025〕8号文《资源县人民政府办公室关于规范政府投资工程项目财政管理的通知</w:t>
      </w:r>
      <w:r>
        <w:rPr>
          <w:rFonts w:hint="eastAsia" w:ascii="宋体" w:hAnsi="宋体" w:eastAsia="宋体" w:cs="宋体"/>
          <w:color w:val="auto"/>
          <w:kern w:val="0"/>
          <w:szCs w:val="21"/>
          <w:lang w:val="en-US" w:eastAsia="zh-CN"/>
        </w:rPr>
        <w:t>》，</w:t>
      </w:r>
      <w:r>
        <w:rPr>
          <w:rFonts w:hint="eastAsia" w:ascii="宋体" w:hAnsi="宋体" w:cs="宋体"/>
          <w:color w:val="auto"/>
          <w:kern w:val="0"/>
          <w:szCs w:val="21"/>
          <w:lang w:val="en-US" w:eastAsia="zh-CN"/>
        </w:rPr>
        <w:t>经采购人确认</w:t>
      </w:r>
      <w:r>
        <w:rPr>
          <w:rFonts w:hint="eastAsia" w:ascii="宋体" w:hAnsi="宋体" w:cs="宋体"/>
          <w:color w:val="auto"/>
          <w:kern w:val="0"/>
          <w:szCs w:val="21"/>
          <w:u w:val="single"/>
          <w:lang w:val="en-US" w:eastAsia="zh-CN"/>
        </w:rPr>
        <w:t>本项目为配电工程</w:t>
      </w:r>
      <w:r>
        <w:rPr>
          <w:rFonts w:hint="eastAsia" w:ascii="宋体" w:hAnsi="宋体" w:eastAsia="宋体" w:cs="宋体"/>
          <w:color w:val="auto"/>
          <w:kern w:val="0"/>
          <w:szCs w:val="21"/>
          <w:lang w:val="en-US" w:eastAsia="zh-CN"/>
        </w:rPr>
        <w:t>，本工程审定的预算总金额</w:t>
      </w:r>
      <w:r>
        <w:rPr>
          <w:rFonts w:hint="eastAsia" w:ascii="宋体" w:hAnsi="宋体" w:cs="宋体"/>
          <w:color w:val="auto"/>
          <w:kern w:val="0"/>
          <w:szCs w:val="21"/>
          <w:u w:val="single"/>
          <w:lang w:val="en-US" w:eastAsia="zh-CN"/>
        </w:rPr>
        <w:t>下浮5%</w:t>
      </w:r>
      <w:r>
        <w:rPr>
          <w:rFonts w:hint="eastAsia" w:ascii="宋体" w:hAnsi="宋体" w:eastAsia="宋体" w:cs="宋体"/>
          <w:color w:val="auto"/>
          <w:kern w:val="0"/>
          <w:szCs w:val="21"/>
          <w:lang w:val="en-US" w:eastAsia="zh-CN"/>
        </w:rPr>
        <w:t>做为本项目的预算控制价（最高限价），本项目预算控制价（最高限价）为</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cs="宋体"/>
          <w:bCs/>
          <w:color w:val="auto"/>
          <w:sz w:val="21"/>
          <w:szCs w:val="21"/>
          <w:highlight w:val="none"/>
          <w:u w:val="single"/>
          <w:lang w:val="en-US" w:eastAsia="zh-CN"/>
        </w:rPr>
        <w:t>1008113.05</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color w:val="auto"/>
          <w:kern w:val="0"/>
          <w:szCs w:val="21"/>
          <w:lang w:val="en-US" w:eastAsia="zh-CN"/>
        </w:rPr>
        <w:t>元。</w:t>
      </w:r>
    </w:p>
    <w:p w14:paraId="36AA9DFA">
      <w:pPr>
        <w:keepNext w:val="0"/>
        <w:keepLines w:val="0"/>
        <w:pageBreakBefore w:val="0"/>
        <w:widowControl w:val="0"/>
        <w:tabs>
          <w:tab w:val="left" w:pos="1305"/>
        </w:tabs>
        <w:wordWrap/>
        <w:topLinePunct w:val="0"/>
        <w:bidi w:val="0"/>
        <w:spacing w:line="400" w:lineRule="exact"/>
        <w:ind w:firstLine="420" w:firstLineChars="200"/>
        <w:rPr>
          <w:rFonts w:hint="eastAsia" w:ascii="宋体" w:hAnsi="宋体" w:eastAsia="宋体" w:cs="宋体"/>
          <w:color w:val="auto"/>
          <w:kern w:val="0"/>
          <w:szCs w:val="21"/>
          <w:lang w:val="en-US" w:eastAsia="zh-CN"/>
        </w:rPr>
      </w:pPr>
      <w:r>
        <w:rPr>
          <w:rFonts w:hint="eastAsia" w:ascii="宋体" w:hAnsi="宋体" w:cs="宋体"/>
          <w:color w:val="auto"/>
          <w:kern w:val="0"/>
          <w:szCs w:val="21"/>
          <w:lang w:val="en-US" w:eastAsia="zh-CN"/>
        </w:rPr>
        <w:t>6、本项目所属行业：</w:t>
      </w:r>
      <w:r>
        <w:rPr>
          <w:rFonts w:hint="eastAsia" w:ascii="宋体" w:hAnsi="宋体" w:cs="宋体"/>
          <w:b/>
          <w:bCs/>
          <w:color w:val="auto"/>
          <w:kern w:val="0"/>
          <w:szCs w:val="21"/>
          <w:lang w:val="en-US" w:eastAsia="zh-CN"/>
        </w:rPr>
        <w:t>建筑业</w:t>
      </w:r>
      <w:r>
        <w:rPr>
          <w:rFonts w:hint="eastAsia" w:ascii="宋体" w:hAnsi="宋体" w:cs="宋体"/>
          <w:color w:val="auto"/>
          <w:kern w:val="0"/>
          <w:szCs w:val="21"/>
          <w:lang w:val="en-US" w:eastAsia="zh-CN"/>
        </w:rPr>
        <w:t>。</w:t>
      </w:r>
    </w:p>
    <w:p w14:paraId="4B042C66">
      <w:pPr>
        <w:keepNext w:val="0"/>
        <w:keepLines w:val="0"/>
        <w:pageBreakBefore w:val="0"/>
        <w:widowControl w:val="0"/>
        <w:wordWrap/>
        <w:topLinePunct w:val="0"/>
        <w:bidi w:val="0"/>
        <w:adjustRightInd w:val="0"/>
        <w:spacing w:line="400" w:lineRule="exact"/>
        <w:rPr>
          <w:rFonts w:hint="eastAsia" w:ascii="宋体" w:hAnsi="宋体" w:eastAsia="宋体" w:cs="宋体"/>
          <w:color w:val="auto"/>
          <w:sz w:val="32"/>
          <w:szCs w:val="32"/>
          <w:highlight w:val="none"/>
          <w:lang w:eastAsia="zh-CN"/>
        </w:rPr>
      </w:pPr>
      <w:r>
        <w:rPr>
          <w:rFonts w:hint="eastAsia" w:ascii="宋体" w:hAnsi="宋体" w:cs="宋体"/>
          <w:b/>
          <w:color w:val="auto"/>
          <w:sz w:val="24"/>
          <w:szCs w:val="24"/>
          <w:highlight w:val="none"/>
          <w:lang w:val="en-US" w:eastAsia="zh-CN"/>
        </w:rPr>
        <w:t>四</w:t>
      </w:r>
      <w:r>
        <w:rPr>
          <w:rFonts w:hint="eastAsia" w:ascii="宋体" w:hAnsi="宋体" w:cs="宋体"/>
          <w:b/>
          <w:color w:val="auto"/>
          <w:sz w:val="24"/>
          <w:szCs w:val="24"/>
          <w:highlight w:val="none"/>
        </w:rPr>
        <w:t>、工程量清单【另附（电子版自行下载）】，是本竞争</w:t>
      </w:r>
      <w:r>
        <w:rPr>
          <w:rFonts w:hint="eastAsia" w:ascii="宋体" w:hAnsi="宋体" w:cs="宋体"/>
          <w:b/>
          <w:color w:val="auto"/>
          <w:sz w:val="24"/>
          <w:szCs w:val="24"/>
          <w:highlight w:val="none"/>
          <w:lang w:val="en-US" w:eastAsia="zh-CN"/>
        </w:rPr>
        <w:t>性磋商</w:t>
      </w:r>
      <w:r>
        <w:rPr>
          <w:rFonts w:hint="eastAsia" w:ascii="宋体" w:hAnsi="宋体" w:cs="宋体"/>
          <w:b/>
          <w:color w:val="auto"/>
          <w:sz w:val="24"/>
          <w:szCs w:val="24"/>
          <w:highlight w:val="none"/>
        </w:rPr>
        <w:t>文件的一个重要组成部分</w:t>
      </w:r>
      <w:bookmarkEnd w:id="141"/>
      <w:r>
        <w:rPr>
          <w:rFonts w:hint="eastAsia" w:ascii="宋体" w:hAnsi="宋体" w:cs="宋体"/>
          <w:b/>
          <w:color w:val="auto"/>
          <w:sz w:val="24"/>
          <w:szCs w:val="24"/>
          <w:highlight w:val="none"/>
          <w:lang w:eastAsia="zh-CN"/>
        </w:rPr>
        <w:t>。</w:t>
      </w:r>
    </w:p>
    <w:p w14:paraId="2DD86995">
      <w:pPr>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br w:type="page"/>
      </w:r>
    </w:p>
    <w:p w14:paraId="48C7181F">
      <w:pPr>
        <w:pStyle w:val="2"/>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b/>
          <w:bCs/>
          <w:color w:val="auto"/>
          <w:highlight w:val="none"/>
        </w:rPr>
      </w:pPr>
      <w:bookmarkStart w:id="146" w:name="_Toc3036"/>
      <w:r>
        <w:rPr>
          <w:rFonts w:hint="eastAsia" w:ascii="宋体" w:hAnsi="宋体" w:eastAsia="宋体" w:cs="宋体"/>
          <w:color w:val="auto"/>
          <w:sz w:val="32"/>
          <w:szCs w:val="32"/>
          <w:highlight w:val="none"/>
          <w:lang w:eastAsia="zh-CN"/>
        </w:rPr>
        <w:t>第四章</w:t>
      </w: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rPr>
        <w:t>评审办法</w:t>
      </w:r>
      <w:bookmarkEnd w:id="146"/>
    </w:p>
    <w:p w14:paraId="2405D3A1">
      <w:pPr>
        <w:pStyle w:val="12"/>
        <w:keepNext w:val="0"/>
        <w:keepLines w:val="0"/>
        <w:pageBreakBefore w:val="0"/>
        <w:widowControl w:val="0"/>
        <w:kinsoku/>
        <w:wordWrap/>
        <w:overflowPunct/>
        <w:topLinePunct w:val="0"/>
        <w:bidi w:val="0"/>
        <w:snapToGrid/>
        <w:spacing w:line="440" w:lineRule="exact"/>
        <w:ind w:firstLine="42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一、评审依据及方式</w:t>
      </w:r>
    </w:p>
    <w:p w14:paraId="1C6CDA25">
      <w:pPr>
        <w:pStyle w:val="12"/>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1.评审依据：磋商小组以竞争性磋商文件和响应文件为评审依据，</w:t>
      </w:r>
      <w:r>
        <w:rPr>
          <w:rFonts w:hint="eastAsia" w:ascii="宋体" w:hAnsi="宋体" w:eastAsia="宋体" w:cs="宋体"/>
          <w:color w:val="auto"/>
          <w:highlight w:val="none"/>
          <w:lang w:val="en-US" w:eastAsia="zh-CN"/>
        </w:rPr>
        <w:t>对磋商供应商的响应文件按百分制打分</w:t>
      </w:r>
      <w:r>
        <w:rPr>
          <w:rFonts w:hint="eastAsia" w:ascii="宋体" w:hAnsi="宋体" w:eastAsia="宋体" w:cs="宋体"/>
          <w:color w:val="auto"/>
          <w:highlight w:val="none"/>
        </w:rPr>
        <w:t>。</w:t>
      </w:r>
    </w:p>
    <w:p w14:paraId="2C7A9489">
      <w:pPr>
        <w:pStyle w:val="12"/>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2.评审方式：以封闭方式进行评审。</w:t>
      </w:r>
    </w:p>
    <w:p w14:paraId="3D657A65">
      <w:pPr>
        <w:pStyle w:val="12"/>
        <w:keepNext w:val="0"/>
        <w:keepLines w:val="0"/>
        <w:pageBreakBefore w:val="0"/>
        <w:widowControl w:val="0"/>
        <w:kinsoku/>
        <w:wordWrap/>
        <w:overflowPunct/>
        <w:topLinePunct w:val="0"/>
        <w:bidi w:val="0"/>
        <w:snapToGrid/>
        <w:spacing w:line="440" w:lineRule="exact"/>
        <w:ind w:left="210" w:leftChars="100"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highlight w:val="none"/>
        </w:rPr>
        <w:t>3.根据财库〔2012〕69号文规定，采购人和采购代理机构，磋商小组成员要严格遵守政府采购相关法律制度，依法履行各自职责，公正、客观、审慎地组织和参与评审工作。</w:t>
      </w:r>
    </w:p>
    <w:p w14:paraId="0C3312FA">
      <w:pPr>
        <w:pStyle w:val="12"/>
        <w:keepNext w:val="0"/>
        <w:keepLines w:val="0"/>
        <w:pageBreakBefore w:val="0"/>
        <w:widowControl w:val="0"/>
        <w:kinsoku/>
        <w:wordWrap/>
        <w:overflowPunct/>
        <w:topLinePunct w:val="0"/>
        <w:bidi w:val="0"/>
        <w:snapToGrid/>
        <w:spacing w:line="440" w:lineRule="exact"/>
        <w:ind w:firstLine="42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二、评审办法</w:t>
      </w:r>
    </w:p>
    <w:p w14:paraId="5F6B17BF">
      <w:pPr>
        <w:pStyle w:val="12"/>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（一）本次评标采用综合评分法。</w:t>
      </w:r>
      <w:r>
        <w:rPr>
          <w:rFonts w:hint="eastAsia" w:hAnsi="宋体" w:eastAsia="宋体" w:cs="宋体"/>
          <w:bCs/>
          <w:color w:val="auto"/>
          <w:highlight w:val="none"/>
          <w:lang w:eastAsia="zh-CN"/>
        </w:rPr>
        <w:t>磋商小组</w:t>
      </w:r>
      <w:r>
        <w:rPr>
          <w:rFonts w:hint="eastAsia" w:ascii="宋体" w:hAnsi="宋体" w:eastAsia="宋体" w:cs="宋体"/>
          <w:bCs/>
          <w:color w:val="auto"/>
          <w:highlight w:val="none"/>
        </w:rPr>
        <w:t>会首先对</w:t>
      </w:r>
      <w:r>
        <w:rPr>
          <w:rFonts w:hint="eastAsia" w:hAnsi="宋体" w:eastAsia="宋体" w:cs="宋体"/>
          <w:bCs/>
          <w:color w:val="auto"/>
          <w:highlight w:val="none"/>
          <w:lang w:eastAsia="zh-CN"/>
        </w:rPr>
        <w:t>磋商供应商</w:t>
      </w:r>
      <w:r>
        <w:rPr>
          <w:rFonts w:hint="eastAsia" w:ascii="宋体" w:hAnsi="宋体" w:eastAsia="宋体" w:cs="宋体"/>
          <w:bCs/>
          <w:color w:val="auto"/>
          <w:highlight w:val="none"/>
        </w:rPr>
        <w:t>提交的响应文件进行资格性审查和符合性审查，只有通过了资格性审查和符合性审查才能进入详评。</w:t>
      </w:r>
    </w:p>
    <w:p w14:paraId="443B96FF">
      <w:pPr>
        <w:keepNext w:val="0"/>
        <w:keepLines w:val="0"/>
        <w:pageBreakBefore w:val="0"/>
        <w:widowControl w:val="0"/>
        <w:wordWrap/>
        <w:overflowPunct/>
        <w:topLinePunct w:val="0"/>
        <w:bidi w:val="0"/>
        <w:spacing w:line="500" w:lineRule="exact"/>
        <w:jc w:val="left"/>
        <w:rPr>
          <w:rFonts w:hint="eastAsia" w:ascii="宋体" w:hAnsi="宋体" w:eastAsia="宋体" w:cs="宋体"/>
          <w:b/>
          <w:color w:val="auto"/>
          <w:w w:val="99"/>
          <w:kern w:val="0"/>
          <w:sz w:val="24"/>
          <w:szCs w:val="24"/>
          <w:highlight w:val="none"/>
          <w:lang w:val="en-US" w:eastAsia="zh-CN"/>
        </w:rPr>
      </w:pPr>
      <w:r>
        <w:rPr>
          <w:rFonts w:hint="eastAsia" w:ascii="宋体" w:hAnsi="宋体" w:eastAsia="宋体" w:cs="宋体"/>
          <w:b/>
          <w:color w:val="auto"/>
          <w:w w:val="99"/>
          <w:kern w:val="0"/>
          <w:sz w:val="24"/>
          <w:szCs w:val="24"/>
          <w:highlight w:val="none"/>
          <w:lang w:val="en-US" w:eastAsia="zh-CN"/>
        </w:rPr>
        <w:t>初步评审：</w:t>
      </w:r>
    </w:p>
    <w:tbl>
      <w:tblPr>
        <w:tblStyle w:val="27"/>
        <w:tblW w:w="9948" w:type="dxa"/>
        <w:jc w:val="center"/>
        <w:tblLayout w:type="fixed"/>
        <w:tblCellMar>
          <w:top w:w="0" w:type="dxa"/>
          <w:left w:w="108" w:type="dxa"/>
          <w:bottom w:w="0" w:type="dxa"/>
          <w:right w:w="108" w:type="dxa"/>
        </w:tblCellMar>
      </w:tblPr>
      <w:tblGrid>
        <w:gridCol w:w="944"/>
        <w:gridCol w:w="1310"/>
        <w:gridCol w:w="2064"/>
        <w:gridCol w:w="5630"/>
      </w:tblGrid>
      <w:tr w14:paraId="33ADFE09">
        <w:tblPrEx>
          <w:tblCellMar>
            <w:top w:w="0" w:type="dxa"/>
            <w:left w:w="108" w:type="dxa"/>
            <w:bottom w:w="0" w:type="dxa"/>
            <w:right w:w="108" w:type="dxa"/>
          </w:tblCellMar>
        </w:tblPrEx>
        <w:trPr>
          <w:trHeight w:val="463" w:hRule="atLeast"/>
          <w:jc w:val="center"/>
        </w:trPr>
        <w:tc>
          <w:tcPr>
            <w:tcW w:w="944" w:type="dxa"/>
            <w:tcBorders>
              <w:top w:val="single" w:color="auto" w:sz="4" w:space="0"/>
              <w:left w:val="single" w:color="auto" w:sz="4" w:space="0"/>
              <w:bottom w:val="single" w:color="auto" w:sz="4" w:space="0"/>
              <w:right w:val="single" w:color="auto" w:sz="4" w:space="0"/>
            </w:tcBorders>
            <w:noWrap w:val="0"/>
            <w:vAlign w:val="center"/>
          </w:tcPr>
          <w:p w14:paraId="0A70C6AE">
            <w:pPr>
              <w:pStyle w:val="35"/>
              <w:keepNext w:val="0"/>
              <w:keepLines w:val="0"/>
              <w:pageBreakBefore w:val="0"/>
              <w:widowControl w:val="0"/>
              <w:kinsoku/>
              <w:wordWrap/>
              <w:overflowPunct/>
              <w:topLinePunct w:val="0"/>
              <w:bidi w:val="0"/>
              <w:snapToGrid w:val="0"/>
              <w:spacing w:line="500" w:lineRule="exact"/>
              <w:jc w:val="center"/>
              <w:rPr>
                <w:rFonts w:hint="eastAsia" w:ascii="宋体" w:hAnsi="宋体" w:cs="宋体"/>
                <w:b w:val="0"/>
                <w:bCs w:val="0"/>
                <w:color w:val="auto"/>
                <w:highlight w:val="none"/>
              </w:rPr>
            </w:pPr>
            <w:r>
              <w:rPr>
                <w:rFonts w:hint="eastAsia" w:ascii="宋体" w:hAnsi="宋体" w:cs="宋体"/>
                <w:b w:val="0"/>
                <w:bCs w:val="0"/>
                <w:color w:val="auto"/>
                <w:highlight w:val="none"/>
              </w:rPr>
              <w:t>条款号</w:t>
            </w:r>
          </w:p>
        </w:tc>
        <w:tc>
          <w:tcPr>
            <w:tcW w:w="9004" w:type="dxa"/>
            <w:gridSpan w:val="3"/>
            <w:tcBorders>
              <w:top w:val="single" w:color="auto" w:sz="4" w:space="0"/>
              <w:left w:val="single" w:color="auto" w:sz="4" w:space="0"/>
              <w:bottom w:val="single" w:color="auto" w:sz="4" w:space="0"/>
              <w:right w:val="single" w:color="auto" w:sz="4" w:space="0"/>
            </w:tcBorders>
            <w:noWrap w:val="0"/>
            <w:vAlign w:val="center"/>
          </w:tcPr>
          <w:p w14:paraId="70DCD343">
            <w:pPr>
              <w:pStyle w:val="35"/>
              <w:keepNext w:val="0"/>
              <w:keepLines w:val="0"/>
              <w:pageBreakBefore w:val="0"/>
              <w:widowControl w:val="0"/>
              <w:kinsoku/>
              <w:wordWrap/>
              <w:overflowPunct/>
              <w:topLinePunct w:val="0"/>
              <w:bidi w:val="0"/>
              <w:snapToGrid w:val="0"/>
              <w:spacing w:line="500" w:lineRule="exact"/>
              <w:jc w:val="center"/>
              <w:rPr>
                <w:rFonts w:hint="eastAsia" w:ascii="宋体" w:hAnsi="宋体" w:cs="宋体"/>
                <w:b w:val="0"/>
                <w:bCs w:val="0"/>
                <w:color w:val="auto"/>
                <w:highlight w:val="none"/>
              </w:rPr>
            </w:pPr>
            <w:r>
              <w:rPr>
                <w:rFonts w:hint="eastAsia" w:ascii="宋体" w:hAnsi="宋体" w:cs="宋体"/>
                <w:b w:val="0"/>
                <w:bCs w:val="0"/>
                <w:color w:val="auto"/>
                <w:highlight w:val="none"/>
              </w:rPr>
              <w:t>评审标准</w:t>
            </w:r>
          </w:p>
        </w:tc>
      </w:tr>
      <w:tr w14:paraId="0ACA240E">
        <w:tblPrEx>
          <w:tblCellMar>
            <w:top w:w="0" w:type="dxa"/>
            <w:left w:w="108" w:type="dxa"/>
            <w:bottom w:w="0" w:type="dxa"/>
            <w:right w:w="108" w:type="dxa"/>
          </w:tblCellMar>
        </w:tblPrEx>
        <w:trPr>
          <w:trHeight w:val="453" w:hRule="atLeast"/>
          <w:jc w:val="center"/>
        </w:trPr>
        <w:tc>
          <w:tcPr>
            <w:tcW w:w="944" w:type="dxa"/>
            <w:vMerge w:val="restart"/>
            <w:tcBorders>
              <w:top w:val="single" w:color="auto" w:sz="4" w:space="0"/>
              <w:left w:val="single" w:color="auto" w:sz="4" w:space="0"/>
              <w:bottom w:val="single" w:color="auto" w:sz="4" w:space="0"/>
              <w:right w:val="single" w:color="auto" w:sz="4" w:space="0"/>
            </w:tcBorders>
            <w:noWrap w:val="0"/>
            <w:vAlign w:val="center"/>
          </w:tcPr>
          <w:p w14:paraId="6068FFEB">
            <w:pPr>
              <w:keepNext w:val="0"/>
              <w:keepLines w:val="0"/>
              <w:pageBreakBefore w:val="0"/>
              <w:widowControl w:val="0"/>
              <w:kinsoku/>
              <w:wordWrap/>
              <w:overflowPunct/>
              <w:topLinePunct w:val="0"/>
              <w:bidi w:val="0"/>
              <w:spacing w:line="500" w:lineRule="exact"/>
              <w:jc w:val="center"/>
              <w:rPr>
                <w:rFonts w:hint="eastAsia" w:ascii="宋体" w:hAnsi="宋体" w:cs="宋体"/>
                <w:color w:val="auto"/>
                <w:highlight w:val="none"/>
              </w:rPr>
            </w:pPr>
            <w:r>
              <w:rPr>
                <w:rFonts w:hint="eastAsia" w:ascii="宋体" w:hAnsi="宋体" w:cs="宋体"/>
                <w:color w:val="auto"/>
                <w:highlight w:val="none"/>
              </w:rPr>
              <w:t>2.1.1</w:t>
            </w:r>
          </w:p>
        </w:tc>
        <w:tc>
          <w:tcPr>
            <w:tcW w:w="1310" w:type="dxa"/>
            <w:vMerge w:val="restart"/>
            <w:tcBorders>
              <w:top w:val="single" w:color="auto" w:sz="4" w:space="0"/>
              <w:left w:val="single" w:color="auto" w:sz="4" w:space="0"/>
              <w:bottom w:val="single" w:color="auto" w:sz="4" w:space="0"/>
              <w:right w:val="single" w:color="auto" w:sz="4" w:space="0"/>
            </w:tcBorders>
            <w:noWrap w:val="0"/>
            <w:vAlign w:val="center"/>
          </w:tcPr>
          <w:p w14:paraId="73A87871">
            <w:pPr>
              <w:pStyle w:val="35"/>
              <w:keepNext w:val="0"/>
              <w:keepLines w:val="0"/>
              <w:pageBreakBefore w:val="0"/>
              <w:widowControl w:val="0"/>
              <w:kinsoku/>
              <w:wordWrap/>
              <w:overflowPunct/>
              <w:topLinePunct w:val="0"/>
              <w:bidi w:val="0"/>
              <w:snapToGrid w:val="0"/>
              <w:spacing w:line="500" w:lineRule="exact"/>
              <w:jc w:val="center"/>
              <w:rPr>
                <w:rFonts w:hint="eastAsia" w:ascii="宋体" w:hAnsi="宋体" w:eastAsia="宋体" w:cs="宋体"/>
                <w:color w:val="auto"/>
                <w:spacing w:val="-6"/>
                <w:highlight w:val="none"/>
                <w:lang w:eastAsia="zh-CN"/>
              </w:rPr>
            </w:pPr>
            <w:r>
              <w:rPr>
                <w:rFonts w:hint="eastAsia" w:ascii="宋体" w:hAnsi="宋体" w:cs="宋体"/>
                <w:color w:val="auto"/>
                <w:highlight w:val="none"/>
              </w:rPr>
              <w:t>资格</w:t>
            </w:r>
            <w:r>
              <w:rPr>
                <w:rFonts w:hint="eastAsia" w:ascii="宋体" w:hAnsi="宋体" w:cs="宋体"/>
                <w:color w:val="auto"/>
                <w:highlight w:val="none"/>
                <w:lang w:eastAsia="zh-CN"/>
              </w:rPr>
              <w:t>评审</w:t>
            </w:r>
          </w:p>
          <w:p w14:paraId="105C8DFE">
            <w:pPr>
              <w:pStyle w:val="15"/>
              <w:keepNext w:val="0"/>
              <w:keepLines w:val="0"/>
              <w:pageBreakBefore w:val="0"/>
              <w:widowControl w:val="0"/>
              <w:kinsoku/>
              <w:wordWrap/>
              <w:overflowPunct/>
              <w:topLinePunct w:val="0"/>
              <w:bidi w:val="0"/>
              <w:snapToGrid w:val="0"/>
              <w:spacing w:line="500" w:lineRule="exact"/>
              <w:jc w:val="center"/>
              <w:rPr>
                <w:rFonts w:hint="eastAsia" w:ascii="宋体" w:hAnsi="宋体" w:cs="宋体"/>
                <w:color w:val="auto"/>
                <w:spacing w:val="-6"/>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72D61907">
            <w:pPr>
              <w:pStyle w:val="35"/>
              <w:keepNext w:val="0"/>
              <w:keepLines w:val="0"/>
              <w:pageBreakBefore w:val="0"/>
              <w:widowControl w:val="0"/>
              <w:kinsoku/>
              <w:wordWrap/>
              <w:overflowPunct/>
              <w:topLinePunct w:val="0"/>
              <w:bidi w:val="0"/>
              <w:snapToGrid w:val="0"/>
              <w:spacing w:line="500" w:lineRule="exact"/>
              <w:jc w:val="center"/>
              <w:rPr>
                <w:rFonts w:hint="eastAsia" w:ascii="宋体" w:hAnsi="宋体" w:cs="宋体"/>
                <w:b/>
                <w:color w:val="auto"/>
                <w:highlight w:val="none"/>
              </w:rPr>
            </w:pPr>
            <w:r>
              <w:rPr>
                <w:rFonts w:hint="eastAsia" w:ascii="宋体" w:hAnsi="宋体" w:cs="宋体"/>
                <w:b/>
                <w:color w:val="auto"/>
                <w:highlight w:val="none"/>
              </w:rPr>
              <w:t>评审因素</w:t>
            </w:r>
          </w:p>
        </w:tc>
        <w:tc>
          <w:tcPr>
            <w:tcW w:w="5630" w:type="dxa"/>
            <w:tcBorders>
              <w:top w:val="single" w:color="auto" w:sz="4" w:space="0"/>
              <w:left w:val="single" w:color="auto" w:sz="4" w:space="0"/>
              <w:bottom w:val="single" w:color="auto" w:sz="4" w:space="0"/>
              <w:right w:val="single" w:color="auto" w:sz="4" w:space="0"/>
            </w:tcBorders>
            <w:noWrap w:val="0"/>
            <w:vAlign w:val="center"/>
          </w:tcPr>
          <w:p w14:paraId="395E709A">
            <w:pPr>
              <w:pStyle w:val="35"/>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s="宋体"/>
                <w:b/>
                <w:color w:val="auto"/>
                <w:highlight w:val="none"/>
              </w:rPr>
            </w:pPr>
            <w:r>
              <w:rPr>
                <w:rFonts w:hint="eastAsia" w:ascii="宋体" w:hAnsi="宋体" w:cs="宋体"/>
                <w:b/>
                <w:color w:val="auto"/>
                <w:highlight w:val="none"/>
              </w:rPr>
              <w:t>评审标准</w:t>
            </w:r>
          </w:p>
          <w:p w14:paraId="6715F3BE">
            <w:pPr>
              <w:pStyle w:val="35"/>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s="宋体"/>
                <w:b/>
                <w:color w:val="auto"/>
                <w:highlight w:val="none"/>
              </w:rPr>
            </w:pPr>
            <w:r>
              <w:rPr>
                <w:rFonts w:hint="eastAsia" w:ascii="宋体" w:hAnsi="宋体" w:cs="宋体"/>
                <w:b/>
                <w:bCs/>
                <w:color w:val="auto"/>
                <w:highlight w:val="none"/>
              </w:rPr>
              <w:t>（合格标准：缺少任何一项或有任何一项不合格者，其资格</w:t>
            </w:r>
            <w:r>
              <w:rPr>
                <w:rFonts w:hint="eastAsia" w:ascii="宋体" w:hAnsi="宋体" w:cs="宋体"/>
                <w:b/>
                <w:bCs/>
                <w:color w:val="auto"/>
                <w:highlight w:val="none"/>
                <w:lang w:eastAsia="zh-CN"/>
              </w:rPr>
              <w:t>评审</w:t>
            </w:r>
            <w:r>
              <w:rPr>
                <w:rFonts w:hint="eastAsia" w:ascii="宋体" w:hAnsi="宋体" w:cs="宋体"/>
                <w:b/>
                <w:bCs/>
                <w:color w:val="auto"/>
                <w:highlight w:val="none"/>
              </w:rPr>
              <w:t>视为不合格）</w:t>
            </w:r>
          </w:p>
        </w:tc>
      </w:tr>
      <w:tr w14:paraId="2FCD0FA7">
        <w:tblPrEx>
          <w:tblCellMar>
            <w:top w:w="0" w:type="dxa"/>
            <w:left w:w="108" w:type="dxa"/>
            <w:bottom w:w="0" w:type="dxa"/>
            <w:right w:w="108" w:type="dxa"/>
          </w:tblCellMar>
        </w:tblPrEx>
        <w:trPr>
          <w:trHeight w:val="537" w:hRule="atLeast"/>
          <w:jc w:val="center"/>
        </w:trPr>
        <w:tc>
          <w:tcPr>
            <w:tcW w:w="944" w:type="dxa"/>
            <w:vMerge w:val="continue"/>
            <w:tcBorders>
              <w:top w:val="single" w:color="auto" w:sz="4" w:space="0"/>
              <w:left w:val="single" w:color="auto" w:sz="4" w:space="0"/>
              <w:bottom w:val="single" w:color="auto" w:sz="4" w:space="0"/>
              <w:right w:val="single" w:color="auto" w:sz="4" w:space="0"/>
            </w:tcBorders>
            <w:noWrap w:val="0"/>
            <w:vAlign w:val="center"/>
          </w:tcPr>
          <w:p w14:paraId="40312274">
            <w:pPr>
              <w:keepNext w:val="0"/>
              <w:keepLines w:val="0"/>
              <w:pageBreakBefore w:val="0"/>
              <w:widowControl w:val="0"/>
              <w:kinsoku/>
              <w:wordWrap/>
              <w:overflowPunct/>
              <w:topLinePunct w:val="0"/>
              <w:bidi w:val="0"/>
              <w:spacing w:line="500" w:lineRule="exact"/>
              <w:jc w:val="left"/>
              <w:rPr>
                <w:rFonts w:hint="eastAsia" w:ascii="宋体" w:hAnsi="宋体" w:cs="宋体"/>
                <w:color w:val="auto"/>
                <w:highlight w:val="none"/>
              </w:rPr>
            </w:pPr>
          </w:p>
        </w:tc>
        <w:tc>
          <w:tcPr>
            <w:tcW w:w="1310" w:type="dxa"/>
            <w:vMerge w:val="continue"/>
            <w:tcBorders>
              <w:top w:val="single" w:color="auto" w:sz="4" w:space="0"/>
              <w:left w:val="single" w:color="auto" w:sz="4" w:space="0"/>
              <w:bottom w:val="single" w:color="auto" w:sz="4" w:space="0"/>
              <w:right w:val="single" w:color="auto" w:sz="4" w:space="0"/>
            </w:tcBorders>
            <w:noWrap w:val="0"/>
            <w:vAlign w:val="center"/>
          </w:tcPr>
          <w:p w14:paraId="38A948A8">
            <w:pPr>
              <w:keepNext w:val="0"/>
              <w:keepLines w:val="0"/>
              <w:pageBreakBefore w:val="0"/>
              <w:widowControl w:val="0"/>
              <w:kinsoku/>
              <w:wordWrap/>
              <w:overflowPunct/>
              <w:topLinePunct w:val="0"/>
              <w:bidi w:val="0"/>
              <w:spacing w:line="500" w:lineRule="exact"/>
              <w:jc w:val="left"/>
              <w:rPr>
                <w:rFonts w:hint="eastAsia" w:ascii="宋体" w:hAnsi="宋体" w:cs="宋体"/>
                <w:color w:val="auto"/>
                <w:kern w:val="0"/>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3654F066">
            <w:pPr>
              <w:pStyle w:val="35"/>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highlight w:val="none"/>
                <w:lang w:eastAsia="zh-CN"/>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lang w:eastAsia="zh-CN"/>
              </w:rPr>
              <w:t>身份</w:t>
            </w:r>
            <w:r>
              <w:rPr>
                <w:rFonts w:hint="eastAsia" w:ascii="宋体" w:hAnsi="宋体" w:cs="宋体"/>
                <w:color w:val="auto"/>
                <w:szCs w:val="21"/>
                <w:highlight w:val="none"/>
                <w:lang w:eastAsia="zh-CN"/>
              </w:rPr>
              <w:t>证</w:t>
            </w:r>
          </w:p>
        </w:tc>
        <w:tc>
          <w:tcPr>
            <w:tcW w:w="5630" w:type="dxa"/>
            <w:tcBorders>
              <w:top w:val="single" w:color="auto" w:sz="4" w:space="0"/>
              <w:left w:val="single" w:color="auto" w:sz="4" w:space="0"/>
              <w:bottom w:val="single" w:color="auto" w:sz="4" w:space="0"/>
              <w:right w:val="single" w:color="auto" w:sz="4" w:space="0"/>
            </w:tcBorders>
            <w:noWrap w:val="0"/>
            <w:vAlign w:val="center"/>
          </w:tcPr>
          <w:p w14:paraId="70AE5CAA">
            <w:pPr>
              <w:pStyle w:val="35"/>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cs="宋体"/>
                <w:color w:val="auto"/>
                <w:highlight w:val="none"/>
              </w:rPr>
            </w:pPr>
            <w:r>
              <w:rPr>
                <w:rFonts w:hint="eastAsia" w:ascii="宋体" w:hAnsi="宋体" w:eastAsia="宋体" w:cs="宋体"/>
                <w:color w:val="auto"/>
                <w:szCs w:val="21"/>
                <w:highlight w:val="none"/>
              </w:rPr>
              <w:t>供应商相应的法定代表人、负责人、自然人身份证正反两面复印件</w:t>
            </w:r>
            <w:r>
              <w:rPr>
                <w:rFonts w:hint="eastAsia" w:ascii="宋体" w:hAnsi="宋体" w:eastAsia="宋体" w:cs="宋体"/>
                <w:b/>
                <w:bCs/>
                <w:color w:val="auto"/>
                <w:szCs w:val="21"/>
                <w:highlight w:val="none"/>
              </w:rPr>
              <w:t>（必须提供）</w:t>
            </w:r>
          </w:p>
        </w:tc>
      </w:tr>
      <w:tr w14:paraId="015DAFDA">
        <w:tblPrEx>
          <w:tblCellMar>
            <w:top w:w="0" w:type="dxa"/>
            <w:left w:w="108" w:type="dxa"/>
            <w:bottom w:w="0" w:type="dxa"/>
            <w:right w:w="108" w:type="dxa"/>
          </w:tblCellMar>
        </w:tblPrEx>
        <w:trPr>
          <w:trHeight w:val="537" w:hRule="atLeast"/>
          <w:jc w:val="center"/>
        </w:trPr>
        <w:tc>
          <w:tcPr>
            <w:tcW w:w="944" w:type="dxa"/>
            <w:vMerge w:val="continue"/>
            <w:tcBorders>
              <w:top w:val="single" w:color="auto" w:sz="4" w:space="0"/>
              <w:left w:val="single" w:color="auto" w:sz="4" w:space="0"/>
              <w:bottom w:val="single" w:color="auto" w:sz="4" w:space="0"/>
              <w:right w:val="single" w:color="auto" w:sz="4" w:space="0"/>
            </w:tcBorders>
            <w:noWrap w:val="0"/>
            <w:vAlign w:val="center"/>
          </w:tcPr>
          <w:p w14:paraId="11F08880">
            <w:pPr>
              <w:keepNext w:val="0"/>
              <w:keepLines w:val="0"/>
              <w:pageBreakBefore w:val="0"/>
              <w:widowControl w:val="0"/>
              <w:kinsoku/>
              <w:wordWrap/>
              <w:overflowPunct/>
              <w:topLinePunct w:val="0"/>
              <w:bidi w:val="0"/>
              <w:spacing w:line="500" w:lineRule="exact"/>
              <w:jc w:val="left"/>
              <w:rPr>
                <w:rFonts w:hint="eastAsia" w:ascii="宋体" w:hAnsi="宋体" w:cs="宋体"/>
                <w:color w:val="auto"/>
                <w:highlight w:val="none"/>
              </w:rPr>
            </w:pPr>
          </w:p>
        </w:tc>
        <w:tc>
          <w:tcPr>
            <w:tcW w:w="1310" w:type="dxa"/>
            <w:vMerge w:val="continue"/>
            <w:tcBorders>
              <w:top w:val="single" w:color="auto" w:sz="4" w:space="0"/>
              <w:left w:val="single" w:color="auto" w:sz="4" w:space="0"/>
              <w:bottom w:val="single" w:color="auto" w:sz="4" w:space="0"/>
              <w:right w:val="single" w:color="auto" w:sz="4" w:space="0"/>
            </w:tcBorders>
            <w:noWrap w:val="0"/>
            <w:vAlign w:val="center"/>
          </w:tcPr>
          <w:p w14:paraId="29B25196">
            <w:pPr>
              <w:keepNext w:val="0"/>
              <w:keepLines w:val="0"/>
              <w:pageBreakBefore w:val="0"/>
              <w:widowControl w:val="0"/>
              <w:kinsoku/>
              <w:wordWrap/>
              <w:overflowPunct/>
              <w:topLinePunct w:val="0"/>
              <w:bidi w:val="0"/>
              <w:spacing w:line="500" w:lineRule="exact"/>
              <w:jc w:val="left"/>
              <w:rPr>
                <w:rFonts w:hint="eastAsia" w:ascii="宋体" w:hAnsi="宋体" w:cs="宋体"/>
                <w:color w:val="auto"/>
                <w:kern w:val="0"/>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7D5D1642">
            <w:pPr>
              <w:pStyle w:val="35"/>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授权委托书</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委托代理人身份证</w:t>
            </w:r>
            <w:r>
              <w:rPr>
                <w:rFonts w:hint="eastAsia" w:ascii="宋体" w:hAnsi="宋体" w:cs="宋体"/>
                <w:color w:val="auto"/>
                <w:szCs w:val="21"/>
                <w:highlight w:val="none"/>
                <w:lang w:val="en-US" w:eastAsia="zh-CN"/>
              </w:rPr>
              <w:t>及</w:t>
            </w:r>
            <w:r>
              <w:rPr>
                <w:rFonts w:hint="eastAsia" w:ascii="宋体" w:hAnsi="宋体" w:eastAsia="宋体" w:cs="宋体"/>
                <w:color w:val="auto"/>
                <w:szCs w:val="21"/>
                <w:highlight w:val="none"/>
              </w:rPr>
              <w:t>社保证明</w:t>
            </w:r>
          </w:p>
        </w:tc>
        <w:tc>
          <w:tcPr>
            <w:tcW w:w="5630" w:type="dxa"/>
            <w:tcBorders>
              <w:top w:val="single" w:color="auto" w:sz="4" w:space="0"/>
              <w:left w:val="single" w:color="auto" w:sz="4" w:space="0"/>
              <w:bottom w:val="single" w:color="auto" w:sz="4" w:space="0"/>
              <w:right w:val="single" w:color="auto" w:sz="4" w:space="0"/>
            </w:tcBorders>
            <w:noWrap w:val="0"/>
            <w:vAlign w:val="center"/>
          </w:tcPr>
          <w:p w14:paraId="44A3115E">
            <w:pPr>
              <w:pStyle w:val="35"/>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cs="宋体"/>
                <w:color w:val="auto"/>
                <w:highlight w:val="none"/>
                <w:lang w:val="en-US" w:eastAsia="zh-CN"/>
              </w:rPr>
            </w:pPr>
            <w:r>
              <w:rPr>
                <w:rFonts w:hint="eastAsia" w:ascii="宋体" w:hAnsi="宋体" w:eastAsia="宋体" w:cs="宋体"/>
                <w:color w:val="auto"/>
                <w:szCs w:val="21"/>
                <w:highlight w:val="none"/>
              </w:rPr>
              <w:t>供应商的授权委托书原件、委托代理人身份证正反面复印件以及由县级以上（含县级）社会养老保险经办机构出具的供应商为委托代理人交纳的响应文件递交截止时间前</w:t>
            </w:r>
            <w:r>
              <w:rPr>
                <w:rFonts w:hint="eastAsia" w:ascii="宋体" w:hAnsi="宋体" w:cs="宋体"/>
                <w:color w:val="auto"/>
                <w:szCs w:val="21"/>
                <w:highlight w:val="none"/>
                <w:lang w:eastAsia="zh-CN"/>
              </w:rPr>
              <w:t>半年内任意一个月</w:t>
            </w:r>
            <w:r>
              <w:rPr>
                <w:rFonts w:hint="eastAsia" w:ascii="宋体" w:hAnsi="宋体" w:eastAsia="宋体" w:cs="宋体"/>
                <w:color w:val="auto"/>
                <w:szCs w:val="21"/>
                <w:highlight w:val="none"/>
              </w:rPr>
              <w:t>社保证明复印件</w:t>
            </w:r>
            <w:r>
              <w:rPr>
                <w:rFonts w:hint="eastAsia" w:ascii="宋体" w:hAnsi="宋体" w:eastAsia="宋体" w:cs="宋体"/>
                <w:color w:val="auto"/>
                <w:szCs w:val="21"/>
                <w:highlight w:val="none"/>
                <w:lang w:eastAsia="zh-CN"/>
              </w:rPr>
              <w:t>；</w:t>
            </w:r>
            <w:r>
              <w:rPr>
                <w:rFonts w:hint="eastAsia" w:ascii="宋体" w:hAnsi="宋体" w:eastAsia="宋体" w:cs="宋体"/>
                <w:b/>
                <w:bCs/>
                <w:color w:val="auto"/>
                <w:szCs w:val="21"/>
                <w:highlight w:val="none"/>
              </w:rPr>
              <w:t>（委托代理时必须提供）</w:t>
            </w:r>
          </w:p>
        </w:tc>
      </w:tr>
      <w:tr w14:paraId="6AF97420">
        <w:tblPrEx>
          <w:tblCellMar>
            <w:top w:w="0" w:type="dxa"/>
            <w:left w:w="108" w:type="dxa"/>
            <w:bottom w:w="0" w:type="dxa"/>
            <w:right w:w="108" w:type="dxa"/>
          </w:tblCellMar>
        </w:tblPrEx>
        <w:trPr>
          <w:trHeight w:val="537" w:hRule="atLeast"/>
          <w:jc w:val="center"/>
        </w:trPr>
        <w:tc>
          <w:tcPr>
            <w:tcW w:w="944" w:type="dxa"/>
            <w:vMerge w:val="continue"/>
            <w:tcBorders>
              <w:top w:val="single" w:color="auto" w:sz="4" w:space="0"/>
              <w:left w:val="single" w:color="auto" w:sz="4" w:space="0"/>
              <w:bottom w:val="single" w:color="auto" w:sz="4" w:space="0"/>
              <w:right w:val="single" w:color="auto" w:sz="4" w:space="0"/>
            </w:tcBorders>
            <w:noWrap w:val="0"/>
            <w:vAlign w:val="center"/>
          </w:tcPr>
          <w:p w14:paraId="7C41C018">
            <w:pPr>
              <w:keepNext w:val="0"/>
              <w:keepLines w:val="0"/>
              <w:pageBreakBefore w:val="0"/>
              <w:widowControl w:val="0"/>
              <w:kinsoku/>
              <w:wordWrap/>
              <w:overflowPunct/>
              <w:topLinePunct w:val="0"/>
              <w:bidi w:val="0"/>
              <w:spacing w:line="500" w:lineRule="exact"/>
              <w:jc w:val="left"/>
              <w:rPr>
                <w:rFonts w:hint="eastAsia" w:ascii="宋体" w:hAnsi="宋体" w:cs="宋体"/>
                <w:color w:val="auto"/>
                <w:highlight w:val="none"/>
              </w:rPr>
            </w:pPr>
          </w:p>
        </w:tc>
        <w:tc>
          <w:tcPr>
            <w:tcW w:w="1310" w:type="dxa"/>
            <w:vMerge w:val="continue"/>
            <w:tcBorders>
              <w:top w:val="single" w:color="auto" w:sz="4" w:space="0"/>
              <w:left w:val="single" w:color="auto" w:sz="4" w:space="0"/>
              <w:bottom w:val="single" w:color="auto" w:sz="4" w:space="0"/>
              <w:right w:val="single" w:color="auto" w:sz="4" w:space="0"/>
            </w:tcBorders>
            <w:noWrap w:val="0"/>
            <w:vAlign w:val="center"/>
          </w:tcPr>
          <w:p w14:paraId="47E28F11">
            <w:pPr>
              <w:keepNext w:val="0"/>
              <w:keepLines w:val="0"/>
              <w:pageBreakBefore w:val="0"/>
              <w:widowControl w:val="0"/>
              <w:kinsoku/>
              <w:wordWrap/>
              <w:overflowPunct/>
              <w:topLinePunct w:val="0"/>
              <w:bidi w:val="0"/>
              <w:spacing w:line="500" w:lineRule="exact"/>
              <w:jc w:val="left"/>
              <w:rPr>
                <w:rFonts w:hint="eastAsia" w:ascii="宋体" w:hAnsi="宋体" w:cs="宋体"/>
                <w:color w:val="auto"/>
                <w:kern w:val="0"/>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10C38595">
            <w:pPr>
              <w:pStyle w:val="35"/>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Cs w:val="21"/>
                <w:highlight w:val="none"/>
                <w:lang w:eastAsia="zh-CN"/>
              </w:rPr>
              <w:t>无重大违法记录的书面声明</w:t>
            </w:r>
          </w:p>
        </w:tc>
        <w:tc>
          <w:tcPr>
            <w:tcW w:w="5630" w:type="dxa"/>
            <w:tcBorders>
              <w:top w:val="single" w:color="auto" w:sz="4" w:space="0"/>
              <w:left w:val="single" w:color="auto" w:sz="4" w:space="0"/>
              <w:bottom w:val="single" w:color="auto" w:sz="4" w:space="0"/>
              <w:right w:val="single" w:color="auto" w:sz="4" w:space="0"/>
            </w:tcBorders>
            <w:noWrap w:val="0"/>
            <w:vAlign w:val="center"/>
          </w:tcPr>
          <w:p w14:paraId="12D4D381">
            <w:pPr>
              <w:pStyle w:val="35"/>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Cs w:val="21"/>
                <w:highlight w:val="none"/>
              </w:rPr>
              <w:t>供应商参加政府采购活动前3年内在经营活动中没有重大违法记录及有关信用信息的书面声明</w:t>
            </w:r>
            <w:r>
              <w:rPr>
                <w:rFonts w:hint="eastAsia" w:ascii="宋体" w:hAnsi="宋体" w:eastAsia="宋体" w:cs="宋体"/>
                <w:b/>
                <w:bCs/>
                <w:color w:val="auto"/>
                <w:szCs w:val="21"/>
                <w:highlight w:val="none"/>
              </w:rPr>
              <w:t>（必须提供）</w:t>
            </w:r>
          </w:p>
        </w:tc>
      </w:tr>
      <w:tr w14:paraId="5424CB12">
        <w:tblPrEx>
          <w:tblCellMar>
            <w:top w:w="0" w:type="dxa"/>
            <w:left w:w="108" w:type="dxa"/>
            <w:bottom w:w="0" w:type="dxa"/>
            <w:right w:w="108" w:type="dxa"/>
          </w:tblCellMar>
        </w:tblPrEx>
        <w:trPr>
          <w:trHeight w:val="622" w:hRule="atLeast"/>
          <w:jc w:val="center"/>
        </w:trPr>
        <w:tc>
          <w:tcPr>
            <w:tcW w:w="944" w:type="dxa"/>
            <w:vMerge w:val="continue"/>
            <w:tcBorders>
              <w:top w:val="single" w:color="auto" w:sz="4" w:space="0"/>
              <w:left w:val="single" w:color="auto" w:sz="4" w:space="0"/>
              <w:bottom w:val="single" w:color="auto" w:sz="4" w:space="0"/>
              <w:right w:val="single" w:color="auto" w:sz="4" w:space="0"/>
            </w:tcBorders>
            <w:noWrap w:val="0"/>
            <w:vAlign w:val="center"/>
          </w:tcPr>
          <w:p w14:paraId="15661C3A">
            <w:pPr>
              <w:keepNext w:val="0"/>
              <w:keepLines w:val="0"/>
              <w:pageBreakBefore w:val="0"/>
              <w:widowControl w:val="0"/>
              <w:kinsoku/>
              <w:wordWrap/>
              <w:overflowPunct/>
              <w:topLinePunct w:val="0"/>
              <w:bidi w:val="0"/>
              <w:spacing w:line="500" w:lineRule="exact"/>
              <w:jc w:val="left"/>
              <w:rPr>
                <w:rFonts w:hint="eastAsia" w:ascii="宋体" w:hAnsi="宋体" w:cs="宋体"/>
                <w:color w:val="auto"/>
                <w:highlight w:val="none"/>
              </w:rPr>
            </w:pPr>
          </w:p>
        </w:tc>
        <w:tc>
          <w:tcPr>
            <w:tcW w:w="1310" w:type="dxa"/>
            <w:vMerge w:val="continue"/>
            <w:tcBorders>
              <w:top w:val="single" w:color="auto" w:sz="4" w:space="0"/>
              <w:left w:val="single" w:color="auto" w:sz="4" w:space="0"/>
              <w:bottom w:val="single" w:color="auto" w:sz="4" w:space="0"/>
              <w:right w:val="single" w:color="auto" w:sz="4" w:space="0"/>
            </w:tcBorders>
            <w:noWrap w:val="0"/>
            <w:vAlign w:val="center"/>
          </w:tcPr>
          <w:p w14:paraId="581AF903">
            <w:pPr>
              <w:keepNext w:val="0"/>
              <w:keepLines w:val="0"/>
              <w:pageBreakBefore w:val="0"/>
              <w:widowControl w:val="0"/>
              <w:kinsoku/>
              <w:wordWrap/>
              <w:overflowPunct/>
              <w:topLinePunct w:val="0"/>
              <w:bidi w:val="0"/>
              <w:spacing w:line="500" w:lineRule="exact"/>
              <w:jc w:val="left"/>
              <w:rPr>
                <w:rFonts w:hint="eastAsia" w:ascii="宋体" w:hAnsi="宋体" w:cs="宋体"/>
                <w:color w:val="auto"/>
                <w:kern w:val="0"/>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763E7B5D">
            <w:pPr>
              <w:pStyle w:val="35"/>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营业执照</w:t>
            </w:r>
          </w:p>
        </w:tc>
        <w:tc>
          <w:tcPr>
            <w:tcW w:w="5630" w:type="dxa"/>
            <w:tcBorders>
              <w:top w:val="single" w:color="auto" w:sz="4" w:space="0"/>
              <w:left w:val="single" w:color="auto" w:sz="4" w:space="0"/>
              <w:bottom w:val="single" w:color="auto" w:sz="4" w:space="0"/>
              <w:right w:val="single" w:color="auto" w:sz="4" w:space="0"/>
            </w:tcBorders>
            <w:noWrap w:val="0"/>
            <w:vAlign w:val="center"/>
          </w:tcPr>
          <w:p w14:paraId="0AE90A79">
            <w:pPr>
              <w:pStyle w:val="35"/>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cs="宋体"/>
                <w:color w:val="auto"/>
                <w:highlight w:val="none"/>
                <w:lang w:eastAsia="zh-CN"/>
              </w:rPr>
            </w:pPr>
            <w:r>
              <w:rPr>
                <w:rFonts w:hint="eastAsia" w:ascii="宋体" w:hAnsi="宋体" w:eastAsia="宋体" w:cs="宋体"/>
                <w:color w:val="auto"/>
                <w:szCs w:val="21"/>
                <w:highlight w:val="none"/>
              </w:rPr>
              <w:t>供应商的法人或者其他组织营业执照等证明文件复印件</w:t>
            </w:r>
            <w:r>
              <w:rPr>
                <w:rFonts w:hint="eastAsia" w:ascii="宋体" w:hAnsi="宋体" w:eastAsia="宋体" w:cs="宋体"/>
                <w:b/>
                <w:bCs/>
                <w:color w:val="auto"/>
                <w:szCs w:val="21"/>
                <w:highlight w:val="none"/>
              </w:rPr>
              <w:t>（必须提供，自然人除外）</w:t>
            </w:r>
          </w:p>
        </w:tc>
      </w:tr>
      <w:tr w14:paraId="4F2739E8">
        <w:tblPrEx>
          <w:tblCellMar>
            <w:top w:w="0" w:type="dxa"/>
            <w:left w:w="108" w:type="dxa"/>
            <w:bottom w:w="0" w:type="dxa"/>
            <w:right w:w="108" w:type="dxa"/>
          </w:tblCellMar>
        </w:tblPrEx>
        <w:trPr>
          <w:trHeight w:val="622" w:hRule="atLeast"/>
          <w:jc w:val="center"/>
        </w:trPr>
        <w:tc>
          <w:tcPr>
            <w:tcW w:w="944" w:type="dxa"/>
            <w:vMerge w:val="continue"/>
            <w:tcBorders>
              <w:top w:val="single" w:color="auto" w:sz="4" w:space="0"/>
              <w:left w:val="single" w:color="auto" w:sz="4" w:space="0"/>
              <w:bottom w:val="single" w:color="auto" w:sz="4" w:space="0"/>
              <w:right w:val="single" w:color="auto" w:sz="4" w:space="0"/>
            </w:tcBorders>
            <w:noWrap w:val="0"/>
            <w:vAlign w:val="center"/>
          </w:tcPr>
          <w:p w14:paraId="40102F24">
            <w:pPr>
              <w:keepNext w:val="0"/>
              <w:keepLines w:val="0"/>
              <w:pageBreakBefore w:val="0"/>
              <w:widowControl w:val="0"/>
              <w:kinsoku/>
              <w:wordWrap/>
              <w:overflowPunct/>
              <w:topLinePunct w:val="0"/>
              <w:bidi w:val="0"/>
              <w:spacing w:line="500" w:lineRule="exact"/>
              <w:jc w:val="left"/>
              <w:rPr>
                <w:rFonts w:hint="eastAsia" w:ascii="宋体" w:hAnsi="宋体" w:cs="宋体"/>
                <w:color w:val="auto"/>
                <w:highlight w:val="none"/>
              </w:rPr>
            </w:pPr>
          </w:p>
        </w:tc>
        <w:tc>
          <w:tcPr>
            <w:tcW w:w="1310" w:type="dxa"/>
            <w:vMerge w:val="continue"/>
            <w:tcBorders>
              <w:top w:val="single" w:color="auto" w:sz="4" w:space="0"/>
              <w:left w:val="single" w:color="auto" w:sz="4" w:space="0"/>
              <w:bottom w:val="single" w:color="auto" w:sz="4" w:space="0"/>
              <w:right w:val="single" w:color="auto" w:sz="4" w:space="0"/>
            </w:tcBorders>
            <w:noWrap w:val="0"/>
            <w:vAlign w:val="center"/>
          </w:tcPr>
          <w:p w14:paraId="742AEB44">
            <w:pPr>
              <w:keepNext w:val="0"/>
              <w:keepLines w:val="0"/>
              <w:pageBreakBefore w:val="0"/>
              <w:widowControl w:val="0"/>
              <w:kinsoku/>
              <w:wordWrap/>
              <w:overflowPunct/>
              <w:topLinePunct w:val="0"/>
              <w:bidi w:val="0"/>
              <w:spacing w:line="500" w:lineRule="exact"/>
              <w:jc w:val="left"/>
              <w:rPr>
                <w:rFonts w:hint="eastAsia" w:ascii="宋体" w:hAnsi="宋体" w:cs="宋体"/>
                <w:color w:val="auto"/>
                <w:kern w:val="0"/>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02A45356">
            <w:pPr>
              <w:pStyle w:val="35"/>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资质证书</w:t>
            </w:r>
          </w:p>
        </w:tc>
        <w:tc>
          <w:tcPr>
            <w:tcW w:w="5630" w:type="dxa"/>
            <w:tcBorders>
              <w:top w:val="single" w:color="auto" w:sz="4" w:space="0"/>
              <w:left w:val="single" w:color="auto" w:sz="4" w:space="0"/>
              <w:bottom w:val="single" w:color="auto" w:sz="4" w:space="0"/>
              <w:right w:val="single" w:color="auto" w:sz="4" w:space="0"/>
            </w:tcBorders>
            <w:noWrap w:val="0"/>
            <w:vAlign w:val="center"/>
          </w:tcPr>
          <w:p w14:paraId="41B5EBFA">
            <w:pPr>
              <w:pStyle w:val="35"/>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cs="宋体"/>
                <w:color w:val="auto"/>
                <w:highlight w:val="none"/>
                <w:lang w:val="en-US" w:eastAsia="zh-CN"/>
              </w:rPr>
            </w:pPr>
            <w:r>
              <w:rPr>
                <w:rFonts w:hint="eastAsia" w:ascii="宋体" w:hAnsi="宋体" w:cs="宋体"/>
                <w:bCs/>
                <w:color w:val="auto"/>
                <w:kern w:val="0"/>
                <w:szCs w:val="21"/>
                <w:highlight w:val="none"/>
                <w:lang w:val="en-US" w:eastAsia="zh-CN"/>
              </w:rPr>
              <w:t>供应商有效的资质证书复印件；项目负责人的注册二级建造师证书复印件、安全生产考核B证证书复印件及项目经理无在建工程承诺书（格式自拟）</w:t>
            </w:r>
            <w:r>
              <w:rPr>
                <w:rFonts w:hint="eastAsia" w:ascii="宋体" w:hAnsi="宋体" w:eastAsia="宋体" w:cs="宋体"/>
                <w:b/>
                <w:bCs w:val="0"/>
                <w:color w:val="auto"/>
                <w:kern w:val="0"/>
                <w:szCs w:val="21"/>
                <w:highlight w:val="none"/>
                <w:lang w:val="en-US" w:eastAsia="zh-CN"/>
              </w:rPr>
              <w:t>（必须提供）</w:t>
            </w:r>
          </w:p>
        </w:tc>
      </w:tr>
      <w:tr w14:paraId="79F42384">
        <w:tblPrEx>
          <w:tblCellMar>
            <w:top w:w="0" w:type="dxa"/>
            <w:left w:w="108" w:type="dxa"/>
            <w:bottom w:w="0" w:type="dxa"/>
            <w:right w:w="108" w:type="dxa"/>
          </w:tblCellMar>
        </w:tblPrEx>
        <w:trPr>
          <w:trHeight w:val="622" w:hRule="atLeast"/>
          <w:jc w:val="center"/>
        </w:trPr>
        <w:tc>
          <w:tcPr>
            <w:tcW w:w="944" w:type="dxa"/>
            <w:vMerge w:val="continue"/>
            <w:tcBorders>
              <w:top w:val="single" w:color="auto" w:sz="4" w:space="0"/>
              <w:left w:val="single" w:color="auto" w:sz="4" w:space="0"/>
              <w:bottom w:val="single" w:color="auto" w:sz="4" w:space="0"/>
              <w:right w:val="single" w:color="auto" w:sz="4" w:space="0"/>
            </w:tcBorders>
            <w:noWrap w:val="0"/>
            <w:vAlign w:val="center"/>
          </w:tcPr>
          <w:p w14:paraId="4FC73B14">
            <w:pPr>
              <w:keepNext w:val="0"/>
              <w:keepLines w:val="0"/>
              <w:pageBreakBefore w:val="0"/>
              <w:widowControl w:val="0"/>
              <w:kinsoku/>
              <w:wordWrap/>
              <w:overflowPunct/>
              <w:topLinePunct w:val="0"/>
              <w:bidi w:val="0"/>
              <w:spacing w:line="500" w:lineRule="exact"/>
              <w:jc w:val="left"/>
              <w:rPr>
                <w:rFonts w:hint="eastAsia" w:ascii="宋体" w:hAnsi="宋体" w:cs="宋体"/>
                <w:color w:val="auto"/>
                <w:highlight w:val="none"/>
              </w:rPr>
            </w:pPr>
          </w:p>
        </w:tc>
        <w:tc>
          <w:tcPr>
            <w:tcW w:w="1310" w:type="dxa"/>
            <w:vMerge w:val="continue"/>
            <w:tcBorders>
              <w:top w:val="single" w:color="auto" w:sz="4" w:space="0"/>
              <w:left w:val="single" w:color="auto" w:sz="4" w:space="0"/>
              <w:bottom w:val="single" w:color="auto" w:sz="4" w:space="0"/>
              <w:right w:val="single" w:color="auto" w:sz="4" w:space="0"/>
            </w:tcBorders>
            <w:noWrap w:val="0"/>
            <w:vAlign w:val="center"/>
          </w:tcPr>
          <w:p w14:paraId="246A47BE">
            <w:pPr>
              <w:keepNext w:val="0"/>
              <w:keepLines w:val="0"/>
              <w:pageBreakBefore w:val="0"/>
              <w:widowControl w:val="0"/>
              <w:kinsoku/>
              <w:wordWrap/>
              <w:overflowPunct/>
              <w:topLinePunct w:val="0"/>
              <w:bidi w:val="0"/>
              <w:spacing w:line="500" w:lineRule="exact"/>
              <w:jc w:val="left"/>
              <w:rPr>
                <w:rFonts w:hint="eastAsia" w:ascii="宋体" w:hAnsi="宋体" w:cs="宋体"/>
                <w:color w:val="auto"/>
                <w:kern w:val="0"/>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622D7EDA">
            <w:pPr>
              <w:pStyle w:val="35"/>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安全生产许可证</w:t>
            </w:r>
          </w:p>
        </w:tc>
        <w:tc>
          <w:tcPr>
            <w:tcW w:w="5630" w:type="dxa"/>
            <w:tcBorders>
              <w:top w:val="single" w:color="auto" w:sz="4" w:space="0"/>
              <w:left w:val="single" w:color="auto" w:sz="4" w:space="0"/>
              <w:bottom w:val="single" w:color="auto" w:sz="4" w:space="0"/>
              <w:right w:val="single" w:color="auto" w:sz="4" w:space="0"/>
            </w:tcBorders>
            <w:noWrap w:val="0"/>
            <w:vAlign w:val="center"/>
          </w:tcPr>
          <w:p w14:paraId="30F2BF10">
            <w:pPr>
              <w:pStyle w:val="35"/>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cs="宋体"/>
                <w:color w:val="auto"/>
                <w:highlight w:val="none"/>
              </w:rPr>
            </w:pPr>
            <w:r>
              <w:rPr>
                <w:rFonts w:hint="eastAsia" w:ascii="宋体" w:hAnsi="宋体" w:eastAsia="宋体" w:cs="宋体"/>
                <w:bCs/>
                <w:color w:val="auto"/>
                <w:kern w:val="0"/>
                <w:szCs w:val="21"/>
                <w:highlight w:val="none"/>
                <w:lang w:val="en-US" w:eastAsia="zh-CN"/>
              </w:rPr>
              <w:t>供应商有效的安全生产许可证书复印件</w:t>
            </w:r>
            <w:r>
              <w:rPr>
                <w:rFonts w:hint="eastAsia" w:ascii="宋体" w:hAnsi="宋体" w:eastAsia="宋体" w:cs="宋体"/>
                <w:b/>
                <w:bCs w:val="0"/>
                <w:color w:val="auto"/>
                <w:kern w:val="0"/>
                <w:szCs w:val="21"/>
                <w:highlight w:val="none"/>
                <w:lang w:val="en-US" w:eastAsia="zh-CN"/>
              </w:rPr>
              <w:t>（必须提供）</w:t>
            </w:r>
          </w:p>
        </w:tc>
      </w:tr>
      <w:tr w14:paraId="5871A5B4">
        <w:tblPrEx>
          <w:tblCellMar>
            <w:top w:w="0" w:type="dxa"/>
            <w:left w:w="108" w:type="dxa"/>
            <w:bottom w:w="0" w:type="dxa"/>
            <w:right w:w="108" w:type="dxa"/>
          </w:tblCellMar>
        </w:tblPrEx>
        <w:trPr>
          <w:trHeight w:val="497" w:hRule="atLeast"/>
          <w:jc w:val="center"/>
        </w:trPr>
        <w:tc>
          <w:tcPr>
            <w:tcW w:w="944" w:type="dxa"/>
            <w:vMerge w:val="continue"/>
            <w:tcBorders>
              <w:top w:val="single" w:color="auto" w:sz="4" w:space="0"/>
              <w:left w:val="single" w:color="auto" w:sz="4" w:space="0"/>
              <w:bottom w:val="single" w:color="auto" w:sz="4" w:space="0"/>
              <w:right w:val="single" w:color="auto" w:sz="4" w:space="0"/>
            </w:tcBorders>
            <w:noWrap w:val="0"/>
            <w:vAlign w:val="center"/>
          </w:tcPr>
          <w:p w14:paraId="459F580D">
            <w:pPr>
              <w:keepNext w:val="0"/>
              <w:keepLines w:val="0"/>
              <w:pageBreakBefore w:val="0"/>
              <w:widowControl w:val="0"/>
              <w:kinsoku/>
              <w:wordWrap/>
              <w:overflowPunct/>
              <w:topLinePunct w:val="0"/>
              <w:bidi w:val="0"/>
              <w:spacing w:line="500" w:lineRule="exact"/>
              <w:jc w:val="left"/>
              <w:rPr>
                <w:rFonts w:hint="eastAsia" w:ascii="宋体" w:hAnsi="宋体" w:cs="宋体"/>
                <w:color w:val="auto"/>
                <w:highlight w:val="none"/>
              </w:rPr>
            </w:pPr>
          </w:p>
        </w:tc>
        <w:tc>
          <w:tcPr>
            <w:tcW w:w="1310" w:type="dxa"/>
            <w:vMerge w:val="continue"/>
            <w:tcBorders>
              <w:top w:val="single" w:color="auto" w:sz="4" w:space="0"/>
              <w:left w:val="single" w:color="auto" w:sz="4" w:space="0"/>
              <w:bottom w:val="single" w:color="auto" w:sz="4" w:space="0"/>
              <w:right w:val="single" w:color="auto" w:sz="4" w:space="0"/>
            </w:tcBorders>
            <w:noWrap w:val="0"/>
            <w:vAlign w:val="center"/>
          </w:tcPr>
          <w:p w14:paraId="6CF12799">
            <w:pPr>
              <w:keepNext w:val="0"/>
              <w:keepLines w:val="0"/>
              <w:pageBreakBefore w:val="0"/>
              <w:widowControl w:val="0"/>
              <w:kinsoku/>
              <w:wordWrap/>
              <w:overflowPunct/>
              <w:topLinePunct w:val="0"/>
              <w:bidi w:val="0"/>
              <w:spacing w:line="500" w:lineRule="exact"/>
              <w:jc w:val="left"/>
              <w:rPr>
                <w:rFonts w:hint="eastAsia" w:ascii="宋体" w:hAnsi="宋体" w:cs="宋体"/>
                <w:color w:val="auto"/>
                <w:kern w:val="0"/>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4A598D63">
            <w:pPr>
              <w:pStyle w:val="35"/>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落实政府采购政策需满足的资格要求</w:t>
            </w:r>
          </w:p>
        </w:tc>
        <w:tc>
          <w:tcPr>
            <w:tcW w:w="5630" w:type="dxa"/>
            <w:tcBorders>
              <w:top w:val="single" w:color="auto" w:sz="4" w:space="0"/>
              <w:left w:val="single" w:color="auto" w:sz="4" w:space="0"/>
              <w:bottom w:val="single" w:color="auto" w:sz="4" w:space="0"/>
              <w:right w:val="single" w:color="auto" w:sz="4" w:space="0"/>
            </w:tcBorders>
            <w:noWrap w:val="0"/>
            <w:vAlign w:val="center"/>
          </w:tcPr>
          <w:p w14:paraId="17F3AF77">
            <w:pPr>
              <w:pStyle w:val="35"/>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cs="宋体"/>
                <w:color w:val="auto"/>
                <w:highlight w:val="none"/>
                <w:lang w:eastAsia="zh-CN"/>
              </w:rPr>
            </w:pPr>
            <w:r>
              <w:rPr>
                <w:rFonts w:hint="eastAsia" w:ascii="宋体" w:hAnsi="宋体" w:eastAsia="宋体" w:cs="宋体"/>
                <w:bCs/>
                <w:color w:val="auto"/>
                <w:kern w:val="0"/>
                <w:sz w:val="21"/>
                <w:szCs w:val="21"/>
                <w:highlight w:val="none"/>
                <w:lang w:val="en-US" w:eastAsia="zh-CN" w:bidi="ar-SA"/>
              </w:rPr>
              <w:t>《中小企业声明函》或《残疾人福利性单位声明函》或省级以上监狱管理局、戒毒管理局（含新疆生产建设兵团）出具的属于监狱企业的证明文件复印件</w:t>
            </w:r>
            <w:r>
              <w:rPr>
                <w:rFonts w:hint="eastAsia" w:ascii="宋体" w:hAnsi="宋体" w:eastAsia="宋体" w:cs="宋体"/>
                <w:b/>
                <w:bCs w:val="0"/>
                <w:color w:val="auto"/>
                <w:kern w:val="0"/>
                <w:sz w:val="21"/>
                <w:szCs w:val="21"/>
                <w:highlight w:val="none"/>
                <w:lang w:val="en-US" w:eastAsia="zh-CN" w:bidi="ar-SA"/>
              </w:rPr>
              <w:t>（必须提供其中一项）</w:t>
            </w:r>
          </w:p>
        </w:tc>
      </w:tr>
      <w:tr w14:paraId="621C4B93">
        <w:tblPrEx>
          <w:tblCellMar>
            <w:top w:w="0" w:type="dxa"/>
            <w:left w:w="108" w:type="dxa"/>
            <w:bottom w:w="0" w:type="dxa"/>
            <w:right w:w="108" w:type="dxa"/>
          </w:tblCellMar>
        </w:tblPrEx>
        <w:trPr>
          <w:trHeight w:val="560" w:hRule="atLeast"/>
          <w:jc w:val="center"/>
        </w:trPr>
        <w:tc>
          <w:tcPr>
            <w:tcW w:w="944" w:type="dxa"/>
            <w:vMerge w:val="continue"/>
            <w:tcBorders>
              <w:top w:val="single" w:color="auto" w:sz="4" w:space="0"/>
              <w:left w:val="single" w:color="auto" w:sz="4" w:space="0"/>
              <w:bottom w:val="single" w:color="auto" w:sz="4" w:space="0"/>
              <w:right w:val="single" w:color="auto" w:sz="4" w:space="0"/>
            </w:tcBorders>
            <w:noWrap w:val="0"/>
            <w:vAlign w:val="center"/>
          </w:tcPr>
          <w:p w14:paraId="4578BF72">
            <w:pPr>
              <w:keepNext w:val="0"/>
              <w:keepLines w:val="0"/>
              <w:pageBreakBefore w:val="0"/>
              <w:widowControl w:val="0"/>
              <w:kinsoku/>
              <w:wordWrap/>
              <w:overflowPunct/>
              <w:topLinePunct w:val="0"/>
              <w:bidi w:val="0"/>
              <w:spacing w:line="500" w:lineRule="exact"/>
              <w:jc w:val="left"/>
              <w:rPr>
                <w:rFonts w:hint="eastAsia" w:ascii="宋体" w:hAnsi="宋体" w:cs="宋体"/>
                <w:color w:val="auto"/>
                <w:highlight w:val="none"/>
              </w:rPr>
            </w:pPr>
          </w:p>
        </w:tc>
        <w:tc>
          <w:tcPr>
            <w:tcW w:w="1310" w:type="dxa"/>
            <w:vMerge w:val="continue"/>
            <w:tcBorders>
              <w:top w:val="single" w:color="auto" w:sz="4" w:space="0"/>
              <w:left w:val="single" w:color="auto" w:sz="4" w:space="0"/>
              <w:bottom w:val="single" w:color="auto" w:sz="4" w:space="0"/>
              <w:right w:val="single" w:color="auto" w:sz="4" w:space="0"/>
            </w:tcBorders>
            <w:noWrap w:val="0"/>
            <w:vAlign w:val="center"/>
          </w:tcPr>
          <w:p w14:paraId="676806AD">
            <w:pPr>
              <w:keepNext w:val="0"/>
              <w:keepLines w:val="0"/>
              <w:pageBreakBefore w:val="0"/>
              <w:widowControl w:val="0"/>
              <w:kinsoku/>
              <w:wordWrap/>
              <w:overflowPunct/>
              <w:topLinePunct w:val="0"/>
              <w:bidi w:val="0"/>
              <w:spacing w:line="500" w:lineRule="exact"/>
              <w:jc w:val="left"/>
              <w:rPr>
                <w:rFonts w:hint="eastAsia" w:ascii="宋体" w:hAnsi="宋体" w:cs="宋体"/>
                <w:color w:val="auto"/>
                <w:kern w:val="0"/>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0EBA8483">
            <w:pPr>
              <w:pStyle w:val="35"/>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财务状况报告</w:t>
            </w:r>
          </w:p>
        </w:tc>
        <w:tc>
          <w:tcPr>
            <w:tcW w:w="5630" w:type="dxa"/>
            <w:tcBorders>
              <w:top w:val="single" w:color="auto" w:sz="4" w:space="0"/>
              <w:left w:val="single" w:color="auto" w:sz="4" w:space="0"/>
              <w:bottom w:val="single" w:color="auto" w:sz="4" w:space="0"/>
              <w:right w:val="single" w:color="auto" w:sz="4" w:space="0"/>
            </w:tcBorders>
            <w:noWrap w:val="0"/>
            <w:vAlign w:val="center"/>
          </w:tcPr>
          <w:p w14:paraId="2C871B71">
            <w:pPr>
              <w:pStyle w:val="35"/>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cs="宋体"/>
                <w:color w:val="auto"/>
                <w:highlight w:val="none"/>
              </w:rPr>
            </w:pPr>
            <w:r>
              <w:rPr>
                <w:rFonts w:hint="eastAsia" w:ascii="宋体" w:hAnsi="宋体" w:cs="宋体"/>
                <w:bCs/>
                <w:color w:val="auto"/>
                <w:kern w:val="0"/>
                <w:szCs w:val="21"/>
                <w:highlight w:val="none"/>
                <w:lang w:eastAsia="zh-CN"/>
              </w:rPr>
              <w:t>供应商2024年度财务状况报告</w:t>
            </w:r>
            <w:r>
              <w:rPr>
                <w:rFonts w:hint="eastAsia" w:ascii="宋体" w:hAnsi="宋体" w:eastAsia="宋体" w:cs="宋体"/>
                <w:b/>
                <w:bCs/>
                <w:color w:val="auto"/>
                <w:sz w:val="21"/>
                <w:szCs w:val="21"/>
                <w:highlight w:val="none"/>
                <w:lang w:val="en-US" w:eastAsia="zh-CN"/>
              </w:rPr>
              <w:t>（必须提供</w:t>
            </w:r>
            <w:r>
              <w:rPr>
                <w:rFonts w:hint="eastAsia" w:ascii="宋体" w:hAnsi="宋体" w:cs="宋体"/>
                <w:b/>
                <w:bCs/>
                <w:color w:val="auto"/>
                <w:szCs w:val="21"/>
                <w:highlight w:val="none"/>
                <w:lang w:eastAsia="zh-CN"/>
              </w:rPr>
              <w:t>，</w:t>
            </w:r>
            <w:r>
              <w:rPr>
                <w:rFonts w:ascii="宋体" w:hAnsi="宋体" w:cs="宋体"/>
                <w:b/>
                <w:bCs/>
                <w:color w:val="auto"/>
                <w:szCs w:val="21"/>
                <w:highlight w:val="none"/>
              </w:rPr>
              <w:t>可</w:t>
            </w:r>
            <w:r>
              <w:rPr>
                <w:rFonts w:hint="eastAsia" w:ascii="宋体" w:hAnsi="宋体" w:cs="宋体"/>
                <w:b/>
                <w:bCs/>
                <w:color w:val="auto"/>
                <w:szCs w:val="21"/>
                <w:highlight w:val="none"/>
                <w:lang w:eastAsia="zh-CN"/>
              </w:rPr>
              <w:t>以是磋商供应商</w:t>
            </w:r>
            <w:r>
              <w:rPr>
                <w:rFonts w:ascii="宋体" w:hAnsi="宋体" w:cs="宋体"/>
                <w:b/>
                <w:bCs/>
                <w:color w:val="auto"/>
                <w:szCs w:val="21"/>
                <w:highlight w:val="none"/>
              </w:rPr>
              <w:t>自行编制也可</w:t>
            </w:r>
            <w:r>
              <w:rPr>
                <w:rFonts w:hint="eastAsia" w:ascii="宋体" w:hAnsi="宋体" w:cs="宋体"/>
                <w:b/>
                <w:bCs/>
                <w:color w:val="auto"/>
                <w:szCs w:val="21"/>
                <w:highlight w:val="none"/>
                <w:lang w:eastAsia="zh-CN"/>
              </w:rPr>
              <w:t>是</w:t>
            </w:r>
            <w:r>
              <w:rPr>
                <w:rFonts w:ascii="宋体" w:hAnsi="宋体" w:cs="宋体"/>
                <w:b/>
                <w:bCs/>
                <w:color w:val="auto"/>
                <w:szCs w:val="21"/>
                <w:highlight w:val="none"/>
              </w:rPr>
              <w:t>通过</w:t>
            </w:r>
            <w:r>
              <w:rPr>
                <w:rFonts w:hint="eastAsia" w:ascii="宋体" w:hAnsi="宋体" w:cs="宋体"/>
                <w:b/>
                <w:bCs/>
                <w:color w:val="auto"/>
                <w:szCs w:val="21"/>
                <w:highlight w:val="none"/>
                <w:lang w:eastAsia="zh-CN"/>
              </w:rPr>
              <w:t>第三方</w:t>
            </w:r>
            <w:r>
              <w:rPr>
                <w:rFonts w:ascii="宋体" w:hAnsi="宋体" w:cs="宋体"/>
                <w:b/>
                <w:bCs/>
                <w:color w:val="auto"/>
                <w:szCs w:val="21"/>
                <w:highlight w:val="none"/>
              </w:rPr>
              <w:t>审计公司编制，如为自行编制至少须提供现金流量表、负债表及利润表</w:t>
            </w:r>
            <w:r>
              <w:rPr>
                <w:rFonts w:hint="eastAsia" w:ascii="宋体" w:hAnsi="宋体" w:eastAsia="宋体" w:cs="宋体"/>
                <w:b/>
                <w:bCs/>
                <w:color w:val="auto"/>
                <w:sz w:val="21"/>
                <w:szCs w:val="21"/>
                <w:highlight w:val="none"/>
                <w:lang w:val="en-US" w:eastAsia="zh-CN"/>
              </w:rPr>
              <w:t>）</w:t>
            </w:r>
          </w:p>
        </w:tc>
      </w:tr>
      <w:tr w14:paraId="6927F285">
        <w:tblPrEx>
          <w:tblCellMar>
            <w:top w:w="0" w:type="dxa"/>
            <w:left w:w="108" w:type="dxa"/>
            <w:bottom w:w="0" w:type="dxa"/>
            <w:right w:w="108" w:type="dxa"/>
          </w:tblCellMar>
        </w:tblPrEx>
        <w:trPr>
          <w:trHeight w:val="514" w:hRule="atLeast"/>
          <w:jc w:val="center"/>
        </w:trPr>
        <w:tc>
          <w:tcPr>
            <w:tcW w:w="944" w:type="dxa"/>
            <w:vMerge w:val="continue"/>
            <w:tcBorders>
              <w:top w:val="single" w:color="auto" w:sz="4" w:space="0"/>
              <w:left w:val="single" w:color="auto" w:sz="4" w:space="0"/>
              <w:bottom w:val="single" w:color="auto" w:sz="4" w:space="0"/>
              <w:right w:val="single" w:color="auto" w:sz="4" w:space="0"/>
            </w:tcBorders>
            <w:noWrap w:val="0"/>
            <w:vAlign w:val="center"/>
          </w:tcPr>
          <w:p w14:paraId="7FD70340">
            <w:pPr>
              <w:keepNext w:val="0"/>
              <w:keepLines w:val="0"/>
              <w:pageBreakBefore w:val="0"/>
              <w:widowControl w:val="0"/>
              <w:kinsoku/>
              <w:wordWrap/>
              <w:overflowPunct/>
              <w:topLinePunct w:val="0"/>
              <w:bidi w:val="0"/>
              <w:spacing w:line="500" w:lineRule="exact"/>
              <w:jc w:val="left"/>
              <w:rPr>
                <w:rFonts w:hint="eastAsia" w:ascii="宋体" w:hAnsi="宋体" w:cs="宋体"/>
                <w:color w:val="auto"/>
                <w:highlight w:val="none"/>
              </w:rPr>
            </w:pPr>
          </w:p>
        </w:tc>
        <w:tc>
          <w:tcPr>
            <w:tcW w:w="1310" w:type="dxa"/>
            <w:vMerge w:val="continue"/>
            <w:tcBorders>
              <w:top w:val="single" w:color="auto" w:sz="4" w:space="0"/>
              <w:left w:val="single" w:color="auto" w:sz="4" w:space="0"/>
              <w:bottom w:val="single" w:color="auto" w:sz="4" w:space="0"/>
              <w:right w:val="single" w:color="auto" w:sz="4" w:space="0"/>
            </w:tcBorders>
            <w:noWrap w:val="0"/>
            <w:vAlign w:val="center"/>
          </w:tcPr>
          <w:p w14:paraId="25F5FC53">
            <w:pPr>
              <w:keepNext w:val="0"/>
              <w:keepLines w:val="0"/>
              <w:pageBreakBefore w:val="0"/>
              <w:widowControl w:val="0"/>
              <w:kinsoku/>
              <w:wordWrap/>
              <w:overflowPunct/>
              <w:topLinePunct w:val="0"/>
              <w:bidi w:val="0"/>
              <w:spacing w:line="500" w:lineRule="exact"/>
              <w:jc w:val="left"/>
              <w:rPr>
                <w:rFonts w:hint="eastAsia" w:ascii="宋体" w:hAnsi="宋体" w:cs="宋体"/>
                <w:color w:val="auto"/>
                <w:kern w:val="0"/>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10306D8E">
            <w:pPr>
              <w:pStyle w:val="35"/>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依法纳税证明材料</w:t>
            </w:r>
          </w:p>
        </w:tc>
        <w:tc>
          <w:tcPr>
            <w:tcW w:w="5630" w:type="dxa"/>
            <w:tcBorders>
              <w:top w:val="single" w:color="auto" w:sz="4" w:space="0"/>
              <w:left w:val="single" w:color="auto" w:sz="4" w:space="0"/>
              <w:bottom w:val="single" w:color="auto" w:sz="4" w:space="0"/>
              <w:right w:val="single" w:color="auto" w:sz="4" w:space="0"/>
            </w:tcBorders>
            <w:noWrap w:val="0"/>
            <w:vAlign w:val="center"/>
          </w:tcPr>
          <w:p w14:paraId="767EA452">
            <w:pPr>
              <w:pStyle w:val="35"/>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cs="宋体"/>
                <w:color w:val="auto"/>
                <w:highlight w:val="none"/>
                <w:lang w:val="en-US" w:eastAsia="zh-CN"/>
              </w:rPr>
            </w:pPr>
            <w:r>
              <w:rPr>
                <w:rFonts w:hint="eastAsia" w:ascii="宋体" w:hAnsi="宋体" w:cs="宋体"/>
                <w:color w:val="auto"/>
                <w:szCs w:val="21"/>
                <w:highlight w:val="none"/>
                <w:lang w:eastAsia="zh-CN"/>
              </w:rPr>
              <w:t>供应商近半年内任意一个月依法缴纳税收的证明材料[增值税缴纳发票(税收完税证明)或企业所得税完税证明或税务部门出具的免税证明]复印件</w:t>
            </w:r>
            <w:r>
              <w:rPr>
                <w:rFonts w:hint="eastAsia" w:ascii="宋体" w:hAnsi="宋体" w:eastAsia="宋体" w:cs="宋体"/>
                <w:color w:val="auto"/>
                <w:szCs w:val="21"/>
                <w:highlight w:val="none"/>
              </w:rPr>
              <w:t>(税收完税证明)或企业所得税完税证明或税务部门出具的免税证明</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复印件</w:t>
            </w:r>
            <w:r>
              <w:rPr>
                <w:rFonts w:hint="eastAsia" w:ascii="宋体" w:hAnsi="宋体" w:eastAsia="宋体" w:cs="宋体"/>
                <w:b/>
                <w:bCs/>
                <w:color w:val="auto"/>
                <w:szCs w:val="21"/>
                <w:highlight w:val="none"/>
              </w:rPr>
              <w:t>（必须提供）</w:t>
            </w:r>
          </w:p>
        </w:tc>
      </w:tr>
      <w:tr w14:paraId="7A52A03F">
        <w:tblPrEx>
          <w:tblCellMar>
            <w:top w:w="0" w:type="dxa"/>
            <w:left w:w="108" w:type="dxa"/>
            <w:bottom w:w="0" w:type="dxa"/>
            <w:right w:w="108" w:type="dxa"/>
          </w:tblCellMar>
        </w:tblPrEx>
        <w:trPr>
          <w:trHeight w:val="487" w:hRule="atLeast"/>
          <w:jc w:val="center"/>
        </w:trPr>
        <w:tc>
          <w:tcPr>
            <w:tcW w:w="944" w:type="dxa"/>
            <w:vMerge w:val="restart"/>
            <w:tcBorders>
              <w:top w:val="single" w:color="auto" w:sz="4" w:space="0"/>
              <w:left w:val="single" w:color="auto" w:sz="4" w:space="0"/>
              <w:bottom w:val="single" w:color="auto" w:sz="4" w:space="0"/>
              <w:right w:val="single" w:color="auto" w:sz="4" w:space="0"/>
            </w:tcBorders>
            <w:noWrap w:val="0"/>
            <w:vAlign w:val="center"/>
          </w:tcPr>
          <w:p w14:paraId="539C202C">
            <w:pPr>
              <w:keepNext w:val="0"/>
              <w:keepLines w:val="0"/>
              <w:pageBreakBefore w:val="0"/>
              <w:widowControl w:val="0"/>
              <w:kinsoku/>
              <w:wordWrap/>
              <w:overflowPunct/>
              <w:topLinePunct w:val="0"/>
              <w:bidi w:val="0"/>
              <w:spacing w:line="500" w:lineRule="exact"/>
              <w:jc w:val="center"/>
              <w:rPr>
                <w:rFonts w:hint="eastAsia" w:ascii="宋体" w:hAnsi="宋体" w:cs="宋体"/>
                <w:b/>
                <w:color w:val="auto"/>
                <w:highlight w:val="none"/>
              </w:rPr>
            </w:pPr>
            <w:r>
              <w:rPr>
                <w:rFonts w:hint="eastAsia" w:ascii="宋体" w:hAnsi="宋体" w:cs="宋体"/>
                <w:bCs/>
                <w:color w:val="auto"/>
                <w:highlight w:val="none"/>
              </w:rPr>
              <w:t>2.1.2</w:t>
            </w:r>
          </w:p>
        </w:tc>
        <w:tc>
          <w:tcPr>
            <w:tcW w:w="1310" w:type="dxa"/>
            <w:vMerge w:val="restart"/>
            <w:tcBorders>
              <w:top w:val="single" w:color="auto" w:sz="4" w:space="0"/>
              <w:left w:val="single" w:color="auto" w:sz="4" w:space="0"/>
              <w:bottom w:val="single" w:color="auto" w:sz="4" w:space="0"/>
              <w:right w:val="single" w:color="auto" w:sz="4" w:space="0"/>
            </w:tcBorders>
            <w:noWrap w:val="0"/>
            <w:vAlign w:val="center"/>
          </w:tcPr>
          <w:p w14:paraId="337C2BCC">
            <w:pPr>
              <w:keepNext w:val="0"/>
              <w:keepLines w:val="0"/>
              <w:pageBreakBefore w:val="0"/>
              <w:widowControl w:val="0"/>
              <w:kinsoku/>
              <w:wordWrap/>
              <w:overflowPunct/>
              <w:topLinePunct w:val="0"/>
              <w:bidi w:val="0"/>
              <w:spacing w:line="500" w:lineRule="exact"/>
              <w:jc w:val="center"/>
              <w:rPr>
                <w:rFonts w:hint="eastAsia" w:ascii="宋体" w:hAnsi="宋体" w:eastAsia="宋体" w:cs="宋体"/>
                <w:color w:val="auto"/>
                <w:highlight w:val="none"/>
                <w:lang w:eastAsia="zh-CN"/>
              </w:rPr>
            </w:pPr>
            <w:r>
              <w:rPr>
                <w:rFonts w:hint="eastAsia" w:ascii="宋体" w:hAnsi="宋体" w:cs="宋体"/>
                <w:color w:val="auto"/>
                <w:highlight w:val="none"/>
                <w:lang w:eastAsia="zh-CN"/>
              </w:rPr>
              <w:t>符合性评审</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3212A3A9">
            <w:pPr>
              <w:keepNext w:val="0"/>
              <w:keepLines w:val="0"/>
              <w:pageBreakBefore w:val="0"/>
              <w:widowControl w:val="0"/>
              <w:kinsoku/>
              <w:wordWrap/>
              <w:overflowPunct/>
              <w:topLinePunct w:val="0"/>
              <w:bidi w:val="0"/>
              <w:spacing w:line="500" w:lineRule="exact"/>
              <w:jc w:val="center"/>
              <w:rPr>
                <w:rFonts w:hint="eastAsia" w:ascii="宋体" w:hAnsi="宋体" w:cs="宋体"/>
                <w:b/>
                <w:bCs/>
                <w:color w:val="auto"/>
                <w:highlight w:val="none"/>
              </w:rPr>
            </w:pPr>
            <w:r>
              <w:rPr>
                <w:rFonts w:hint="eastAsia" w:ascii="宋体" w:hAnsi="宋体" w:cs="宋体"/>
                <w:b/>
                <w:bCs/>
                <w:color w:val="auto"/>
                <w:highlight w:val="none"/>
              </w:rPr>
              <w:t>评审因素</w:t>
            </w:r>
          </w:p>
        </w:tc>
        <w:tc>
          <w:tcPr>
            <w:tcW w:w="5630" w:type="dxa"/>
            <w:tcBorders>
              <w:top w:val="single" w:color="auto" w:sz="4" w:space="0"/>
              <w:left w:val="single" w:color="auto" w:sz="4" w:space="0"/>
              <w:bottom w:val="single" w:color="auto" w:sz="4" w:space="0"/>
              <w:right w:val="single" w:color="auto" w:sz="4" w:space="0"/>
            </w:tcBorders>
            <w:noWrap w:val="0"/>
            <w:vAlign w:val="center"/>
          </w:tcPr>
          <w:p w14:paraId="2B4D59AF">
            <w:pPr>
              <w:pStyle w:val="35"/>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s="宋体"/>
                <w:b/>
                <w:color w:val="auto"/>
                <w:highlight w:val="none"/>
              </w:rPr>
            </w:pPr>
            <w:r>
              <w:rPr>
                <w:rFonts w:hint="eastAsia" w:ascii="宋体" w:hAnsi="宋体" w:cs="宋体"/>
                <w:b/>
                <w:color w:val="auto"/>
                <w:highlight w:val="none"/>
              </w:rPr>
              <w:t>评审标准</w:t>
            </w:r>
          </w:p>
          <w:p w14:paraId="7EF34DD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b/>
                <w:bCs/>
                <w:color w:val="auto"/>
                <w:highlight w:val="none"/>
              </w:rPr>
            </w:pPr>
            <w:r>
              <w:rPr>
                <w:rFonts w:hint="eastAsia" w:ascii="宋体" w:hAnsi="宋体" w:cs="宋体"/>
                <w:b/>
                <w:bCs/>
                <w:color w:val="auto"/>
                <w:highlight w:val="none"/>
              </w:rPr>
              <w:t>（合格标准：缺少任何一项或有任何一项不合格者，其资格</w:t>
            </w:r>
            <w:r>
              <w:rPr>
                <w:rFonts w:hint="eastAsia" w:ascii="宋体" w:hAnsi="宋体" w:cs="宋体"/>
                <w:b/>
                <w:bCs/>
                <w:color w:val="auto"/>
                <w:highlight w:val="none"/>
                <w:lang w:eastAsia="zh-CN"/>
              </w:rPr>
              <w:t>评审</w:t>
            </w:r>
            <w:r>
              <w:rPr>
                <w:rFonts w:hint="eastAsia" w:ascii="宋体" w:hAnsi="宋体" w:cs="宋体"/>
                <w:b/>
                <w:bCs/>
                <w:color w:val="auto"/>
                <w:highlight w:val="none"/>
              </w:rPr>
              <w:t>视为不合格）</w:t>
            </w:r>
          </w:p>
        </w:tc>
      </w:tr>
      <w:tr w14:paraId="58114D8B">
        <w:tblPrEx>
          <w:tblCellMar>
            <w:top w:w="0" w:type="dxa"/>
            <w:left w:w="108" w:type="dxa"/>
            <w:bottom w:w="0" w:type="dxa"/>
            <w:right w:w="108" w:type="dxa"/>
          </w:tblCellMar>
        </w:tblPrEx>
        <w:trPr>
          <w:trHeight w:val="515" w:hRule="atLeast"/>
          <w:jc w:val="center"/>
        </w:trPr>
        <w:tc>
          <w:tcPr>
            <w:tcW w:w="944" w:type="dxa"/>
            <w:vMerge w:val="continue"/>
            <w:tcBorders>
              <w:top w:val="single" w:color="auto" w:sz="4" w:space="0"/>
              <w:left w:val="single" w:color="auto" w:sz="4" w:space="0"/>
              <w:bottom w:val="single" w:color="auto" w:sz="4" w:space="0"/>
              <w:right w:val="single" w:color="000000" w:sz="4" w:space="0"/>
            </w:tcBorders>
            <w:noWrap w:val="0"/>
            <w:vAlign w:val="center"/>
          </w:tcPr>
          <w:p w14:paraId="53316341">
            <w:pPr>
              <w:keepNext w:val="0"/>
              <w:keepLines w:val="0"/>
              <w:pageBreakBefore w:val="0"/>
              <w:widowControl w:val="0"/>
              <w:kinsoku/>
              <w:wordWrap/>
              <w:overflowPunct/>
              <w:topLinePunct w:val="0"/>
              <w:bidi w:val="0"/>
              <w:spacing w:line="500" w:lineRule="exact"/>
              <w:rPr>
                <w:rFonts w:hint="eastAsia" w:ascii="宋体" w:hAnsi="宋体" w:cs="宋体"/>
                <w:color w:val="auto"/>
                <w:highlight w:val="none"/>
              </w:rPr>
            </w:pPr>
          </w:p>
        </w:tc>
        <w:tc>
          <w:tcPr>
            <w:tcW w:w="1310" w:type="dxa"/>
            <w:vMerge w:val="continue"/>
            <w:tcBorders>
              <w:top w:val="single" w:color="auto" w:sz="4" w:space="0"/>
              <w:left w:val="single" w:color="000000" w:sz="4" w:space="0"/>
              <w:bottom w:val="single" w:color="auto" w:sz="4" w:space="0"/>
              <w:right w:val="single" w:color="000000" w:sz="4" w:space="0"/>
            </w:tcBorders>
            <w:noWrap w:val="0"/>
            <w:vAlign w:val="center"/>
          </w:tcPr>
          <w:p w14:paraId="230D0365">
            <w:pPr>
              <w:keepNext w:val="0"/>
              <w:keepLines w:val="0"/>
              <w:pageBreakBefore w:val="0"/>
              <w:widowControl w:val="0"/>
              <w:kinsoku/>
              <w:wordWrap/>
              <w:overflowPunct/>
              <w:topLinePunct w:val="0"/>
              <w:bidi w:val="0"/>
              <w:spacing w:line="500" w:lineRule="exact"/>
              <w:rPr>
                <w:rFonts w:hint="eastAsia" w:ascii="宋体" w:hAnsi="宋体" w:cs="宋体"/>
                <w:color w:val="auto"/>
                <w:highlight w:val="none"/>
              </w:rPr>
            </w:pPr>
          </w:p>
        </w:tc>
        <w:tc>
          <w:tcPr>
            <w:tcW w:w="2064" w:type="dxa"/>
            <w:tcBorders>
              <w:top w:val="single" w:color="auto" w:sz="4" w:space="0"/>
              <w:left w:val="single" w:color="000000" w:sz="4" w:space="0"/>
              <w:bottom w:val="single" w:color="000000" w:sz="4" w:space="0"/>
              <w:right w:val="single" w:color="000000" w:sz="4" w:space="0"/>
            </w:tcBorders>
            <w:noWrap w:val="0"/>
            <w:vAlign w:val="center"/>
          </w:tcPr>
          <w:p w14:paraId="3FB22D6C">
            <w:pPr>
              <w:pStyle w:val="35"/>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响应函</w:t>
            </w:r>
          </w:p>
        </w:tc>
        <w:tc>
          <w:tcPr>
            <w:tcW w:w="5630" w:type="dxa"/>
            <w:tcBorders>
              <w:top w:val="single" w:color="auto" w:sz="4" w:space="0"/>
              <w:left w:val="single" w:color="000000" w:sz="4" w:space="0"/>
              <w:bottom w:val="single" w:color="000000" w:sz="4" w:space="0"/>
              <w:right w:val="single" w:color="000000" w:sz="4" w:space="0"/>
            </w:tcBorders>
            <w:noWrap w:val="0"/>
            <w:vAlign w:val="center"/>
          </w:tcPr>
          <w:p w14:paraId="6346E722">
            <w:pPr>
              <w:pStyle w:val="35"/>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cs="宋体"/>
                <w:color w:val="auto"/>
                <w:highlight w:val="none"/>
                <w:lang w:eastAsia="zh-CN"/>
              </w:rPr>
            </w:pPr>
            <w:r>
              <w:rPr>
                <w:rFonts w:hint="eastAsia" w:ascii="宋体" w:hAnsi="宋体" w:cs="宋体"/>
                <w:color w:val="auto"/>
                <w:highlight w:val="none"/>
                <w:lang w:eastAsia="zh-CN"/>
              </w:rPr>
              <w:t>必须提供</w:t>
            </w:r>
          </w:p>
        </w:tc>
      </w:tr>
      <w:tr w14:paraId="0BF14CEF">
        <w:tblPrEx>
          <w:tblCellMar>
            <w:top w:w="0" w:type="dxa"/>
            <w:left w:w="108" w:type="dxa"/>
            <w:bottom w:w="0" w:type="dxa"/>
            <w:right w:w="108" w:type="dxa"/>
          </w:tblCellMar>
        </w:tblPrEx>
        <w:trPr>
          <w:trHeight w:val="546" w:hRule="atLeast"/>
          <w:jc w:val="center"/>
        </w:trPr>
        <w:tc>
          <w:tcPr>
            <w:tcW w:w="944" w:type="dxa"/>
            <w:vMerge w:val="continue"/>
            <w:tcBorders>
              <w:top w:val="single" w:color="auto" w:sz="4" w:space="0"/>
              <w:left w:val="single" w:color="auto" w:sz="4" w:space="0"/>
              <w:bottom w:val="single" w:color="auto" w:sz="4" w:space="0"/>
              <w:right w:val="single" w:color="000000" w:sz="4" w:space="0"/>
            </w:tcBorders>
            <w:noWrap w:val="0"/>
            <w:vAlign w:val="center"/>
          </w:tcPr>
          <w:p w14:paraId="7CE9E113">
            <w:pPr>
              <w:keepNext w:val="0"/>
              <w:keepLines w:val="0"/>
              <w:pageBreakBefore w:val="0"/>
              <w:widowControl w:val="0"/>
              <w:kinsoku/>
              <w:wordWrap/>
              <w:overflowPunct/>
              <w:topLinePunct w:val="0"/>
              <w:bidi w:val="0"/>
              <w:spacing w:line="500" w:lineRule="exact"/>
              <w:jc w:val="left"/>
              <w:rPr>
                <w:rFonts w:hint="eastAsia" w:ascii="宋体" w:hAnsi="宋体" w:cs="宋体"/>
                <w:color w:val="auto"/>
                <w:highlight w:val="none"/>
              </w:rPr>
            </w:pPr>
          </w:p>
        </w:tc>
        <w:tc>
          <w:tcPr>
            <w:tcW w:w="1310" w:type="dxa"/>
            <w:vMerge w:val="continue"/>
            <w:tcBorders>
              <w:top w:val="single" w:color="auto" w:sz="4" w:space="0"/>
              <w:left w:val="single" w:color="000000" w:sz="4" w:space="0"/>
              <w:bottom w:val="single" w:color="auto" w:sz="4" w:space="0"/>
              <w:right w:val="single" w:color="000000" w:sz="4" w:space="0"/>
            </w:tcBorders>
            <w:noWrap w:val="0"/>
            <w:vAlign w:val="center"/>
          </w:tcPr>
          <w:p w14:paraId="5C2C7A11">
            <w:pPr>
              <w:keepNext w:val="0"/>
              <w:keepLines w:val="0"/>
              <w:pageBreakBefore w:val="0"/>
              <w:widowControl w:val="0"/>
              <w:kinsoku/>
              <w:wordWrap/>
              <w:overflowPunct/>
              <w:topLinePunct w:val="0"/>
              <w:bidi w:val="0"/>
              <w:spacing w:line="500" w:lineRule="exact"/>
              <w:jc w:val="left"/>
              <w:rPr>
                <w:rFonts w:hint="eastAsia" w:ascii="宋体" w:hAnsi="宋体" w:cs="宋体"/>
                <w:color w:val="auto"/>
                <w:highlight w:val="none"/>
              </w:rPr>
            </w:pPr>
          </w:p>
        </w:tc>
        <w:tc>
          <w:tcPr>
            <w:tcW w:w="2064" w:type="dxa"/>
            <w:tcBorders>
              <w:top w:val="single" w:color="000000" w:sz="4" w:space="0"/>
              <w:left w:val="single" w:color="000000" w:sz="4" w:space="0"/>
              <w:bottom w:val="single" w:color="000000" w:sz="4" w:space="0"/>
              <w:right w:val="single" w:color="000000" w:sz="4" w:space="0"/>
            </w:tcBorders>
            <w:noWrap w:val="0"/>
            <w:vAlign w:val="center"/>
          </w:tcPr>
          <w:p w14:paraId="0247AE93">
            <w:pPr>
              <w:pStyle w:val="35"/>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工程报价汇总表</w:t>
            </w:r>
          </w:p>
        </w:tc>
        <w:tc>
          <w:tcPr>
            <w:tcW w:w="5630" w:type="dxa"/>
            <w:tcBorders>
              <w:top w:val="single" w:color="000000" w:sz="4" w:space="0"/>
              <w:left w:val="single" w:color="000000" w:sz="4" w:space="0"/>
              <w:bottom w:val="single" w:color="000000" w:sz="4" w:space="0"/>
              <w:right w:val="single" w:color="000000" w:sz="4" w:space="0"/>
            </w:tcBorders>
            <w:noWrap w:val="0"/>
            <w:vAlign w:val="center"/>
          </w:tcPr>
          <w:p w14:paraId="1CCF0C6C">
            <w:pPr>
              <w:pStyle w:val="35"/>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cs="宋体"/>
                <w:color w:val="auto"/>
                <w:highlight w:val="none"/>
                <w:lang w:eastAsia="zh-CN"/>
              </w:rPr>
            </w:pPr>
            <w:r>
              <w:rPr>
                <w:rFonts w:hint="eastAsia" w:ascii="宋体" w:hAnsi="宋体" w:cs="宋体"/>
                <w:color w:val="auto"/>
                <w:highlight w:val="none"/>
                <w:lang w:eastAsia="zh-CN"/>
              </w:rPr>
              <w:t>必须提供</w:t>
            </w:r>
          </w:p>
        </w:tc>
      </w:tr>
      <w:tr w14:paraId="0CF682E8">
        <w:tblPrEx>
          <w:tblCellMar>
            <w:top w:w="0" w:type="dxa"/>
            <w:left w:w="108" w:type="dxa"/>
            <w:bottom w:w="0" w:type="dxa"/>
            <w:right w:w="108" w:type="dxa"/>
          </w:tblCellMar>
        </w:tblPrEx>
        <w:trPr>
          <w:trHeight w:val="525" w:hRule="atLeast"/>
          <w:jc w:val="center"/>
        </w:trPr>
        <w:tc>
          <w:tcPr>
            <w:tcW w:w="944" w:type="dxa"/>
            <w:vMerge w:val="continue"/>
            <w:tcBorders>
              <w:top w:val="single" w:color="auto" w:sz="4" w:space="0"/>
              <w:left w:val="single" w:color="auto" w:sz="4" w:space="0"/>
              <w:bottom w:val="single" w:color="auto" w:sz="4" w:space="0"/>
              <w:right w:val="single" w:color="000000" w:sz="4" w:space="0"/>
            </w:tcBorders>
            <w:noWrap w:val="0"/>
            <w:vAlign w:val="center"/>
          </w:tcPr>
          <w:p w14:paraId="480D3CFB">
            <w:pPr>
              <w:keepNext w:val="0"/>
              <w:keepLines w:val="0"/>
              <w:pageBreakBefore w:val="0"/>
              <w:widowControl w:val="0"/>
              <w:kinsoku/>
              <w:wordWrap/>
              <w:overflowPunct/>
              <w:topLinePunct w:val="0"/>
              <w:bidi w:val="0"/>
              <w:spacing w:line="500" w:lineRule="exact"/>
              <w:jc w:val="left"/>
              <w:rPr>
                <w:rFonts w:hint="eastAsia" w:ascii="宋体" w:hAnsi="宋体" w:cs="宋体"/>
                <w:color w:val="auto"/>
                <w:highlight w:val="none"/>
              </w:rPr>
            </w:pPr>
          </w:p>
        </w:tc>
        <w:tc>
          <w:tcPr>
            <w:tcW w:w="1310" w:type="dxa"/>
            <w:vMerge w:val="continue"/>
            <w:tcBorders>
              <w:top w:val="single" w:color="auto" w:sz="4" w:space="0"/>
              <w:left w:val="single" w:color="000000" w:sz="4" w:space="0"/>
              <w:bottom w:val="single" w:color="auto" w:sz="4" w:space="0"/>
              <w:right w:val="single" w:color="000000" w:sz="4" w:space="0"/>
            </w:tcBorders>
            <w:noWrap w:val="0"/>
            <w:vAlign w:val="center"/>
          </w:tcPr>
          <w:p w14:paraId="0B50044F">
            <w:pPr>
              <w:keepNext w:val="0"/>
              <w:keepLines w:val="0"/>
              <w:pageBreakBefore w:val="0"/>
              <w:widowControl w:val="0"/>
              <w:kinsoku/>
              <w:wordWrap/>
              <w:overflowPunct/>
              <w:topLinePunct w:val="0"/>
              <w:bidi w:val="0"/>
              <w:spacing w:line="500" w:lineRule="exact"/>
              <w:jc w:val="left"/>
              <w:rPr>
                <w:rFonts w:hint="eastAsia" w:ascii="宋体" w:hAnsi="宋体" w:cs="宋体"/>
                <w:color w:val="auto"/>
                <w:highlight w:val="none"/>
              </w:rPr>
            </w:pPr>
          </w:p>
        </w:tc>
        <w:tc>
          <w:tcPr>
            <w:tcW w:w="2064" w:type="dxa"/>
            <w:tcBorders>
              <w:top w:val="single" w:color="000000" w:sz="4" w:space="0"/>
              <w:left w:val="single" w:color="000000" w:sz="4" w:space="0"/>
              <w:bottom w:val="single" w:color="auto" w:sz="4" w:space="0"/>
              <w:right w:val="single" w:color="000000" w:sz="4" w:space="0"/>
            </w:tcBorders>
            <w:noWrap w:val="0"/>
            <w:vAlign w:val="center"/>
          </w:tcPr>
          <w:p w14:paraId="6744E720">
            <w:pPr>
              <w:pStyle w:val="35"/>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已标价工程量清单</w:t>
            </w:r>
          </w:p>
        </w:tc>
        <w:tc>
          <w:tcPr>
            <w:tcW w:w="5630" w:type="dxa"/>
            <w:tcBorders>
              <w:top w:val="single" w:color="000000" w:sz="4" w:space="0"/>
              <w:left w:val="single" w:color="000000" w:sz="4" w:space="0"/>
              <w:bottom w:val="single" w:color="000000" w:sz="4" w:space="0"/>
              <w:right w:val="single" w:color="000000" w:sz="4" w:space="0"/>
            </w:tcBorders>
            <w:noWrap w:val="0"/>
            <w:vAlign w:val="center"/>
          </w:tcPr>
          <w:p w14:paraId="40337B9B">
            <w:pPr>
              <w:pStyle w:val="35"/>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cs="宋体"/>
                <w:color w:val="auto"/>
                <w:highlight w:val="none"/>
                <w:lang w:eastAsia="zh-CN"/>
              </w:rPr>
            </w:pPr>
            <w:r>
              <w:rPr>
                <w:rFonts w:hint="eastAsia" w:ascii="宋体" w:hAnsi="宋体" w:cs="宋体"/>
                <w:color w:val="auto"/>
                <w:highlight w:val="none"/>
                <w:lang w:eastAsia="zh-CN"/>
              </w:rPr>
              <w:t>必须提供</w:t>
            </w:r>
          </w:p>
        </w:tc>
      </w:tr>
      <w:tr w14:paraId="107FD67F">
        <w:tblPrEx>
          <w:tblCellMar>
            <w:top w:w="0" w:type="dxa"/>
            <w:left w:w="108" w:type="dxa"/>
            <w:bottom w:w="0" w:type="dxa"/>
            <w:right w:w="108" w:type="dxa"/>
          </w:tblCellMar>
        </w:tblPrEx>
        <w:trPr>
          <w:trHeight w:val="491" w:hRule="atLeast"/>
          <w:jc w:val="center"/>
        </w:trPr>
        <w:tc>
          <w:tcPr>
            <w:tcW w:w="944" w:type="dxa"/>
            <w:vMerge w:val="continue"/>
            <w:tcBorders>
              <w:top w:val="single" w:color="auto" w:sz="4" w:space="0"/>
              <w:left w:val="single" w:color="auto" w:sz="4" w:space="0"/>
              <w:bottom w:val="single" w:color="auto" w:sz="4" w:space="0"/>
              <w:right w:val="single" w:color="000000" w:sz="4" w:space="0"/>
            </w:tcBorders>
            <w:noWrap w:val="0"/>
            <w:vAlign w:val="center"/>
          </w:tcPr>
          <w:p w14:paraId="49EE3517">
            <w:pPr>
              <w:keepNext w:val="0"/>
              <w:keepLines w:val="0"/>
              <w:pageBreakBefore w:val="0"/>
              <w:widowControl w:val="0"/>
              <w:kinsoku/>
              <w:wordWrap/>
              <w:overflowPunct/>
              <w:topLinePunct w:val="0"/>
              <w:bidi w:val="0"/>
              <w:spacing w:line="500" w:lineRule="exact"/>
              <w:jc w:val="left"/>
              <w:rPr>
                <w:rFonts w:hint="eastAsia" w:ascii="宋体" w:hAnsi="宋体" w:cs="宋体"/>
                <w:color w:val="auto"/>
                <w:highlight w:val="none"/>
              </w:rPr>
            </w:pPr>
          </w:p>
        </w:tc>
        <w:tc>
          <w:tcPr>
            <w:tcW w:w="1310" w:type="dxa"/>
            <w:vMerge w:val="continue"/>
            <w:tcBorders>
              <w:top w:val="single" w:color="auto" w:sz="4" w:space="0"/>
              <w:left w:val="single" w:color="000000" w:sz="4" w:space="0"/>
              <w:bottom w:val="single" w:color="auto" w:sz="4" w:space="0"/>
              <w:right w:val="single" w:color="000000" w:sz="4" w:space="0"/>
            </w:tcBorders>
            <w:noWrap w:val="0"/>
            <w:vAlign w:val="center"/>
          </w:tcPr>
          <w:p w14:paraId="7C931314">
            <w:pPr>
              <w:keepNext w:val="0"/>
              <w:keepLines w:val="0"/>
              <w:pageBreakBefore w:val="0"/>
              <w:widowControl w:val="0"/>
              <w:kinsoku/>
              <w:wordWrap/>
              <w:overflowPunct/>
              <w:topLinePunct w:val="0"/>
              <w:bidi w:val="0"/>
              <w:spacing w:line="500" w:lineRule="exact"/>
              <w:jc w:val="left"/>
              <w:rPr>
                <w:rFonts w:hint="eastAsia" w:ascii="宋体" w:hAnsi="宋体" w:cs="宋体"/>
                <w:color w:val="auto"/>
                <w:highlight w:val="none"/>
              </w:rPr>
            </w:pPr>
          </w:p>
        </w:tc>
        <w:tc>
          <w:tcPr>
            <w:tcW w:w="2064" w:type="dxa"/>
            <w:tcBorders>
              <w:top w:val="single" w:color="auto" w:sz="4" w:space="0"/>
              <w:left w:val="single" w:color="000000" w:sz="4" w:space="0"/>
              <w:bottom w:val="single" w:color="auto" w:sz="4" w:space="0"/>
              <w:right w:val="single" w:color="000000" w:sz="4" w:space="0"/>
            </w:tcBorders>
            <w:noWrap w:val="0"/>
            <w:vAlign w:val="center"/>
          </w:tcPr>
          <w:p w14:paraId="340263B6">
            <w:pPr>
              <w:pStyle w:val="35"/>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拟投入主要施工管理人员</w:t>
            </w:r>
          </w:p>
        </w:tc>
        <w:tc>
          <w:tcPr>
            <w:tcW w:w="5630" w:type="dxa"/>
            <w:tcBorders>
              <w:top w:val="single" w:color="000000" w:sz="4" w:space="0"/>
              <w:left w:val="single" w:color="000000" w:sz="4" w:space="0"/>
              <w:bottom w:val="single" w:color="auto" w:sz="4" w:space="0"/>
              <w:right w:val="single" w:color="000000" w:sz="4" w:space="0"/>
            </w:tcBorders>
            <w:noWrap w:val="0"/>
            <w:vAlign w:val="center"/>
          </w:tcPr>
          <w:p w14:paraId="26585F4B">
            <w:pPr>
              <w:pStyle w:val="35"/>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cs="宋体"/>
                <w:color w:val="auto"/>
                <w:highlight w:val="none"/>
                <w:lang w:eastAsia="zh-CN"/>
              </w:rPr>
            </w:pPr>
            <w:r>
              <w:rPr>
                <w:rFonts w:hint="eastAsia" w:ascii="宋体" w:hAnsi="宋体" w:cs="宋体"/>
                <w:color w:val="auto"/>
                <w:highlight w:val="none"/>
                <w:lang w:eastAsia="zh-CN"/>
              </w:rPr>
              <w:t>符合采购文件要求</w:t>
            </w:r>
          </w:p>
        </w:tc>
      </w:tr>
      <w:tr w14:paraId="257E9D7D">
        <w:tblPrEx>
          <w:tblCellMar>
            <w:top w:w="0" w:type="dxa"/>
            <w:left w:w="108" w:type="dxa"/>
            <w:bottom w:w="0" w:type="dxa"/>
            <w:right w:w="108" w:type="dxa"/>
          </w:tblCellMar>
        </w:tblPrEx>
        <w:trPr>
          <w:trHeight w:val="429" w:hRule="atLeast"/>
          <w:jc w:val="center"/>
        </w:trPr>
        <w:tc>
          <w:tcPr>
            <w:tcW w:w="944" w:type="dxa"/>
            <w:vMerge w:val="continue"/>
            <w:tcBorders>
              <w:top w:val="single" w:color="auto" w:sz="4" w:space="0"/>
              <w:left w:val="single" w:color="auto" w:sz="4" w:space="0"/>
              <w:bottom w:val="single" w:color="auto" w:sz="4" w:space="0"/>
              <w:right w:val="single" w:color="000000" w:sz="4" w:space="0"/>
            </w:tcBorders>
            <w:noWrap w:val="0"/>
            <w:vAlign w:val="center"/>
          </w:tcPr>
          <w:p w14:paraId="64B6D144">
            <w:pPr>
              <w:keepNext w:val="0"/>
              <w:keepLines w:val="0"/>
              <w:pageBreakBefore w:val="0"/>
              <w:widowControl w:val="0"/>
              <w:kinsoku/>
              <w:wordWrap/>
              <w:overflowPunct/>
              <w:topLinePunct w:val="0"/>
              <w:bidi w:val="0"/>
              <w:spacing w:line="500" w:lineRule="exact"/>
              <w:jc w:val="left"/>
              <w:rPr>
                <w:rFonts w:hint="eastAsia" w:ascii="宋体" w:hAnsi="宋体" w:cs="宋体"/>
                <w:color w:val="auto"/>
                <w:highlight w:val="none"/>
              </w:rPr>
            </w:pPr>
          </w:p>
        </w:tc>
        <w:tc>
          <w:tcPr>
            <w:tcW w:w="1310" w:type="dxa"/>
            <w:vMerge w:val="continue"/>
            <w:tcBorders>
              <w:top w:val="single" w:color="auto" w:sz="4" w:space="0"/>
              <w:left w:val="single" w:color="000000" w:sz="4" w:space="0"/>
              <w:bottom w:val="single" w:color="auto" w:sz="4" w:space="0"/>
              <w:right w:val="single" w:color="000000" w:sz="4" w:space="0"/>
            </w:tcBorders>
            <w:noWrap w:val="0"/>
            <w:vAlign w:val="center"/>
          </w:tcPr>
          <w:p w14:paraId="75B80DB2">
            <w:pPr>
              <w:keepNext w:val="0"/>
              <w:keepLines w:val="0"/>
              <w:pageBreakBefore w:val="0"/>
              <w:widowControl w:val="0"/>
              <w:kinsoku/>
              <w:wordWrap/>
              <w:overflowPunct/>
              <w:topLinePunct w:val="0"/>
              <w:bidi w:val="0"/>
              <w:spacing w:line="500" w:lineRule="exact"/>
              <w:jc w:val="left"/>
              <w:rPr>
                <w:rFonts w:hint="eastAsia" w:ascii="宋体" w:hAnsi="宋体" w:cs="宋体"/>
                <w:color w:val="auto"/>
                <w:highlight w:val="none"/>
              </w:rPr>
            </w:pPr>
          </w:p>
        </w:tc>
        <w:tc>
          <w:tcPr>
            <w:tcW w:w="2064" w:type="dxa"/>
            <w:tcBorders>
              <w:top w:val="single" w:color="000000" w:sz="4" w:space="0"/>
              <w:left w:val="single" w:color="000000" w:sz="4" w:space="0"/>
              <w:bottom w:val="single" w:color="000000" w:sz="4" w:space="0"/>
              <w:right w:val="single" w:color="000000" w:sz="4" w:space="0"/>
            </w:tcBorders>
            <w:noWrap w:val="0"/>
            <w:vAlign w:val="center"/>
          </w:tcPr>
          <w:p w14:paraId="210BB10E">
            <w:pPr>
              <w:pStyle w:val="35"/>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担任本工程的</w:t>
            </w:r>
            <w:r>
              <w:rPr>
                <w:rFonts w:hint="eastAsia" w:ascii="宋体" w:hAnsi="宋体" w:eastAsia="宋体" w:cs="宋体"/>
                <w:color w:val="auto"/>
                <w:szCs w:val="21"/>
                <w:highlight w:val="none"/>
                <w:lang w:eastAsia="zh-CN"/>
              </w:rPr>
              <w:t>项目经理</w:t>
            </w:r>
            <w:r>
              <w:rPr>
                <w:rFonts w:hint="eastAsia" w:ascii="宋体" w:hAnsi="宋体" w:cs="宋体"/>
                <w:color w:val="auto"/>
                <w:szCs w:val="21"/>
                <w:highlight w:val="none"/>
                <w:lang w:val="en-US" w:eastAsia="zh-CN"/>
              </w:rPr>
              <w:t>简历表</w:t>
            </w:r>
          </w:p>
        </w:tc>
        <w:tc>
          <w:tcPr>
            <w:tcW w:w="5630" w:type="dxa"/>
            <w:tcBorders>
              <w:top w:val="single" w:color="000000" w:sz="4" w:space="0"/>
              <w:left w:val="single" w:color="000000" w:sz="4" w:space="0"/>
              <w:bottom w:val="single" w:color="000000" w:sz="4" w:space="0"/>
              <w:right w:val="single" w:color="auto" w:sz="4" w:space="0"/>
            </w:tcBorders>
            <w:noWrap w:val="0"/>
            <w:vAlign w:val="center"/>
          </w:tcPr>
          <w:p w14:paraId="2DF3B953">
            <w:pPr>
              <w:pStyle w:val="35"/>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cs="宋体"/>
                <w:color w:val="auto"/>
                <w:highlight w:val="none"/>
                <w:lang w:eastAsia="zh-CN"/>
              </w:rPr>
            </w:pPr>
            <w:r>
              <w:rPr>
                <w:rFonts w:hint="eastAsia" w:ascii="宋体" w:hAnsi="宋体" w:cs="宋体"/>
                <w:color w:val="auto"/>
                <w:highlight w:val="none"/>
                <w:lang w:eastAsia="zh-CN"/>
              </w:rPr>
              <w:t>符合采购文件要求</w:t>
            </w:r>
          </w:p>
        </w:tc>
      </w:tr>
      <w:tr w14:paraId="669671EC">
        <w:tblPrEx>
          <w:tblCellMar>
            <w:top w:w="0" w:type="dxa"/>
            <w:left w:w="108" w:type="dxa"/>
            <w:bottom w:w="0" w:type="dxa"/>
            <w:right w:w="108" w:type="dxa"/>
          </w:tblCellMar>
        </w:tblPrEx>
        <w:trPr>
          <w:trHeight w:val="470" w:hRule="atLeast"/>
          <w:jc w:val="center"/>
        </w:trPr>
        <w:tc>
          <w:tcPr>
            <w:tcW w:w="944" w:type="dxa"/>
            <w:vMerge w:val="continue"/>
            <w:tcBorders>
              <w:top w:val="single" w:color="auto" w:sz="4" w:space="0"/>
              <w:left w:val="single" w:color="auto" w:sz="4" w:space="0"/>
              <w:bottom w:val="single" w:color="auto" w:sz="4" w:space="0"/>
              <w:right w:val="single" w:color="000000" w:sz="4" w:space="0"/>
            </w:tcBorders>
            <w:noWrap w:val="0"/>
            <w:vAlign w:val="center"/>
          </w:tcPr>
          <w:p w14:paraId="1ABA2922">
            <w:pPr>
              <w:keepNext w:val="0"/>
              <w:keepLines w:val="0"/>
              <w:pageBreakBefore w:val="0"/>
              <w:widowControl w:val="0"/>
              <w:kinsoku/>
              <w:wordWrap/>
              <w:overflowPunct/>
              <w:topLinePunct w:val="0"/>
              <w:bidi w:val="0"/>
              <w:spacing w:line="500" w:lineRule="exact"/>
              <w:jc w:val="left"/>
              <w:rPr>
                <w:rFonts w:hint="eastAsia" w:ascii="宋体" w:hAnsi="宋体" w:cs="宋体"/>
                <w:color w:val="auto"/>
                <w:highlight w:val="none"/>
              </w:rPr>
            </w:pPr>
          </w:p>
        </w:tc>
        <w:tc>
          <w:tcPr>
            <w:tcW w:w="1310" w:type="dxa"/>
            <w:vMerge w:val="continue"/>
            <w:tcBorders>
              <w:top w:val="single" w:color="auto" w:sz="4" w:space="0"/>
              <w:left w:val="single" w:color="000000" w:sz="4" w:space="0"/>
              <w:bottom w:val="single" w:color="auto" w:sz="4" w:space="0"/>
              <w:right w:val="single" w:color="000000" w:sz="4" w:space="0"/>
            </w:tcBorders>
            <w:noWrap w:val="0"/>
            <w:vAlign w:val="center"/>
          </w:tcPr>
          <w:p w14:paraId="7DB6898F">
            <w:pPr>
              <w:keepNext w:val="0"/>
              <w:keepLines w:val="0"/>
              <w:pageBreakBefore w:val="0"/>
              <w:widowControl w:val="0"/>
              <w:kinsoku/>
              <w:wordWrap/>
              <w:overflowPunct/>
              <w:topLinePunct w:val="0"/>
              <w:bidi w:val="0"/>
              <w:spacing w:line="500" w:lineRule="exact"/>
              <w:jc w:val="left"/>
              <w:rPr>
                <w:rFonts w:hint="eastAsia" w:ascii="宋体" w:hAnsi="宋体" w:cs="宋体"/>
                <w:color w:val="auto"/>
                <w:highlight w:val="none"/>
              </w:rPr>
            </w:pPr>
          </w:p>
        </w:tc>
        <w:tc>
          <w:tcPr>
            <w:tcW w:w="2064" w:type="dxa"/>
            <w:tcBorders>
              <w:top w:val="single" w:color="000000" w:sz="4" w:space="0"/>
              <w:left w:val="single" w:color="000000" w:sz="4" w:space="0"/>
              <w:bottom w:val="single" w:color="000000" w:sz="4" w:space="0"/>
              <w:right w:val="single" w:color="000000" w:sz="4" w:space="0"/>
            </w:tcBorders>
            <w:noWrap w:val="0"/>
            <w:vAlign w:val="center"/>
          </w:tcPr>
          <w:p w14:paraId="486D3FC6">
            <w:pPr>
              <w:pStyle w:val="35"/>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施工组织</w:t>
            </w:r>
            <w:r>
              <w:rPr>
                <w:rFonts w:hint="eastAsia" w:ascii="宋体" w:hAnsi="宋体" w:cs="宋体"/>
                <w:color w:val="auto"/>
                <w:szCs w:val="21"/>
                <w:highlight w:val="none"/>
                <w:lang w:val="en-US" w:eastAsia="zh-CN"/>
              </w:rPr>
              <w:t>设计</w:t>
            </w:r>
            <w:r>
              <w:rPr>
                <w:rFonts w:hint="eastAsia" w:ascii="宋体" w:hAnsi="宋体" w:eastAsia="宋体" w:cs="宋体"/>
                <w:color w:val="auto"/>
                <w:szCs w:val="21"/>
                <w:highlight w:val="none"/>
                <w:lang w:eastAsia="zh-CN"/>
              </w:rPr>
              <w:t>方案</w:t>
            </w:r>
          </w:p>
        </w:tc>
        <w:tc>
          <w:tcPr>
            <w:tcW w:w="5630" w:type="dxa"/>
            <w:tcBorders>
              <w:top w:val="single" w:color="000000" w:sz="4" w:space="0"/>
              <w:left w:val="single" w:color="000000" w:sz="4" w:space="0"/>
              <w:bottom w:val="single" w:color="000000" w:sz="4" w:space="0"/>
              <w:right w:val="single" w:color="auto" w:sz="4" w:space="0"/>
            </w:tcBorders>
            <w:noWrap w:val="0"/>
            <w:vAlign w:val="center"/>
          </w:tcPr>
          <w:p w14:paraId="6DF74282">
            <w:pPr>
              <w:pStyle w:val="35"/>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cs="宋体"/>
                <w:color w:val="auto"/>
                <w:highlight w:val="none"/>
                <w:lang w:eastAsia="zh-CN"/>
              </w:rPr>
            </w:pPr>
            <w:r>
              <w:rPr>
                <w:rFonts w:hint="eastAsia" w:ascii="宋体" w:hAnsi="宋体" w:cs="宋体"/>
                <w:color w:val="auto"/>
                <w:highlight w:val="none"/>
                <w:lang w:eastAsia="zh-CN"/>
              </w:rPr>
              <w:t>必须提供</w:t>
            </w:r>
          </w:p>
        </w:tc>
      </w:tr>
      <w:tr w14:paraId="0A3FB8E8">
        <w:tblPrEx>
          <w:tblCellMar>
            <w:top w:w="0" w:type="dxa"/>
            <w:left w:w="108" w:type="dxa"/>
            <w:bottom w:w="0" w:type="dxa"/>
            <w:right w:w="108" w:type="dxa"/>
          </w:tblCellMar>
        </w:tblPrEx>
        <w:trPr>
          <w:trHeight w:val="523" w:hRule="atLeast"/>
          <w:jc w:val="center"/>
        </w:trPr>
        <w:tc>
          <w:tcPr>
            <w:tcW w:w="944" w:type="dxa"/>
            <w:vMerge w:val="continue"/>
            <w:tcBorders>
              <w:top w:val="single" w:color="auto" w:sz="4" w:space="0"/>
              <w:left w:val="single" w:color="auto" w:sz="4" w:space="0"/>
              <w:bottom w:val="single" w:color="auto" w:sz="4" w:space="0"/>
              <w:right w:val="single" w:color="000000" w:sz="4" w:space="0"/>
            </w:tcBorders>
            <w:noWrap w:val="0"/>
            <w:vAlign w:val="center"/>
          </w:tcPr>
          <w:p w14:paraId="25F6ACB9">
            <w:pPr>
              <w:keepNext w:val="0"/>
              <w:keepLines w:val="0"/>
              <w:pageBreakBefore w:val="0"/>
              <w:widowControl w:val="0"/>
              <w:kinsoku/>
              <w:wordWrap/>
              <w:overflowPunct/>
              <w:topLinePunct w:val="0"/>
              <w:bidi w:val="0"/>
              <w:spacing w:line="500" w:lineRule="exact"/>
              <w:jc w:val="left"/>
              <w:rPr>
                <w:rFonts w:hint="eastAsia" w:ascii="宋体" w:hAnsi="宋体" w:cs="宋体"/>
                <w:color w:val="auto"/>
                <w:highlight w:val="none"/>
              </w:rPr>
            </w:pPr>
          </w:p>
        </w:tc>
        <w:tc>
          <w:tcPr>
            <w:tcW w:w="1310" w:type="dxa"/>
            <w:vMerge w:val="continue"/>
            <w:tcBorders>
              <w:top w:val="single" w:color="auto" w:sz="4" w:space="0"/>
              <w:left w:val="single" w:color="000000" w:sz="4" w:space="0"/>
              <w:bottom w:val="single" w:color="auto" w:sz="4" w:space="0"/>
              <w:right w:val="single" w:color="000000" w:sz="4" w:space="0"/>
            </w:tcBorders>
            <w:noWrap w:val="0"/>
            <w:vAlign w:val="center"/>
          </w:tcPr>
          <w:p w14:paraId="2A31F275">
            <w:pPr>
              <w:keepNext w:val="0"/>
              <w:keepLines w:val="0"/>
              <w:pageBreakBefore w:val="0"/>
              <w:widowControl w:val="0"/>
              <w:kinsoku/>
              <w:wordWrap/>
              <w:overflowPunct/>
              <w:topLinePunct w:val="0"/>
              <w:bidi w:val="0"/>
              <w:spacing w:line="500" w:lineRule="exact"/>
              <w:jc w:val="left"/>
              <w:rPr>
                <w:rFonts w:hint="eastAsia" w:ascii="宋体" w:hAnsi="宋体" w:cs="宋体"/>
                <w:color w:val="auto"/>
                <w:highlight w:val="none"/>
              </w:rPr>
            </w:pPr>
          </w:p>
        </w:tc>
        <w:tc>
          <w:tcPr>
            <w:tcW w:w="2064" w:type="dxa"/>
            <w:tcBorders>
              <w:top w:val="single" w:color="000000" w:sz="4" w:space="0"/>
              <w:left w:val="single" w:color="000000" w:sz="4" w:space="0"/>
              <w:bottom w:val="single" w:color="000000" w:sz="4" w:space="0"/>
              <w:right w:val="single" w:color="000000" w:sz="4" w:space="0"/>
            </w:tcBorders>
            <w:noWrap w:val="0"/>
            <w:vAlign w:val="center"/>
          </w:tcPr>
          <w:p w14:paraId="4DA376E0">
            <w:pPr>
              <w:pStyle w:val="35"/>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建设工程项目管理承诺书</w:t>
            </w:r>
          </w:p>
        </w:tc>
        <w:tc>
          <w:tcPr>
            <w:tcW w:w="5630" w:type="dxa"/>
            <w:tcBorders>
              <w:top w:val="single" w:color="000000" w:sz="4" w:space="0"/>
              <w:left w:val="single" w:color="000000" w:sz="4" w:space="0"/>
              <w:bottom w:val="single" w:color="000000" w:sz="4" w:space="0"/>
              <w:right w:val="single" w:color="auto" w:sz="4" w:space="0"/>
            </w:tcBorders>
            <w:noWrap w:val="0"/>
            <w:vAlign w:val="center"/>
          </w:tcPr>
          <w:p w14:paraId="79B98522">
            <w:pPr>
              <w:pStyle w:val="35"/>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cs="宋体"/>
                <w:color w:val="auto"/>
                <w:highlight w:val="none"/>
                <w:lang w:eastAsia="zh-CN"/>
              </w:rPr>
            </w:pPr>
            <w:r>
              <w:rPr>
                <w:rFonts w:hint="eastAsia" w:ascii="宋体" w:hAnsi="宋体" w:cs="宋体"/>
                <w:color w:val="auto"/>
                <w:highlight w:val="none"/>
                <w:lang w:eastAsia="zh-CN"/>
              </w:rPr>
              <w:t>必须提供</w:t>
            </w:r>
          </w:p>
        </w:tc>
      </w:tr>
      <w:tr w14:paraId="507B7114">
        <w:tblPrEx>
          <w:tblCellMar>
            <w:top w:w="0" w:type="dxa"/>
            <w:left w:w="108" w:type="dxa"/>
            <w:bottom w:w="0" w:type="dxa"/>
            <w:right w:w="108" w:type="dxa"/>
          </w:tblCellMar>
        </w:tblPrEx>
        <w:trPr>
          <w:trHeight w:val="577" w:hRule="atLeast"/>
          <w:jc w:val="center"/>
        </w:trPr>
        <w:tc>
          <w:tcPr>
            <w:tcW w:w="944" w:type="dxa"/>
            <w:vMerge w:val="continue"/>
            <w:tcBorders>
              <w:top w:val="single" w:color="auto" w:sz="4" w:space="0"/>
              <w:left w:val="single" w:color="auto" w:sz="4" w:space="0"/>
              <w:bottom w:val="single" w:color="auto" w:sz="4" w:space="0"/>
              <w:right w:val="single" w:color="000000" w:sz="4" w:space="0"/>
            </w:tcBorders>
            <w:noWrap w:val="0"/>
            <w:vAlign w:val="center"/>
          </w:tcPr>
          <w:p w14:paraId="3857DE9F">
            <w:pPr>
              <w:keepNext w:val="0"/>
              <w:keepLines w:val="0"/>
              <w:pageBreakBefore w:val="0"/>
              <w:widowControl w:val="0"/>
              <w:kinsoku/>
              <w:wordWrap/>
              <w:overflowPunct/>
              <w:topLinePunct w:val="0"/>
              <w:bidi w:val="0"/>
              <w:spacing w:line="500" w:lineRule="exact"/>
              <w:jc w:val="left"/>
              <w:rPr>
                <w:rFonts w:hint="eastAsia" w:ascii="宋体" w:hAnsi="宋体" w:cs="宋体"/>
                <w:color w:val="auto"/>
                <w:highlight w:val="none"/>
              </w:rPr>
            </w:pPr>
          </w:p>
        </w:tc>
        <w:tc>
          <w:tcPr>
            <w:tcW w:w="1310" w:type="dxa"/>
            <w:vMerge w:val="continue"/>
            <w:tcBorders>
              <w:top w:val="single" w:color="auto" w:sz="4" w:space="0"/>
              <w:left w:val="single" w:color="000000" w:sz="4" w:space="0"/>
              <w:bottom w:val="single" w:color="auto" w:sz="4" w:space="0"/>
              <w:right w:val="single" w:color="000000" w:sz="4" w:space="0"/>
            </w:tcBorders>
            <w:noWrap w:val="0"/>
            <w:vAlign w:val="center"/>
          </w:tcPr>
          <w:p w14:paraId="64E6E803">
            <w:pPr>
              <w:keepNext w:val="0"/>
              <w:keepLines w:val="0"/>
              <w:pageBreakBefore w:val="0"/>
              <w:widowControl w:val="0"/>
              <w:kinsoku/>
              <w:wordWrap/>
              <w:overflowPunct/>
              <w:topLinePunct w:val="0"/>
              <w:bidi w:val="0"/>
              <w:spacing w:line="500" w:lineRule="exact"/>
              <w:jc w:val="left"/>
              <w:rPr>
                <w:rFonts w:hint="eastAsia" w:ascii="宋体" w:hAnsi="宋体" w:cs="宋体"/>
                <w:color w:val="auto"/>
                <w:highlight w:val="none"/>
              </w:rPr>
            </w:pPr>
          </w:p>
        </w:tc>
        <w:tc>
          <w:tcPr>
            <w:tcW w:w="2064" w:type="dxa"/>
            <w:tcBorders>
              <w:top w:val="single" w:color="000000" w:sz="4" w:space="0"/>
              <w:left w:val="single" w:color="000000" w:sz="4" w:space="0"/>
              <w:bottom w:val="single" w:color="000000" w:sz="4" w:space="0"/>
              <w:right w:val="single" w:color="000000" w:sz="4" w:space="0"/>
            </w:tcBorders>
            <w:noWrap w:val="0"/>
            <w:vAlign w:val="center"/>
          </w:tcPr>
          <w:p w14:paraId="7009358A">
            <w:pPr>
              <w:pStyle w:val="35"/>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Cs w:val="21"/>
                <w:highlight w:val="none"/>
                <w:lang w:eastAsia="zh-CN"/>
              </w:rPr>
              <w:t>城乡清洁工程渣土清运承诺书</w:t>
            </w:r>
          </w:p>
        </w:tc>
        <w:tc>
          <w:tcPr>
            <w:tcW w:w="5630" w:type="dxa"/>
            <w:tcBorders>
              <w:top w:val="single" w:color="000000" w:sz="4" w:space="0"/>
              <w:left w:val="single" w:color="000000" w:sz="4" w:space="0"/>
              <w:bottom w:val="single" w:color="000000" w:sz="4" w:space="0"/>
              <w:right w:val="single" w:color="auto" w:sz="4" w:space="0"/>
            </w:tcBorders>
            <w:noWrap w:val="0"/>
            <w:vAlign w:val="center"/>
          </w:tcPr>
          <w:p w14:paraId="7C63D175">
            <w:pPr>
              <w:pStyle w:val="35"/>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highlight w:val="none"/>
                <w:lang w:eastAsia="zh-CN"/>
              </w:rPr>
              <w:t>必须提供</w:t>
            </w:r>
          </w:p>
        </w:tc>
      </w:tr>
    </w:tbl>
    <w:p w14:paraId="3D0F3788">
      <w:pPr>
        <w:pStyle w:val="1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color w:val="auto"/>
          <w:highlight w:val="none"/>
        </w:rPr>
      </w:pPr>
      <w:r>
        <w:rPr>
          <w:rFonts w:hint="eastAsia" w:hAnsi="宋体" w:eastAsia="宋体" w:cs="宋体"/>
          <w:b/>
          <w:bCs w:val="0"/>
          <w:color w:val="auto"/>
          <w:sz w:val="24"/>
          <w:szCs w:val="24"/>
          <w:highlight w:val="none"/>
          <w:lang w:eastAsia="zh-CN"/>
        </w:rPr>
        <w:t>详细评审：</w:t>
      </w:r>
    </w:p>
    <w:p w14:paraId="1F248C96">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b/>
          <w:color w:val="auto"/>
          <w:highlight w:val="none"/>
        </w:rPr>
      </w:pPr>
      <w:r>
        <w:rPr>
          <w:rFonts w:hint="eastAsia" w:ascii="宋体" w:hAnsi="宋体" w:eastAsia="宋体" w:cs="宋体"/>
          <w:b/>
          <w:color w:val="auto"/>
          <w:kern w:val="0"/>
          <w:sz w:val="24"/>
          <w:szCs w:val="21"/>
          <w:highlight w:val="none"/>
          <w:lang w:val="en-US" w:eastAsia="zh-CN" w:bidi="ar-SA"/>
        </w:rPr>
        <w:t>1、价格分………………………………………………………………………………满分30分</w:t>
      </w:r>
    </w:p>
    <w:p w14:paraId="0FDB2301">
      <w:pPr>
        <w:keepNext w:val="0"/>
        <w:keepLines w:val="0"/>
        <w:pageBreakBefore w:val="0"/>
        <w:widowControl w:val="0"/>
        <w:kinsoku/>
        <w:wordWrap/>
        <w:overflowPunct/>
        <w:topLinePunct w:val="0"/>
        <w:bidi w:val="0"/>
        <w:snapToGrid/>
        <w:spacing w:line="440" w:lineRule="exact"/>
        <w:ind w:firstLine="210" w:firstLineChars="1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（1）以进入综合评分环节的最低的评审报价为基准价，基准价报价得分为30分。</w:t>
      </w:r>
    </w:p>
    <w:p w14:paraId="46FE61C9">
      <w:pPr>
        <w:keepNext w:val="0"/>
        <w:keepLines w:val="0"/>
        <w:pageBreakBefore w:val="0"/>
        <w:widowControl w:val="0"/>
        <w:kinsoku/>
        <w:wordWrap/>
        <w:overflowPunct/>
        <w:topLinePunct w:val="0"/>
        <w:bidi w:val="0"/>
        <w:snapToGrid/>
        <w:spacing w:line="440" w:lineRule="exact"/>
        <w:ind w:firstLine="210" w:firstLineChars="1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（2）</w:t>
      </w:r>
      <w:r>
        <w:rPr>
          <w:rFonts w:hint="eastAsia" w:ascii="宋体" w:hAnsi="宋体" w:cs="宋体"/>
          <w:b w:val="0"/>
          <w:bCs/>
          <w:color w:val="auto"/>
          <w:highlight w:val="none"/>
          <w:lang w:val="en-US" w:eastAsia="zh-CN"/>
        </w:rPr>
        <w:t>某</w:t>
      </w:r>
      <w:r>
        <w:rPr>
          <w:rFonts w:hint="eastAsia" w:ascii="宋体" w:hAnsi="宋体" w:eastAsia="宋体" w:cs="宋体"/>
          <w:b w:val="0"/>
          <w:bCs/>
          <w:color w:val="auto"/>
          <w:highlight w:val="none"/>
        </w:rPr>
        <w:t>供应商磋商报价得分=（磋商基准价/供应商的评审报价）×30分。</w:t>
      </w:r>
    </w:p>
    <w:p w14:paraId="56C6C8E6">
      <w:pPr>
        <w:keepNext w:val="0"/>
        <w:keepLines w:val="0"/>
        <w:pageBreakBefore w:val="0"/>
        <w:widowControl w:val="0"/>
        <w:kinsoku/>
        <w:wordWrap/>
        <w:overflowPunct/>
        <w:topLinePunct w:val="0"/>
        <w:bidi w:val="0"/>
        <w:snapToGrid/>
        <w:spacing w:line="440" w:lineRule="exact"/>
        <w:ind w:firstLine="211" w:firstLineChars="100"/>
        <w:textAlignment w:val="auto"/>
        <w:rPr>
          <w:rFonts w:hint="eastAsia" w:ascii="宋体" w:hAnsi="宋体" w:eastAsia="宋体" w:cs="宋体"/>
          <w:b w:val="0"/>
          <w:bCs/>
          <w:color w:val="auto"/>
          <w:highlight w:val="none"/>
          <w:lang w:eastAsia="zh-CN"/>
        </w:rPr>
      </w:pPr>
      <w:r>
        <w:rPr>
          <w:rFonts w:hint="eastAsia" w:hAnsi="宋体" w:cs="宋体"/>
          <w:b/>
          <w:color w:val="auto"/>
          <w:sz w:val="21"/>
          <w:szCs w:val="21"/>
        </w:rPr>
        <w:t>注：评审时，为了避免价格的恶性竞争，保证工程项目的整体质量达到合格标准，如某一供应商的报价明显低于其他通过符合性审查供应商的报价或经评标委员会认定为低于成本报价时，评标委员会可要求其在规定时间内予以澄清说明；</w:t>
      </w:r>
      <w:r>
        <w:rPr>
          <w:rFonts w:hint="eastAsia" w:hAnsi="宋体" w:cs="宋体"/>
          <w:b/>
          <w:color w:val="auto"/>
          <w:szCs w:val="21"/>
        </w:rPr>
        <w:t>供应商不能证明其报价合理性的</w:t>
      </w:r>
      <w:r>
        <w:rPr>
          <w:rFonts w:hint="eastAsia" w:hAnsi="宋体" w:cs="宋体"/>
          <w:b/>
          <w:color w:val="auto"/>
          <w:sz w:val="21"/>
          <w:szCs w:val="21"/>
        </w:rPr>
        <w:t>，视为以低于企业成本报价恶意报价，</w:t>
      </w:r>
      <w:r>
        <w:rPr>
          <w:rFonts w:hint="eastAsia" w:hAnsi="宋体" w:cs="宋体"/>
          <w:b/>
          <w:color w:val="auto"/>
          <w:szCs w:val="21"/>
        </w:rPr>
        <w:t>磋商小组应当将其作为无效响应文件处理</w:t>
      </w:r>
      <w:r>
        <w:rPr>
          <w:rFonts w:hint="eastAsia" w:hAnsi="宋体" w:cs="宋体"/>
          <w:b/>
          <w:color w:val="auto"/>
          <w:szCs w:val="21"/>
          <w:lang w:eastAsia="zh-CN"/>
        </w:rPr>
        <w:t>。</w:t>
      </w:r>
    </w:p>
    <w:p w14:paraId="2E77269C">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b/>
          <w:color w:val="auto"/>
          <w:highlight w:val="none"/>
        </w:rPr>
      </w:pPr>
      <w:r>
        <w:rPr>
          <w:rFonts w:hint="eastAsia" w:ascii="宋体" w:hAnsi="宋体" w:eastAsia="宋体" w:cs="宋体"/>
          <w:b/>
          <w:color w:val="auto"/>
          <w:kern w:val="0"/>
          <w:sz w:val="24"/>
          <w:szCs w:val="21"/>
          <w:highlight w:val="none"/>
          <w:lang w:val="en-US" w:eastAsia="zh-CN" w:bidi="ar-SA"/>
        </w:rPr>
        <w:t>2、技术分（施工组织技术方案）……………………………………………………满分</w:t>
      </w:r>
      <w:r>
        <w:rPr>
          <w:rFonts w:hint="eastAsia" w:ascii="宋体" w:hAnsi="宋体" w:cs="宋体"/>
          <w:b/>
          <w:color w:val="auto"/>
          <w:kern w:val="0"/>
          <w:sz w:val="24"/>
          <w:szCs w:val="21"/>
          <w:highlight w:val="none"/>
          <w:lang w:val="en-US" w:eastAsia="zh-CN" w:bidi="ar-SA"/>
        </w:rPr>
        <w:t>61</w:t>
      </w:r>
      <w:r>
        <w:rPr>
          <w:rFonts w:hint="eastAsia" w:ascii="宋体" w:hAnsi="宋体" w:eastAsia="宋体" w:cs="宋体"/>
          <w:b/>
          <w:color w:val="auto"/>
          <w:kern w:val="0"/>
          <w:sz w:val="24"/>
          <w:szCs w:val="21"/>
          <w:highlight w:val="none"/>
          <w:lang w:val="en-US" w:eastAsia="zh-CN" w:bidi="ar-SA"/>
        </w:rPr>
        <w:t>分</w:t>
      </w:r>
    </w:p>
    <w:p w14:paraId="46AD863C">
      <w:pPr>
        <w:pStyle w:val="12"/>
        <w:keepNext w:val="0"/>
        <w:keepLines w:val="0"/>
        <w:pageBreakBefore w:val="0"/>
        <w:widowControl w:val="0"/>
        <w:tabs>
          <w:tab w:val="left" w:leader="middleDot" w:pos="8820"/>
        </w:tabs>
        <w:kinsoku/>
        <w:wordWrap/>
        <w:overflowPunct/>
        <w:topLinePunct w:val="0"/>
        <w:bidi w:val="0"/>
        <w:snapToGrid/>
        <w:spacing w:line="440" w:lineRule="exact"/>
        <w:ind w:firstLine="211" w:firstLineChars="100"/>
        <w:textAlignment w:val="auto"/>
        <w:rPr>
          <w:rFonts w:hint="eastAsia" w:ascii="宋体" w:hAnsi="宋体" w:eastAsia="宋体" w:cs="宋体"/>
          <w:b/>
          <w:bCs w:val="0"/>
          <w:color w:val="auto"/>
          <w:szCs w:val="21"/>
          <w:highlight w:val="none"/>
        </w:rPr>
      </w:pPr>
      <w:r>
        <w:rPr>
          <w:rFonts w:hint="eastAsia" w:ascii="宋体" w:hAnsi="宋体" w:eastAsia="宋体" w:cs="宋体"/>
          <w:b/>
          <w:bCs w:val="0"/>
          <w:color w:val="auto"/>
          <w:highlight w:val="none"/>
        </w:rPr>
        <w:t>（1）</w:t>
      </w:r>
      <w:r>
        <w:rPr>
          <w:rFonts w:hint="eastAsia" w:ascii="宋体" w:hAnsi="宋体" w:eastAsia="宋体" w:cs="宋体"/>
          <w:b/>
          <w:bCs w:val="0"/>
          <w:color w:val="auto"/>
          <w:szCs w:val="21"/>
          <w:highlight w:val="none"/>
        </w:rPr>
        <w:t>总体概述</w:t>
      </w:r>
      <w:r>
        <w:rPr>
          <w:rFonts w:hint="eastAsia" w:ascii="宋体" w:hAnsi="宋体" w:eastAsia="宋体" w:cs="宋体"/>
          <w:b/>
          <w:bCs w:val="0"/>
          <w:color w:val="auto"/>
          <w:highlight w:val="none"/>
        </w:rPr>
        <w:t>……………………………………………</w:t>
      </w:r>
      <w:r>
        <w:rPr>
          <w:rFonts w:hint="eastAsia" w:ascii="宋体" w:hAnsi="宋体" w:eastAsia="宋体" w:cs="宋体"/>
          <w:b/>
          <w:color w:val="auto"/>
          <w:highlight w:val="none"/>
        </w:rPr>
        <w:t>………</w:t>
      </w:r>
      <w:r>
        <w:rPr>
          <w:rFonts w:hint="eastAsia" w:ascii="宋体" w:hAnsi="宋体" w:eastAsia="宋体" w:cs="宋体"/>
          <w:b/>
          <w:bCs w:val="0"/>
          <w:color w:val="auto"/>
          <w:highlight w:val="none"/>
        </w:rPr>
        <w:t>………………</w:t>
      </w:r>
      <w:r>
        <w:rPr>
          <w:rFonts w:hint="eastAsia" w:ascii="宋体" w:hAnsi="宋体" w:eastAsia="宋体" w:cs="宋体"/>
          <w:b/>
          <w:bCs w:val="0"/>
          <w:color w:val="auto"/>
          <w:szCs w:val="21"/>
          <w:highlight w:val="none"/>
        </w:rPr>
        <w:t>…</w:t>
      </w:r>
      <w:r>
        <w:rPr>
          <w:rFonts w:hint="eastAsia" w:ascii="宋体" w:hAnsi="宋体" w:eastAsia="宋体" w:cs="宋体"/>
          <w:b/>
          <w:bCs w:val="0"/>
          <w:color w:val="auto"/>
          <w:highlight w:val="none"/>
        </w:rPr>
        <w:t>………………</w:t>
      </w:r>
      <w:r>
        <w:rPr>
          <w:rFonts w:hint="eastAsia" w:hAnsi="宋体" w:cs="宋体"/>
          <w:b/>
          <w:bCs w:val="0"/>
          <w:color w:val="auto"/>
          <w:highlight w:val="none"/>
          <w:lang w:val="en-US" w:eastAsia="zh-CN"/>
        </w:rPr>
        <w:t>7</w:t>
      </w:r>
      <w:r>
        <w:rPr>
          <w:rFonts w:hint="eastAsia" w:ascii="宋体" w:hAnsi="宋体" w:eastAsia="宋体" w:cs="宋体"/>
          <w:b/>
          <w:bCs w:val="0"/>
          <w:color w:val="auto"/>
          <w:szCs w:val="21"/>
          <w:highlight w:val="none"/>
        </w:rPr>
        <w:t>分</w:t>
      </w:r>
    </w:p>
    <w:p w14:paraId="6FA7C27C">
      <w:pPr>
        <w:pStyle w:val="12"/>
        <w:keepNext w:val="0"/>
        <w:keepLines w:val="0"/>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auto"/>
          <w:kern w:val="0"/>
          <w:szCs w:val="21"/>
          <w:highlight w:val="none"/>
          <w:lang w:eastAsia="zh-CN"/>
        </w:rPr>
      </w:pPr>
      <w:r>
        <w:rPr>
          <w:rFonts w:hint="eastAsia" w:ascii="宋体" w:hAnsi="宋体" w:eastAsia="宋体" w:cs="宋体"/>
          <w:b w:val="0"/>
          <w:bCs/>
          <w:color w:val="auto"/>
          <w:kern w:val="0"/>
          <w:szCs w:val="21"/>
          <w:highlight w:val="none"/>
        </w:rPr>
        <w:t>优</w:t>
      </w:r>
      <w:r>
        <w:rPr>
          <w:rFonts w:hint="eastAsia" w:ascii="宋体" w:hAnsi="宋体" w:eastAsia="宋体" w:cs="宋体"/>
          <w:b w:val="0"/>
          <w:bCs/>
          <w:color w:val="auto"/>
          <w:kern w:val="0"/>
          <w:szCs w:val="21"/>
          <w:highlight w:val="none"/>
          <w:lang w:eastAsia="zh-CN"/>
        </w:rPr>
        <w:t>（</w:t>
      </w:r>
      <w:r>
        <w:rPr>
          <w:rFonts w:hint="eastAsia" w:hAnsi="宋体" w:cs="宋体"/>
          <w:b w:val="0"/>
          <w:bCs/>
          <w:color w:val="auto"/>
          <w:kern w:val="0"/>
          <w:szCs w:val="21"/>
          <w:highlight w:val="none"/>
          <w:lang w:val="en-US" w:eastAsia="zh-CN"/>
        </w:rPr>
        <w:t>7</w:t>
      </w:r>
      <w:r>
        <w:rPr>
          <w:rFonts w:hint="eastAsia" w:ascii="宋体" w:hAnsi="宋体" w:eastAsia="宋体" w:cs="宋体"/>
          <w:b w:val="0"/>
          <w:bCs/>
          <w:color w:val="auto"/>
          <w:kern w:val="0"/>
          <w:szCs w:val="21"/>
          <w:highlight w:val="none"/>
          <w:lang w:val="en-US" w:eastAsia="zh-CN"/>
        </w:rPr>
        <w:t>分</w:t>
      </w:r>
      <w:r>
        <w:rPr>
          <w:rFonts w:hint="eastAsia" w:ascii="宋体" w:hAnsi="宋体" w:eastAsia="宋体" w:cs="宋体"/>
          <w:b w:val="0"/>
          <w:bCs/>
          <w:color w:val="auto"/>
          <w:kern w:val="0"/>
          <w:szCs w:val="21"/>
          <w:highlight w:val="none"/>
          <w:lang w:eastAsia="zh-CN"/>
        </w:rPr>
        <w:t>）</w:t>
      </w:r>
      <w:r>
        <w:rPr>
          <w:rFonts w:hint="eastAsia" w:ascii="宋体" w:hAnsi="宋体" w:eastAsia="宋体" w:cs="宋体"/>
          <w:b w:val="0"/>
          <w:bCs/>
          <w:color w:val="auto"/>
          <w:kern w:val="0"/>
          <w:szCs w:val="21"/>
          <w:highlight w:val="none"/>
        </w:rPr>
        <w:t>：对项目总体有深刻认识，表达清晰、完整、严谨、合理，措施先进、具体、有效、成熟；施工段划分清晰、合理，符合规范要求</w:t>
      </w:r>
      <w:r>
        <w:rPr>
          <w:rFonts w:hint="eastAsia" w:ascii="宋体" w:hAnsi="宋体" w:eastAsia="宋体" w:cs="宋体"/>
          <w:b w:val="0"/>
          <w:bCs/>
          <w:color w:val="auto"/>
          <w:kern w:val="0"/>
          <w:szCs w:val="21"/>
          <w:highlight w:val="none"/>
          <w:lang w:eastAsia="zh-CN"/>
        </w:rPr>
        <w:t>；</w:t>
      </w:r>
    </w:p>
    <w:p w14:paraId="607D117F">
      <w:pPr>
        <w:pStyle w:val="12"/>
        <w:keepNext w:val="0"/>
        <w:keepLines w:val="0"/>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auto"/>
          <w:kern w:val="0"/>
          <w:szCs w:val="21"/>
          <w:highlight w:val="none"/>
          <w:lang w:eastAsia="zh-CN"/>
        </w:rPr>
      </w:pPr>
      <w:r>
        <w:rPr>
          <w:rFonts w:hint="eastAsia" w:ascii="宋体" w:hAnsi="宋体" w:eastAsia="宋体" w:cs="宋体"/>
          <w:b w:val="0"/>
          <w:bCs/>
          <w:color w:val="auto"/>
          <w:kern w:val="0"/>
          <w:szCs w:val="21"/>
          <w:highlight w:val="none"/>
        </w:rPr>
        <w:t>良</w:t>
      </w:r>
      <w:r>
        <w:rPr>
          <w:rFonts w:hint="eastAsia" w:ascii="宋体" w:hAnsi="宋体" w:eastAsia="宋体" w:cs="宋体"/>
          <w:b w:val="0"/>
          <w:bCs/>
          <w:color w:val="auto"/>
          <w:kern w:val="0"/>
          <w:szCs w:val="21"/>
          <w:highlight w:val="none"/>
          <w:lang w:eastAsia="zh-CN"/>
        </w:rPr>
        <w:t>（</w:t>
      </w:r>
      <w:r>
        <w:rPr>
          <w:rFonts w:hint="eastAsia" w:hAnsi="宋体" w:cs="宋体"/>
          <w:b w:val="0"/>
          <w:bCs/>
          <w:color w:val="auto"/>
          <w:kern w:val="0"/>
          <w:szCs w:val="21"/>
          <w:highlight w:val="none"/>
          <w:lang w:val="en-US" w:eastAsia="zh-CN"/>
        </w:rPr>
        <w:t>5</w:t>
      </w:r>
      <w:r>
        <w:rPr>
          <w:rFonts w:hint="eastAsia" w:ascii="宋体" w:hAnsi="宋体" w:eastAsia="宋体" w:cs="宋体"/>
          <w:b w:val="0"/>
          <w:bCs/>
          <w:color w:val="auto"/>
          <w:kern w:val="0"/>
          <w:szCs w:val="21"/>
          <w:highlight w:val="none"/>
          <w:lang w:val="en-US" w:eastAsia="zh-CN"/>
        </w:rPr>
        <w:t>分</w:t>
      </w:r>
      <w:r>
        <w:rPr>
          <w:rFonts w:hint="eastAsia" w:ascii="宋体" w:hAnsi="宋体" w:eastAsia="宋体" w:cs="宋体"/>
          <w:b w:val="0"/>
          <w:bCs/>
          <w:color w:val="auto"/>
          <w:kern w:val="0"/>
          <w:szCs w:val="21"/>
          <w:highlight w:val="none"/>
          <w:lang w:eastAsia="zh-CN"/>
        </w:rPr>
        <w:t>）</w:t>
      </w:r>
      <w:r>
        <w:rPr>
          <w:rFonts w:hint="eastAsia" w:ascii="宋体" w:hAnsi="宋体" w:eastAsia="宋体" w:cs="宋体"/>
          <w:b w:val="0"/>
          <w:bCs/>
          <w:color w:val="auto"/>
          <w:kern w:val="0"/>
          <w:szCs w:val="21"/>
          <w:highlight w:val="none"/>
        </w:rPr>
        <w:t>：对项目总体有一定认识，表达清晰、完整，措施具体有效；施工段划分清晰，符合规范要求</w:t>
      </w:r>
      <w:r>
        <w:rPr>
          <w:rFonts w:hint="eastAsia" w:ascii="宋体" w:hAnsi="宋体" w:eastAsia="宋体" w:cs="宋体"/>
          <w:b w:val="0"/>
          <w:bCs/>
          <w:color w:val="auto"/>
          <w:kern w:val="0"/>
          <w:szCs w:val="21"/>
          <w:highlight w:val="none"/>
          <w:lang w:eastAsia="zh-CN"/>
        </w:rPr>
        <w:t>；</w:t>
      </w:r>
    </w:p>
    <w:p w14:paraId="722F2BAE">
      <w:pPr>
        <w:pStyle w:val="12"/>
        <w:keepNext w:val="0"/>
        <w:keepLines w:val="0"/>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auto"/>
          <w:kern w:val="0"/>
          <w:szCs w:val="21"/>
          <w:highlight w:val="none"/>
          <w:lang w:eastAsia="zh-CN"/>
        </w:rPr>
      </w:pPr>
      <w:r>
        <w:rPr>
          <w:rFonts w:hint="eastAsia" w:ascii="宋体" w:hAnsi="宋体" w:eastAsia="宋体" w:cs="宋体"/>
          <w:b w:val="0"/>
          <w:bCs/>
          <w:color w:val="auto"/>
          <w:kern w:val="0"/>
          <w:szCs w:val="21"/>
          <w:highlight w:val="none"/>
        </w:rPr>
        <w:t>中</w:t>
      </w:r>
      <w:r>
        <w:rPr>
          <w:rFonts w:hint="eastAsia" w:ascii="宋体" w:hAnsi="宋体" w:eastAsia="宋体" w:cs="宋体"/>
          <w:b w:val="0"/>
          <w:bCs/>
          <w:color w:val="auto"/>
          <w:kern w:val="0"/>
          <w:szCs w:val="21"/>
          <w:highlight w:val="none"/>
          <w:lang w:eastAsia="zh-CN"/>
        </w:rPr>
        <w:t>（</w:t>
      </w:r>
      <w:r>
        <w:rPr>
          <w:rFonts w:hint="eastAsia" w:hAnsi="宋体" w:cs="宋体"/>
          <w:b w:val="0"/>
          <w:bCs/>
          <w:color w:val="auto"/>
          <w:kern w:val="0"/>
          <w:szCs w:val="21"/>
          <w:highlight w:val="none"/>
          <w:lang w:val="en-US" w:eastAsia="zh-CN"/>
        </w:rPr>
        <w:t>3</w:t>
      </w:r>
      <w:r>
        <w:rPr>
          <w:rFonts w:hint="eastAsia" w:ascii="宋体" w:hAnsi="宋体" w:eastAsia="宋体" w:cs="宋体"/>
          <w:b w:val="0"/>
          <w:bCs/>
          <w:color w:val="auto"/>
          <w:kern w:val="0"/>
          <w:szCs w:val="21"/>
          <w:highlight w:val="none"/>
          <w:lang w:val="en-US" w:eastAsia="zh-CN"/>
        </w:rPr>
        <w:t>分</w:t>
      </w:r>
      <w:r>
        <w:rPr>
          <w:rFonts w:hint="eastAsia" w:ascii="宋体" w:hAnsi="宋体" w:eastAsia="宋体" w:cs="宋体"/>
          <w:b w:val="0"/>
          <w:bCs/>
          <w:color w:val="auto"/>
          <w:kern w:val="0"/>
          <w:szCs w:val="21"/>
          <w:highlight w:val="none"/>
          <w:lang w:eastAsia="zh-CN"/>
        </w:rPr>
        <w:t>）</w:t>
      </w:r>
      <w:r>
        <w:rPr>
          <w:rFonts w:hint="eastAsia" w:ascii="宋体" w:hAnsi="宋体" w:eastAsia="宋体" w:cs="宋体"/>
          <w:b w:val="0"/>
          <w:bCs/>
          <w:color w:val="auto"/>
          <w:kern w:val="0"/>
          <w:szCs w:val="21"/>
          <w:highlight w:val="none"/>
        </w:rPr>
        <w:t>：对项目总体有认识，有一定的措施但部分不具体；施工段划分较合理，符合规范要求</w:t>
      </w:r>
      <w:r>
        <w:rPr>
          <w:rFonts w:hint="eastAsia" w:ascii="宋体" w:hAnsi="宋体" w:eastAsia="宋体" w:cs="宋体"/>
          <w:b w:val="0"/>
          <w:bCs/>
          <w:color w:val="auto"/>
          <w:kern w:val="0"/>
          <w:szCs w:val="21"/>
          <w:highlight w:val="none"/>
          <w:lang w:eastAsia="zh-CN"/>
        </w:rPr>
        <w:t>；</w:t>
      </w:r>
    </w:p>
    <w:p w14:paraId="0C59109B">
      <w:pPr>
        <w:pStyle w:val="12"/>
        <w:keepNext w:val="0"/>
        <w:keepLines w:val="0"/>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rPr>
        <w:t>差</w:t>
      </w:r>
      <w:r>
        <w:rPr>
          <w:rFonts w:hint="eastAsia" w:ascii="宋体" w:hAnsi="宋体" w:eastAsia="宋体" w:cs="宋体"/>
          <w:b w:val="0"/>
          <w:bCs/>
          <w:color w:val="auto"/>
          <w:kern w:val="0"/>
          <w:szCs w:val="21"/>
          <w:highlight w:val="none"/>
          <w:lang w:eastAsia="zh-CN"/>
        </w:rPr>
        <w:t>（</w:t>
      </w:r>
      <w:r>
        <w:rPr>
          <w:rFonts w:hint="eastAsia" w:hAnsi="宋体" w:cs="宋体"/>
          <w:b w:val="0"/>
          <w:bCs/>
          <w:color w:val="auto"/>
          <w:kern w:val="0"/>
          <w:szCs w:val="21"/>
          <w:highlight w:val="none"/>
          <w:lang w:val="en-US" w:eastAsia="zh-CN"/>
        </w:rPr>
        <w:t>1</w:t>
      </w:r>
      <w:r>
        <w:rPr>
          <w:rFonts w:hint="eastAsia" w:ascii="宋体" w:hAnsi="宋体" w:eastAsia="宋体" w:cs="宋体"/>
          <w:b w:val="0"/>
          <w:bCs/>
          <w:color w:val="auto"/>
          <w:kern w:val="0"/>
          <w:szCs w:val="21"/>
          <w:highlight w:val="none"/>
          <w:lang w:val="en-US" w:eastAsia="zh-CN"/>
        </w:rPr>
        <w:t>分</w:t>
      </w:r>
      <w:r>
        <w:rPr>
          <w:rFonts w:hint="eastAsia" w:ascii="宋体" w:hAnsi="宋体" w:eastAsia="宋体" w:cs="宋体"/>
          <w:b w:val="0"/>
          <w:bCs/>
          <w:color w:val="auto"/>
          <w:kern w:val="0"/>
          <w:szCs w:val="21"/>
          <w:highlight w:val="none"/>
          <w:lang w:eastAsia="zh-CN"/>
        </w:rPr>
        <w:t>）</w:t>
      </w:r>
      <w:r>
        <w:rPr>
          <w:rFonts w:hint="eastAsia" w:ascii="宋体" w:hAnsi="宋体" w:eastAsia="宋体" w:cs="宋体"/>
          <w:b w:val="0"/>
          <w:bCs/>
          <w:color w:val="auto"/>
          <w:kern w:val="0"/>
          <w:szCs w:val="21"/>
          <w:highlight w:val="none"/>
        </w:rPr>
        <w:t>：对项目认识不足，表达不清晰，措施不具体；施工段划分不合理。</w:t>
      </w:r>
    </w:p>
    <w:p w14:paraId="75A6515A">
      <w:pPr>
        <w:pStyle w:val="12"/>
        <w:keepNext w:val="0"/>
        <w:keepLines w:val="0"/>
        <w:pageBreakBefore w:val="0"/>
        <w:widowControl w:val="0"/>
        <w:tabs>
          <w:tab w:val="left" w:leader="middleDot" w:pos="8820"/>
        </w:tabs>
        <w:kinsoku/>
        <w:wordWrap/>
        <w:overflowPunct/>
        <w:topLinePunct w:val="0"/>
        <w:bidi w:val="0"/>
        <w:snapToGrid/>
        <w:spacing w:line="440" w:lineRule="exact"/>
        <w:ind w:firstLine="211" w:firstLineChars="100"/>
        <w:textAlignment w:val="auto"/>
        <w:rPr>
          <w:rFonts w:hint="eastAsia" w:ascii="宋体" w:hAnsi="宋体" w:eastAsia="宋体" w:cs="宋体"/>
          <w:b/>
          <w:bCs w:val="0"/>
          <w:color w:val="auto"/>
          <w:highlight w:val="none"/>
        </w:rPr>
      </w:pPr>
      <w:r>
        <w:rPr>
          <w:rFonts w:hint="eastAsia" w:ascii="宋体" w:hAnsi="宋体" w:eastAsia="宋体" w:cs="宋体"/>
          <w:b/>
          <w:bCs w:val="0"/>
          <w:color w:val="auto"/>
          <w:highlight w:val="none"/>
        </w:rPr>
        <w:t>（2）主要施工方法…………</w:t>
      </w:r>
      <w:r>
        <w:rPr>
          <w:rFonts w:hint="eastAsia" w:ascii="宋体" w:hAnsi="宋体" w:eastAsia="宋体" w:cs="宋体"/>
          <w:b/>
          <w:bCs w:val="0"/>
          <w:color w:val="auto"/>
          <w:szCs w:val="21"/>
          <w:highlight w:val="none"/>
        </w:rPr>
        <w:t>…</w:t>
      </w:r>
      <w:r>
        <w:rPr>
          <w:rFonts w:hint="eastAsia" w:ascii="宋体" w:hAnsi="宋体" w:eastAsia="宋体" w:cs="宋体"/>
          <w:b/>
          <w:bCs w:val="0"/>
          <w:color w:val="auto"/>
          <w:highlight w:val="none"/>
        </w:rPr>
        <w:t>…………</w:t>
      </w:r>
      <w:r>
        <w:rPr>
          <w:rFonts w:hint="eastAsia" w:ascii="宋体" w:hAnsi="宋体" w:eastAsia="宋体" w:cs="宋体"/>
          <w:b/>
          <w:bCs w:val="0"/>
          <w:color w:val="auto"/>
          <w:szCs w:val="21"/>
          <w:highlight w:val="none"/>
        </w:rPr>
        <w:t>…</w:t>
      </w:r>
      <w:r>
        <w:rPr>
          <w:rFonts w:hint="eastAsia" w:ascii="宋体" w:hAnsi="宋体" w:eastAsia="宋体" w:cs="宋体"/>
          <w:b/>
          <w:bCs w:val="0"/>
          <w:color w:val="auto"/>
          <w:highlight w:val="none"/>
        </w:rPr>
        <w:t>……</w:t>
      </w:r>
      <w:r>
        <w:rPr>
          <w:rFonts w:hint="eastAsia" w:ascii="宋体" w:hAnsi="宋体" w:eastAsia="宋体" w:cs="宋体"/>
          <w:b/>
          <w:color w:val="auto"/>
          <w:highlight w:val="none"/>
        </w:rPr>
        <w:t>………</w:t>
      </w:r>
      <w:r>
        <w:rPr>
          <w:rFonts w:hint="eastAsia" w:ascii="宋体" w:hAnsi="宋体" w:eastAsia="宋体" w:cs="宋体"/>
          <w:b/>
          <w:bCs w:val="0"/>
          <w:color w:val="auto"/>
          <w:highlight w:val="none"/>
        </w:rPr>
        <w:t>……………………………………………</w:t>
      </w:r>
      <w:r>
        <w:rPr>
          <w:rFonts w:hint="eastAsia" w:hAnsi="宋体" w:cs="宋体"/>
          <w:b/>
          <w:bCs w:val="0"/>
          <w:color w:val="auto"/>
          <w:highlight w:val="none"/>
          <w:lang w:val="en-US" w:eastAsia="zh-CN"/>
        </w:rPr>
        <w:t>9</w:t>
      </w:r>
      <w:r>
        <w:rPr>
          <w:rFonts w:hint="eastAsia" w:ascii="宋体" w:hAnsi="宋体" w:eastAsia="宋体" w:cs="宋体"/>
          <w:b/>
          <w:bCs w:val="0"/>
          <w:color w:val="auto"/>
          <w:szCs w:val="21"/>
          <w:highlight w:val="none"/>
        </w:rPr>
        <w:t>分</w:t>
      </w:r>
    </w:p>
    <w:p w14:paraId="73334289">
      <w:pPr>
        <w:pStyle w:val="12"/>
        <w:keepNext w:val="0"/>
        <w:keepLines w:val="0"/>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优</w:t>
      </w:r>
      <w:r>
        <w:rPr>
          <w:rFonts w:hint="eastAsia" w:ascii="宋体" w:hAnsi="宋体" w:eastAsia="宋体" w:cs="宋体"/>
          <w:b w:val="0"/>
          <w:bCs/>
          <w:color w:val="auto"/>
          <w:szCs w:val="21"/>
          <w:highlight w:val="none"/>
          <w:lang w:eastAsia="zh-CN"/>
        </w:rPr>
        <w:t>（</w:t>
      </w:r>
      <w:r>
        <w:rPr>
          <w:rFonts w:hint="eastAsia" w:hAnsi="宋体" w:cs="宋体"/>
          <w:b w:val="0"/>
          <w:bCs/>
          <w:color w:val="auto"/>
          <w:szCs w:val="21"/>
          <w:highlight w:val="none"/>
          <w:lang w:val="en-US" w:eastAsia="zh-CN"/>
        </w:rPr>
        <w:t>9</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：各主要分部施工方法符合项目实际，有详尽的施工技术方案，工艺先进、方法科学合理、可行，能指导具体施工并确保安全；</w:t>
      </w:r>
    </w:p>
    <w:p w14:paraId="38DB6A90">
      <w:pPr>
        <w:pStyle w:val="12"/>
        <w:keepNext w:val="0"/>
        <w:keepLines w:val="0"/>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良</w:t>
      </w:r>
      <w:r>
        <w:rPr>
          <w:rFonts w:hint="eastAsia" w:ascii="宋体" w:hAnsi="宋体" w:eastAsia="宋体" w:cs="宋体"/>
          <w:b w:val="0"/>
          <w:bCs/>
          <w:color w:val="auto"/>
          <w:szCs w:val="21"/>
          <w:highlight w:val="none"/>
          <w:lang w:eastAsia="zh-CN"/>
        </w:rPr>
        <w:t>（</w:t>
      </w:r>
      <w:r>
        <w:rPr>
          <w:rFonts w:hint="eastAsia" w:hAnsi="宋体" w:cs="宋体"/>
          <w:b w:val="0"/>
          <w:bCs/>
          <w:color w:val="auto"/>
          <w:szCs w:val="21"/>
          <w:highlight w:val="none"/>
          <w:lang w:val="en-US" w:eastAsia="zh-CN"/>
        </w:rPr>
        <w:t>6</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：各主要分部施工方法符合项目实际，有较详尽的施工技术方案，工艺较好、方法科学合理、可行，能指导具体施工并确保安全；</w:t>
      </w:r>
    </w:p>
    <w:p w14:paraId="18844963">
      <w:pPr>
        <w:pStyle w:val="12"/>
        <w:keepNext w:val="0"/>
        <w:keepLines w:val="0"/>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中</w:t>
      </w:r>
      <w:r>
        <w:rPr>
          <w:rFonts w:hint="eastAsia" w:ascii="宋体" w:hAnsi="宋体" w:eastAsia="宋体" w:cs="宋体"/>
          <w:b w:val="0"/>
          <w:bCs/>
          <w:color w:val="auto"/>
          <w:szCs w:val="21"/>
          <w:highlight w:val="none"/>
          <w:lang w:eastAsia="zh-CN"/>
        </w:rPr>
        <w:t>（</w:t>
      </w:r>
      <w:r>
        <w:rPr>
          <w:rFonts w:hint="eastAsia" w:hAnsi="宋体" w:cs="宋体"/>
          <w:b w:val="0"/>
          <w:bCs/>
          <w:color w:val="auto"/>
          <w:szCs w:val="21"/>
          <w:highlight w:val="none"/>
          <w:lang w:val="en-US" w:eastAsia="zh-CN"/>
        </w:rPr>
        <w:t>3</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：各主要分部施工方法能满足项目需求，有施工技术方案，能指导具体施工并确保安全；</w:t>
      </w:r>
    </w:p>
    <w:p w14:paraId="643D7688">
      <w:pPr>
        <w:pStyle w:val="12"/>
        <w:keepNext w:val="0"/>
        <w:keepLines w:val="0"/>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差</w:t>
      </w:r>
      <w:r>
        <w:rPr>
          <w:rFonts w:hint="eastAsia" w:ascii="宋体" w:hAnsi="宋体" w:eastAsia="宋体" w:cs="宋体"/>
          <w:b w:val="0"/>
          <w:bCs/>
          <w:color w:val="auto"/>
          <w:szCs w:val="21"/>
          <w:highlight w:val="none"/>
          <w:lang w:eastAsia="zh-CN"/>
        </w:rPr>
        <w:t>（</w:t>
      </w:r>
      <w:r>
        <w:rPr>
          <w:rFonts w:hint="eastAsia" w:hAnsi="宋体" w:cs="宋体"/>
          <w:b w:val="0"/>
          <w:bCs/>
          <w:color w:val="auto"/>
          <w:szCs w:val="21"/>
          <w:highlight w:val="none"/>
          <w:lang w:val="en-US" w:eastAsia="zh-CN"/>
        </w:rPr>
        <w:t>1</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：各主要分部施工方法不能满足项目需求，没有施工技术方案，不能指导具体施工并确保安全。</w:t>
      </w:r>
    </w:p>
    <w:p w14:paraId="1A4CBB00">
      <w:pPr>
        <w:pStyle w:val="12"/>
        <w:keepNext w:val="0"/>
        <w:keepLines w:val="0"/>
        <w:pageBreakBefore w:val="0"/>
        <w:widowControl w:val="0"/>
        <w:tabs>
          <w:tab w:val="left" w:leader="middleDot" w:pos="8820"/>
        </w:tabs>
        <w:kinsoku/>
        <w:wordWrap/>
        <w:overflowPunct/>
        <w:topLinePunct w:val="0"/>
        <w:bidi w:val="0"/>
        <w:snapToGrid/>
        <w:spacing w:line="440" w:lineRule="exact"/>
        <w:ind w:firstLine="211" w:firstLineChars="100"/>
        <w:textAlignment w:val="auto"/>
        <w:rPr>
          <w:rFonts w:hint="eastAsia" w:ascii="宋体" w:hAnsi="宋体" w:eastAsia="宋体" w:cs="宋体"/>
          <w:b/>
          <w:bCs w:val="0"/>
          <w:color w:val="auto"/>
          <w:highlight w:val="none"/>
        </w:rPr>
      </w:pPr>
      <w:r>
        <w:rPr>
          <w:rFonts w:hint="eastAsia" w:ascii="宋体" w:hAnsi="宋体" w:eastAsia="宋体" w:cs="宋体"/>
          <w:b/>
          <w:bCs w:val="0"/>
          <w:color w:val="auto"/>
          <w:szCs w:val="21"/>
          <w:highlight w:val="none"/>
        </w:rPr>
        <w:t>（3）施工进度计划和各阶段进度的保证措施</w:t>
      </w:r>
      <w:r>
        <w:rPr>
          <w:rFonts w:hint="eastAsia" w:ascii="宋体" w:hAnsi="宋体" w:eastAsia="宋体" w:cs="宋体"/>
          <w:b/>
          <w:bCs w:val="0"/>
          <w:color w:val="auto"/>
          <w:highlight w:val="none"/>
        </w:rPr>
        <w:t>……</w:t>
      </w:r>
      <w:r>
        <w:rPr>
          <w:rFonts w:hint="eastAsia" w:ascii="宋体" w:hAnsi="宋体" w:eastAsia="宋体" w:cs="宋体"/>
          <w:b/>
          <w:color w:val="auto"/>
          <w:highlight w:val="none"/>
        </w:rPr>
        <w:t>………</w:t>
      </w:r>
      <w:r>
        <w:rPr>
          <w:rFonts w:hint="eastAsia" w:ascii="宋体" w:hAnsi="宋体" w:eastAsia="宋体" w:cs="宋体"/>
          <w:b/>
          <w:bCs w:val="0"/>
          <w:color w:val="auto"/>
          <w:highlight w:val="none"/>
        </w:rPr>
        <w:t>…………………</w:t>
      </w:r>
      <w:r>
        <w:rPr>
          <w:rFonts w:hint="eastAsia" w:ascii="宋体" w:hAnsi="宋体" w:eastAsia="宋体" w:cs="宋体"/>
          <w:b/>
          <w:bCs w:val="0"/>
          <w:color w:val="auto"/>
          <w:szCs w:val="21"/>
          <w:highlight w:val="none"/>
        </w:rPr>
        <w:t>…</w:t>
      </w:r>
      <w:r>
        <w:rPr>
          <w:rFonts w:hint="eastAsia" w:ascii="宋体" w:hAnsi="宋体" w:eastAsia="宋体" w:cs="宋体"/>
          <w:b/>
          <w:bCs w:val="0"/>
          <w:color w:val="auto"/>
          <w:highlight w:val="none"/>
        </w:rPr>
        <w:t>……………………</w:t>
      </w:r>
      <w:r>
        <w:rPr>
          <w:rFonts w:hint="eastAsia" w:hAnsi="宋体" w:cs="宋体"/>
          <w:b/>
          <w:bCs w:val="0"/>
          <w:color w:val="auto"/>
          <w:highlight w:val="none"/>
          <w:lang w:val="en-US" w:eastAsia="zh-CN"/>
        </w:rPr>
        <w:t>9</w:t>
      </w:r>
      <w:r>
        <w:rPr>
          <w:rFonts w:hint="eastAsia" w:ascii="宋体" w:hAnsi="宋体" w:eastAsia="宋体" w:cs="宋体"/>
          <w:b/>
          <w:bCs w:val="0"/>
          <w:color w:val="auto"/>
          <w:szCs w:val="21"/>
          <w:highlight w:val="none"/>
        </w:rPr>
        <w:t>分</w:t>
      </w:r>
    </w:p>
    <w:p w14:paraId="6974B1E7">
      <w:pPr>
        <w:pStyle w:val="12"/>
        <w:keepNext w:val="0"/>
        <w:keepLines w:val="0"/>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rPr>
        <w:t>优</w:t>
      </w:r>
      <w:r>
        <w:rPr>
          <w:rFonts w:hint="eastAsia" w:ascii="宋体" w:hAnsi="宋体" w:eastAsia="宋体" w:cs="宋体"/>
          <w:b w:val="0"/>
          <w:bCs/>
          <w:color w:val="auto"/>
          <w:kern w:val="0"/>
          <w:szCs w:val="21"/>
          <w:highlight w:val="none"/>
          <w:lang w:eastAsia="zh-CN"/>
        </w:rPr>
        <w:t>（</w:t>
      </w:r>
      <w:r>
        <w:rPr>
          <w:rFonts w:hint="eastAsia" w:hAnsi="宋体" w:cs="宋体"/>
          <w:b w:val="0"/>
          <w:bCs/>
          <w:color w:val="auto"/>
          <w:kern w:val="0"/>
          <w:szCs w:val="21"/>
          <w:highlight w:val="none"/>
          <w:lang w:val="en-US" w:eastAsia="zh-CN"/>
        </w:rPr>
        <w:t>9</w:t>
      </w:r>
      <w:r>
        <w:rPr>
          <w:rFonts w:hint="eastAsia" w:ascii="宋体" w:hAnsi="宋体" w:eastAsia="宋体" w:cs="宋体"/>
          <w:b w:val="0"/>
          <w:bCs/>
          <w:color w:val="auto"/>
          <w:kern w:val="0"/>
          <w:szCs w:val="21"/>
          <w:highlight w:val="none"/>
          <w:lang w:val="en-US" w:eastAsia="zh-CN"/>
        </w:rPr>
        <w:t>分</w:t>
      </w:r>
      <w:r>
        <w:rPr>
          <w:rFonts w:hint="eastAsia" w:ascii="宋体" w:hAnsi="宋体" w:eastAsia="宋体" w:cs="宋体"/>
          <w:b w:val="0"/>
          <w:bCs/>
          <w:color w:val="auto"/>
          <w:kern w:val="0"/>
          <w:szCs w:val="21"/>
          <w:highlight w:val="none"/>
          <w:lang w:eastAsia="zh-CN"/>
        </w:rPr>
        <w:t>）</w:t>
      </w:r>
      <w:r>
        <w:rPr>
          <w:rFonts w:hint="eastAsia" w:ascii="宋体" w:hAnsi="宋体" w:eastAsia="宋体" w:cs="宋体"/>
          <w:b w:val="0"/>
          <w:bCs/>
          <w:color w:val="auto"/>
          <w:szCs w:val="21"/>
          <w:highlight w:val="none"/>
        </w:rPr>
        <w:t>：关键线路清晰、准确、完整，计划编制合理、可行，关键节点的控制措施有力、合理、可行</w:t>
      </w:r>
      <w:r>
        <w:rPr>
          <w:rFonts w:hint="eastAsia" w:ascii="宋体" w:hAnsi="宋体" w:eastAsia="宋体" w:cs="宋体"/>
          <w:b w:val="0"/>
          <w:bCs/>
          <w:color w:val="auto"/>
          <w:szCs w:val="21"/>
          <w:highlight w:val="none"/>
          <w:lang w:eastAsia="zh-CN"/>
        </w:rPr>
        <w:t>；</w:t>
      </w:r>
    </w:p>
    <w:p w14:paraId="3C6CDB52">
      <w:pPr>
        <w:pStyle w:val="12"/>
        <w:keepNext w:val="0"/>
        <w:keepLines w:val="0"/>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rPr>
        <w:t>良</w:t>
      </w:r>
      <w:r>
        <w:rPr>
          <w:rFonts w:hint="eastAsia" w:ascii="宋体" w:hAnsi="宋体" w:eastAsia="宋体" w:cs="宋体"/>
          <w:b w:val="0"/>
          <w:bCs/>
          <w:color w:val="auto"/>
          <w:kern w:val="0"/>
          <w:szCs w:val="21"/>
          <w:highlight w:val="none"/>
          <w:lang w:eastAsia="zh-CN"/>
        </w:rPr>
        <w:t>（</w:t>
      </w:r>
      <w:r>
        <w:rPr>
          <w:rFonts w:hint="eastAsia" w:hAnsi="宋体" w:cs="宋体"/>
          <w:b w:val="0"/>
          <w:bCs/>
          <w:color w:val="auto"/>
          <w:kern w:val="0"/>
          <w:szCs w:val="21"/>
          <w:highlight w:val="none"/>
          <w:lang w:val="en-US" w:eastAsia="zh-CN"/>
        </w:rPr>
        <w:t>6</w:t>
      </w:r>
      <w:r>
        <w:rPr>
          <w:rFonts w:hint="eastAsia" w:ascii="宋体" w:hAnsi="宋体" w:eastAsia="宋体" w:cs="宋体"/>
          <w:b w:val="0"/>
          <w:bCs/>
          <w:color w:val="auto"/>
          <w:kern w:val="0"/>
          <w:szCs w:val="21"/>
          <w:highlight w:val="none"/>
          <w:lang w:val="en-US" w:eastAsia="zh-CN"/>
        </w:rPr>
        <w:t>分</w:t>
      </w:r>
      <w:r>
        <w:rPr>
          <w:rFonts w:hint="eastAsia" w:ascii="宋体" w:hAnsi="宋体" w:eastAsia="宋体" w:cs="宋体"/>
          <w:b w:val="0"/>
          <w:bCs/>
          <w:color w:val="auto"/>
          <w:kern w:val="0"/>
          <w:szCs w:val="21"/>
          <w:highlight w:val="none"/>
          <w:lang w:eastAsia="zh-CN"/>
        </w:rPr>
        <w:t>）</w:t>
      </w:r>
      <w:r>
        <w:rPr>
          <w:rFonts w:hint="eastAsia" w:ascii="宋体" w:hAnsi="宋体" w:eastAsia="宋体" w:cs="宋体"/>
          <w:b w:val="0"/>
          <w:bCs/>
          <w:color w:val="auto"/>
          <w:szCs w:val="21"/>
          <w:highlight w:val="none"/>
        </w:rPr>
        <w:t>：关键线路清晰、准确、完整，计划编制可行，关键节点的控制措施合理、可行</w:t>
      </w:r>
      <w:r>
        <w:rPr>
          <w:rFonts w:hint="eastAsia" w:ascii="宋体" w:hAnsi="宋体" w:eastAsia="宋体" w:cs="宋体"/>
          <w:b w:val="0"/>
          <w:bCs/>
          <w:color w:val="auto"/>
          <w:szCs w:val="21"/>
          <w:highlight w:val="none"/>
          <w:lang w:eastAsia="zh-CN"/>
        </w:rPr>
        <w:t>；</w:t>
      </w:r>
    </w:p>
    <w:p w14:paraId="648BEC91">
      <w:pPr>
        <w:pStyle w:val="12"/>
        <w:keepNext w:val="0"/>
        <w:keepLines w:val="0"/>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rPr>
        <w:t>中</w:t>
      </w:r>
      <w:r>
        <w:rPr>
          <w:rFonts w:hint="eastAsia" w:ascii="宋体" w:hAnsi="宋体" w:eastAsia="宋体" w:cs="宋体"/>
          <w:b w:val="0"/>
          <w:bCs/>
          <w:color w:val="auto"/>
          <w:kern w:val="0"/>
          <w:szCs w:val="21"/>
          <w:highlight w:val="none"/>
          <w:lang w:eastAsia="zh-CN"/>
        </w:rPr>
        <w:t>（</w:t>
      </w:r>
      <w:r>
        <w:rPr>
          <w:rFonts w:hint="eastAsia" w:hAnsi="宋体" w:cs="宋体"/>
          <w:b w:val="0"/>
          <w:bCs/>
          <w:color w:val="auto"/>
          <w:kern w:val="0"/>
          <w:szCs w:val="21"/>
          <w:highlight w:val="none"/>
          <w:lang w:val="en-US" w:eastAsia="zh-CN"/>
        </w:rPr>
        <w:t>3</w:t>
      </w:r>
      <w:r>
        <w:rPr>
          <w:rFonts w:hint="eastAsia" w:ascii="宋体" w:hAnsi="宋体" w:eastAsia="宋体" w:cs="宋体"/>
          <w:b w:val="0"/>
          <w:bCs/>
          <w:color w:val="auto"/>
          <w:kern w:val="0"/>
          <w:szCs w:val="21"/>
          <w:highlight w:val="none"/>
          <w:lang w:val="en-US" w:eastAsia="zh-CN"/>
        </w:rPr>
        <w:t>分</w:t>
      </w:r>
      <w:r>
        <w:rPr>
          <w:rFonts w:hint="eastAsia" w:ascii="宋体" w:hAnsi="宋体" w:eastAsia="宋体" w:cs="宋体"/>
          <w:b w:val="0"/>
          <w:bCs/>
          <w:color w:val="auto"/>
          <w:kern w:val="0"/>
          <w:szCs w:val="21"/>
          <w:highlight w:val="none"/>
          <w:lang w:eastAsia="zh-CN"/>
        </w:rPr>
        <w:t>）</w:t>
      </w:r>
      <w:r>
        <w:rPr>
          <w:rFonts w:hint="eastAsia" w:ascii="宋体" w:hAnsi="宋体" w:eastAsia="宋体" w:cs="宋体"/>
          <w:b w:val="0"/>
          <w:bCs/>
          <w:color w:val="auto"/>
          <w:szCs w:val="21"/>
          <w:highlight w:val="none"/>
        </w:rPr>
        <w:t>：关键线路基本准确，计划编制合理，关键节点的控制措施基本可行</w:t>
      </w:r>
      <w:r>
        <w:rPr>
          <w:rFonts w:hint="eastAsia" w:ascii="宋体" w:hAnsi="宋体" w:eastAsia="宋体" w:cs="宋体"/>
          <w:b w:val="0"/>
          <w:bCs/>
          <w:color w:val="auto"/>
          <w:szCs w:val="21"/>
          <w:highlight w:val="none"/>
          <w:lang w:eastAsia="zh-CN"/>
        </w:rPr>
        <w:t>；</w:t>
      </w:r>
    </w:p>
    <w:p w14:paraId="63F36C9A">
      <w:pPr>
        <w:pStyle w:val="12"/>
        <w:keepNext w:val="0"/>
        <w:keepLines w:val="0"/>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差</w:t>
      </w:r>
      <w:r>
        <w:rPr>
          <w:rFonts w:hint="eastAsia" w:ascii="宋体" w:hAnsi="宋体" w:eastAsia="宋体" w:cs="宋体"/>
          <w:b w:val="0"/>
          <w:bCs/>
          <w:color w:val="auto"/>
          <w:szCs w:val="21"/>
          <w:highlight w:val="none"/>
          <w:lang w:eastAsia="zh-CN"/>
        </w:rPr>
        <w:t>（</w:t>
      </w:r>
      <w:r>
        <w:rPr>
          <w:rFonts w:hint="eastAsia" w:hAnsi="宋体" w:cs="宋体"/>
          <w:b w:val="0"/>
          <w:bCs/>
          <w:color w:val="auto"/>
          <w:szCs w:val="21"/>
          <w:highlight w:val="none"/>
          <w:lang w:val="en-US" w:eastAsia="zh-CN"/>
        </w:rPr>
        <w:t>1</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：关键线路不准确，计划编制不合理，关键节点的控制不可行。</w:t>
      </w:r>
    </w:p>
    <w:p w14:paraId="05B7E721">
      <w:pPr>
        <w:pStyle w:val="12"/>
        <w:keepNext w:val="0"/>
        <w:keepLines w:val="0"/>
        <w:pageBreakBefore w:val="0"/>
        <w:widowControl w:val="0"/>
        <w:tabs>
          <w:tab w:val="left" w:leader="middleDot" w:pos="8820"/>
        </w:tabs>
        <w:kinsoku/>
        <w:wordWrap/>
        <w:overflowPunct/>
        <w:topLinePunct w:val="0"/>
        <w:bidi w:val="0"/>
        <w:snapToGrid/>
        <w:spacing w:line="440" w:lineRule="exact"/>
        <w:ind w:firstLine="211" w:firstLineChars="100"/>
        <w:textAlignment w:val="auto"/>
        <w:rPr>
          <w:rFonts w:hint="eastAsia" w:ascii="宋体" w:hAnsi="宋体" w:eastAsia="宋体" w:cs="宋体"/>
          <w:b/>
          <w:bCs w:val="0"/>
          <w:color w:val="auto"/>
          <w:highlight w:val="none"/>
        </w:rPr>
      </w:pPr>
      <w:r>
        <w:rPr>
          <w:rFonts w:hint="eastAsia" w:ascii="宋体" w:hAnsi="宋体" w:eastAsia="宋体" w:cs="宋体"/>
          <w:b/>
          <w:bCs w:val="0"/>
          <w:color w:val="auto"/>
          <w:szCs w:val="21"/>
          <w:highlight w:val="none"/>
        </w:rPr>
        <w:t>（4）劳动力和材料投入计划及其保证措施</w:t>
      </w:r>
      <w:r>
        <w:rPr>
          <w:rFonts w:hint="eastAsia" w:ascii="宋体" w:hAnsi="宋体" w:eastAsia="宋体" w:cs="宋体"/>
          <w:b/>
          <w:bCs w:val="0"/>
          <w:color w:val="auto"/>
          <w:highlight w:val="none"/>
        </w:rPr>
        <w:t>…………………………………………</w:t>
      </w:r>
      <w:r>
        <w:rPr>
          <w:rFonts w:hint="eastAsia" w:ascii="宋体" w:hAnsi="宋体" w:eastAsia="宋体" w:cs="宋体"/>
          <w:b/>
          <w:bCs w:val="0"/>
          <w:color w:val="auto"/>
          <w:szCs w:val="21"/>
          <w:highlight w:val="none"/>
        </w:rPr>
        <w:t>…</w:t>
      </w:r>
      <w:r>
        <w:rPr>
          <w:rFonts w:hint="eastAsia" w:ascii="宋体" w:hAnsi="宋体" w:eastAsia="宋体" w:cs="宋体"/>
          <w:b/>
          <w:bCs w:val="0"/>
          <w:color w:val="auto"/>
          <w:highlight w:val="none"/>
        </w:rPr>
        <w:t>…………</w:t>
      </w:r>
      <w:r>
        <w:rPr>
          <w:rFonts w:hint="eastAsia" w:ascii="宋体" w:hAnsi="宋体" w:eastAsia="宋体" w:cs="宋体"/>
          <w:b/>
          <w:color w:val="auto"/>
          <w:highlight w:val="none"/>
        </w:rPr>
        <w:t>…</w:t>
      </w:r>
      <w:r>
        <w:rPr>
          <w:rFonts w:hint="eastAsia" w:hAnsi="宋体" w:cs="宋体"/>
          <w:b/>
          <w:color w:val="auto"/>
          <w:highlight w:val="none"/>
          <w:lang w:val="en-US" w:eastAsia="zh-CN"/>
        </w:rPr>
        <w:t>6</w:t>
      </w:r>
      <w:r>
        <w:rPr>
          <w:rFonts w:hint="eastAsia" w:ascii="宋体" w:hAnsi="宋体" w:eastAsia="宋体" w:cs="宋体"/>
          <w:b/>
          <w:bCs w:val="0"/>
          <w:color w:val="auto"/>
          <w:szCs w:val="21"/>
          <w:highlight w:val="none"/>
        </w:rPr>
        <w:t>分</w:t>
      </w:r>
    </w:p>
    <w:p w14:paraId="6F30935B">
      <w:pPr>
        <w:pStyle w:val="12"/>
        <w:keepNext w:val="0"/>
        <w:keepLines w:val="0"/>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rPr>
        <w:t>优</w:t>
      </w:r>
      <w:r>
        <w:rPr>
          <w:rFonts w:hint="eastAsia" w:ascii="宋体" w:hAnsi="宋体" w:eastAsia="宋体" w:cs="宋体"/>
          <w:b w:val="0"/>
          <w:bCs/>
          <w:color w:val="auto"/>
          <w:szCs w:val="21"/>
          <w:highlight w:val="none"/>
          <w:lang w:eastAsia="zh-CN"/>
        </w:rPr>
        <w:t>（</w:t>
      </w:r>
      <w:r>
        <w:rPr>
          <w:rFonts w:hint="eastAsia" w:hAnsi="宋体" w:cs="宋体"/>
          <w:b w:val="0"/>
          <w:bCs/>
          <w:color w:val="auto"/>
          <w:szCs w:val="21"/>
          <w:highlight w:val="none"/>
          <w:lang w:val="en-US" w:eastAsia="zh-CN"/>
        </w:rPr>
        <w:t>6</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：投入计划与进度计划呼应，较好满足施工需要，调配投入计划合理、准确</w:t>
      </w:r>
      <w:r>
        <w:rPr>
          <w:rFonts w:hint="eastAsia" w:ascii="宋体" w:hAnsi="宋体" w:eastAsia="宋体" w:cs="宋体"/>
          <w:b w:val="0"/>
          <w:bCs/>
          <w:color w:val="auto"/>
          <w:szCs w:val="21"/>
          <w:highlight w:val="none"/>
          <w:lang w:eastAsia="zh-CN"/>
        </w:rPr>
        <w:t>；</w:t>
      </w:r>
    </w:p>
    <w:p w14:paraId="728F56F4">
      <w:pPr>
        <w:pStyle w:val="12"/>
        <w:keepNext w:val="0"/>
        <w:keepLines w:val="0"/>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rPr>
        <w:t>良</w:t>
      </w:r>
      <w:r>
        <w:rPr>
          <w:rFonts w:hint="eastAsia" w:ascii="宋体" w:hAnsi="宋体" w:eastAsia="宋体" w:cs="宋体"/>
          <w:b w:val="0"/>
          <w:bCs/>
          <w:color w:val="auto"/>
          <w:szCs w:val="21"/>
          <w:highlight w:val="none"/>
          <w:lang w:eastAsia="zh-CN"/>
        </w:rPr>
        <w:t>（</w:t>
      </w:r>
      <w:r>
        <w:rPr>
          <w:rFonts w:hint="eastAsia" w:hAnsi="宋体" w:cs="宋体"/>
          <w:b w:val="0"/>
          <w:bCs w:val="0"/>
          <w:color w:val="auto"/>
          <w:kern w:val="0"/>
          <w:sz w:val="21"/>
          <w:szCs w:val="21"/>
          <w:highlight w:val="none"/>
          <w:lang w:val="en-US" w:eastAsia="zh-CN"/>
        </w:rPr>
        <w:t>4</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：投入计划与进度计划呼应，基本满足施工需要，调配投入计划基本合理、准确</w:t>
      </w:r>
      <w:r>
        <w:rPr>
          <w:rFonts w:hint="eastAsia" w:ascii="宋体" w:hAnsi="宋体" w:eastAsia="宋体" w:cs="宋体"/>
          <w:b w:val="0"/>
          <w:bCs/>
          <w:color w:val="auto"/>
          <w:szCs w:val="21"/>
          <w:highlight w:val="none"/>
          <w:lang w:eastAsia="zh-CN"/>
        </w:rPr>
        <w:t>；</w:t>
      </w:r>
    </w:p>
    <w:p w14:paraId="6E7BD718">
      <w:pPr>
        <w:pStyle w:val="12"/>
        <w:keepNext w:val="0"/>
        <w:keepLines w:val="0"/>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rPr>
        <w:t>中</w:t>
      </w:r>
      <w:r>
        <w:rPr>
          <w:rFonts w:hint="eastAsia" w:ascii="宋体" w:hAnsi="宋体" w:eastAsia="宋体" w:cs="宋体"/>
          <w:b w:val="0"/>
          <w:bCs/>
          <w:color w:val="auto"/>
          <w:szCs w:val="21"/>
          <w:highlight w:val="none"/>
          <w:lang w:eastAsia="zh-CN"/>
        </w:rPr>
        <w:t>（</w:t>
      </w:r>
      <w:r>
        <w:rPr>
          <w:rFonts w:hint="eastAsia" w:hAnsi="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：投入计划与进度计划呼应，基本满足施工需要，调配投入计划基本合理</w:t>
      </w:r>
      <w:r>
        <w:rPr>
          <w:rFonts w:hint="eastAsia" w:ascii="宋体" w:hAnsi="宋体" w:eastAsia="宋体" w:cs="宋体"/>
          <w:b w:val="0"/>
          <w:bCs/>
          <w:color w:val="auto"/>
          <w:szCs w:val="21"/>
          <w:highlight w:val="none"/>
          <w:lang w:eastAsia="zh-CN"/>
        </w:rPr>
        <w:t>；</w:t>
      </w:r>
    </w:p>
    <w:p w14:paraId="1F64391C">
      <w:pPr>
        <w:pStyle w:val="12"/>
        <w:keepNext w:val="0"/>
        <w:keepLines w:val="0"/>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差</w:t>
      </w:r>
      <w:r>
        <w:rPr>
          <w:rFonts w:hint="eastAsia" w:ascii="宋体" w:hAnsi="宋体" w:eastAsia="宋体" w:cs="宋体"/>
          <w:b w:val="0"/>
          <w:bCs/>
          <w:color w:val="auto"/>
          <w:szCs w:val="21"/>
          <w:highlight w:val="none"/>
          <w:lang w:eastAsia="zh-CN"/>
        </w:rPr>
        <w:t>（</w:t>
      </w:r>
      <w:r>
        <w:rPr>
          <w:rFonts w:hint="eastAsia" w:hAnsi="宋体" w:eastAsia="宋体" w:cs="宋体"/>
          <w:b w:val="0"/>
          <w:bCs/>
          <w:color w:val="auto"/>
          <w:szCs w:val="21"/>
          <w:highlight w:val="none"/>
          <w:lang w:val="en-US" w:eastAsia="zh-CN"/>
        </w:rPr>
        <w:t>0</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：投入计划与进度计划不呼应，不能满足施工需要。</w:t>
      </w:r>
    </w:p>
    <w:p w14:paraId="7E50DD65">
      <w:pPr>
        <w:pStyle w:val="12"/>
        <w:keepNext w:val="0"/>
        <w:keepLines w:val="0"/>
        <w:pageBreakBefore w:val="0"/>
        <w:widowControl w:val="0"/>
        <w:tabs>
          <w:tab w:val="left" w:leader="middleDot" w:pos="8820"/>
        </w:tabs>
        <w:kinsoku/>
        <w:wordWrap/>
        <w:overflowPunct/>
        <w:topLinePunct w:val="0"/>
        <w:bidi w:val="0"/>
        <w:snapToGrid/>
        <w:spacing w:line="440" w:lineRule="exact"/>
        <w:ind w:firstLine="211" w:firstLineChars="100"/>
        <w:textAlignment w:val="auto"/>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（5）施工平面布置和临时设施布置</w:t>
      </w:r>
      <w:r>
        <w:rPr>
          <w:rFonts w:hint="eastAsia" w:ascii="宋体" w:hAnsi="宋体" w:eastAsia="宋体" w:cs="宋体"/>
          <w:b/>
          <w:bCs w:val="0"/>
          <w:color w:val="auto"/>
          <w:highlight w:val="none"/>
        </w:rPr>
        <w:t>……………………</w:t>
      </w:r>
      <w:r>
        <w:rPr>
          <w:rFonts w:hint="eastAsia" w:ascii="宋体" w:hAnsi="宋体" w:eastAsia="宋体" w:cs="宋体"/>
          <w:b/>
          <w:bCs w:val="0"/>
          <w:color w:val="auto"/>
          <w:szCs w:val="21"/>
          <w:highlight w:val="none"/>
        </w:rPr>
        <w:t>…</w:t>
      </w:r>
      <w:r>
        <w:rPr>
          <w:rFonts w:hint="eastAsia" w:ascii="宋体" w:hAnsi="宋体" w:eastAsia="宋体" w:cs="宋体"/>
          <w:b/>
          <w:bCs w:val="0"/>
          <w:color w:val="auto"/>
          <w:highlight w:val="none"/>
        </w:rPr>
        <w:t>……………</w:t>
      </w:r>
      <w:r>
        <w:rPr>
          <w:rFonts w:hint="eastAsia" w:ascii="宋体" w:hAnsi="宋体" w:eastAsia="宋体" w:cs="宋体"/>
          <w:b/>
          <w:bCs w:val="0"/>
          <w:color w:val="auto"/>
          <w:szCs w:val="21"/>
          <w:highlight w:val="none"/>
        </w:rPr>
        <w:t>…</w:t>
      </w:r>
      <w:r>
        <w:rPr>
          <w:rFonts w:hint="eastAsia" w:ascii="宋体" w:hAnsi="宋体" w:eastAsia="宋体" w:cs="宋体"/>
          <w:b/>
          <w:bCs w:val="0"/>
          <w:color w:val="auto"/>
          <w:highlight w:val="none"/>
        </w:rPr>
        <w:t>…………………………</w:t>
      </w:r>
      <w:r>
        <w:rPr>
          <w:rFonts w:hint="eastAsia" w:hAnsi="宋体" w:cs="宋体"/>
          <w:b/>
          <w:bCs w:val="0"/>
          <w:color w:val="auto"/>
          <w:highlight w:val="none"/>
          <w:lang w:val="en-US" w:eastAsia="zh-CN"/>
        </w:rPr>
        <w:t>7</w:t>
      </w:r>
      <w:r>
        <w:rPr>
          <w:rFonts w:hint="eastAsia" w:ascii="宋体" w:hAnsi="宋体" w:eastAsia="宋体" w:cs="宋体"/>
          <w:b/>
          <w:bCs w:val="0"/>
          <w:color w:val="auto"/>
          <w:szCs w:val="21"/>
          <w:highlight w:val="none"/>
        </w:rPr>
        <w:t>分</w:t>
      </w:r>
    </w:p>
    <w:p w14:paraId="3551E3CD">
      <w:pPr>
        <w:pStyle w:val="12"/>
        <w:keepNext w:val="0"/>
        <w:keepLines w:val="0"/>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rPr>
        <w:t>优</w:t>
      </w:r>
      <w:r>
        <w:rPr>
          <w:rFonts w:hint="eastAsia" w:ascii="宋体" w:hAnsi="宋体" w:eastAsia="宋体" w:cs="宋体"/>
          <w:b w:val="0"/>
          <w:bCs/>
          <w:color w:val="auto"/>
          <w:szCs w:val="21"/>
          <w:highlight w:val="none"/>
          <w:lang w:eastAsia="zh-CN"/>
        </w:rPr>
        <w:t>（</w:t>
      </w:r>
      <w:r>
        <w:rPr>
          <w:rFonts w:hint="eastAsia" w:hAnsi="宋体" w:cs="宋体"/>
          <w:b w:val="0"/>
          <w:bCs/>
          <w:color w:val="auto"/>
          <w:szCs w:val="21"/>
          <w:highlight w:val="none"/>
          <w:lang w:val="en-US" w:eastAsia="zh-CN"/>
        </w:rPr>
        <w:t>7</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：总体布置有针对性、合理，较好满足施工需要，符合安全、文明生产要求</w:t>
      </w:r>
      <w:r>
        <w:rPr>
          <w:rFonts w:hint="eastAsia" w:ascii="宋体" w:hAnsi="宋体" w:eastAsia="宋体" w:cs="宋体"/>
          <w:b w:val="0"/>
          <w:bCs/>
          <w:color w:val="auto"/>
          <w:szCs w:val="21"/>
          <w:highlight w:val="none"/>
          <w:lang w:eastAsia="zh-CN"/>
        </w:rPr>
        <w:t>；</w:t>
      </w:r>
    </w:p>
    <w:p w14:paraId="3DB64F3E">
      <w:pPr>
        <w:pStyle w:val="12"/>
        <w:keepNext w:val="0"/>
        <w:keepLines w:val="0"/>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rPr>
        <w:t>良</w:t>
      </w:r>
      <w:r>
        <w:rPr>
          <w:rFonts w:hint="eastAsia" w:ascii="宋体" w:hAnsi="宋体" w:eastAsia="宋体" w:cs="宋体"/>
          <w:b w:val="0"/>
          <w:bCs/>
          <w:color w:val="auto"/>
          <w:szCs w:val="21"/>
          <w:highlight w:val="none"/>
          <w:lang w:eastAsia="zh-CN"/>
        </w:rPr>
        <w:t>（</w:t>
      </w:r>
      <w:r>
        <w:rPr>
          <w:rFonts w:hint="eastAsia" w:hAnsi="宋体" w:cs="宋体"/>
          <w:b w:val="0"/>
          <w:bCs w:val="0"/>
          <w:color w:val="auto"/>
          <w:kern w:val="0"/>
          <w:sz w:val="21"/>
          <w:szCs w:val="21"/>
          <w:highlight w:val="none"/>
          <w:lang w:val="en-US" w:eastAsia="zh-CN"/>
        </w:rPr>
        <w:t>5</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：总体布置合理，能满足施工需要，基本符合安全、文明生产要求</w:t>
      </w:r>
      <w:r>
        <w:rPr>
          <w:rFonts w:hint="eastAsia" w:ascii="宋体" w:hAnsi="宋体" w:eastAsia="宋体" w:cs="宋体"/>
          <w:b w:val="0"/>
          <w:bCs/>
          <w:color w:val="auto"/>
          <w:szCs w:val="21"/>
          <w:highlight w:val="none"/>
          <w:lang w:eastAsia="zh-CN"/>
        </w:rPr>
        <w:t>；</w:t>
      </w:r>
    </w:p>
    <w:p w14:paraId="46CB23A8">
      <w:pPr>
        <w:pStyle w:val="12"/>
        <w:keepNext w:val="0"/>
        <w:keepLines w:val="0"/>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rPr>
        <w:t>中</w:t>
      </w:r>
      <w:r>
        <w:rPr>
          <w:rFonts w:hint="eastAsia" w:ascii="宋体" w:hAnsi="宋体" w:eastAsia="宋体" w:cs="宋体"/>
          <w:b w:val="0"/>
          <w:bCs/>
          <w:color w:val="auto"/>
          <w:szCs w:val="21"/>
          <w:highlight w:val="none"/>
          <w:lang w:eastAsia="zh-CN"/>
        </w:rPr>
        <w:t>（</w:t>
      </w:r>
      <w:r>
        <w:rPr>
          <w:rFonts w:hint="eastAsia" w:hAnsi="宋体" w:cs="宋体"/>
          <w:b w:val="0"/>
          <w:bCs/>
          <w:color w:val="auto"/>
          <w:szCs w:val="21"/>
          <w:highlight w:val="none"/>
          <w:lang w:val="en-US" w:eastAsia="zh-CN"/>
        </w:rPr>
        <w:t>3</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：总体布置基本合理，基本满足施工需要</w:t>
      </w:r>
      <w:r>
        <w:rPr>
          <w:rFonts w:hint="eastAsia" w:ascii="宋体" w:hAnsi="宋体" w:eastAsia="宋体" w:cs="宋体"/>
          <w:b w:val="0"/>
          <w:bCs/>
          <w:color w:val="auto"/>
          <w:szCs w:val="21"/>
          <w:highlight w:val="none"/>
          <w:lang w:eastAsia="zh-CN"/>
        </w:rPr>
        <w:t>；</w:t>
      </w:r>
    </w:p>
    <w:p w14:paraId="7F533B32">
      <w:pPr>
        <w:pStyle w:val="12"/>
        <w:keepNext w:val="0"/>
        <w:keepLines w:val="0"/>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差</w:t>
      </w:r>
      <w:r>
        <w:rPr>
          <w:rFonts w:hint="eastAsia" w:ascii="宋体" w:hAnsi="宋体" w:eastAsia="宋体" w:cs="宋体"/>
          <w:b w:val="0"/>
          <w:bCs/>
          <w:color w:val="auto"/>
          <w:szCs w:val="21"/>
          <w:highlight w:val="none"/>
          <w:lang w:eastAsia="zh-CN"/>
        </w:rPr>
        <w:t>（</w:t>
      </w:r>
      <w:r>
        <w:rPr>
          <w:rFonts w:hint="eastAsia" w:hAnsi="宋体" w:cs="宋体"/>
          <w:b w:val="0"/>
          <w:bCs/>
          <w:color w:val="auto"/>
          <w:szCs w:val="21"/>
          <w:highlight w:val="none"/>
          <w:lang w:val="en-US" w:eastAsia="zh-CN"/>
        </w:rPr>
        <w:t>1</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：总体布置不合理，不符合安全、文明生产要求。</w:t>
      </w:r>
    </w:p>
    <w:p w14:paraId="0F1D6F72">
      <w:pPr>
        <w:pStyle w:val="12"/>
        <w:keepNext w:val="0"/>
        <w:keepLines w:val="0"/>
        <w:pageBreakBefore w:val="0"/>
        <w:widowControl w:val="0"/>
        <w:tabs>
          <w:tab w:val="left" w:leader="middleDot" w:pos="8820"/>
        </w:tabs>
        <w:kinsoku/>
        <w:wordWrap/>
        <w:overflowPunct/>
        <w:topLinePunct w:val="0"/>
        <w:bidi w:val="0"/>
        <w:snapToGrid/>
        <w:spacing w:line="440" w:lineRule="exact"/>
        <w:ind w:firstLine="211" w:firstLineChars="100"/>
        <w:textAlignment w:val="auto"/>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（6）关键施工技术、工艺及工程实施的重点、难点和解决方案</w:t>
      </w:r>
      <w:r>
        <w:rPr>
          <w:rFonts w:hint="eastAsia" w:ascii="宋体" w:hAnsi="宋体" w:eastAsia="宋体" w:cs="宋体"/>
          <w:b/>
          <w:bCs w:val="0"/>
          <w:color w:val="auto"/>
          <w:highlight w:val="none"/>
        </w:rPr>
        <w:t>…………………………………</w:t>
      </w:r>
      <w:r>
        <w:rPr>
          <w:rFonts w:hint="eastAsia" w:hAnsi="宋体" w:cs="宋体"/>
          <w:b/>
          <w:bCs w:val="0"/>
          <w:color w:val="auto"/>
          <w:highlight w:val="none"/>
          <w:lang w:val="en-US" w:eastAsia="zh-CN"/>
        </w:rPr>
        <w:t>7</w:t>
      </w:r>
      <w:r>
        <w:rPr>
          <w:rFonts w:hint="eastAsia" w:ascii="宋体" w:hAnsi="宋体" w:eastAsia="宋体" w:cs="宋体"/>
          <w:b/>
          <w:bCs w:val="0"/>
          <w:color w:val="auto"/>
          <w:szCs w:val="21"/>
          <w:highlight w:val="none"/>
        </w:rPr>
        <w:t>分</w:t>
      </w:r>
    </w:p>
    <w:p w14:paraId="08A99777">
      <w:pPr>
        <w:pStyle w:val="12"/>
        <w:keepNext w:val="0"/>
        <w:keepLines w:val="0"/>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优</w:t>
      </w:r>
      <w:r>
        <w:rPr>
          <w:rFonts w:hint="eastAsia" w:ascii="宋体" w:hAnsi="宋体" w:eastAsia="宋体" w:cs="宋体"/>
          <w:b w:val="0"/>
          <w:bCs/>
          <w:color w:val="auto"/>
          <w:szCs w:val="21"/>
          <w:highlight w:val="none"/>
          <w:lang w:eastAsia="zh-CN"/>
        </w:rPr>
        <w:t>（</w:t>
      </w:r>
      <w:r>
        <w:rPr>
          <w:rFonts w:hint="eastAsia" w:hAnsi="宋体" w:cs="宋体"/>
          <w:b w:val="0"/>
          <w:bCs/>
          <w:color w:val="auto"/>
          <w:szCs w:val="21"/>
          <w:highlight w:val="none"/>
          <w:lang w:val="en-US" w:eastAsia="zh-CN"/>
        </w:rPr>
        <w:t>7</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：对项目关键技术、工艺有深入的表达，对重点、难点有先进合理的施工措施并有可行的安全措施，解决方案完整、经济、安全、切实可行，措施得力。</w:t>
      </w:r>
    </w:p>
    <w:p w14:paraId="360613CF">
      <w:pPr>
        <w:pStyle w:val="12"/>
        <w:keepNext w:val="0"/>
        <w:keepLines w:val="0"/>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良</w:t>
      </w:r>
      <w:r>
        <w:rPr>
          <w:rFonts w:hint="eastAsia" w:ascii="宋体" w:hAnsi="宋体" w:eastAsia="宋体" w:cs="宋体"/>
          <w:b w:val="0"/>
          <w:bCs/>
          <w:color w:val="auto"/>
          <w:szCs w:val="21"/>
          <w:highlight w:val="none"/>
          <w:lang w:eastAsia="zh-CN"/>
        </w:rPr>
        <w:t>（</w:t>
      </w:r>
      <w:r>
        <w:rPr>
          <w:rFonts w:hint="eastAsia" w:hAnsi="宋体" w:cs="宋体"/>
          <w:b w:val="0"/>
          <w:bCs/>
          <w:color w:val="auto"/>
          <w:szCs w:val="21"/>
          <w:highlight w:val="none"/>
          <w:lang w:val="en-US" w:eastAsia="zh-CN"/>
        </w:rPr>
        <w:t>5</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：对项目关键技术、工艺有深入的表达，对重点、难点有合理的建议，解决方案经济、安全、基本可行。</w:t>
      </w:r>
    </w:p>
    <w:p w14:paraId="240E6F96">
      <w:pPr>
        <w:pStyle w:val="12"/>
        <w:keepNext w:val="0"/>
        <w:keepLines w:val="0"/>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中</w:t>
      </w:r>
      <w:r>
        <w:rPr>
          <w:rFonts w:hint="eastAsia" w:ascii="宋体" w:hAnsi="宋体" w:eastAsia="宋体" w:cs="宋体"/>
          <w:b w:val="0"/>
          <w:bCs/>
          <w:color w:val="auto"/>
          <w:szCs w:val="21"/>
          <w:highlight w:val="none"/>
          <w:lang w:eastAsia="zh-CN"/>
        </w:rPr>
        <w:t>（</w:t>
      </w:r>
      <w:r>
        <w:rPr>
          <w:rFonts w:hint="eastAsia" w:hAnsi="宋体" w:cs="宋体"/>
          <w:b w:val="0"/>
          <w:bCs/>
          <w:color w:val="auto"/>
          <w:szCs w:val="21"/>
          <w:highlight w:val="none"/>
          <w:lang w:val="en-US" w:eastAsia="zh-CN"/>
        </w:rPr>
        <w:t>3</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：对项目关键技术有一定了解，对重点、难点有建议，解决方案基本可行。</w:t>
      </w:r>
    </w:p>
    <w:p w14:paraId="4D51BE01">
      <w:pPr>
        <w:pStyle w:val="12"/>
        <w:keepNext w:val="0"/>
        <w:keepLines w:val="0"/>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auto"/>
          <w:kern w:val="0"/>
          <w:szCs w:val="21"/>
          <w:highlight w:val="none"/>
        </w:rPr>
      </w:pPr>
      <w:r>
        <w:rPr>
          <w:rFonts w:hint="eastAsia" w:ascii="宋体" w:hAnsi="宋体" w:eastAsia="宋体" w:cs="宋体"/>
          <w:b w:val="0"/>
          <w:bCs/>
          <w:color w:val="auto"/>
          <w:szCs w:val="21"/>
          <w:highlight w:val="none"/>
        </w:rPr>
        <w:t>差</w:t>
      </w:r>
      <w:r>
        <w:rPr>
          <w:rFonts w:hint="eastAsia" w:ascii="宋体" w:hAnsi="宋体" w:eastAsia="宋体" w:cs="宋体"/>
          <w:b w:val="0"/>
          <w:bCs/>
          <w:color w:val="auto"/>
          <w:szCs w:val="21"/>
          <w:highlight w:val="none"/>
          <w:lang w:eastAsia="zh-CN"/>
        </w:rPr>
        <w:t>（</w:t>
      </w:r>
      <w:r>
        <w:rPr>
          <w:rFonts w:hint="eastAsia" w:hAnsi="宋体" w:cs="宋体"/>
          <w:b w:val="0"/>
          <w:bCs/>
          <w:color w:val="auto"/>
          <w:szCs w:val="21"/>
          <w:highlight w:val="none"/>
          <w:lang w:val="en-US" w:eastAsia="zh-CN"/>
        </w:rPr>
        <w:t>1</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：对项目关键技术有表述，对重点、难点有建议，解决方案不可行。</w:t>
      </w:r>
    </w:p>
    <w:p w14:paraId="66D82923">
      <w:pPr>
        <w:pStyle w:val="12"/>
        <w:keepNext w:val="0"/>
        <w:keepLines w:val="0"/>
        <w:pageBreakBefore w:val="0"/>
        <w:widowControl w:val="0"/>
        <w:tabs>
          <w:tab w:val="left" w:leader="middleDot" w:pos="8820"/>
        </w:tabs>
        <w:kinsoku/>
        <w:wordWrap/>
        <w:overflowPunct/>
        <w:topLinePunct w:val="0"/>
        <w:bidi w:val="0"/>
        <w:snapToGrid/>
        <w:spacing w:line="440" w:lineRule="exact"/>
        <w:ind w:firstLine="211" w:firstLineChars="100"/>
        <w:textAlignment w:val="auto"/>
        <w:rPr>
          <w:rFonts w:hint="eastAsia" w:ascii="宋体" w:hAnsi="宋体" w:eastAsia="宋体" w:cs="宋体"/>
          <w:b/>
          <w:bCs w:val="0"/>
          <w:color w:val="auto"/>
          <w:szCs w:val="21"/>
          <w:highlight w:val="none"/>
        </w:rPr>
      </w:pPr>
      <w:r>
        <w:rPr>
          <w:rFonts w:hint="eastAsia" w:ascii="宋体" w:hAnsi="宋体" w:eastAsia="宋体" w:cs="宋体"/>
          <w:b/>
          <w:bCs w:val="0"/>
          <w:color w:val="auto"/>
          <w:kern w:val="0"/>
          <w:szCs w:val="21"/>
          <w:highlight w:val="none"/>
        </w:rPr>
        <w:t>（7）安全文明施工措施</w:t>
      </w:r>
      <w:r>
        <w:rPr>
          <w:rFonts w:hint="eastAsia" w:ascii="宋体" w:hAnsi="宋体" w:eastAsia="宋体" w:cs="宋体"/>
          <w:b/>
          <w:bCs w:val="0"/>
          <w:color w:val="auto"/>
          <w:highlight w:val="none"/>
        </w:rPr>
        <w:t>…………………</w:t>
      </w:r>
      <w:r>
        <w:rPr>
          <w:rFonts w:hint="eastAsia" w:ascii="宋体" w:hAnsi="宋体" w:eastAsia="宋体" w:cs="宋体"/>
          <w:b/>
          <w:bCs w:val="0"/>
          <w:color w:val="auto"/>
          <w:szCs w:val="21"/>
          <w:highlight w:val="none"/>
        </w:rPr>
        <w:t>…</w:t>
      </w:r>
      <w:r>
        <w:rPr>
          <w:rFonts w:hint="eastAsia" w:ascii="宋体" w:hAnsi="宋体" w:eastAsia="宋体" w:cs="宋体"/>
          <w:b/>
          <w:bCs w:val="0"/>
          <w:color w:val="auto"/>
          <w:highlight w:val="none"/>
        </w:rPr>
        <w:t>………………………</w:t>
      </w:r>
      <w:r>
        <w:rPr>
          <w:rFonts w:hint="eastAsia" w:ascii="宋体" w:hAnsi="宋体" w:eastAsia="宋体" w:cs="宋体"/>
          <w:b/>
          <w:bCs w:val="0"/>
          <w:color w:val="auto"/>
          <w:szCs w:val="21"/>
          <w:highlight w:val="none"/>
        </w:rPr>
        <w:t>…</w:t>
      </w:r>
      <w:r>
        <w:rPr>
          <w:rFonts w:hint="eastAsia" w:ascii="宋体" w:hAnsi="宋体" w:eastAsia="宋体" w:cs="宋体"/>
          <w:b/>
          <w:bCs w:val="0"/>
          <w:color w:val="auto"/>
          <w:highlight w:val="none"/>
        </w:rPr>
        <w:t>………………………………</w:t>
      </w:r>
      <w:r>
        <w:rPr>
          <w:rFonts w:hint="eastAsia" w:hAnsi="宋体" w:cs="宋体"/>
          <w:b/>
          <w:bCs w:val="0"/>
          <w:color w:val="auto"/>
          <w:szCs w:val="21"/>
          <w:highlight w:val="none"/>
          <w:lang w:val="en-US" w:eastAsia="zh-CN"/>
        </w:rPr>
        <w:t>7</w:t>
      </w:r>
      <w:r>
        <w:rPr>
          <w:rFonts w:hint="eastAsia" w:ascii="宋体" w:hAnsi="宋体" w:eastAsia="宋体" w:cs="宋体"/>
          <w:b/>
          <w:bCs w:val="0"/>
          <w:color w:val="auto"/>
          <w:szCs w:val="21"/>
          <w:highlight w:val="none"/>
        </w:rPr>
        <w:t>分</w:t>
      </w:r>
    </w:p>
    <w:p w14:paraId="29628742">
      <w:pPr>
        <w:pStyle w:val="12"/>
        <w:keepNext w:val="0"/>
        <w:keepLines w:val="0"/>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优</w:t>
      </w:r>
      <w:r>
        <w:rPr>
          <w:rFonts w:hint="eastAsia" w:ascii="宋体" w:hAnsi="宋体" w:eastAsia="宋体" w:cs="宋体"/>
          <w:b w:val="0"/>
          <w:bCs/>
          <w:color w:val="auto"/>
          <w:szCs w:val="21"/>
          <w:highlight w:val="none"/>
          <w:lang w:eastAsia="zh-CN"/>
        </w:rPr>
        <w:t>（</w:t>
      </w:r>
      <w:r>
        <w:rPr>
          <w:rFonts w:hint="eastAsia" w:hAnsi="宋体" w:cs="宋体"/>
          <w:b w:val="0"/>
          <w:bCs w:val="0"/>
          <w:color w:val="auto"/>
          <w:kern w:val="0"/>
          <w:sz w:val="21"/>
          <w:szCs w:val="21"/>
          <w:highlight w:val="none"/>
          <w:lang w:val="en-US" w:eastAsia="zh-CN"/>
        </w:rPr>
        <w:t>7</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：针对项目实际情况，有先进、具体、完整、可行的实施措施，采用规范正确、清晰。</w:t>
      </w:r>
    </w:p>
    <w:p w14:paraId="4BA99C00">
      <w:pPr>
        <w:pStyle w:val="12"/>
        <w:keepNext w:val="0"/>
        <w:keepLines w:val="0"/>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良</w:t>
      </w:r>
      <w:r>
        <w:rPr>
          <w:rFonts w:hint="eastAsia" w:ascii="宋体" w:hAnsi="宋体" w:eastAsia="宋体" w:cs="宋体"/>
          <w:b w:val="0"/>
          <w:bCs/>
          <w:color w:val="auto"/>
          <w:szCs w:val="21"/>
          <w:highlight w:val="none"/>
          <w:lang w:eastAsia="zh-CN"/>
        </w:rPr>
        <w:t>（</w:t>
      </w:r>
      <w:r>
        <w:rPr>
          <w:rFonts w:hint="eastAsia" w:hAnsi="宋体" w:cs="宋体"/>
          <w:b w:val="0"/>
          <w:bCs/>
          <w:color w:val="auto"/>
          <w:szCs w:val="21"/>
          <w:highlight w:val="none"/>
          <w:lang w:val="en-US" w:eastAsia="zh-CN"/>
        </w:rPr>
        <w:t>5</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：针对项目实际情况，有合理的措施且具体、完整，采用规范正确。</w:t>
      </w:r>
    </w:p>
    <w:p w14:paraId="0A03E043">
      <w:pPr>
        <w:pStyle w:val="12"/>
        <w:keepNext w:val="0"/>
        <w:keepLines w:val="0"/>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中</w:t>
      </w:r>
      <w:r>
        <w:rPr>
          <w:rFonts w:hint="eastAsia" w:ascii="宋体" w:hAnsi="宋体" w:eastAsia="宋体" w:cs="宋体"/>
          <w:b w:val="0"/>
          <w:bCs/>
          <w:color w:val="auto"/>
          <w:szCs w:val="21"/>
          <w:highlight w:val="none"/>
          <w:lang w:eastAsia="zh-CN"/>
        </w:rPr>
        <w:t>（</w:t>
      </w:r>
      <w:r>
        <w:rPr>
          <w:rFonts w:hint="eastAsia" w:hAnsi="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：有基本合理的措施，采用规范正确。</w:t>
      </w:r>
    </w:p>
    <w:p w14:paraId="35449A18">
      <w:pPr>
        <w:pStyle w:val="12"/>
        <w:keepNext w:val="0"/>
        <w:keepLines w:val="0"/>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差</w:t>
      </w:r>
      <w:r>
        <w:rPr>
          <w:rFonts w:hint="eastAsia" w:ascii="宋体" w:hAnsi="宋体" w:eastAsia="宋体" w:cs="宋体"/>
          <w:b w:val="0"/>
          <w:bCs/>
          <w:color w:val="auto"/>
          <w:szCs w:val="21"/>
          <w:highlight w:val="none"/>
          <w:lang w:eastAsia="zh-CN"/>
        </w:rPr>
        <w:t>（</w:t>
      </w:r>
      <w:r>
        <w:rPr>
          <w:rFonts w:hint="eastAsia" w:hAnsi="宋体" w:cs="宋体"/>
          <w:b w:val="0"/>
          <w:bCs/>
          <w:color w:val="auto"/>
          <w:szCs w:val="21"/>
          <w:highlight w:val="none"/>
          <w:lang w:val="en-US" w:eastAsia="zh-CN"/>
        </w:rPr>
        <w:t>1</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：安全文明措施不得力，采用规范不正确。</w:t>
      </w:r>
    </w:p>
    <w:p w14:paraId="6ED15D14">
      <w:pPr>
        <w:pStyle w:val="12"/>
        <w:keepNext w:val="0"/>
        <w:keepLines w:val="0"/>
        <w:pageBreakBefore w:val="0"/>
        <w:widowControl w:val="0"/>
        <w:tabs>
          <w:tab w:val="left" w:leader="middleDot" w:pos="8820"/>
        </w:tabs>
        <w:kinsoku/>
        <w:wordWrap/>
        <w:overflowPunct/>
        <w:topLinePunct w:val="0"/>
        <w:bidi w:val="0"/>
        <w:snapToGrid/>
        <w:spacing w:line="440" w:lineRule="exact"/>
        <w:ind w:firstLine="211" w:firstLineChars="100"/>
        <w:textAlignment w:val="auto"/>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（8）质量保证与承诺</w:t>
      </w:r>
      <w:r>
        <w:rPr>
          <w:rFonts w:hint="eastAsia" w:ascii="宋体" w:hAnsi="宋体" w:eastAsia="宋体" w:cs="宋体"/>
          <w:b/>
          <w:bCs w:val="0"/>
          <w:color w:val="auto"/>
          <w:highlight w:val="none"/>
        </w:rPr>
        <w:t>………………</w:t>
      </w:r>
      <w:r>
        <w:rPr>
          <w:rFonts w:hint="eastAsia" w:ascii="宋体" w:hAnsi="宋体" w:eastAsia="宋体" w:cs="宋体"/>
          <w:b/>
          <w:bCs w:val="0"/>
          <w:color w:val="auto"/>
          <w:szCs w:val="21"/>
          <w:highlight w:val="none"/>
        </w:rPr>
        <w:t>…</w:t>
      </w:r>
      <w:r>
        <w:rPr>
          <w:rFonts w:hint="eastAsia" w:ascii="宋体" w:hAnsi="宋体" w:eastAsia="宋体" w:cs="宋体"/>
          <w:b/>
          <w:bCs w:val="0"/>
          <w:color w:val="auto"/>
          <w:highlight w:val="none"/>
        </w:rPr>
        <w:t>…………………………………</w:t>
      </w:r>
      <w:r>
        <w:rPr>
          <w:rFonts w:hint="eastAsia" w:ascii="宋体" w:hAnsi="宋体" w:eastAsia="宋体" w:cs="宋体"/>
          <w:b/>
          <w:bCs w:val="0"/>
          <w:color w:val="auto"/>
          <w:szCs w:val="21"/>
          <w:highlight w:val="none"/>
        </w:rPr>
        <w:t>…</w:t>
      </w:r>
      <w:r>
        <w:rPr>
          <w:rFonts w:hint="eastAsia" w:ascii="宋体" w:hAnsi="宋体" w:eastAsia="宋体" w:cs="宋体"/>
          <w:b/>
          <w:bCs w:val="0"/>
          <w:color w:val="auto"/>
          <w:highlight w:val="none"/>
        </w:rPr>
        <w:t>…………………</w:t>
      </w:r>
      <w:r>
        <w:rPr>
          <w:rFonts w:hint="eastAsia" w:ascii="宋体" w:hAnsi="宋体" w:eastAsia="宋体" w:cs="宋体"/>
          <w:b/>
          <w:bCs w:val="0"/>
          <w:color w:val="auto"/>
          <w:szCs w:val="21"/>
          <w:highlight w:val="none"/>
        </w:rPr>
        <w:t>…</w:t>
      </w:r>
      <w:r>
        <w:rPr>
          <w:rFonts w:hint="eastAsia" w:ascii="宋体" w:hAnsi="宋体" w:eastAsia="宋体" w:cs="宋体"/>
          <w:b/>
          <w:bCs w:val="0"/>
          <w:color w:val="auto"/>
          <w:highlight w:val="none"/>
        </w:rPr>
        <w:t>……</w:t>
      </w:r>
      <w:r>
        <w:rPr>
          <w:rFonts w:hint="eastAsia" w:hAnsi="宋体" w:cs="宋体"/>
          <w:b/>
          <w:bCs w:val="0"/>
          <w:color w:val="auto"/>
          <w:highlight w:val="none"/>
          <w:lang w:val="en-US" w:eastAsia="zh-CN"/>
        </w:rPr>
        <w:t>5</w:t>
      </w:r>
      <w:r>
        <w:rPr>
          <w:rFonts w:hint="eastAsia" w:ascii="宋体" w:hAnsi="宋体" w:eastAsia="宋体" w:cs="宋体"/>
          <w:b/>
          <w:bCs w:val="0"/>
          <w:color w:val="auto"/>
          <w:szCs w:val="21"/>
          <w:highlight w:val="none"/>
        </w:rPr>
        <w:t>分</w:t>
      </w:r>
    </w:p>
    <w:p w14:paraId="5B92B94A">
      <w:pPr>
        <w:pStyle w:val="12"/>
        <w:keepNext w:val="0"/>
        <w:keepLines w:val="0"/>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优</w:t>
      </w:r>
      <w:r>
        <w:rPr>
          <w:rFonts w:hint="eastAsia" w:ascii="宋体" w:hAnsi="宋体" w:eastAsia="宋体" w:cs="宋体"/>
          <w:b w:val="0"/>
          <w:bCs/>
          <w:color w:val="auto"/>
          <w:szCs w:val="21"/>
          <w:highlight w:val="none"/>
          <w:lang w:eastAsia="zh-CN"/>
        </w:rPr>
        <w:t>（</w:t>
      </w:r>
      <w:r>
        <w:rPr>
          <w:rFonts w:hint="eastAsia" w:hAnsi="宋体" w:cs="宋体"/>
          <w:b w:val="0"/>
          <w:bCs/>
          <w:color w:val="auto"/>
          <w:szCs w:val="21"/>
          <w:highlight w:val="none"/>
          <w:lang w:val="en-US" w:eastAsia="zh-CN"/>
        </w:rPr>
        <w:t>5</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：针对项目实际提出先进、可行、具体的保证措施，超过招标文件的质量要求及施工验收规范要求。</w:t>
      </w:r>
    </w:p>
    <w:p w14:paraId="191A8664">
      <w:pPr>
        <w:pStyle w:val="12"/>
        <w:keepNext w:val="0"/>
        <w:keepLines w:val="0"/>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良</w:t>
      </w:r>
      <w:r>
        <w:rPr>
          <w:rFonts w:hint="eastAsia" w:ascii="宋体" w:hAnsi="宋体" w:eastAsia="宋体" w:cs="宋体"/>
          <w:b w:val="0"/>
          <w:bCs/>
          <w:color w:val="auto"/>
          <w:szCs w:val="21"/>
          <w:highlight w:val="none"/>
          <w:lang w:eastAsia="zh-CN"/>
        </w:rPr>
        <w:t>（</w:t>
      </w:r>
      <w:r>
        <w:rPr>
          <w:rFonts w:hint="eastAsia" w:hAnsi="宋体" w:cs="宋体"/>
          <w:b w:val="0"/>
          <w:bCs/>
          <w:color w:val="auto"/>
          <w:szCs w:val="21"/>
          <w:highlight w:val="none"/>
          <w:lang w:val="en-US" w:eastAsia="zh-CN"/>
        </w:rPr>
        <w:t>3</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：针对项目实际提出先进、可行、具体的保证措施，满足招标文件的质量要求。</w:t>
      </w:r>
    </w:p>
    <w:p w14:paraId="115B3923">
      <w:pPr>
        <w:pStyle w:val="12"/>
        <w:keepNext w:val="0"/>
        <w:keepLines w:val="0"/>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中</w:t>
      </w:r>
      <w:r>
        <w:rPr>
          <w:rFonts w:hint="eastAsia" w:ascii="宋体" w:hAnsi="宋体" w:eastAsia="宋体" w:cs="宋体"/>
          <w:b w:val="0"/>
          <w:bCs/>
          <w:color w:val="auto"/>
          <w:szCs w:val="21"/>
          <w:highlight w:val="none"/>
          <w:lang w:eastAsia="zh-CN"/>
        </w:rPr>
        <w:t>（</w:t>
      </w:r>
      <w:r>
        <w:rPr>
          <w:rFonts w:hint="eastAsia" w:hAnsi="宋体" w:eastAsia="宋体" w:cs="宋体"/>
          <w:b w:val="0"/>
          <w:bCs w:val="0"/>
          <w:color w:val="auto"/>
          <w:kern w:val="0"/>
          <w:sz w:val="21"/>
          <w:szCs w:val="21"/>
          <w:highlight w:val="none"/>
          <w:lang w:val="en-US" w:eastAsia="zh-CN"/>
        </w:rPr>
        <w:t>1</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：具体措施可行，满足招标文件的质量要求。</w:t>
      </w:r>
    </w:p>
    <w:p w14:paraId="387090DF">
      <w:pPr>
        <w:pStyle w:val="12"/>
        <w:keepNext w:val="0"/>
        <w:keepLines w:val="0"/>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差</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0</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：措施不可行。</w:t>
      </w:r>
    </w:p>
    <w:p w14:paraId="6587035C">
      <w:pPr>
        <w:pStyle w:val="12"/>
        <w:keepNext w:val="0"/>
        <w:keepLines w:val="0"/>
        <w:pageBreakBefore w:val="0"/>
        <w:widowControl w:val="0"/>
        <w:tabs>
          <w:tab w:val="left" w:leader="middleDot" w:pos="8820"/>
        </w:tabs>
        <w:kinsoku/>
        <w:wordWrap/>
        <w:overflowPunct/>
        <w:topLinePunct w:val="0"/>
        <w:bidi w:val="0"/>
        <w:snapToGrid/>
        <w:spacing w:line="440" w:lineRule="exact"/>
        <w:ind w:firstLine="211" w:firstLineChars="100"/>
        <w:textAlignment w:val="auto"/>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（9）新技术应用与承诺</w:t>
      </w:r>
      <w:r>
        <w:rPr>
          <w:rFonts w:hint="eastAsia" w:ascii="宋体" w:hAnsi="宋体" w:eastAsia="宋体" w:cs="宋体"/>
          <w:b/>
          <w:bCs w:val="0"/>
          <w:color w:val="auto"/>
          <w:highlight w:val="none"/>
        </w:rPr>
        <w:t>………………</w:t>
      </w:r>
      <w:r>
        <w:rPr>
          <w:rFonts w:hint="eastAsia" w:ascii="宋体" w:hAnsi="宋体" w:eastAsia="宋体" w:cs="宋体"/>
          <w:b/>
          <w:bCs w:val="0"/>
          <w:color w:val="auto"/>
          <w:szCs w:val="21"/>
          <w:highlight w:val="none"/>
        </w:rPr>
        <w:t>…</w:t>
      </w:r>
      <w:r>
        <w:rPr>
          <w:rFonts w:hint="eastAsia" w:ascii="宋体" w:hAnsi="宋体" w:eastAsia="宋体" w:cs="宋体"/>
          <w:b/>
          <w:bCs w:val="0"/>
          <w:color w:val="auto"/>
          <w:highlight w:val="none"/>
        </w:rPr>
        <w:t>…………………</w:t>
      </w:r>
      <w:r>
        <w:rPr>
          <w:rFonts w:hint="eastAsia" w:ascii="宋体" w:hAnsi="宋体" w:eastAsia="宋体" w:cs="宋体"/>
          <w:b/>
          <w:bCs w:val="0"/>
          <w:color w:val="auto"/>
          <w:szCs w:val="21"/>
          <w:highlight w:val="none"/>
        </w:rPr>
        <w:t>…</w:t>
      </w:r>
      <w:r>
        <w:rPr>
          <w:rFonts w:hint="eastAsia" w:ascii="宋体" w:hAnsi="宋体" w:eastAsia="宋体" w:cs="宋体"/>
          <w:b/>
          <w:bCs w:val="0"/>
          <w:color w:val="auto"/>
          <w:highlight w:val="none"/>
        </w:rPr>
        <w:t>………</w:t>
      </w:r>
      <w:r>
        <w:rPr>
          <w:rFonts w:hint="eastAsia" w:ascii="宋体" w:hAnsi="宋体" w:eastAsia="宋体" w:cs="宋体"/>
          <w:b/>
          <w:bCs w:val="0"/>
          <w:color w:val="auto"/>
          <w:szCs w:val="21"/>
          <w:highlight w:val="none"/>
        </w:rPr>
        <w:t>…</w:t>
      </w:r>
      <w:r>
        <w:rPr>
          <w:rFonts w:hint="eastAsia" w:ascii="宋体" w:hAnsi="宋体" w:eastAsia="宋体" w:cs="宋体"/>
          <w:b/>
          <w:bCs w:val="0"/>
          <w:color w:val="auto"/>
          <w:highlight w:val="none"/>
        </w:rPr>
        <w:t>………</w:t>
      </w:r>
      <w:r>
        <w:rPr>
          <w:rFonts w:hint="eastAsia" w:ascii="宋体" w:hAnsi="宋体" w:eastAsia="宋体" w:cs="宋体"/>
          <w:b/>
          <w:bCs w:val="0"/>
          <w:color w:val="auto"/>
          <w:szCs w:val="21"/>
          <w:highlight w:val="none"/>
        </w:rPr>
        <w:t>…</w:t>
      </w:r>
      <w:r>
        <w:rPr>
          <w:rFonts w:hint="eastAsia" w:ascii="宋体" w:hAnsi="宋体" w:eastAsia="宋体" w:cs="宋体"/>
          <w:b/>
          <w:bCs w:val="0"/>
          <w:color w:val="auto"/>
          <w:highlight w:val="none"/>
        </w:rPr>
        <w:t>…………</w:t>
      </w:r>
      <w:r>
        <w:rPr>
          <w:rFonts w:hint="eastAsia" w:ascii="宋体" w:hAnsi="宋体" w:eastAsia="宋体" w:cs="宋体"/>
          <w:b/>
          <w:bCs w:val="0"/>
          <w:color w:val="auto"/>
          <w:szCs w:val="21"/>
          <w:highlight w:val="none"/>
        </w:rPr>
        <w:t>…</w:t>
      </w:r>
      <w:r>
        <w:rPr>
          <w:rFonts w:hint="eastAsia" w:ascii="宋体" w:hAnsi="宋体" w:eastAsia="宋体" w:cs="宋体"/>
          <w:b/>
          <w:bCs w:val="0"/>
          <w:color w:val="auto"/>
          <w:highlight w:val="none"/>
        </w:rPr>
        <w:t>…</w:t>
      </w:r>
      <w:r>
        <w:rPr>
          <w:rFonts w:hint="eastAsia" w:ascii="宋体" w:hAnsi="宋体" w:eastAsia="宋体" w:cs="宋体"/>
          <w:b/>
          <w:bCs w:val="0"/>
          <w:color w:val="auto"/>
          <w:szCs w:val="21"/>
          <w:highlight w:val="none"/>
        </w:rPr>
        <w:t>…</w:t>
      </w:r>
      <w:r>
        <w:rPr>
          <w:rFonts w:hint="eastAsia" w:hAnsi="宋体" w:cs="宋体"/>
          <w:b/>
          <w:bCs w:val="0"/>
          <w:color w:val="auto"/>
          <w:highlight w:val="none"/>
          <w:lang w:val="en-US" w:eastAsia="zh-CN"/>
        </w:rPr>
        <w:t>4</w:t>
      </w:r>
      <w:r>
        <w:rPr>
          <w:rFonts w:hint="eastAsia" w:ascii="宋体" w:hAnsi="宋体" w:eastAsia="宋体" w:cs="宋体"/>
          <w:b/>
          <w:bCs w:val="0"/>
          <w:color w:val="auto"/>
          <w:szCs w:val="21"/>
          <w:highlight w:val="none"/>
        </w:rPr>
        <w:t>分</w:t>
      </w:r>
    </w:p>
    <w:p w14:paraId="37A98EF1">
      <w:pPr>
        <w:pStyle w:val="12"/>
        <w:keepNext w:val="0"/>
        <w:keepLines w:val="0"/>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color w:val="auto"/>
          <w:highlight w:val="none"/>
        </w:rPr>
      </w:pPr>
      <w:r>
        <w:rPr>
          <w:rFonts w:hint="eastAsia" w:ascii="宋体" w:hAnsi="宋体" w:eastAsia="宋体" w:cs="宋体"/>
          <w:color w:val="auto"/>
          <w:highlight w:val="none"/>
        </w:rPr>
        <w:t>优</w:t>
      </w:r>
      <w:r>
        <w:rPr>
          <w:rFonts w:hint="eastAsia" w:ascii="宋体" w:hAnsi="宋体" w:eastAsia="宋体" w:cs="宋体"/>
          <w:color w:val="auto"/>
          <w:highlight w:val="none"/>
          <w:lang w:eastAsia="zh-CN"/>
        </w:rPr>
        <w:t>（</w:t>
      </w:r>
      <w:r>
        <w:rPr>
          <w:rFonts w:hint="eastAsia" w:hAnsi="宋体" w:cs="宋体"/>
          <w:color w:val="auto"/>
          <w:highlight w:val="none"/>
          <w:lang w:val="en-US" w:eastAsia="zh-CN"/>
        </w:rPr>
        <w:t>4</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：针对项目实际，提出采用新技术的具体措施。新技术的验证材料可靠，对节约投资和工期的保证措施得力、具体、严谨。对采用新技术可能产生的风险预见充分，对新技术的实施有安全生产的可靠方案。</w:t>
      </w:r>
    </w:p>
    <w:p w14:paraId="78583ACB">
      <w:pPr>
        <w:pStyle w:val="12"/>
        <w:keepNext w:val="0"/>
        <w:keepLines w:val="0"/>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color w:val="auto"/>
          <w:highlight w:val="none"/>
        </w:rPr>
      </w:pPr>
      <w:r>
        <w:rPr>
          <w:rFonts w:hint="eastAsia" w:ascii="宋体" w:hAnsi="宋体" w:eastAsia="宋体" w:cs="宋体"/>
          <w:color w:val="auto"/>
          <w:highlight w:val="none"/>
        </w:rPr>
        <w:t>良</w:t>
      </w:r>
      <w:r>
        <w:rPr>
          <w:rFonts w:hint="eastAsia" w:ascii="宋体" w:hAnsi="宋体" w:eastAsia="宋体" w:cs="宋体"/>
          <w:color w:val="auto"/>
          <w:highlight w:val="none"/>
          <w:lang w:eastAsia="zh-CN"/>
        </w:rPr>
        <w:t>（</w:t>
      </w:r>
      <w:r>
        <w:rPr>
          <w:rFonts w:hint="eastAsia" w:hAnsi="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：针对项目实际，提出采用新技术的具体措施。新技术的验证材料可靠，对节约投资和工期有保证措施。对采用新技术可能产生的风险有一定的预见。</w:t>
      </w:r>
    </w:p>
    <w:p w14:paraId="7060C71D">
      <w:pPr>
        <w:pStyle w:val="12"/>
        <w:keepNext w:val="0"/>
        <w:keepLines w:val="0"/>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color w:val="auto"/>
          <w:sz w:val="21"/>
          <w:szCs w:val="21"/>
          <w:highlight w:val="none"/>
        </w:rPr>
      </w:pPr>
      <w:r>
        <w:rPr>
          <w:rFonts w:hint="eastAsia" w:ascii="宋体" w:hAnsi="宋体" w:eastAsia="宋体" w:cs="宋体"/>
          <w:color w:val="auto"/>
          <w:highlight w:val="none"/>
        </w:rPr>
        <w:t>中</w:t>
      </w:r>
      <w:r>
        <w:rPr>
          <w:rFonts w:hint="eastAsia" w:ascii="宋体" w:hAnsi="宋体" w:eastAsia="宋体" w:cs="宋体"/>
          <w:color w:val="auto"/>
          <w:highlight w:val="none"/>
          <w:lang w:eastAsia="zh-CN"/>
        </w:rPr>
        <w:t>（</w:t>
      </w:r>
      <w:r>
        <w:rPr>
          <w:rFonts w:hint="eastAsia" w:hAnsi="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：有新技术措施，但验证材料不充分，对节约投资和工期可能有一定收益，对</w:t>
      </w:r>
      <w:r>
        <w:rPr>
          <w:rFonts w:hint="eastAsia" w:ascii="宋体" w:hAnsi="宋体" w:eastAsia="宋体" w:cs="宋体"/>
          <w:color w:val="auto"/>
          <w:sz w:val="21"/>
          <w:szCs w:val="21"/>
          <w:highlight w:val="none"/>
        </w:rPr>
        <w:t>采用新技术可能产生的风险预见不足。</w:t>
      </w:r>
    </w:p>
    <w:p w14:paraId="48ECB792">
      <w:pPr>
        <w:pStyle w:val="12"/>
        <w:keepNext w:val="0"/>
        <w:keepLines w:val="0"/>
        <w:pageBreakBefore w:val="0"/>
        <w:widowControl w:val="0"/>
        <w:kinsoku/>
        <w:wordWrap/>
        <w:overflowPunct/>
        <w:topLinePunct w:val="0"/>
        <w:bidi w:val="0"/>
        <w:snapToGrid/>
        <w:spacing w:line="440" w:lineRule="exact"/>
        <w:ind w:firstLine="535" w:firstLineChars="25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w:t>
      </w:r>
      <w:r>
        <w:rPr>
          <w:rFonts w:hint="eastAsia" w:ascii="宋体" w:hAnsi="宋体" w:eastAsia="宋体" w:cs="宋体"/>
          <w:color w:val="auto"/>
          <w:sz w:val="21"/>
          <w:szCs w:val="21"/>
          <w:highlight w:val="none"/>
          <w:lang w:eastAsia="zh-CN"/>
        </w:rPr>
        <w:t>（</w:t>
      </w:r>
      <w:r>
        <w:rPr>
          <w:rFonts w:hint="eastAsia" w:hAnsi="宋体" w:cs="宋体"/>
          <w:color w:val="auto"/>
          <w:sz w:val="21"/>
          <w:szCs w:val="21"/>
          <w:highlight w:val="none"/>
          <w:lang w:val="en-US" w:eastAsia="zh-CN"/>
        </w:rPr>
        <w:t>1</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：采用的新技术针对性不强或验证材料不可靠，对节约投资和工期没有具体收益。</w:t>
      </w:r>
    </w:p>
    <w:p w14:paraId="71A9CD03">
      <w:pPr>
        <w:keepNext w:val="0"/>
        <w:keepLines w:val="0"/>
        <w:pageBreakBefore w:val="0"/>
        <w:widowControl w:val="0"/>
        <w:kinsoku/>
        <w:wordWrap/>
        <w:overflowPunct/>
        <w:topLinePunct w:val="0"/>
        <w:bidi w:val="0"/>
        <w:snapToGrid/>
        <w:spacing w:line="440" w:lineRule="exact"/>
        <w:ind w:firstLine="316" w:firstLineChars="150"/>
        <w:textAlignment w:val="auto"/>
        <w:outlineLvl w:val="9"/>
        <w:rPr>
          <w:rFonts w:hint="eastAsia" w:ascii="宋体" w:hAnsi="宋体" w:eastAsia="宋体" w:cs="宋体"/>
          <w:b/>
          <w:bCs/>
          <w:color w:val="auto"/>
          <w:kern w:val="0"/>
          <w:sz w:val="21"/>
          <w:szCs w:val="21"/>
          <w:highlight w:val="none"/>
        </w:rPr>
      </w:pPr>
      <w:bookmarkStart w:id="147" w:name="_Toc7396"/>
      <w:r>
        <w:rPr>
          <w:rFonts w:hint="eastAsia" w:ascii="宋体" w:hAnsi="宋体" w:eastAsia="宋体" w:cs="宋体"/>
          <w:b/>
          <w:color w:val="auto"/>
          <w:kern w:val="0"/>
          <w:sz w:val="21"/>
          <w:szCs w:val="21"/>
          <w:highlight w:val="none"/>
        </w:rPr>
        <w:t>注：</w:t>
      </w:r>
      <w:r>
        <w:rPr>
          <w:rFonts w:hint="eastAsia" w:ascii="宋体" w:hAnsi="宋体" w:eastAsia="宋体" w:cs="宋体"/>
          <w:b/>
          <w:bCs/>
          <w:color w:val="auto"/>
          <w:kern w:val="0"/>
          <w:sz w:val="21"/>
          <w:szCs w:val="21"/>
          <w:highlight w:val="none"/>
        </w:rPr>
        <w:t>供应商未提供上述“施工组织技术方案”相应内容的，相应项不得分。</w:t>
      </w:r>
      <w:bookmarkEnd w:id="147"/>
    </w:p>
    <w:p w14:paraId="70B8C27C">
      <w:pPr>
        <w:keepNext w:val="0"/>
        <w:keepLines w:val="0"/>
        <w:pageBreakBefore w:val="0"/>
        <w:widowControl w:val="0"/>
        <w:kinsoku/>
        <w:wordWrap/>
        <w:overflowPunct/>
        <w:topLinePunct w:val="0"/>
        <w:bidi w:val="0"/>
        <w:snapToGrid/>
        <w:spacing w:line="440" w:lineRule="exact"/>
        <w:textAlignment w:val="auto"/>
        <w:rPr>
          <w:rFonts w:hint="eastAsia" w:cs="宋体"/>
          <w:b/>
          <w:color w:val="auto"/>
          <w:szCs w:val="21"/>
          <w:highlight w:val="none"/>
          <w:lang w:val="en-US" w:eastAsia="zh-CN"/>
        </w:rPr>
      </w:pPr>
      <w:r>
        <w:rPr>
          <w:rFonts w:hint="eastAsia" w:ascii="宋体" w:hAnsi="宋体" w:eastAsia="宋体" w:cs="宋体"/>
          <w:b/>
          <w:color w:val="auto"/>
          <w:kern w:val="0"/>
          <w:sz w:val="24"/>
          <w:szCs w:val="21"/>
          <w:highlight w:val="none"/>
          <w:lang w:val="en-US" w:eastAsia="zh-CN" w:bidi="ar-SA"/>
        </w:rPr>
        <w:t>3、业绩分</w:t>
      </w:r>
      <w:r>
        <w:rPr>
          <w:rFonts w:hint="eastAsia" w:ascii="宋体" w:hAnsi="宋体" w:eastAsia="宋体" w:cs="宋体"/>
          <w:b/>
          <w:color w:val="auto"/>
          <w:highlight w:val="none"/>
        </w:rPr>
        <w:t>……………………………………………………………………………</w:t>
      </w:r>
      <w:r>
        <w:rPr>
          <w:rFonts w:hint="eastAsia" w:ascii="宋体" w:hAnsi="宋体" w:eastAsia="宋体" w:cs="宋体"/>
          <w:b/>
          <w:color w:val="auto"/>
          <w:kern w:val="0"/>
          <w:sz w:val="24"/>
          <w:szCs w:val="21"/>
          <w:highlight w:val="none"/>
          <w:lang w:val="en-US" w:eastAsia="zh-CN" w:bidi="ar-SA"/>
        </w:rPr>
        <w:t>满分</w:t>
      </w:r>
      <w:r>
        <w:rPr>
          <w:rFonts w:hint="eastAsia" w:cs="宋体"/>
          <w:b/>
          <w:color w:val="auto"/>
          <w:kern w:val="0"/>
          <w:sz w:val="24"/>
          <w:szCs w:val="21"/>
          <w:highlight w:val="none"/>
          <w:lang w:val="en-US" w:eastAsia="zh-CN" w:bidi="ar-SA"/>
        </w:rPr>
        <w:t>9</w:t>
      </w:r>
      <w:r>
        <w:rPr>
          <w:rFonts w:hint="eastAsia" w:ascii="宋体" w:hAnsi="宋体" w:eastAsia="宋体" w:cs="宋体"/>
          <w:b/>
          <w:color w:val="auto"/>
          <w:kern w:val="0"/>
          <w:sz w:val="24"/>
          <w:szCs w:val="21"/>
          <w:highlight w:val="none"/>
          <w:lang w:val="en-US" w:eastAsia="zh-CN" w:bidi="ar-SA"/>
        </w:rPr>
        <w:t>分</w:t>
      </w:r>
    </w:p>
    <w:p w14:paraId="60120FF7">
      <w:pPr>
        <w:tabs>
          <w:tab w:val="left" w:pos="1305"/>
        </w:tabs>
        <w:spacing w:line="420" w:lineRule="exact"/>
        <w:ind w:firstLine="210" w:firstLineChars="100"/>
        <w:rPr>
          <w:rFonts w:hint="eastAsia" w:ascii="宋体" w:hAnsi="宋体" w:eastAsia="宋体" w:cs="宋体"/>
          <w:b/>
          <w:color w:val="auto"/>
          <w:kern w:val="0"/>
          <w:sz w:val="24"/>
          <w:szCs w:val="21"/>
          <w:highlight w:val="none"/>
          <w:lang w:val="en-US" w:eastAsia="zh-CN" w:bidi="ar-SA"/>
        </w:rPr>
      </w:pPr>
      <w:r>
        <w:rPr>
          <w:rFonts w:hint="eastAsia" w:ascii="宋体" w:hAnsi="宋体" w:cs="宋体"/>
          <w:bCs/>
          <w:color w:val="auto"/>
        </w:rPr>
        <w:t xml:space="preserve"> </w:t>
      </w:r>
      <w:r>
        <w:rPr>
          <w:rFonts w:hint="eastAsia" w:ascii="宋体" w:hAnsi="宋体" w:eastAsia="宋体" w:cs="宋体"/>
          <w:bCs/>
          <w:color w:val="auto"/>
          <w:kern w:val="2"/>
          <w:sz w:val="21"/>
          <w:szCs w:val="24"/>
          <w:lang w:val="en-US" w:eastAsia="zh-CN" w:bidi="ar-SA"/>
        </w:rPr>
        <w:t xml:space="preserve"> 供应商</w:t>
      </w:r>
      <w:r>
        <w:rPr>
          <w:rFonts w:hint="eastAsia" w:ascii="宋体" w:hAnsi="宋体" w:cs="宋体"/>
          <w:bCs/>
          <w:color w:val="auto"/>
          <w:lang w:val="en-US" w:eastAsia="zh-CN"/>
        </w:rPr>
        <w:t>2023年1月1日</w:t>
      </w:r>
      <w:r>
        <w:rPr>
          <w:rFonts w:hint="eastAsia" w:ascii="宋体" w:hAnsi="宋体" w:eastAsia="宋体" w:cs="宋体"/>
          <w:bCs/>
          <w:color w:val="auto"/>
          <w:kern w:val="2"/>
          <w:sz w:val="21"/>
          <w:szCs w:val="24"/>
          <w:lang w:val="en-US" w:eastAsia="zh-CN" w:bidi="ar-SA"/>
        </w:rPr>
        <w:t>以来具有类似工程业绩（无不良记录，以中标（成交）通知书或签订的合同或竣工证明文件为准，并能清晰反映项目的名称、采购内容、采购金额、签订时间，否则将不予评审，同一个编号的项目有两个或两个以上的分标中标</w:t>
      </w:r>
      <w:r>
        <w:rPr>
          <w:rFonts w:hint="eastAsia" w:ascii="宋体" w:hAnsi="宋体" w:cs="宋体"/>
          <w:bCs/>
          <w:color w:val="auto"/>
          <w:kern w:val="2"/>
          <w:sz w:val="21"/>
          <w:szCs w:val="24"/>
          <w:lang w:val="en-US" w:eastAsia="zh-CN" w:bidi="ar-SA"/>
        </w:rPr>
        <w:t>（成交）</w:t>
      </w:r>
      <w:r>
        <w:rPr>
          <w:rFonts w:hint="eastAsia" w:ascii="宋体" w:hAnsi="宋体" w:eastAsia="宋体" w:cs="宋体"/>
          <w:bCs/>
          <w:color w:val="auto"/>
          <w:kern w:val="2"/>
          <w:sz w:val="21"/>
          <w:szCs w:val="24"/>
          <w:lang w:val="en-US" w:eastAsia="zh-CN" w:bidi="ar-SA"/>
        </w:rPr>
        <w:t>的只算一次】,每提供1个得</w:t>
      </w:r>
      <w:r>
        <w:rPr>
          <w:rFonts w:hint="eastAsia" w:ascii="宋体" w:hAnsi="宋体" w:cs="宋体"/>
          <w:bCs/>
          <w:color w:val="auto"/>
          <w:kern w:val="2"/>
          <w:sz w:val="21"/>
          <w:szCs w:val="24"/>
          <w:lang w:val="en-US" w:eastAsia="zh-CN" w:bidi="ar-SA"/>
        </w:rPr>
        <w:t>3</w:t>
      </w:r>
      <w:r>
        <w:rPr>
          <w:rFonts w:hint="eastAsia" w:ascii="宋体" w:hAnsi="宋体" w:eastAsia="宋体" w:cs="宋体"/>
          <w:bCs/>
          <w:color w:val="auto"/>
          <w:kern w:val="2"/>
          <w:sz w:val="21"/>
          <w:szCs w:val="24"/>
          <w:lang w:val="en-US" w:eastAsia="zh-CN" w:bidi="ar-SA"/>
        </w:rPr>
        <w:t>分，最多得</w:t>
      </w:r>
      <w:r>
        <w:rPr>
          <w:rFonts w:hint="eastAsia" w:ascii="宋体" w:hAnsi="宋体" w:cs="宋体"/>
          <w:bCs/>
          <w:color w:val="auto"/>
          <w:kern w:val="2"/>
          <w:sz w:val="21"/>
          <w:szCs w:val="24"/>
          <w:lang w:val="en-US" w:eastAsia="zh-CN" w:bidi="ar-SA"/>
        </w:rPr>
        <w:t>9</w:t>
      </w:r>
      <w:r>
        <w:rPr>
          <w:rFonts w:hint="eastAsia" w:ascii="宋体" w:hAnsi="宋体" w:eastAsia="宋体" w:cs="宋体"/>
          <w:bCs/>
          <w:color w:val="auto"/>
          <w:kern w:val="2"/>
          <w:sz w:val="21"/>
          <w:szCs w:val="24"/>
          <w:lang w:val="en-US" w:eastAsia="zh-CN" w:bidi="ar-SA"/>
        </w:rPr>
        <w:t>分。</w:t>
      </w:r>
    </w:p>
    <w:p w14:paraId="649A7EF7">
      <w:pPr>
        <w:keepNext w:val="0"/>
        <w:keepLines w:val="0"/>
        <w:pageBreakBefore w:val="0"/>
        <w:widowControl w:val="0"/>
        <w:kinsoku/>
        <w:wordWrap/>
        <w:overflowPunct/>
        <w:topLinePunct w:val="0"/>
        <w:bidi w:val="0"/>
        <w:snapToGrid/>
        <w:spacing w:line="440" w:lineRule="exact"/>
        <w:textAlignment w:val="auto"/>
        <w:rPr>
          <w:rFonts w:hint="default" w:ascii="宋体" w:hAnsi="宋体" w:eastAsia="宋体" w:cs="宋体"/>
          <w:b/>
          <w:color w:val="auto"/>
          <w:kern w:val="0"/>
          <w:sz w:val="24"/>
          <w:szCs w:val="21"/>
          <w:highlight w:val="none"/>
          <w:lang w:val="en-US" w:eastAsia="zh-CN" w:bidi="ar-SA"/>
        </w:rPr>
      </w:pPr>
      <w:r>
        <w:rPr>
          <w:rFonts w:hint="eastAsia" w:ascii="宋体" w:hAnsi="宋体" w:cs="宋体"/>
          <w:b/>
          <w:color w:val="auto"/>
          <w:kern w:val="0"/>
          <w:sz w:val="24"/>
          <w:szCs w:val="21"/>
          <w:highlight w:val="none"/>
          <w:lang w:val="en-US" w:eastAsia="zh-CN" w:bidi="ar-SA"/>
        </w:rPr>
        <w:t>4</w:t>
      </w:r>
      <w:r>
        <w:rPr>
          <w:rFonts w:hint="eastAsia" w:ascii="宋体" w:hAnsi="宋体" w:eastAsia="宋体" w:cs="宋体"/>
          <w:b/>
          <w:color w:val="auto"/>
          <w:kern w:val="0"/>
          <w:sz w:val="24"/>
          <w:szCs w:val="21"/>
          <w:highlight w:val="none"/>
          <w:lang w:val="en-US" w:eastAsia="zh-CN" w:bidi="ar-SA"/>
        </w:rPr>
        <w:t>、综合得分＝1+2+3</w:t>
      </w:r>
    </w:p>
    <w:p w14:paraId="53FA7508">
      <w:pPr>
        <w:keepNext w:val="0"/>
        <w:keepLines w:val="0"/>
        <w:pageBreakBefore w:val="0"/>
        <w:widowControl w:val="0"/>
        <w:tabs>
          <w:tab w:val="left" w:pos="1305"/>
        </w:tabs>
        <w:kinsoku/>
        <w:wordWrap/>
        <w:overflowPunct/>
        <w:topLinePunct w:val="0"/>
        <w:bidi w:val="0"/>
        <w:snapToGrid/>
        <w:spacing w:line="440" w:lineRule="exact"/>
        <w:ind w:firstLine="211" w:firstLineChars="1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三、</w:t>
      </w:r>
      <w:r>
        <w:rPr>
          <w:rFonts w:hint="eastAsia" w:ascii="宋体" w:hAnsi="宋体" w:eastAsia="宋体" w:cs="宋体"/>
          <w:b/>
          <w:color w:val="auto"/>
          <w:szCs w:val="21"/>
          <w:highlight w:val="none"/>
        </w:rPr>
        <w:t>推荐成交候选人原则</w:t>
      </w:r>
    </w:p>
    <w:p w14:paraId="6E336FF9">
      <w:pPr>
        <w:keepNext w:val="0"/>
        <w:keepLines w:val="0"/>
        <w:pageBreakBefore w:val="0"/>
        <w:widowControl w:val="0"/>
        <w:tabs>
          <w:tab w:val="left" w:pos="1305"/>
        </w:tabs>
        <w:kinsoku/>
        <w:wordWrap/>
        <w:overflowPunct/>
        <w:topLinePunct w:val="0"/>
        <w:autoSpaceDE/>
        <w:autoSpaceDN/>
        <w:bidi w:val="0"/>
        <w:adjustRightInd/>
        <w:snapToGrid/>
        <w:spacing w:line="44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（1）磋商小组应当根据综合评分情况，按照综合得分由高到低顺序推荐三名成交候选供应商，并编写评审报告。磋商小组根据综合得分由高到低排列次序，若得分相同时，以最后报价由低到高顺序排列；</w:t>
      </w:r>
      <w:r>
        <w:rPr>
          <w:rFonts w:hint="eastAsia" w:ascii="宋体" w:hAnsi="宋体" w:eastAsia="宋体" w:cs="宋体"/>
          <w:color w:val="auto"/>
          <w:szCs w:val="21"/>
          <w:highlight w:val="none"/>
        </w:rPr>
        <w:t>若仍相同的，依次按技术分、</w:t>
      </w:r>
      <w:r>
        <w:rPr>
          <w:rFonts w:hint="eastAsia" w:ascii="宋体" w:hAnsi="宋体" w:eastAsia="宋体" w:cs="宋体"/>
          <w:color w:val="auto"/>
          <w:szCs w:val="21"/>
          <w:highlight w:val="none"/>
          <w:lang w:val="en-US" w:eastAsia="zh-CN"/>
        </w:rPr>
        <w:t>企业信誉实力</w:t>
      </w:r>
      <w:r>
        <w:rPr>
          <w:rFonts w:hint="eastAsia" w:ascii="宋体" w:hAnsi="宋体" w:eastAsia="宋体" w:cs="宋体"/>
          <w:color w:val="auto"/>
          <w:szCs w:val="21"/>
          <w:highlight w:val="none"/>
        </w:rPr>
        <w:t>分由高到低顺序排列并推荐成交候选供应商</w:t>
      </w:r>
      <w:r>
        <w:rPr>
          <w:rFonts w:hint="eastAsia" w:ascii="宋体" w:hAnsi="宋体" w:eastAsia="宋体" w:cs="宋体"/>
          <w:color w:val="auto"/>
          <w:sz w:val="21"/>
          <w:szCs w:val="21"/>
          <w:highlight w:val="none"/>
        </w:rPr>
        <w:t>。</w:t>
      </w:r>
    </w:p>
    <w:p w14:paraId="70E314DA">
      <w:pPr>
        <w:keepNext w:val="0"/>
        <w:keepLines w:val="0"/>
        <w:pageBreakBefore w:val="0"/>
        <w:widowControl w:val="0"/>
        <w:tabs>
          <w:tab w:val="left" w:pos="1305"/>
        </w:tabs>
        <w:kinsoku/>
        <w:wordWrap/>
        <w:overflowPunct/>
        <w:topLinePunct w:val="0"/>
        <w:autoSpaceDE/>
        <w:autoSpaceDN/>
        <w:bidi w:val="0"/>
        <w:adjustRightInd/>
        <w:snapToGrid/>
        <w:spacing w:line="44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（2）采购人应当确定磋商小组推荐排名第一的成交候选供应商为成交供应商。</w:t>
      </w:r>
    </w:p>
    <w:p w14:paraId="23802F71">
      <w:pPr>
        <w:keepNext w:val="0"/>
        <w:keepLines w:val="0"/>
        <w:pageBreakBefore w:val="0"/>
        <w:widowControl w:val="0"/>
        <w:tabs>
          <w:tab w:val="left" w:pos="1305"/>
        </w:tabs>
        <w:kinsoku/>
        <w:wordWrap/>
        <w:overflowPunct/>
        <w:topLinePunct w:val="0"/>
        <w:autoSpaceDE/>
        <w:autoSpaceDN/>
        <w:bidi w:val="0"/>
        <w:adjustRightInd/>
        <w:snapToGrid/>
        <w:spacing w:line="44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（3）排名第一的成交候选供应商放弃成交、因不可抗力提出不能履行合同，采购人可以按照评审报告推荐的成交候选供应商名单排序，确定下一候选供应商为成交供应商，也可以重新开展政府采购活动。</w:t>
      </w:r>
    </w:p>
    <w:p w14:paraId="7CAE948B">
      <w:pPr>
        <w:keepNext w:val="0"/>
        <w:keepLines w:val="0"/>
        <w:pageBreakBefore w:val="0"/>
        <w:widowControl w:val="0"/>
        <w:tabs>
          <w:tab w:val="left" w:pos="1305"/>
        </w:tabs>
        <w:kinsoku/>
        <w:wordWrap/>
        <w:overflowPunct/>
        <w:topLinePunct w:val="0"/>
        <w:autoSpaceDE/>
        <w:autoSpaceDN/>
        <w:bidi w:val="0"/>
        <w:adjustRightInd/>
        <w:snapToGrid/>
        <w:spacing w:line="44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磋商小组认为，某供应商的响应报价或者某些分项报价明显不合理或者低于成本，有可能影响质量和不能诚信履约的，应要求其在规定的期限内提供书面文件予以解释说明，并提交相关证明材料，否则，磋商小组可以取消该供应商的成交候选资格，按顺序由排在其后面的供应商递补，以此类推。</w:t>
      </w:r>
    </w:p>
    <w:p w14:paraId="17A3191E">
      <w:pPr>
        <w:rPr>
          <w:rFonts w:hint="eastAsia"/>
          <w:color w:val="auto"/>
          <w:highlight w:val="none"/>
        </w:rPr>
      </w:pPr>
      <w:r>
        <w:rPr>
          <w:rFonts w:hint="eastAsia"/>
          <w:color w:val="auto"/>
          <w:highlight w:val="none"/>
        </w:rPr>
        <w:br w:type="page"/>
      </w:r>
    </w:p>
    <w:p w14:paraId="3996E725">
      <w:pPr>
        <w:keepNext w:val="0"/>
        <w:keepLines w:val="0"/>
        <w:pageBreakBefore w:val="0"/>
        <w:widowControl w:val="0"/>
        <w:kinsoku/>
        <w:wordWrap/>
        <w:overflowPunct/>
        <w:topLinePunct w:val="0"/>
        <w:autoSpaceDE/>
        <w:autoSpaceDN/>
        <w:bidi w:val="0"/>
        <w:snapToGrid/>
        <w:spacing w:line="280" w:lineRule="exact"/>
        <w:ind w:right="0" w:rightChars="0"/>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附表</w:t>
      </w:r>
    </w:p>
    <w:p w14:paraId="29CC51DD">
      <w:pPr>
        <w:keepNext w:val="0"/>
        <w:keepLines w:val="0"/>
        <w:pageBreakBefore w:val="0"/>
        <w:widowControl w:val="0"/>
        <w:kinsoku/>
        <w:wordWrap/>
        <w:overflowPunct/>
        <w:topLinePunct w:val="0"/>
        <w:autoSpaceDE/>
        <w:autoSpaceDN/>
        <w:bidi w:val="0"/>
        <w:snapToGrid/>
        <w:spacing w:before="156" w:beforeLines="50" w:after="156" w:afterLines="50" w:line="280" w:lineRule="exact"/>
        <w:ind w:right="0" w:rightChars="0"/>
        <w:jc w:val="center"/>
        <w:textAlignment w:val="auto"/>
        <w:outlineLvl w:val="9"/>
        <w:rPr>
          <w:rFonts w:hint="eastAsia" w:ascii="宋体" w:hAnsi="宋体" w:eastAsia="宋体" w:cs="宋体"/>
          <w:b/>
          <w:bCs/>
          <w:color w:val="auto"/>
          <w:kern w:val="0"/>
          <w:sz w:val="30"/>
          <w:szCs w:val="30"/>
          <w:highlight w:val="none"/>
        </w:rPr>
      </w:pPr>
      <w:bookmarkStart w:id="148" w:name="_Toc28361_WPSOffice_Level2"/>
      <w:r>
        <w:rPr>
          <w:rFonts w:hint="eastAsia" w:ascii="宋体" w:hAnsi="宋体" w:eastAsia="宋体" w:cs="宋体"/>
          <w:b/>
          <w:bCs/>
          <w:color w:val="auto"/>
          <w:kern w:val="0"/>
          <w:sz w:val="30"/>
          <w:szCs w:val="30"/>
          <w:highlight w:val="none"/>
        </w:rPr>
        <w:t>统计上大中小微型企业划分标准</w:t>
      </w:r>
      <w:bookmarkEnd w:id="148"/>
    </w:p>
    <w:tbl>
      <w:tblPr>
        <w:tblStyle w:val="27"/>
        <w:tblpPr w:leftFromText="180" w:rightFromText="180" w:vertAnchor="text" w:horzAnchor="page" w:tblpX="1302" w:tblpY="438"/>
        <w:tblOverlap w:val="never"/>
        <w:tblW w:w="94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5A9E3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trPr>
        <w:tc>
          <w:tcPr>
            <w:tcW w:w="2113" w:type="dxa"/>
            <w:shd w:val="clear" w:color="auto" w:fill="FFFFFF"/>
            <w:noWrap w:val="0"/>
            <w:vAlign w:val="center"/>
          </w:tcPr>
          <w:p w14:paraId="6D8586A5">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21"/>
                <w:highlight w:val="none"/>
              </w:rPr>
            </w:pPr>
            <w:r>
              <w:rPr>
                <w:rFonts w:hint="eastAsia" w:ascii="宋体" w:hAnsi="宋体" w:eastAsia="宋体" w:cs="宋体"/>
                <w:b/>
                <w:bCs/>
                <w:color w:val="auto"/>
                <w:kern w:val="0"/>
                <w:sz w:val="18"/>
                <w:szCs w:val="21"/>
                <w:highlight w:val="none"/>
              </w:rPr>
              <w:t>行业名称</w:t>
            </w:r>
          </w:p>
        </w:tc>
        <w:tc>
          <w:tcPr>
            <w:tcW w:w="1369" w:type="dxa"/>
            <w:shd w:val="clear" w:color="auto" w:fill="FFFFFF"/>
            <w:noWrap w:val="0"/>
            <w:vAlign w:val="center"/>
          </w:tcPr>
          <w:p w14:paraId="6D09F795">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指标名称</w:t>
            </w:r>
          </w:p>
        </w:tc>
        <w:tc>
          <w:tcPr>
            <w:tcW w:w="709" w:type="dxa"/>
            <w:shd w:val="clear" w:color="auto" w:fill="FFFFFF"/>
            <w:noWrap w:val="0"/>
            <w:vAlign w:val="center"/>
          </w:tcPr>
          <w:p w14:paraId="4CD2D881">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lang w:eastAsia="zh-CN"/>
              </w:rPr>
            </w:pPr>
            <w:r>
              <w:rPr>
                <w:rFonts w:hint="eastAsia" w:ascii="宋体" w:hAnsi="宋体" w:eastAsia="宋体" w:cs="宋体"/>
                <w:b/>
                <w:bCs/>
                <w:color w:val="auto"/>
                <w:kern w:val="0"/>
                <w:sz w:val="18"/>
                <w:szCs w:val="18"/>
                <w:highlight w:val="none"/>
              </w:rPr>
              <w:t>计量</w:t>
            </w:r>
          </w:p>
          <w:p w14:paraId="14E33C33">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单位</w:t>
            </w:r>
          </w:p>
        </w:tc>
        <w:tc>
          <w:tcPr>
            <w:tcW w:w="1125" w:type="dxa"/>
            <w:shd w:val="clear" w:color="auto" w:fill="FFFFFF"/>
            <w:noWrap w:val="0"/>
            <w:vAlign w:val="center"/>
          </w:tcPr>
          <w:p w14:paraId="11473DB0">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大型</w:t>
            </w:r>
          </w:p>
        </w:tc>
        <w:tc>
          <w:tcPr>
            <w:tcW w:w="1701" w:type="dxa"/>
            <w:shd w:val="clear" w:color="auto" w:fill="FFFFFF"/>
            <w:noWrap w:val="0"/>
            <w:vAlign w:val="center"/>
          </w:tcPr>
          <w:p w14:paraId="54378716">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中型</w:t>
            </w:r>
          </w:p>
        </w:tc>
        <w:tc>
          <w:tcPr>
            <w:tcW w:w="1426" w:type="dxa"/>
            <w:shd w:val="clear" w:color="auto" w:fill="FFFFFF"/>
            <w:noWrap w:val="0"/>
            <w:vAlign w:val="center"/>
          </w:tcPr>
          <w:p w14:paraId="1652452E">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小型</w:t>
            </w:r>
          </w:p>
        </w:tc>
        <w:tc>
          <w:tcPr>
            <w:tcW w:w="992" w:type="dxa"/>
            <w:shd w:val="clear" w:color="auto" w:fill="FFFFFF"/>
            <w:noWrap w:val="0"/>
            <w:vAlign w:val="center"/>
          </w:tcPr>
          <w:p w14:paraId="57651393">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微型</w:t>
            </w:r>
          </w:p>
        </w:tc>
      </w:tr>
      <w:tr w14:paraId="74C9B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113" w:type="dxa"/>
            <w:noWrap w:val="0"/>
            <w:vAlign w:val="center"/>
          </w:tcPr>
          <w:p w14:paraId="7FD8A4B4">
            <w:pPr>
              <w:keepNext w:val="0"/>
              <w:keepLines w:val="0"/>
              <w:pageBreakBefore w:val="0"/>
              <w:widowControl w:val="0"/>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农、林、牧、渔业</w:t>
            </w:r>
          </w:p>
        </w:tc>
        <w:tc>
          <w:tcPr>
            <w:tcW w:w="1369" w:type="dxa"/>
            <w:noWrap w:val="0"/>
            <w:vAlign w:val="center"/>
          </w:tcPr>
          <w:p w14:paraId="508AE0DC">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50EDD9C3">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63822366">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noWrap w:val="0"/>
            <w:vAlign w:val="center"/>
          </w:tcPr>
          <w:p w14:paraId="75A2855B">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26" w:type="dxa"/>
            <w:noWrap w:val="0"/>
            <w:vAlign w:val="center"/>
          </w:tcPr>
          <w:p w14:paraId="3A01A657">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50≤Y＜500</w:t>
            </w:r>
          </w:p>
        </w:tc>
        <w:tc>
          <w:tcPr>
            <w:tcW w:w="992" w:type="dxa"/>
            <w:noWrap w:val="0"/>
            <w:vAlign w:val="center"/>
          </w:tcPr>
          <w:p w14:paraId="45AAAD84">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1B811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113" w:type="dxa"/>
            <w:vMerge w:val="restart"/>
            <w:noWrap w:val="0"/>
            <w:vAlign w:val="center"/>
          </w:tcPr>
          <w:p w14:paraId="24BF6EFA">
            <w:pPr>
              <w:keepNext w:val="0"/>
              <w:keepLines w:val="0"/>
              <w:pageBreakBefore w:val="0"/>
              <w:widowControl w:val="0"/>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工业 *</w:t>
            </w:r>
          </w:p>
        </w:tc>
        <w:tc>
          <w:tcPr>
            <w:tcW w:w="1369" w:type="dxa"/>
            <w:noWrap w:val="0"/>
            <w:vAlign w:val="center"/>
          </w:tcPr>
          <w:p w14:paraId="172524A0">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043C1D46">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0EAABED1">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76D2C188">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3CBF561F">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noWrap w:val="0"/>
            <w:vAlign w:val="center"/>
          </w:tcPr>
          <w:p w14:paraId="41F42C1F">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638E3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113" w:type="dxa"/>
            <w:vMerge w:val="continue"/>
            <w:noWrap w:val="0"/>
            <w:vAlign w:val="center"/>
          </w:tcPr>
          <w:p w14:paraId="73CFB49E">
            <w:pPr>
              <w:keepNext w:val="0"/>
              <w:keepLines w:val="0"/>
              <w:pageBreakBefore w:val="0"/>
              <w:widowControl w:val="0"/>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1E36CCDC">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5E30F3D4">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3202EEF8">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noWrap w:val="0"/>
            <w:vAlign w:val="center"/>
          </w:tcPr>
          <w:p w14:paraId="5CD439CD">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1426" w:type="dxa"/>
            <w:noWrap w:val="0"/>
            <w:vAlign w:val="center"/>
          </w:tcPr>
          <w:p w14:paraId="35EA6815">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300≤Y＜2000</w:t>
            </w:r>
          </w:p>
        </w:tc>
        <w:tc>
          <w:tcPr>
            <w:tcW w:w="992" w:type="dxa"/>
            <w:noWrap w:val="0"/>
            <w:vAlign w:val="center"/>
          </w:tcPr>
          <w:p w14:paraId="2B4C588B">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43503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113" w:type="dxa"/>
            <w:vMerge w:val="restart"/>
            <w:noWrap w:val="0"/>
            <w:vAlign w:val="center"/>
          </w:tcPr>
          <w:p w14:paraId="255ADCF1">
            <w:pPr>
              <w:keepNext w:val="0"/>
              <w:keepLines w:val="0"/>
              <w:pageBreakBefore w:val="0"/>
              <w:widowControl w:val="0"/>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建筑业</w:t>
            </w:r>
          </w:p>
        </w:tc>
        <w:tc>
          <w:tcPr>
            <w:tcW w:w="1369" w:type="dxa"/>
            <w:noWrap w:val="0"/>
            <w:vAlign w:val="center"/>
          </w:tcPr>
          <w:p w14:paraId="49E1ED8A">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1A722255">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13CC3F22">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Y≥80000</w:t>
            </w:r>
          </w:p>
        </w:tc>
        <w:tc>
          <w:tcPr>
            <w:tcW w:w="1701" w:type="dxa"/>
            <w:noWrap w:val="0"/>
            <w:vAlign w:val="center"/>
          </w:tcPr>
          <w:p w14:paraId="450B600F">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1426" w:type="dxa"/>
            <w:noWrap w:val="0"/>
            <w:vAlign w:val="center"/>
          </w:tcPr>
          <w:p w14:paraId="08D048D6">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300≤Y＜6000</w:t>
            </w:r>
          </w:p>
        </w:tc>
        <w:tc>
          <w:tcPr>
            <w:tcW w:w="992" w:type="dxa"/>
            <w:noWrap w:val="0"/>
            <w:vAlign w:val="center"/>
          </w:tcPr>
          <w:p w14:paraId="18B3E448">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1EBCB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113" w:type="dxa"/>
            <w:vMerge w:val="continue"/>
            <w:noWrap w:val="0"/>
            <w:vAlign w:val="center"/>
          </w:tcPr>
          <w:p w14:paraId="746254A4">
            <w:pPr>
              <w:keepNext w:val="0"/>
              <w:keepLines w:val="0"/>
              <w:pageBreakBefore w:val="0"/>
              <w:widowControl w:val="0"/>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0F273A4C">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14:paraId="034934B2">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18D833B1">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Z≥80000</w:t>
            </w:r>
          </w:p>
        </w:tc>
        <w:tc>
          <w:tcPr>
            <w:tcW w:w="1701" w:type="dxa"/>
            <w:noWrap w:val="0"/>
            <w:vAlign w:val="center"/>
          </w:tcPr>
          <w:p w14:paraId="19245272">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1426" w:type="dxa"/>
            <w:noWrap w:val="0"/>
            <w:vAlign w:val="center"/>
          </w:tcPr>
          <w:p w14:paraId="3FEA42EB">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300≤Z＜5000</w:t>
            </w:r>
          </w:p>
        </w:tc>
        <w:tc>
          <w:tcPr>
            <w:tcW w:w="992" w:type="dxa"/>
            <w:noWrap w:val="0"/>
            <w:vAlign w:val="center"/>
          </w:tcPr>
          <w:p w14:paraId="638BA002">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14:paraId="64462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113" w:type="dxa"/>
            <w:vMerge w:val="restart"/>
            <w:noWrap w:val="0"/>
            <w:vAlign w:val="center"/>
          </w:tcPr>
          <w:p w14:paraId="6D7C7312">
            <w:pPr>
              <w:keepNext w:val="0"/>
              <w:keepLines w:val="0"/>
              <w:pageBreakBefore w:val="0"/>
              <w:widowControl w:val="0"/>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批发业</w:t>
            </w:r>
          </w:p>
        </w:tc>
        <w:tc>
          <w:tcPr>
            <w:tcW w:w="1369" w:type="dxa"/>
            <w:noWrap w:val="0"/>
            <w:vAlign w:val="center"/>
          </w:tcPr>
          <w:p w14:paraId="27DC18DA">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39900D32">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0A0AADC4">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w:t>
            </w:r>
          </w:p>
        </w:tc>
        <w:tc>
          <w:tcPr>
            <w:tcW w:w="1701" w:type="dxa"/>
            <w:noWrap w:val="0"/>
            <w:vAlign w:val="center"/>
          </w:tcPr>
          <w:p w14:paraId="5F50991B">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20≤X＜200</w:t>
            </w:r>
          </w:p>
        </w:tc>
        <w:tc>
          <w:tcPr>
            <w:tcW w:w="1426" w:type="dxa"/>
            <w:noWrap w:val="0"/>
            <w:vAlign w:val="center"/>
          </w:tcPr>
          <w:p w14:paraId="5DF7AC24">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5≤X＜20</w:t>
            </w:r>
          </w:p>
        </w:tc>
        <w:tc>
          <w:tcPr>
            <w:tcW w:w="992" w:type="dxa"/>
            <w:noWrap w:val="0"/>
            <w:vAlign w:val="center"/>
          </w:tcPr>
          <w:p w14:paraId="0E3BCBBF">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X＜5</w:t>
            </w:r>
          </w:p>
        </w:tc>
      </w:tr>
      <w:tr w14:paraId="6868C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113" w:type="dxa"/>
            <w:vMerge w:val="continue"/>
            <w:noWrap w:val="0"/>
            <w:vAlign w:val="center"/>
          </w:tcPr>
          <w:p w14:paraId="5F501EF0">
            <w:pPr>
              <w:keepNext w:val="0"/>
              <w:keepLines w:val="0"/>
              <w:pageBreakBefore w:val="0"/>
              <w:widowControl w:val="0"/>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4C423D2D">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36B3D3B9">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25B1E2AF">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noWrap w:val="0"/>
            <w:vAlign w:val="center"/>
          </w:tcPr>
          <w:p w14:paraId="63F0AF52">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1426" w:type="dxa"/>
            <w:noWrap w:val="0"/>
            <w:vAlign w:val="center"/>
          </w:tcPr>
          <w:p w14:paraId="0E97D64B">
            <w:pPr>
              <w:keepNext w:val="0"/>
              <w:keepLines w:val="0"/>
              <w:pageBreakBefore w:val="0"/>
              <w:widowControl w:val="0"/>
              <w:kinsoku/>
              <w:wordWrap/>
              <w:overflowPunct/>
              <w:topLinePunct w:val="0"/>
              <w:autoSpaceDE/>
              <w:autoSpaceDN/>
              <w:bidi w:val="0"/>
              <w:snapToGrid/>
              <w:spacing w:line="280" w:lineRule="exact"/>
              <w:ind w:left="-1" w:leftChars="-1" w:right="0" w:rightChars="0" w:hanging="1"/>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992" w:type="dxa"/>
            <w:noWrap w:val="0"/>
            <w:vAlign w:val="center"/>
          </w:tcPr>
          <w:p w14:paraId="5CC0848E">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14:paraId="0B3AF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113" w:type="dxa"/>
            <w:vMerge w:val="restart"/>
            <w:noWrap w:val="0"/>
            <w:vAlign w:val="center"/>
          </w:tcPr>
          <w:p w14:paraId="1F0B2DD2">
            <w:pPr>
              <w:keepNext w:val="0"/>
              <w:keepLines w:val="0"/>
              <w:pageBreakBefore w:val="0"/>
              <w:widowControl w:val="0"/>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零售业</w:t>
            </w:r>
          </w:p>
        </w:tc>
        <w:tc>
          <w:tcPr>
            <w:tcW w:w="1369" w:type="dxa"/>
            <w:noWrap w:val="0"/>
            <w:vAlign w:val="center"/>
          </w:tcPr>
          <w:p w14:paraId="52EA1E28">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15695E43">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234E8DEA">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2CCF8B26">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50≤X＜300</w:t>
            </w:r>
          </w:p>
        </w:tc>
        <w:tc>
          <w:tcPr>
            <w:tcW w:w="1426" w:type="dxa"/>
            <w:noWrap w:val="0"/>
            <w:vAlign w:val="center"/>
          </w:tcPr>
          <w:p w14:paraId="64A97A02">
            <w:pPr>
              <w:keepNext w:val="0"/>
              <w:keepLines w:val="0"/>
              <w:pageBreakBefore w:val="0"/>
              <w:widowControl w:val="0"/>
              <w:kinsoku/>
              <w:wordWrap/>
              <w:overflowPunct/>
              <w:topLinePunct w:val="0"/>
              <w:autoSpaceDE/>
              <w:autoSpaceDN/>
              <w:bidi w:val="0"/>
              <w:snapToGrid/>
              <w:spacing w:line="280" w:lineRule="exact"/>
              <w:ind w:left="-1" w:leftChars="-1" w:right="0" w:rightChars="0" w:hanging="1"/>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10≤X＜50 </w:t>
            </w:r>
          </w:p>
        </w:tc>
        <w:tc>
          <w:tcPr>
            <w:tcW w:w="992" w:type="dxa"/>
            <w:noWrap w:val="0"/>
            <w:vAlign w:val="center"/>
          </w:tcPr>
          <w:p w14:paraId="16F6B091">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6121F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113" w:type="dxa"/>
            <w:vMerge w:val="continue"/>
            <w:noWrap w:val="0"/>
            <w:vAlign w:val="center"/>
          </w:tcPr>
          <w:p w14:paraId="19A6DE67">
            <w:pPr>
              <w:keepNext w:val="0"/>
              <w:keepLines w:val="0"/>
              <w:pageBreakBefore w:val="0"/>
              <w:widowControl w:val="0"/>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17D4419B">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5A05225A">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0254DADD">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noWrap w:val="0"/>
            <w:vAlign w:val="center"/>
          </w:tcPr>
          <w:p w14:paraId="50132F96">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26" w:type="dxa"/>
            <w:noWrap w:val="0"/>
            <w:vAlign w:val="center"/>
          </w:tcPr>
          <w:p w14:paraId="3881D7A7">
            <w:pPr>
              <w:keepNext w:val="0"/>
              <w:keepLines w:val="0"/>
              <w:pageBreakBefore w:val="0"/>
              <w:widowControl w:val="0"/>
              <w:kinsoku/>
              <w:wordWrap/>
              <w:overflowPunct/>
              <w:topLinePunct w:val="0"/>
              <w:autoSpaceDE/>
              <w:autoSpaceDN/>
              <w:bidi w:val="0"/>
              <w:snapToGrid/>
              <w:spacing w:line="280" w:lineRule="exact"/>
              <w:ind w:left="-1" w:leftChars="-1" w:right="0" w:rightChars="0" w:hanging="1"/>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100≤Y＜500</w:t>
            </w:r>
          </w:p>
        </w:tc>
        <w:tc>
          <w:tcPr>
            <w:tcW w:w="992" w:type="dxa"/>
            <w:noWrap w:val="0"/>
            <w:vAlign w:val="center"/>
          </w:tcPr>
          <w:p w14:paraId="18050FDF">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0048E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113" w:type="dxa"/>
            <w:vMerge w:val="restart"/>
            <w:noWrap w:val="0"/>
            <w:vAlign w:val="center"/>
          </w:tcPr>
          <w:p w14:paraId="01973AA1">
            <w:pPr>
              <w:keepNext w:val="0"/>
              <w:keepLines w:val="0"/>
              <w:pageBreakBefore w:val="0"/>
              <w:widowControl w:val="0"/>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交通运输业 *</w:t>
            </w:r>
          </w:p>
        </w:tc>
        <w:tc>
          <w:tcPr>
            <w:tcW w:w="1369" w:type="dxa"/>
            <w:noWrap w:val="0"/>
            <w:vAlign w:val="center"/>
          </w:tcPr>
          <w:p w14:paraId="1A339B4A">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61D17F88">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7F9497E6">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310E5637">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5308ECE7">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noWrap w:val="0"/>
            <w:vAlign w:val="center"/>
          </w:tcPr>
          <w:p w14:paraId="4AF6941A">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16FB1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113" w:type="dxa"/>
            <w:vMerge w:val="continue"/>
            <w:noWrap w:val="0"/>
            <w:vAlign w:val="center"/>
          </w:tcPr>
          <w:p w14:paraId="582AF6C7">
            <w:pPr>
              <w:keepNext w:val="0"/>
              <w:keepLines w:val="0"/>
              <w:pageBreakBefore w:val="0"/>
              <w:widowControl w:val="0"/>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376A9DA3">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5E558AD7">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2997ADAF">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4CD2AE40">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1426" w:type="dxa"/>
            <w:noWrap w:val="0"/>
            <w:vAlign w:val="center"/>
          </w:tcPr>
          <w:p w14:paraId="23065470">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200≤Y＜3000</w:t>
            </w:r>
          </w:p>
        </w:tc>
        <w:tc>
          <w:tcPr>
            <w:tcW w:w="992" w:type="dxa"/>
            <w:noWrap w:val="0"/>
            <w:vAlign w:val="center"/>
          </w:tcPr>
          <w:p w14:paraId="14D90005">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14:paraId="655CF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113" w:type="dxa"/>
            <w:vMerge w:val="restart"/>
            <w:noWrap w:val="0"/>
            <w:vAlign w:val="center"/>
          </w:tcPr>
          <w:p w14:paraId="1F6C163F">
            <w:pPr>
              <w:keepNext w:val="0"/>
              <w:keepLines w:val="0"/>
              <w:pageBreakBefore w:val="0"/>
              <w:widowControl w:val="0"/>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仓储业*</w:t>
            </w:r>
          </w:p>
        </w:tc>
        <w:tc>
          <w:tcPr>
            <w:tcW w:w="1369" w:type="dxa"/>
            <w:noWrap w:val="0"/>
            <w:vAlign w:val="center"/>
          </w:tcPr>
          <w:p w14:paraId="4D3F691B">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52E43E3B">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54D37095">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w:t>
            </w:r>
          </w:p>
        </w:tc>
        <w:tc>
          <w:tcPr>
            <w:tcW w:w="1701" w:type="dxa"/>
            <w:noWrap w:val="0"/>
            <w:vAlign w:val="center"/>
          </w:tcPr>
          <w:p w14:paraId="33DA5362">
            <w:pPr>
              <w:keepNext w:val="0"/>
              <w:keepLines w:val="0"/>
              <w:pageBreakBefore w:val="0"/>
              <w:widowControl w:val="0"/>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w:t>
            </w:r>
          </w:p>
        </w:tc>
        <w:tc>
          <w:tcPr>
            <w:tcW w:w="1426" w:type="dxa"/>
            <w:noWrap w:val="0"/>
            <w:vAlign w:val="center"/>
          </w:tcPr>
          <w:p w14:paraId="7A0637B9">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20≤X＜100</w:t>
            </w:r>
          </w:p>
        </w:tc>
        <w:tc>
          <w:tcPr>
            <w:tcW w:w="992" w:type="dxa"/>
            <w:noWrap w:val="0"/>
            <w:vAlign w:val="center"/>
          </w:tcPr>
          <w:p w14:paraId="64A249A1">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44716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113" w:type="dxa"/>
            <w:vMerge w:val="continue"/>
            <w:noWrap w:val="0"/>
            <w:vAlign w:val="center"/>
          </w:tcPr>
          <w:p w14:paraId="155951A7">
            <w:pPr>
              <w:keepNext w:val="0"/>
              <w:keepLines w:val="0"/>
              <w:pageBreakBefore w:val="0"/>
              <w:widowControl w:val="0"/>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7B3AADAA">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5B9C2F38">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2621926A">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20F48682">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1426" w:type="dxa"/>
            <w:noWrap w:val="0"/>
            <w:vAlign w:val="center"/>
          </w:tcPr>
          <w:p w14:paraId="1B4CA97B">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14:paraId="5AFEBFC6">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23B2A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113" w:type="dxa"/>
            <w:vMerge w:val="restart"/>
            <w:noWrap w:val="0"/>
            <w:vAlign w:val="center"/>
          </w:tcPr>
          <w:p w14:paraId="7A3FA7E2">
            <w:pPr>
              <w:keepNext w:val="0"/>
              <w:keepLines w:val="0"/>
              <w:pageBreakBefore w:val="0"/>
              <w:widowControl w:val="0"/>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邮政业</w:t>
            </w:r>
          </w:p>
        </w:tc>
        <w:tc>
          <w:tcPr>
            <w:tcW w:w="1369" w:type="dxa"/>
            <w:noWrap w:val="0"/>
            <w:vAlign w:val="center"/>
          </w:tcPr>
          <w:p w14:paraId="41844408">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0A748EC4">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6D7B1091">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2BEBBBFD">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19DD80FD">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noWrap w:val="0"/>
            <w:vAlign w:val="center"/>
          </w:tcPr>
          <w:p w14:paraId="4E76D1D3">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46B62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113" w:type="dxa"/>
            <w:vMerge w:val="continue"/>
            <w:noWrap w:val="0"/>
            <w:vAlign w:val="center"/>
          </w:tcPr>
          <w:p w14:paraId="11C6D55F">
            <w:pPr>
              <w:keepNext w:val="0"/>
              <w:keepLines w:val="0"/>
              <w:pageBreakBefore w:val="0"/>
              <w:widowControl w:val="0"/>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2CBE4357">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57E9C6E8">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6FDD1098">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57F824BD">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1426" w:type="dxa"/>
            <w:noWrap w:val="0"/>
            <w:vAlign w:val="center"/>
          </w:tcPr>
          <w:p w14:paraId="3B9038D9">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14:paraId="64B65DD5">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582FC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113" w:type="dxa"/>
            <w:vMerge w:val="restart"/>
            <w:noWrap w:val="0"/>
            <w:vAlign w:val="center"/>
          </w:tcPr>
          <w:p w14:paraId="62658C1F">
            <w:pPr>
              <w:keepNext w:val="0"/>
              <w:keepLines w:val="0"/>
              <w:pageBreakBefore w:val="0"/>
              <w:widowControl w:val="0"/>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住宿业</w:t>
            </w:r>
          </w:p>
        </w:tc>
        <w:tc>
          <w:tcPr>
            <w:tcW w:w="1369" w:type="dxa"/>
            <w:noWrap w:val="0"/>
            <w:vAlign w:val="center"/>
          </w:tcPr>
          <w:p w14:paraId="45547515">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7B74F067">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04AA4AD3">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6E8402DE">
            <w:pPr>
              <w:keepNext w:val="0"/>
              <w:keepLines w:val="0"/>
              <w:pageBreakBefore w:val="0"/>
              <w:widowControl w:val="0"/>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noWrap w:val="0"/>
            <w:vAlign w:val="center"/>
          </w:tcPr>
          <w:p w14:paraId="53536DFC">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2EE17F83">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283F1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113" w:type="dxa"/>
            <w:vMerge w:val="continue"/>
            <w:noWrap w:val="0"/>
            <w:vAlign w:val="center"/>
          </w:tcPr>
          <w:p w14:paraId="501EDE23">
            <w:pPr>
              <w:keepNext w:val="0"/>
              <w:keepLines w:val="0"/>
              <w:pageBreakBefore w:val="0"/>
              <w:widowControl w:val="0"/>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2E44AE0B">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267D7785">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4F32006E">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778CE1C8">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26" w:type="dxa"/>
            <w:noWrap w:val="0"/>
            <w:vAlign w:val="center"/>
          </w:tcPr>
          <w:p w14:paraId="777C34A5">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14:paraId="72463956">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5EF8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113" w:type="dxa"/>
            <w:vMerge w:val="restart"/>
            <w:noWrap w:val="0"/>
            <w:vAlign w:val="center"/>
          </w:tcPr>
          <w:p w14:paraId="6DDCB9A6">
            <w:pPr>
              <w:keepNext w:val="0"/>
              <w:keepLines w:val="0"/>
              <w:pageBreakBefore w:val="0"/>
              <w:widowControl w:val="0"/>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餐饮业</w:t>
            </w:r>
          </w:p>
        </w:tc>
        <w:tc>
          <w:tcPr>
            <w:tcW w:w="1369" w:type="dxa"/>
            <w:noWrap w:val="0"/>
            <w:vAlign w:val="center"/>
          </w:tcPr>
          <w:p w14:paraId="6A98DF01">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6029C1EC">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366A18C8">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691C78CC">
            <w:pPr>
              <w:keepNext w:val="0"/>
              <w:keepLines w:val="0"/>
              <w:pageBreakBefore w:val="0"/>
              <w:widowControl w:val="0"/>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1426" w:type="dxa"/>
            <w:noWrap w:val="0"/>
            <w:vAlign w:val="center"/>
          </w:tcPr>
          <w:p w14:paraId="3E56B25D">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1FB7E44C">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6E911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113" w:type="dxa"/>
            <w:vMerge w:val="continue"/>
            <w:noWrap w:val="0"/>
            <w:vAlign w:val="center"/>
          </w:tcPr>
          <w:p w14:paraId="161E393C">
            <w:pPr>
              <w:keepNext w:val="0"/>
              <w:keepLines w:val="0"/>
              <w:pageBreakBefore w:val="0"/>
              <w:widowControl w:val="0"/>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75FAC992">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54FBE951">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42813514">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564C5BCE">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26" w:type="dxa"/>
            <w:noWrap w:val="0"/>
            <w:vAlign w:val="center"/>
          </w:tcPr>
          <w:p w14:paraId="486B041F">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14:paraId="00A84557">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07A63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113" w:type="dxa"/>
            <w:vMerge w:val="restart"/>
            <w:noWrap w:val="0"/>
            <w:vAlign w:val="center"/>
          </w:tcPr>
          <w:p w14:paraId="3A77495A">
            <w:pPr>
              <w:keepNext w:val="0"/>
              <w:keepLines w:val="0"/>
              <w:pageBreakBefore w:val="0"/>
              <w:widowControl w:val="0"/>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信息传输业 *</w:t>
            </w:r>
          </w:p>
        </w:tc>
        <w:tc>
          <w:tcPr>
            <w:tcW w:w="1369" w:type="dxa"/>
            <w:noWrap w:val="0"/>
            <w:vAlign w:val="center"/>
          </w:tcPr>
          <w:p w14:paraId="7B6A84B9">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3D6AAAE0">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67E6E95D">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X≥2000</w:t>
            </w:r>
          </w:p>
        </w:tc>
        <w:tc>
          <w:tcPr>
            <w:tcW w:w="1701" w:type="dxa"/>
            <w:noWrap w:val="0"/>
            <w:vAlign w:val="center"/>
          </w:tcPr>
          <w:p w14:paraId="3B78311C">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100≤X＜2000</w:t>
            </w:r>
          </w:p>
        </w:tc>
        <w:tc>
          <w:tcPr>
            <w:tcW w:w="1426" w:type="dxa"/>
            <w:noWrap w:val="0"/>
            <w:vAlign w:val="center"/>
          </w:tcPr>
          <w:p w14:paraId="1B32683E">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03380CEE">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12329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113" w:type="dxa"/>
            <w:vMerge w:val="continue"/>
            <w:noWrap w:val="0"/>
            <w:vAlign w:val="center"/>
          </w:tcPr>
          <w:p w14:paraId="032453C4">
            <w:pPr>
              <w:keepNext w:val="0"/>
              <w:keepLines w:val="0"/>
              <w:pageBreakBefore w:val="0"/>
              <w:widowControl w:val="0"/>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0ACB52BA">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36EB6758">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2E9A6B1E">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Y≥100000</w:t>
            </w:r>
          </w:p>
        </w:tc>
        <w:tc>
          <w:tcPr>
            <w:tcW w:w="1701" w:type="dxa"/>
            <w:noWrap w:val="0"/>
            <w:vAlign w:val="center"/>
          </w:tcPr>
          <w:p w14:paraId="6EC073B7">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1000≤Y＜100000</w:t>
            </w:r>
          </w:p>
        </w:tc>
        <w:tc>
          <w:tcPr>
            <w:tcW w:w="1426" w:type="dxa"/>
            <w:noWrap w:val="0"/>
            <w:vAlign w:val="center"/>
          </w:tcPr>
          <w:p w14:paraId="3A54659C">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14:paraId="1DACCB5C">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73BD8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113" w:type="dxa"/>
            <w:vMerge w:val="restart"/>
            <w:noWrap w:val="0"/>
            <w:vAlign w:val="center"/>
          </w:tcPr>
          <w:p w14:paraId="29B83883">
            <w:pPr>
              <w:keepNext w:val="0"/>
              <w:keepLines w:val="0"/>
              <w:pageBreakBefore w:val="0"/>
              <w:widowControl w:val="0"/>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spacing w:val="-12"/>
                <w:kern w:val="0"/>
                <w:sz w:val="18"/>
                <w:szCs w:val="18"/>
                <w:highlight w:val="none"/>
              </w:rPr>
            </w:pPr>
            <w:r>
              <w:rPr>
                <w:rFonts w:hint="eastAsia" w:ascii="宋体" w:hAnsi="宋体" w:eastAsia="宋体" w:cs="宋体"/>
                <w:color w:val="auto"/>
                <w:spacing w:val="-12"/>
                <w:kern w:val="0"/>
                <w:sz w:val="18"/>
                <w:szCs w:val="18"/>
                <w:highlight w:val="none"/>
              </w:rPr>
              <w:t>软件和信息技术服</w:t>
            </w:r>
            <w:r>
              <w:rPr>
                <w:rFonts w:hint="eastAsia" w:ascii="宋体" w:hAnsi="宋体" w:eastAsia="宋体" w:cs="宋体"/>
                <w:color w:val="auto"/>
                <w:kern w:val="0"/>
                <w:sz w:val="18"/>
                <w:szCs w:val="18"/>
                <w:highlight w:val="none"/>
              </w:rPr>
              <w:t>务业</w:t>
            </w:r>
          </w:p>
        </w:tc>
        <w:tc>
          <w:tcPr>
            <w:tcW w:w="1369" w:type="dxa"/>
            <w:noWrap w:val="0"/>
            <w:vAlign w:val="center"/>
          </w:tcPr>
          <w:p w14:paraId="4C661C96">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117FF281">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0D3C4D57">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0DB1D8FE">
            <w:pPr>
              <w:keepNext w:val="0"/>
              <w:keepLines w:val="0"/>
              <w:pageBreakBefore w:val="0"/>
              <w:widowControl w:val="0"/>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1426" w:type="dxa"/>
            <w:noWrap w:val="0"/>
            <w:vAlign w:val="center"/>
          </w:tcPr>
          <w:p w14:paraId="38D67ACF">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2996C045">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19820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113" w:type="dxa"/>
            <w:vMerge w:val="continue"/>
            <w:noWrap w:val="0"/>
            <w:vAlign w:val="center"/>
          </w:tcPr>
          <w:p w14:paraId="1F52C070">
            <w:pPr>
              <w:keepNext w:val="0"/>
              <w:keepLines w:val="0"/>
              <w:pageBreakBefore w:val="0"/>
              <w:widowControl w:val="0"/>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spacing w:val="-12"/>
                <w:kern w:val="0"/>
                <w:sz w:val="18"/>
                <w:szCs w:val="18"/>
                <w:highlight w:val="none"/>
              </w:rPr>
            </w:pPr>
          </w:p>
        </w:tc>
        <w:tc>
          <w:tcPr>
            <w:tcW w:w="1369" w:type="dxa"/>
            <w:noWrap w:val="0"/>
            <w:vAlign w:val="center"/>
          </w:tcPr>
          <w:p w14:paraId="2D96FFB7">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0569010E">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24C9B530">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48A47CC3">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1426" w:type="dxa"/>
            <w:noWrap w:val="0"/>
            <w:vAlign w:val="center"/>
          </w:tcPr>
          <w:p w14:paraId="5444C156">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50≤Y＜1000</w:t>
            </w:r>
          </w:p>
        </w:tc>
        <w:tc>
          <w:tcPr>
            <w:tcW w:w="992" w:type="dxa"/>
            <w:noWrap w:val="0"/>
            <w:vAlign w:val="center"/>
          </w:tcPr>
          <w:p w14:paraId="7592C497">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4DF16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113" w:type="dxa"/>
            <w:vMerge w:val="restart"/>
            <w:noWrap w:val="0"/>
            <w:vAlign w:val="center"/>
          </w:tcPr>
          <w:p w14:paraId="4F6826B2">
            <w:pPr>
              <w:keepNext w:val="0"/>
              <w:keepLines w:val="0"/>
              <w:pageBreakBefore w:val="0"/>
              <w:widowControl w:val="0"/>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房地产开发经营</w:t>
            </w:r>
          </w:p>
        </w:tc>
        <w:tc>
          <w:tcPr>
            <w:tcW w:w="1369" w:type="dxa"/>
            <w:noWrap w:val="0"/>
            <w:vAlign w:val="center"/>
          </w:tcPr>
          <w:p w14:paraId="18ACA10D">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6CDFBAA6">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0CE5BA1F">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Y≥200000</w:t>
            </w:r>
          </w:p>
        </w:tc>
        <w:tc>
          <w:tcPr>
            <w:tcW w:w="1701" w:type="dxa"/>
            <w:noWrap w:val="0"/>
            <w:vAlign w:val="center"/>
          </w:tcPr>
          <w:p w14:paraId="03E4B911">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1000≤Y＜200000</w:t>
            </w:r>
          </w:p>
        </w:tc>
        <w:tc>
          <w:tcPr>
            <w:tcW w:w="1426" w:type="dxa"/>
            <w:noWrap w:val="0"/>
            <w:vAlign w:val="center"/>
          </w:tcPr>
          <w:p w14:paraId="0A065710">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14:paraId="5953868E">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1E9B3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113" w:type="dxa"/>
            <w:vMerge w:val="continue"/>
            <w:noWrap w:val="0"/>
            <w:vAlign w:val="center"/>
          </w:tcPr>
          <w:p w14:paraId="22B01EFF">
            <w:pPr>
              <w:keepNext w:val="0"/>
              <w:keepLines w:val="0"/>
              <w:pageBreakBefore w:val="0"/>
              <w:widowControl w:val="0"/>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2682C667">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14:paraId="09B757B8">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2FAD7E7A">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Z≥10000</w:t>
            </w:r>
          </w:p>
        </w:tc>
        <w:tc>
          <w:tcPr>
            <w:tcW w:w="1701" w:type="dxa"/>
            <w:noWrap w:val="0"/>
            <w:vAlign w:val="center"/>
          </w:tcPr>
          <w:p w14:paraId="0FF07715">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1426" w:type="dxa"/>
            <w:noWrap w:val="0"/>
            <w:vAlign w:val="center"/>
          </w:tcPr>
          <w:p w14:paraId="76178C99">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2000≤Z＜5000</w:t>
            </w:r>
          </w:p>
        </w:tc>
        <w:tc>
          <w:tcPr>
            <w:tcW w:w="992" w:type="dxa"/>
            <w:noWrap w:val="0"/>
            <w:vAlign w:val="center"/>
          </w:tcPr>
          <w:p w14:paraId="724FCD98">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Z＜2000</w:t>
            </w:r>
          </w:p>
        </w:tc>
      </w:tr>
      <w:tr w14:paraId="5D252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113" w:type="dxa"/>
            <w:vMerge w:val="restart"/>
            <w:noWrap w:val="0"/>
            <w:vAlign w:val="center"/>
          </w:tcPr>
          <w:p w14:paraId="7A1CE329">
            <w:pPr>
              <w:keepNext w:val="0"/>
              <w:keepLines w:val="0"/>
              <w:pageBreakBefore w:val="0"/>
              <w:widowControl w:val="0"/>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物业管理</w:t>
            </w:r>
          </w:p>
        </w:tc>
        <w:tc>
          <w:tcPr>
            <w:tcW w:w="1369" w:type="dxa"/>
            <w:noWrap w:val="0"/>
            <w:vAlign w:val="center"/>
          </w:tcPr>
          <w:p w14:paraId="4A96E6BB">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262C0060">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2EB63EC0">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7D874C1B">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59089ED9">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992" w:type="dxa"/>
            <w:noWrap w:val="0"/>
            <w:vAlign w:val="center"/>
          </w:tcPr>
          <w:p w14:paraId="7F2A58BA">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4DEEB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113" w:type="dxa"/>
            <w:vMerge w:val="continue"/>
            <w:noWrap w:val="0"/>
            <w:vAlign w:val="center"/>
          </w:tcPr>
          <w:p w14:paraId="6C28ED3C">
            <w:pPr>
              <w:keepNext w:val="0"/>
              <w:keepLines w:val="0"/>
              <w:pageBreakBefore w:val="0"/>
              <w:widowControl w:val="0"/>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5EFBB13D">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7F1982CC">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7A2F742D">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Y≥5000</w:t>
            </w:r>
          </w:p>
        </w:tc>
        <w:tc>
          <w:tcPr>
            <w:tcW w:w="1701" w:type="dxa"/>
            <w:noWrap w:val="0"/>
            <w:vAlign w:val="center"/>
          </w:tcPr>
          <w:p w14:paraId="7697530E">
            <w:pPr>
              <w:keepNext w:val="0"/>
              <w:keepLines w:val="0"/>
              <w:pageBreakBefore w:val="0"/>
              <w:widowControl w:val="0"/>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426" w:type="dxa"/>
            <w:noWrap w:val="0"/>
            <w:vAlign w:val="center"/>
          </w:tcPr>
          <w:p w14:paraId="4B37AD64">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500≤Y＜1000</w:t>
            </w:r>
          </w:p>
        </w:tc>
        <w:tc>
          <w:tcPr>
            <w:tcW w:w="992" w:type="dxa"/>
            <w:noWrap w:val="0"/>
            <w:vAlign w:val="center"/>
          </w:tcPr>
          <w:p w14:paraId="00DCEFAA">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14:paraId="62487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113" w:type="dxa"/>
            <w:vMerge w:val="restart"/>
            <w:noWrap w:val="0"/>
            <w:vAlign w:val="center"/>
          </w:tcPr>
          <w:p w14:paraId="71713770">
            <w:pPr>
              <w:keepNext w:val="0"/>
              <w:keepLines w:val="0"/>
              <w:pageBreakBefore w:val="0"/>
              <w:widowControl w:val="0"/>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租赁和商务服务业</w:t>
            </w:r>
          </w:p>
        </w:tc>
        <w:tc>
          <w:tcPr>
            <w:tcW w:w="1369" w:type="dxa"/>
            <w:noWrap w:val="0"/>
            <w:vAlign w:val="center"/>
          </w:tcPr>
          <w:p w14:paraId="731A6358">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475DF8F6">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6645BCC8">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369645F1">
            <w:pPr>
              <w:keepNext w:val="0"/>
              <w:keepLines w:val="0"/>
              <w:pageBreakBefore w:val="0"/>
              <w:widowControl w:val="0"/>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noWrap w:val="0"/>
            <w:vAlign w:val="center"/>
          </w:tcPr>
          <w:p w14:paraId="2493885E">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60A379D6">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6B508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113" w:type="dxa"/>
            <w:vMerge w:val="continue"/>
            <w:noWrap w:val="0"/>
            <w:vAlign w:val="center"/>
          </w:tcPr>
          <w:p w14:paraId="6B93F125">
            <w:pPr>
              <w:keepNext w:val="0"/>
              <w:keepLines w:val="0"/>
              <w:pageBreakBefore w:val="0"/>
              <w:widowControl w:val="0"/>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2B40C94B">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14:paraId="1FA9AC08">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4C1EE87E">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Z≥120000</w:t>
            </w:r>
          </w:p>
        </w:tc>
        <w:tc>
          <w:tcPr>
            <w:tcW w:w="1701" w:type="dxa"/>
            <w:noWrap w:val="0"/>
            <w:vAlign w:val="center"/>
          </w:tcPr>
          <w:p w14:paraId="09518B02">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8000≤Z＜120000</w:t>
            </w:r>
          </w:p>
        </w:tc>
        <w:tc>
          <w:tcPr>
            <w:tcW w:w="1426" w:type="dxa"/>
            <w:noWrap w:val="0"/>
            <w:vAlign w:val="center"/>
          </w:tcPr>
          <w:p w14:paraId="2056ED87">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100≤Z＜8000</w:t>
            </w:r>
          </w:p>
        </w:tc>
        <w:tc>
          <w:tcPr>
            <w:tcW w:w="992" w:type="dxa"/>
            <w:noWrap w:val="0"/>
            <w:vAlign w:val="center"/>
          </w:tcPr>
          <w:p w14:paraId="10EB48C3">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w:t>
            </w:r>
          </w:p>
        </w:tc>
      </w:tr>
      <w:tr w14:paraId="7A70C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113" w:type="dxa"/>
            <w:noWrap w:val="0"/>
            <w:vAlign w:val="center"/>
          </w:tcPr>
          <w:p w14:paraId="5587BC41">
            <w:pPr>
              <w:keepNext w:val="0"/>
              <w:keepLines w:val="0"/>
              <w:pageBreakBefore w:val="0"/>
              <w:widowControl w:val="0"/>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其他未列明行业 *</w:t>
            </w:r>
          </w:p>
        </w:tc>
        <w:tc>
          <w:tcPr>
            <w:tcW w:w="1369" w:type="dxa"/>
            <w:noWrap w:val="0"/>
            <w:vAlign w:val="center"/>
          </w:tcPr>
          <w:p w14:paraId="06761853">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6A576C69">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54C00CC8">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302B9C83">
            <w:pPr>
              <w:keepNext w:val="0"/>
              <w:keepLines w:val="0"/>
              <w:pageBreakBefore w:val="0"/>
              <w:widowControl w:val="0"/>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noWrap w:val="0"/>
            <w:vAlign w:val="center"/>
          </w:tcPr>
          <w:p w14:paraId="57257474">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577A5F65">
            <w:pPr>
              <w:keepNext w:val="0"/>
              <w:keepLines w:val="0"/>
              <w:pageBreakBefore w:val="0"/>
              <w:widowControl w:val="0"/>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bl>
    <w:p w14:paraId="134744C3">
      <w:pPr>
        <w:keepNext w:val="0"/>
        <w:keepLines w:val="0"/>
        <w:pageBreakBefore w:val="0"/>
        <w:widowControl w:val="0"/>
        <w:kinsoku/>
        <w:wordWrap/>
        <w:overflowPunct/>
        <w:topLinePunct w:val="0"/>
        <w:autoSpaceDE/>
        <w:autoSpaceDN/>
        <w:bidi w:val="0"/>
        <w:snapToGrid/>
        <w:spacing w:line="440" w:lineRule="exact"/>
        <w:ind w:right="0" w:rightChars="0"/>
        <w:textAlignment w:val="auto"/>
        <w:outlineLvl w:val="9"/>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说明：</w:t>
      </w:r>
    </w:p>
    <w:p w14:paraId="630AD409">
      <w:pPr>
        <w:pStyle w:val="12"/>
        <w:keepNext w:val="0"/>
        <w:keepLines w:val="0"/>
        <w:pageBreakBefore w:val="0"/>
        <w:widowControl w:val="0"/>
        <w:kinsoku/>
        <w:wordWrap/>
        <w:overflowPunct/>
        <w:topLinePunct w:val="0"/>
        <w:autoSpaceDE/>
        <w:autoSpaceDN/>
        <w:bidi w:val="0"/>
        <w:adjustRightInd w:val="0"/>
        <w:snapToGrid/>
        <w:spacing w:line="440" w:lineRule="exact"/>
        <w:ind w:right="0" w:rightChars="0" w:firstLine="452" w:firstLineChars="200"/>
        <w:contextualSpacing/>
        <w:textAlignment w:val="auto"/>
        <w:outlineLvl w:val="9"/>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1.大型、中型和小型企业须同时满足所列指标的下限，否则下划一档；微型企业只须满足所列指标中的一项即可。</w:t>
      </w:r>
    </w:p>
    <w:p w14:paraId="1B92B1C0">
      <w:pPr>
        <w:pStyle w:val="12"/>
        <w:keepNext w:val="0"/>
        <w:keepLines w:val="0"/>
        <w:pageBreakBefore w:val="0"/>
        <w:widowControl w:val="0"/>
        <w:kinsoku/>
        <w:wordWrap/>
        <w:overflowPunct/>
        <w:topLinePunct w:val="0"/>
        <w:autoSpaceDE/>
        <w:autoSpaceDN/>
        <w:bidi w:val="0"/>
        <w:adjustRightInd w:val="0"/>
        <w:snapToGrid/>
        <w:spacing w:line="440" w:lineRule="exact"/>
        <w:ind w:right="0" w:rightChars="0" w:firstLine="452" w:firstLineChars="200"/>
        <w:contextualSpacing/>
        <w:textAlignment w:val="auto"/>
        <w:outlineLvl w:val="9"/>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2E8B038D">
      <w:pPr>
        <w:pStyle w:val="12"/>
        <w:keepNext w:val="0"/>
        <w:keepLines w:val="0"/>
        <w:pageBreakBefore w:val="0"/>
        <w:widowControl w:val="0"/>
        <w:kinsoku/>
        <w:wordWrap/>
        <w:overflowPunct/>
        <w:topLinePunct w:val="0"/>
        <w:autoSpaceDE/>
        <w:autoSpaceDN/>
        <w:bidi w:val="0"/>
        <w:snapToGrid/>
        <w:spacing w:line="440" w:lineRule="exact"/>
        <w:ind w:right="0" w:rightChars="0" w:firstLine="452" w:firstLineChars="200"/>
        <w:textAlignment w:val="auto"/>
        <w:outlineLvl w:val="9"/>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bookmarkStart w:id="149" w:name="_Toc4774"/>
      <w:bookmarkStart w:id="150" w:name="_Toc8466"/>
    </w:p>
    <w:p w14:paraId="74B91B03">
      <w:pPr>
        <w:pStyle w:val="7"/>
        <w:keepNext w:val="0"/>
        <w:keepLines w:val="0"/>
        <w:pageBreakBefore w:val="0"/>
        <w:widowControl w:val="0"/>
        <w:wordWrap/>
        <w:topLinePunct w:val="0"/>
        <w:bidi w:val="0"/>
        <w:rPr>
          <w:rFonts w:hint="eastAsia" w:ascii="宋体" w:hAnsi="宋体" w:eastAsia="宋体" w:cs="宋体"/>
          <w:color w:val="auto"/>
          <w:spacing w:val="8"/>
          <w:kern w:val="0"/>
          <w:sz w:val="24"/>
          <w:szCs w:val="24"/>
          <w:highlight w:val="none"/>
        </w:rPr>
      </w:pPr>
    </w:p>
    <w:p w14:paraId="1AE474BC">
      <w:pPr>
        <w:keepNext w:val="0"/>
        <w:keepLines w:val="0"/>
        <w:pageBreakBefore w:val="0"/>
        <w:widowControl w:val="0"/>
        <w:wordWrap/>
        <w:topLinePunct w:val="0"/>
        <w:bidi w:val="0"/>
        <w:rPr>
          <w:rFonts w:hint="eastAsia" w:ascii="宋体" w:hAnsi="宋体" w:eastAsia="宋体" w:cs="宋体"/>
          <w:color w:val="auto"/>
          <w:spacing w:val="8"/>
          <w:kern w:val="0"/>
          <w:sz w:val="24"/>
          <w:szCs w:val="24"/>
          <w:highlight w:val="none"/>
        </w:rPr>
      </w:pPr>
    </w:p>
    <w:p w14:paraId="3AE0213C">
      <w:pPr>
        <w:pStyle w:val="31"/>
        <w:keepNext w:val="0"/>
        <w:keepLines w:val="0"/>
        <w:pageBreakBefore w:val="0"/>
        <w:widowControl w:val="0"/>
        <w:wordWrap/>
        <w:topLinePunct w:val="0"/>
        <w:bidi w:val="0"/>
        <w:rPr>
          <w:rFonts w:hint="eastAsia" w:ascii="宋体" w:hAnsi="宋体" w:eastAsia="宋体" w:cs="宋体"/>
          <w:color w:val="auto"/>
          <w:highlight w:val="none"/>
        </w:rPr>
      </w:pPr>
    </w:p>
    <w:p w14:paraId="6FFEA364">
      <w:pPr>
        <w:rPr>
          <w:rFonts w:hint="eastAsia" w:ascii="宋体" w:hAnsi="宋体" w:eastAsia="宋体" w:cs="宋体"/>
          <w:color w:val="auto"/>
          <w:sz w:val="32"/>
          <w:szCs w:val="32"/>
          <w:highlight w:val="none"/>
          <w:lang w:eastAsia="zh-CN"/>
        </w:rPr>
      </w:pPr>
      <w:bookmarkStart w:id="151" w:name="_Toc25717"/>
      <w:r>
        <w:rPr>
          <w:rFonts w:hint="eastAsia" w:ascii="宋体" w:hAnsi="宋体" w:eastAsia="宋体" w:cs="宋体"/>
          <w:color w:val="auto"/>
          <w:sz w:val="32"/>
          <w:szCs w:val="32"/>
          <w:highlight w:val="none"/>
          <w:lang w:eastAsia="zh-CN"/>
        </w:rPr>
        <w:br w:type="page"/>
      </w:r>
    </w:p>
    <w:p w14:paraId="2200CCCC">
      <w:pPr>
        <w:pStyle w:val="2"/>
        <w:keepNext w:val="0"/>
        <w:keepLines w:val="0"/>
        <w:pageBreakBefore w:val="0"/>
        <w:widowControl w:val="0"/>
        <w:numPr>
          <w:ilvl w:val="0"/>
          <w:numId w:val="0"/>
        </w:numPr>
        <w:tabs>
          <w:tab w:val="left" w:pos="0"/>
        </w:tabs>
        <w:wordWrap/>
        <w:topLinePunct w:val="0"/>
        <w:autoSpaceDE w:val="0"/>
        <w:autoSpaceDN w:val="0"/>
        <w:bidi w:val="0"/>
        <w:adjustRightInd w:val="0"/>
        <w:spacing w:before="0" w:after="0" w:line="360" w:lineRule="auto"/>
        <w:jc w:val="center"/>
        <w:rPr>
          <w:rFonts w:hint="eastAsia" w:ascii="宋体" w:hAnsi="宋体" w:eastAsia="宋体" w:cs="宋体"/>
          <w:color w:val="auto"/>
          <w:sz w:val="32"/>
          <w:szCs w:val="32"/>
          <w:highlight w:val="none"/>
        </w:rPr>
      </w:pPr>
      <w:bookmarkStart w:id="152" w:name="_Toc31422"/>
      <w:r>
        <w:rPr>
          <w:rFonts w:hint="eastAsia" w:ascii="宋体" w:hAnsi="宋体" w:eastAsia="宋体" w:cs="宋体"/>
          <w:color w:val="auto"/>
          <w:sz w:val="32"/>
          <w:szCs w:val="32"/>
          <w:highlight w:val="none"/>
          <w:lang w:eastAsia="zh-CN"/>
        </w:rPr>
        <w:t>第五章</w:t>
      </w: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rPr>
        <w:t>采购合同（合同主要条款及格式）</w:t>
      </w:r>
      <w:bookmarkEnd w:id="149"/>
      <w:bookmarkEnd w:id="150"/>
      <w:bookmarkEnd w:id="151"/>
      <w:bookmarkEnd w:id="152"/>
    </w:p>
    <w:p w14:paraId="608C4868">
      <w:pPr>
        <w:pStyle w:val="37"/>
        <w:keepNext w:val="0"/>
        <w:keepLines w:val="0"/>
        <w:pageBreakBefore w:val="0"/>
        <w:widowControl w:val="0"/>
        <w:numPr>
          <w:ilvl w:val="0"/>
          <w:numId w:val="4"/>
        </w:numPr>
        <w:wordWrap/>
        <w:topLinePunct w:val="0"/>
        <w:bidi w:val="0"/>
        <w:spacing w:line="340" w:lineRule="exact"/>
        <w:jc w:val="center"/>
        <w:outlineLvl w:val="1"/>
        <w:rPr>
          <w:rFonts w:ascii="宋体"/>
          <w:color w:val="auto"/>
          <w:sz w:val="32"/>
          <w:highlight w:val="none"/>
        </w:rPr>
      </w:pPr>
      <w:bookmarkStart w:id="153" w:name="_Toc25765"/>
      <w:bookmarkStart w:id="154" w:name="_Toc13895"/>
      <w:bookmarkStart w:id="155" w:name="_Toc256000031"/>
      <w:bookmarkStart w:id="156" w:name="_Toc522201558"/>
      <w:bookmarkStart w:id="157" w:name="_Toc10014"/>
      <w:bookmarkStart w:id="158" w:name="_Toc24269"/>
      <w:r>
        <w:rPr>
          <w:rFonts w:ascii="宋体"/>
          <w:color w:val="auto"/>
          <w:sz w:val="32"/>
          <w:highlight w:val="none"/>
        </w:rPr>
        <w:t>合同协议书</w:t>
      </w:r>
      <w:bookmarkEnd w:id="153"/>
      <w:bookmarkEnd w:id="154"/>
      <w:bookmarkEnd w:id="155"/>
      <w:bookmarkEnd w:id="156"/>
    </w:p>
    <w:p w14:paraId="6491B0E7">
      <w:pPr>
        <w:pStyle w:val="37"/>
        <w:keepNext w:val="0"/>
        <w:keepLines w:val="0"/>
        <w:pageBreakBefore w:val="0"/>
        <w:widowControl w:val="0"/>
        <w:numPr>
          <w:ilvl w:val="0"/>
          <w:numId w:val="0"/>
        </w:numPr>
        <w:wordWrap/>
        <w:topLinePunct w:val="0"/>
        <w:bidi w:val="0"/>
        <w:spacing w:line="340" w:lineRule="exact"/>
        <w:jc w:val="both"/>
        <w:outlineLvl w:val="9"/>
        <w:rPr>
          <w:rFonts w:ascii="宋体"/>
          <w:color w:val="auto"/>
          <w:sz w:val="32"/>
          <w:highlight w:val="none"/>
        </w:rPr>
      </w:pPr>
    </w:p>
    <w:p w14:paraId="42841863">
      <w:pPr>
        <w:pStyle w:val="39"/>
        <w:keepNext w:val="0"/>
        <w:keepLines w:val="0"/>
        <w:pageBreakBefore w:val="0"/>
        <w:widowControl w:val="0"/>
        <w:wordWrap/>
        <w:topLinePunct w:val="0"/>
        <w:bidi w:val="0"/>
        <w:adjustRightInd w:val="0"/>
        <w:snapToGrid w:val="0"/>
        <w:spacing w:line="40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发包人（全称）：</w:t>
      </w:r>
      <w:r>
        <w:rPr>
          <w:rFonts w:hint="eastAsia" w:ascii="宋体" w:hAnsi="宋体" w:cs="宋体"/>
          <w:color w:val="auto"/>
          <w:szCs w:val="21"/>
          <w:highlight w:val="none"/>
          <w:lang w:val="en-US" w:eastAsia="zh-CN"/>
        </w:rPr>
        <w:t xml:space="preserve"> </w:t>
      </w:r>
    </w:p>
    <w:p w14:paraId="744D56DB">
      <w:pPr>
        <w:pStyle w:val="39"/>
        <w:keepNext w:val="0"/>
        <w:keepLines w:val="0"/>
        <w:pageBreakBefore w:val="0"/>
        <w:widowControl w:val="0"/>
        <w:wordWrap/>
        <w:topLinePunct w:val="0"/>
        <w:bidi w:val="0"/>
        <w:adjustRightInd w:val="0"/>
        <w:snapToGrid w:val="0"/>
        <w:spacing w:line="400" w:lineRule="exact"/>
        <w:rPr>
          <w:rFonts w:ascii="宋体" w:hAnsi="宋体" w:cs="宋体"/>
          <w:color w:val="auto"/>
          <w:szCs w:val="21"/>
          <w:highlight w:val="none"/>
          <w:u w:val="single"/>
        </w:rPr>
      </w:pPr>
      <w:r>
        <w:rPr>
          <w:rFonts w:hint="eastAsia" w:ascii="宋体" w:hAnsi="宋体" w:cs="宋体"/>
          <w:color w:val="auto"/>
          <w:szCs w:val="21"/>
          <w:highlight w:val="none"/>
        </w:rPr>
        <w:t>承包人（全称）：</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p>
    <w:p w14:paraId="5DB6CD0C">
      <w:pPr>
        <w:pStyle w:val="39"/>
        <w:keepNext w:val="0"/>
        <w:keepLines w:val="0"/>
        <w:pageBreakBefore w:val="0"/>
        <w:widowControl w:val="0"/>
        <w:wordWrap/>
        <w:topLinePunct w:val="0"/>
        <w:bidi w:val="0"/>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根据《中华人民共和国</w:t>
      </w:r>
      <w:r>
        <w:rPr>
          <w:rFonts w:hint="eastAsia" w:ascii="宋体" w:hAnsi="宋体" w:cs="宋体"/>
          <w:color w:val="auto"/>
          <w:szCs w:val="21"/>
          <w:highlight w:val="none"/>
          <w:lang w:eastAsia="zh-CN"/>
        </w:rPr>
        <w:t>民法典</w:t>
      </w:r>
      <w:r>
        <w:rPr>
          <w:rFonts w:hint="eastAsia" w:ascii="宋体" w:hAnsi="宋体" w:cs="宋体"/>
          <w:color w:val="auto"/>
          <w:szCs w:val="21"/>
          <w:highlight w:val="none"/>
        </w:rPr>
        <w:t>》、《中华人民共和国建筑法》及有关法律规定，遵循平等、自愿、公平和诚实信用的原则，双方就</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工程施工及有关事项协商一致，共同达成如下协议：</w:t>
      </w:r>
      <w:bookmarkStart w:id="159" w:name="_Toc351203481"/>
    </w:p>
    <w:p w14:paraId="0A65838D">
      <w:pPr>
        <w:pStyle w:val="40"/>
        <w:keepNext w:val="0"/>
        <w:keepLines w:val="0"/>
        <w:pageBreakBefore w:val="0"/>
        <w:widowControl w:val="0"/>
        <w:wordWrap/>
        <w:topLinePunct w:val="0"/>
        <w:bidi w:val="0"/>
        <w:adjustRightInd w:val="0"/>
        <w:snapToGrid w:val="0"/>
        <w:spacing w:line="400" w:lineRule="exact"/>
        <w:ind w:firstLine="422"/>
        <w:outlineLvl w:val="2"/>
        <w:rPr>
          <w:rFonts w:ascii="宋体" w:hAnsi="宋体" w:cs="宋体"/>
          <w:b/>
          <w:color w:val="auto"/>
          <w:highlight w:val="none"/>
        </w:rPr>
      </w:pPr>
      <w:bookmarkStart w:id="160" w:name="_Toc20764"/>
      <w:bookmarkStart w:id="161" w:name="_Toc522201559"/>
      <w:bookmarkStart w:id="162" w:name="_Toc15791"/>
      <w:bookmarkStart w:id="163" w:name="_Toc406522028"/>
      <w:bookmarkStart w:id="164" w:name="_Toc406419153"/>
      <w:r>
        <w:rPr>
          <w:rFonts w:hint="eastAsia" w:ascii="宋体" w:hAnsi="宋体" w:cs="宋体"/>
          <w:b/>
          <w:color w:val="auto"/>
          <w:highlight w:val="none"/>
        </w:rPr>
        <w:t>一、工程概况</w:t>
      </w:r>
      <w:bookmarkEnd w:id="159"/>
      <w:bookmarkEnd w:id="160"/>
      <w:bookmarkEnd w:id="161"/>
      <w:bookmarkEnd w:id="162"/>
      <w:bookmarkEnd w:id="163"/>
      <w:bookmarkEnd w:id="164"/>
    </w:p>
    <w:p w14:paraId="2E7F3A0F">
      <w:pPr>
        <w:pStyle w:val="39"/>
        <w:keepNext w:val="0"/>
        <w:keepLines w:val="0"/>
        <w:pageBreakBefore w:val="0"/>
        <w:widowControl w:val="0"/>
        <w:wordWrap/>
        <w:topLinePunct w:val="0"/>
        <w:bidi w:val="0"/>
        <w:adjustRightInd w:val="0"/>
        <w:snapToGrid w:val="0"/>
        <w:spacing w:line="400" w:lineRule="exact"/>
        <w:ind w:firstLine="459"/>
        <w:rPr>
          <w:rFonts w:ascii="宋体" w:hAnsi="宋体" w:cs="宋体"/>
          <w:color w:val="auto"/>
          <w:szCs w:val="21"/>
          <w:highlight w:val="none"/>
        </w:rPr>
      </w:pPr>
      <w:r>
        <w:rPr>
          <w:rFonts w:hint="eastAsia" w:ascii="宋体" w:hAnsi="宋体" w:cs="宋体"/>
          <w:color w:val="auto"/>
          <w:szCs w:val="21"/>
          <w:highlight w:val="none"/>
        </w:rPr>
        <w:t>1.工程名称：</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F18247F">
      <w:pPr>
        <w:pStyle w:val="39"/>
        <w:keepNext w:val="0"/>
        <w:keepLines w:val="0"/>
        <w:pageBreakBefore w:val="0"/>
        <w:widowControl w:val="0"/>
        <w:wordWrap/>
        <w:topLinePunct w:val="0"/>
        <w:bidi w:val="0"/>
        <w:adjustRightInd w:val="0"/>
        <w:snapToGrid w:val="0"/>
        <w:spacing w:line="400" w:lineRule="exact"/>
        <w:ind w:firstLine="459"/>
        <w:rPr>
          <w:rFonts w:ascii="宋体" w:hAnsi="宋体" w:cs="宋体"/>
          <w:color w:val="auto"/>
          <w:szCs w:val="21"/>
          <w:highlight w:val="none"/>
        </w:rPr>
      </w:pPr>
      <w:r>
        <w:rPr>
          <w:rFonts w:hint="eastAsia" w:ascii="宋体" w:hAnsi="宋体" w:cs="宋体"/>
          <w:color w:val="auto"/>
          <w:szCs w:val="21"/>
          <w:highlight w:val="none"/>
        </w:rPr>
        <w:t>2.工程地点：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0EFB184">
      <w:pPr>
        <w:pStyle w:val="39"/>
        <w:keepNext w:val="0"/>
        <w:keepLines w:val="0"/>
        <w:pageBreakBefore w:val="0"/>
        <w:widowControl w:val="0"/>
        <w:wordWrap/>
        <w:topLinePunct w:val="0"/>
        <w:bidi w:val="0"/>
        <w:adjustRightInd w:val="0"/>
        <w:snapToGrid w:val="0"/>
        <w:spacing w:line="400" w:lineRule="exact"/>
        <w:ind w:firstLine="459"/>
        <w:rPr>
          <w:rFonts w:ascii="宋体" w:hAnsi="宋体" w:cs="宋体"/>
          <w:color w:val="auto"/>
          <w:szCs w:val="21"/>
          <w:highlight w:val="none"/>
        </w:rPr>
      </w:pPr>
      <w:r>
        <w:rPr>
          <w:rFonts w:hint="eastAsia" w:ascii="宋体" w:hAnsi="宋体" w:cs="宋体"/>
          <w:color w:val="auto"/>
          <w:szCs w:val="21"/>
          <w:highlight w:val="none"/>
        </w:rPr>
        <w:t>3.资金来源：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9F48277">
      <w:pPr>
        <w:pStyle w:val="39"/>
        <w:keepNext w:val="0"/>
        <w:keepLines w:val="0"/>
        <w:pageBreakBefore w:val="0"/>
        <w:widowControl w:val="0"/>
        <w:wordWrap/>
        <w:topLinePunct w:val="0"/>
        <w:bidi w:val="0"/>
        <w:adjustRightInd w:val="0"/>
        <w:snapToGrid w:val="0"/>
        <w:spacing w:line="400" w:lineRule="exact"/>
        <w:ind w:firstLine="459"/>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.工程内容：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B38369C">
      <w:pPr>
        <w:pStyle w:val="39"/>
        <w:keepNext w:val="0"/>
        <w:keepLines w:val="0"/>
        <w:pageBreakBefore w:val="0"/>
        <w:widowControl w:val="0"/>
        <w:wordWrap/>
        <w:topLinePunct w:val="0"/>
        <w:bidi w:val="0"/>
        <w:adjustRightInd w:val="0"/>
        <w:snapToGrid w:val="0"/>
        <w:spacing w:line="400" w:lineRule="exact"/>
        <w:ind w:firstLine="459"/>
        <w:rPr>
          <w:rFonts w:ascii="宋体" w:hAnsi="宋体" w:cs="宋体"/>
          <w:bCs/>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.工程承包范围：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56A1836">
      <w:pPr>
        <w:pStyle w:val="40"/>
        <w:keepNext w:val="0"/>
        <w:keepLines w:val="0"/>
        <w:pageBreakBefore w:val="0"/>
        <w:widowControl w:val="0"/>
        <w:wordWrap/>
        <w:topLinePunct w:val="0"/>
        <w:bidi w:val="0"/>
        <w:adjustRightInd w:val="0"/>
        <w:snapToGrid w:val="0"/>
        <w:spacing w:line="400" w:lineRule="exact"/>
        <w:ind w:firstLine="422"/>
        <w:outlineLvl w:val="2"/>
        <w:rPr>
          <w:rFonts w:ascii="宋体" w:hAnsi="宋体" w:cs="宋体"/>
          <w:b/>
          <w:color w:val="auto"/>
          <w:highlight w:val="none"/>
        </w:rPr>
      </w:pPr>
      <w:bookmarkStart w:id="165" w:name="_Toc406419154"/>
      <w:bookmarkStart w:id="166" w:name="_Toc351203482"/>
      <w:bookmarkStart w:id="167" w:name="_Toc3470"/>
      <w:bookmarkStart w:id="168" w:name="_Toc522201560"/>
      <w:bookmarkStart w:id="169" w:name="_Toc406522029"/>
      <w:bookmarkStart w:id="170" w:name="_Toc349"/>
      <w:r>
        <w:rPr>
          <w:rFonts w:hint="eastAsia" w:ascii="宋体" w:hAnsi="宋体" w:cs="宋体"/>
          <w:b/>
          <w:color w:val="auto"/>
          <w:highlight w:val="none"/>
        </w:rPr>
        <w:t>二、合同工期</w:t>
      </w:r>
      <w:bookmarkEnd w:id="165"/>
      <w:bookmarkEnd w:id="166"/>
      <w:bookmarkEnd w:id="167"/>
      <w:bookmarkEnd w:id="168"/>
      <w:bookmarkEnd w:id="169"/>
      <w:bookmarkEnd w:id="170"/>
    </w:p>
    <w:p w14:paraId="3CC0F2E8">
      <w:pPr>
        <w:pStyle w:val="39"/>
        <w:keepNext w:val="0"/>
        <w:keepLines w:val="0"/>
        <w:pageBreakBefore w:val="0"/>
        <w:widowControl w:val="0"/>
        <w:wordWrap/>
        <w:topLinePunct w:val="0"/>
        <w:bidi w:val="0"/>
        <w:adjustRightInd w:val="0"/>
        <w:snapToGrid w:val="0"/>
        <w:spacing w:line="400" w:lineRule="exact"/>
        <w:ind w:firstLine="459"/>
        <w:rPr>
          <w:rFonts w:ascii="宋体" w:hAnsi="宋体" w:cs="宋体"/>
          <w:color w:val="auto"/>
          <w:szCs w:val="21"/>
          <w:highlight w:val="none"/>
        </w:rPr>
      </w:pPr>
      <w:r>
        <w:rPr>
          <w:rFonts w:hint="eastAsia" w:ascii="宋体" w:hAnsi="宋体" w:cs="宋体"/>
          <w:color w:val="auto"/>
          <w:szCs w:val="21"/>
          <w:highlight w:val="none"/>
        </w:rPr>
        <w:t>计划开工日期：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日。（实际开工日期以开工令为准）</w:t>
      </w:r>
    </w:p>
    <w:p w14:paraId="1D66043D">
      <w:pPr>
        <w:pStyle w:val="39"/>
        <w:keepNext w:val="0"/>
        <w:keepLines w:val="0"/>
        <w:pageBreakBefore w:val="0"/>
        <w:widowControl w:val="0"/>
        <w:wordWrap/>
        <w:topLinePunct w:val="0"/>
        <w:bidi w:val="0"/>
        <w:adjustRightInd w:val="0"/>
        <w:snapToGrid w:val="0"/>
        <w:spacing w:line="400" w:lineRule="exact"/>
        <w:ind w:firstLine="459"/>
        <w:rPr>
          <w:rFonts w:ascii="宋体" w:hAnsi="宋体" w:cs="宋体"/>
          <w:color w:val="auto"/>
          <w:szCs w:val="21"/>
          <w:highlight w:val="none"/>
        </w:rPr>
      </w:pPr>
      <w:r>
        <w:rPr>
          <w:rFonts w:hint="eastAsia" w:ascii="宋体" w:hAnsi="宋体" w:cs="宋体"/>
          <w:color w:val="auto"/>
          <w:szCs w:val="21"/>
          <w:highlight w:val="none"/>
        </w:rPr>
        <w:t>计划竣工日期：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1C9F23CB">
      <w:pPr>
        <w:pStyle w:val="39"/>
        <w:keepNext w:val="0"/>
        <w:keepLines w:val="0"/>
        <w:pageBreakBefore w:val="0"/>
        <w:widowControl w:val="0"/>
        <w:wordWrap/>
        <w:topLinePunct w:val="0"/>
        <w:bidi w:val="0"/>
        <w:adjustRightInd w:val="0"/>
        <w:snapToGrid w:val="0"/>
        <w:spacing w:line="400" w:lineRule="exact"/>
        <w:ind w:firstLine="459"/>
        <w:rPr>
          <w:rFonts w:ascii="宋体" w:hAnsi="宋体" w:cs="宋体"/>
          <w:color w:val="auto"/>
          <w:szCs w:val="21"/>
          <w:highlight w:val="none"/>
        </w:rPr>
      </w:pPr>
      <w:r>
        <w:rPr>
          <w:rFonts w:hint="eastAsia" w:ascii="宋体" w:hAnsi="宋体" w:cs="宋体"/>
          <w:color w:val="auto"/>
          <w:szCs w:val="21"/>
          <w:highlight w:val="none"/>
        </w:rPr>
        <w:t>工期总日历天数：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天。工期总日历天数与根据前述计划开竣工日期计算的工期天数不一致的，以工期总日历天数为准。</w:t>
      </w:r>
    </w:p>
    <w:p w14:paraId="42A814CA">
      <w:pPr>
        <w:pStyle w:val="40"/>
        <w:keepNext w:val="0"/>
        <w:keepLines w:val="0"/>
        <w:pageBreakBefore w:val="0"/>
        <w:widowControl w:val="0"/>
        <w:wordWrap/>
        <w:topLinePunct w:val="0"/>
        <w:bidi w:val="0"/>
        <w:adjustRightInd w:val="0"/>
        <w:snapToGrid w:val="0"/>
        <w:spacing w:line="400" w:lineRule="exact"/>
        <w:ind w:firstLine="422"/>
        <w:outlineLvl w:val="2"/>
        <w:rPr>
          <w:rFonts w:ascii="宋体" w:hAnsi="宋体" w:cs="宋体"/>
          <w:b/>
          <w:color w:val="auto"/>
          <w:highlight w:val="none"/>
        </w:rPr>
      </w:pPr>
      <w:bookmarkStart w:id="171" w:name="_Toc406419155"/>
      <w:bookmarkStart w:id="172" w:name="_Toc351203483"/>
      <w:bookmarkStart w:id="173" w:name="_Toc406522030"/>
      <w:bookmarkStart w:id="174" w:name="_Toc15140"/>
      <w:bookmarkStart w:id="175" w:name="_Toc12638"/>
      <w:bookmarkStart w:id="176" w:name="_Toc522201561"/>
      <w:r>
        <w:rPr>
          <w:rFonts w:hint="eastAsia" w:ascii="宋体" w:hAnsi="宋体" w:cs="宋体"/>
          <w:b/>
          <w:color w:val="auto"/>
          <w:highlight w:val="none"/>
        </w:rPr>
        <w:t>三、质量标准</w:t>
      </w:r>
      <w:bookmarkEnd w:id="171"/>
      <w:bookmarkEnd w:id="172"/>
      <w:bookmarkEnd w:id="173"/>
      <w:bookmarkEnd w:id="174"/>
      <w:bookmarkEnd w:id="175"/>
      <w:bookmarkEnd w:id="176"/>
    </w:p>
    <w:p w14:paraId="70E6619E">
      <w:pPr>
        <w:keepNext w:val="0"/>
        <w:keepLines w:val="0"/>
        <w:pageBreakBefore w:val="0"/>
        <w:widowControl w:val="0"/>
        <w:tabs>
          <w:tab w:val="left" w:pos="210"/>
        </w:tabs>
        <w:wordWrap/>
        <w:topLinePunct w:val="0"/>
        <w:bidi w:val="0"/>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lang w:val="en-US" w:eastAsia="zh-CN"/>
        </w:rPr>
        <w:t>质量标准：合格</w:t>
      </w:r>
      <w:r>
        <w:rPr>
          <w:rFonts w:hint="eastAsia" w:ascii="宋体" w:hAnsi="宋体" w:cs="宋体"/>
          <w:color w:val="auto"/>
          <w:highlight w:val="none"/>
        </w:rPr>
        <w:t>。</w:t>
      </w:r>
    </w:p>
    <w:p w14:paraId="231E32D1">
      <w:pPr>
        <w:pStyle w:val="40"/>
        <w:keepNext w:val="0"/>
        <w:keepLines w:val="0"/>
        <w:pageBreakBefore w:val="0"/>
        <w:widowControl w:val="0"/>
        <w:wordWrap/>
        <w:topLinePunct w:val="0"/>
        <w:bidi w:val="0"/>
        <w:adjustRightInd w:val="0"/>
        <w:snapToGrid w:val="0"/>
        <w:spacing w:line="400" w:lineRule="exact"/>
        <w:ind w:firstLine="422"/>
        <w:outlineLvl w:val="2"/>
        <w:rPr>
          <w:rFonts w:ascii="宋体" w:hAnsi="宋体" w:cs="宋体"/>
          <w:b/>
          <w:color w:val="auto"/>
          <w:highlight w:val="none"/>
        </w:rPr>
      </w:pPr>
      <w:bookmarkStart w:id="177" w:name="_Toc351203484"/>
      <w:bookmarkStart w:id="178" w:name="_Toc522201562"/>
      <w:bookmarkStart w:id="179" w:name="_Toc406419156"/>
      <w:bookmarkStart w:id="180" w:name="_Toc406522031"/>
      <w:bookmarkStart w:id="181" w:name="_Toc8031"/>
      <w:bookmarkStart w:id="182" w:name="_Toc31378"/>
      <w:r>
        <w:rPr>
          <w:rFonts w:hint="eastAsia" w:ascii="宋体" w:hAnsi="宋体" w:cs="宋体"/>
          <w:b/>
          <w:color w:val="auto"/>
          <w:highlight w:val="none"/>
        </w:rPr>
        <w:t>四、签约合同价与合同价格形式</w:t>
      </w:r>
      <w:bookmarkEnd w:id="177"/>
      <w:bookmarkEnd w:id="178"/>
      <w:bookmarkEnd w:id="179"/>
      <w:bookmarkEnd w:id="180"/>
      <w:bookmarkEnd w:id="181"/>
      <w:bookmarkEnd w:id="182"/>
    </w:p>
    <w:p w14:paraId="0BCFB154">
      <w:pPr>
        <w:pStyle w:val="39"/>
        <w:keepNext w:val="0"/>
        <w:keepLines w:val="0"/>
        <w:pageBreakBefore w:val="0"/>
        <w:widowControl w:val="0"/>
        <w:wordWrap/>
        <w:topLinePunct w:val="0"/>
        <w:bidi w:val="0"/>
        <w:adjustRightInd w:val="0"/>
        <w:snapToGrid w:val="0"/>
        <w:spacing w:line="400" w:lineRule="exact"/>
        <w:ind w:firstLine="459"/>
        <w:rPr>
          <w:rFonts w:ascii="宋体" w:hAnsi="宋体" w:cs="宋体"/>
          <w:color w:val="auto"/>
          <w:szCs w:val="21"/>
          <w:highlight w:val="none"/>
        </w:rPr>
      </w:pPr>
      <w:r>
        <w:rPr>
          <w:rFonts w:hint="eastAsia" w:ascii="宋体" w:hAnsi="宋体" w:cs="宋体"/>
          <w:color w:val="auto"/>
          <w:szCs w:val="21"/>
          <w:highlight w:val="none"/>
        </w:rPr>
        <w:t>1. 签约合同价为：</w:t>
      </w:r>
    </w:p>
    <w:p w14:paraId="6A57619F">
      <w:pPr>
        <w:pStyle w:val="39"/>
        <w:keepNext w:val="0"/>
        <w:keepLines w:val="0"/>
        <w:pageBreakBefore w:val="0"/>
        <w:widowControl w:val="0"/>
        <w:wordWrap/>
        <w:topLinePunct w:val="0"/>
        <w:bidi w:val="0"/>
        <w:adjustRightInd w:val="0"/>
        <w:snapToGrid w:val="0"/>
        <w:spacing w:line="400" w:lineRule="exact"/>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总价：人民币（大写）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p w14:paraId="75F57AEB">
      <w:pPr>
        <w:pStyle w:val="39"/>
        <w:keepNext w:val="0"/>
        <w:keepLines w:val="0"/>
        <w:pageBreakBefore w:val="0"/>
        <w:widowControl w:val="0"/>
        <w:wordWrap/>
        <w:topLinePunct w:val="0"/>
        <w:bidi w:val="0"/>
        <w:adjustRightInd w:val="0"/>
        <w:snapToGrid w:val="0"/>
        <w:spacing w:line="400" w:lineRule="exact"/>
        <w:ind w:firstLine="525" w:firstLineChars="250"/>
        <w:rPr>
          <w:rFonts w:ascii="宋体" w:hAnsi="宋体" w:cs="宋体"/>
          <w:color w:val="auto"/>
          <w:szCs w:val="21"/>
          <w:highlight w:val="none"/>
        </w:rPr>
      </w:pPr>
      <w:r>
        <w:rPr>
          <w:rFonts w:hint="eastAsia" w:ascii="宋体" w:hAnsi="宋体" w:cs="宋体"/>
          <w:color w:val="auto"/>
          <w:szCs w:val="21"/>
          <w:highlight w:val="none"/>
        </w:rPr>
        <w:t>其中：</w:t>
      </w:r>
    </w:p>
    <w:p w14:paraId="435C7E9F">
      <w:pPr>
        <w:pStyle w:val="39"/>
        <w:keepNext w:val="0"/>
        <w:keepLines w:val="0"/>
        <w:pageBreakBefore w:val="0"/>
        <w:widowControl w:val="0"/>
        <w:wordWrap/>
        <w:topLinePunct w:val="0"/>
        <w:bidi w:val="0"/>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投标报价（磋商报价）</w:t>
      </w:r>
      <w:r>
        <w:rPr>
          <w:rFonts w:hint="eastAsia" w:ascii="宋体" w:hAnsi="宋体" w:cs="宋体"/>
          <w:color w:val="auto"/>
          <w:szCs w:val="21"/>
          <w:highlight w:val="none"/>
        </w:rPr>
        <w:t>：</w:t>
      </w:r>
    </w:p>
    <w:p w14:paraId="3F8570BA">
      <w:pPr>
        <w:pStyle w:val="39"/>
        <w:keepNext w:val="0"/>
        <w:keepLines w:val="0"/>
        <w:pageBreakBefore w:val="0"/>
        <w:widowControl w:val="0"/>
        <w:wordWrap/>
        <w:topLinePunct w:val="0"/>
        <w:bidi w:val="0"/>
        <w:adjustRightInd w:val="0"/>
        <w:snapToGrid w:val="0"/>
        <w:spacing w:line="400" w:lineRule="exact"/>
        <w:ind w:firstLine="978" w:firstLineChars="466"/>
        <w:rPr>
          <w:rFonts w:ascii="宋体" w:hAnsi="宋体" w:cs="宋体"/>
          <w:color w:val="auto"/>
          <w:szCs w:val="21"/>
          <w:highlight w:val="none"/>
        </w:rPr>
      </w:pPr>
      <w:r>
        <w:rPr>
          <w:rFonts w:hint="eastAsia" w:ascii="宋体" w:hAnsi="宋体" w:cs="宋体"/>
          <w:color w:val="auto"/>
          <w:szCs w:val="21"/>
          <w:highlight w:val="none"/>
        </w:rPr>
        <w:t>人民币（大写）</w:t>
      </w:r>
      <w:r>
        <w:rPr>
          <w:rFonts w:hint="eastAsia" w:ascii="宋体" w:hAnsi="宋体"/>
          <w:color w:val="auto"/>
          <w:szCs w:val="21"/>
          <w:highlight w:val="none"/>
          <w:u w:val="single"/>
          <w:lang w:val="en-US" w:eastAsia="zh-CN"/>
        </w:rPr>
        <w:t xml:space="preserve">  </w:t>
      </w:r>
      <w:r>
        <w:rPr>
          <w:rFonts w:hint="eastAsia" w:ascii="宋体" w:hAnsi="宋体" w:cs="宋体"/>
          <w:color w:val="auto"/>
          <w:szCs w:val="21"/>
          <w:highlight w:val="none"/>
        </w:rPr>
        <w:t xml:space="preserve"> （¥</w:t>
      </w:r>
      <w:r>
        <w:rPr>
          <w:rFonts w:hint="eastAsia" w:ascii="宋体" w:hAnsi="宋体"/>
          <w:color w:val="auto"/>
          <w:szCs w:val="21"/>
          <w:highlight w:val="none"/>
          <w:u w:val="single"/>
          <w:lang w:val="en-US" w:eastAsia="zh-CN"/>
        </w:rPr>
        <w:t xml:space="preserve">  </w:t>
      </w:r>
      <w:r>
        <w:rPr>
          <w:rFonts w:hint="eastAsia" w:ascii="宋体" w:hAnsi="宋体" w:cs="宋体"/>
          <w:color w:val="auto"/>
          <w:szCs w:val="21"/>
          <w:highlight w:val="none"/>
        </w:rPr>
        <w:t>元）；</w:t>
      </w:r>
    </w:p>
    <w:p w14:paraId="2FEF542F">
      <w:pPr>
        <w:pStyle w:val="39"/>
        <w:keepNext w:val="0"/>
        <w:keepLines w:val="0"/>
        <w:pageBreakBefore w:val="0"/>
        <w:widowControl w:val="0"/>
        <w:wordWrap/>
        <w:topLinePunct w:val="0"/>
        <w:bidi w:val="0"/>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（2）安全文明施工费：</w:t>
      </w:r>
    </w:p>
    <w:p w14:paraId="088938EC">
      <w:pPr>
        <w:pStyle w:val="39"/>
        <w:keepNext w:val="0"/>
        <w:keepLines w:val="0"/>
        <w:pageBreakBefore w:val="0"/>
        <w:widowControl w:val="0"/>
        <w:wordWrap/>
        <w:topLinePunct w:val="0"/>
        <w:bidi w:val="0"/>
        <w:adjustRightInd w:val="0"/>
        <w:snapToGrid w:val="0"/>
        <w:spacing w:line="400" w:lineRule="exact"/>
        <w:ind w:firstLine="978" w:firstLineChars="466"/>
        <w:rPr>
          <w:rFonts w:ascii="宋体" w:hAnsi="宋体" w:cs="宋体"/>
          <w:color w:val="auto"/>
          <w:szCs w:val="21"/>
          <w:highlight w:val="none"/>
        </w:rPr>
      </w:pPr>
      <w:r>
        <w:rPr>
          <w:rFonts w:hint="eastAsia" w:ascii="宋体" w:hAnsi="宋体" w:cs="宋体"/>
          <w:color w:val="auto"/>
          <w:szCs w:val="21"/>
          <w:highlight w:val="none"/>
        </w:rPr>
        <w:t>人民币（大写）</w:t>
      </w:r>
      <w:r>
        <w:rPr>
          <w:rFonts w:hint="eastAsia" w:ascii="宋体" w:hAnsi="宋体"/>
          <w:color w:val="auto"/>
          <w:szCs w:val="21"/>
          <w:highlight w:val="none"/>
          <w:u w:val="single"/>
          <w:lang w:val="en-US" w:eastAsia="zh-CN"/>
        </w:rPr>
        <w:t xml:space="preserve">  </w:t>
      </w:r>
      <w:r>
        <w:rPr>
          <w:rFonts w:hint="eastAsia" w:ascii="宋体" w:hAnsi="宋体" w:cs="宋体"/>
          <w:color w:val="auto"/>
          <w:szCs w:val="21"/>
          <w:highlight w:val="none"/>
        </w:rPr>
        <w:t xml:space="preserve"> （¥</w:t>
      </w:r>
      <w:r>
        <w:rPr>
          <w:rFonts w:hint="eastAsia" w:ascii="宋体" w:hAnsi="宋体"/>
          <w:color w:val="auto"/>
          <w:szCs w:val="21"/>
          <w:highlight w:val="none"/>
          <w:u w:val="single"/>
          <w:lang w:val="en-US" w:eastAsia="zh-CN"/>
        </w:rPr>
        <w:t xml:space="preserve">  </w:t>
      </w:r>
      <w:r>
        <w:rPr>
          <w:rFonts w:hint="eastAsia" w:ascii="宋体" w:hAnsi="宋体" w:cs="宋体"/>
          <w:color w:val="auto"/>
          <w:szCs w:val="21"/>
          <w:highlight w:val="none"/>
        </w:rPr>
        <w:t>元）；</w:t>
      </w:r>
    </w:p>
    <w:p w14:paraId="5CF9168C">
      <w:pPr>
        <w:pStyle w:val="39"/>
        <w:keepNext w:val="0"/>
        <w:keepLines w:val="0"/>
        <w:pageBreakBefore w:val="0"/>
        <w:widowControl w:val="0"/>
        <w:wordWrap/>
        <w:topLinePunct w:val="0"/>
        <w:bidi w:val="0"/>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（3）规费：人民币（大写）</w:t>
      </w:r>
      <w:r>
        <w:rPr>
          <w:rFonts w:hint="eastAsia" w:ascii="宋体" w:hAnsi="宋体"/>
          <w:color w:val="auto"/>
          <w:szCs w:val="21"/>
          <w:highlight w:val="none"/>
          <w:u w:val="single"/>
          <w:lang w:val="en-US" w:eastAsia="zh-CN"/>
        </w:rPr>
        <w:t xml:space="preserve">  </w:t>
      </w:r>
      <w:r>
        <w:rPr>
          <w:rFonts w:hint="eastAsia" w:ascii="宋体" w:hAnsi="宋体" w:cs="宋体"/>
          <w:color w:val="auto"/>
          <w:szCs w:val="21"/>
          <w:highlight w:val="none"/>
        </w:rPr>
        <w:t xml:space="preserve"> （¥</w:t>
      </w:r>
      <w:r>
        <w:rPr>
          <w:rFonts w:hint="eastAsia" w:ascii="宋体" w:hAnsi="宋体"/>
          <w:color w:val="auto"/>
          <w:szCs w:val="21"/>
          <w:highlight w:val="none"/>
          <w:u w:val="single"/>
          <w:lang w:val="en-US" w:eastAsia="zh-CN"/>
        </w:rPr>
        <w:t xml:space="preserve">  </w:t>
      </w:r>
      <w:r>
        <w:rPr>
          <w:rFonts w:hint="eastAsia" w:ascii="宋体" w:hAnsi="宋体" w:cs="宋体"/>
          <w:color w:val="auto"/>
          <w:szCs w:val="21"/>
          <w:highlight w:val="none"/>
        </w:rPr>
        <w:t>元）；</w:t>
      </w:r>
    </w:p>
    <w:p w14:paraId="4E18D21E">
      <w:pPr>
        <w:pStyle w:val="39"/>
        <w:keepNext w:val="0"/>
        <w:keepLines w:val="0"/>
        <w:pageBreakBefore w:val="0"/>
        <w:widowControl w:val="0"/>
        <w:wordWrap/>
        <w:topLinePunct w:val="0"/>
        <w:bidi w:val="0"/>
        <w:adjustRightInd w:val="0"/>
        <w:snapToGrid w:val="0"/>
        <w:spacing w:line="400" w:lineRule="exact"/>
        <w:ind w:firstLine="1050" w:firstLineChars="500"/>
        <w:rPr>
          <w:rFonts w:ascii="宋体" w:hAnsi="宋体" w:cs="宋体"/>
          <w:color w:val="auto"/>
          <w:szCs w:val="21"/>
          <w:highlight w:val="none"/>
        </w:rPr>
      </w:pPr>
      <w:r>
        <w:rPr>
          <w:rFonts w:hint="eastAsia" w:ascii="宋体" w:hAnsi="宋体" w:cs="宋体"/>
          <w:color w:val="auto"/>
          <w:szCs w:val="21"/>
          <w:highlight w:val="none"/>
        </w:rPr>
        <w:t>其中社会保险费：</w:t>
      </w:r>
    </w:p>
    <w:p w14:paraId="6885935C">
      <w:pPr>
        <w:pStyle w:val="39"/>
        <w:keepNext w:val="0"/>
        <w:keepLines w:val="0"/>
        <w:pageBreakBefore w:val="0"/>
        <w:widowControl w:val="0"/>
        <w:wordWrap/>
        <w:topLinePunct w:val="0"/>
        <w:bidi w:val="0"/>
        <w:adjustRightInd w:val="0"/>
        <w:snapToGrid w:val="0"/>
        <w:spacing w:line="400" w:lineRule="exact"/>
        <w:ind w:left="420" w:leftChars="200" w:firstLine="638" w:firstLineChars="304"/>
        <w:rPr>
          <w:rFonts w:hint="eastAsia" w:ascii="宋体" w:hAnsi="宋体" w:cs="宋体"/>
          <w:color w:val="auto"/>
          <w:szCs w:val="21"/>
          <w:highlight w:val="none"/>
        </w:rPr>
      </w:pPr>
      <w:r>
        <w:rPr>
          <w:rFonts w:hint="eastAsia" w:ascii="宋体" w:hAnsi="宋体" w:cs="宋体"/>
          <w:color w:val="auto"/>
          <w:szCs w:val="21"/>
          <w:highlight w:val="none"/>
        </w:rPr>
        <w:t>人民币（大写）</w:t>
      </w:r>
      <w:r>
        <w:rPr>
          <w:rFonts w:hint="eastAsia" w:ascii="宋体" w:hAnsi="宋体"/>
          <w:color w:val="auto"/>
          <w:szCs w:val="21"/>
          <w:highlight w:val="none"/>
          <w:u w:val="single"/>
          <w:lang w:val="en-US" w:eastAsia="zh-CN"/>
        </w:rPr>
        <w:t xml:space="preserve">  </w:t>
      </w:r>
      <w:r>
        <w:rPr>
          <w:rFonts w:hint="eastAsia" w:ascii="宋体" w:hAnsi="宋体" w:cs="宋体"/>
          <w:color w:val="auto"/>
          <w:szCs w:val="21"/>
          <w:highlight w:val="none"/>
        </w:rPr>
        <w:t xml:space="preserve"> （¥</w:t>
      </w:r>
      <w:r>
        <w:rPr>
          <w:rFonts w:hint="eastAsia" w:ascii="宋体" w:hAnsi="宋体"/>
          <w:color w:val="auto"/>
          <w:szCs w:val="21"/>
          <w:highlight w:val="none"/>
          <w:u w:val="single"/>
          <w:lang w:val="en-US" w:eastAsia="zh-CN"/>
        </w:rPr>
        <w:t xml:space="preserve">  </w:t>
      </w:r>
      <w:r>
        <w:rPr>
          <w:rFonts w:hint="eastAsia" w:ascii="宋体" w:hAnsi="宋体" w:cs="宋体"/>
          <w:color w:val="auto"/>
          <w:szCs w:val="21"/>
          <w:highlight w:val="none"/>
        </w:rPr>
        <w:t>元）；</w:t>
      </w:r>
    </w:p>
    <w:p w14:paraId="024A9C1F">
      <w:pPr>
        <w:pStyle w:val="39"/>
        <w:keepNext w:val="0"/>
        <w:keepLines w:val="0"/>
        <w:pageBreakBefore w:val="0"/>
        <w:widowControl w:val="0"/>
        <w:wordWrap/>
        <w:topLinePunct w:val="0"/>
        <w:bidi w:val="0"/>
        <w:adjustRightInd w:val="0"/>
        <w:snapToGrid w:val="0"/>
        <w:spacing w:line="400" w:lineRule="exact"/>
        <w:ind w:firstLine="945" w:firstLineChars="45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其他：</w:t>
      </w:r>
      <w:r>
        <w:rPr>
          <w:rFonts w:hint="eastAsia" w:ascii="宋体" w:hAnsi="宋体" w:cs="宋体"/>
          <w:color w:val="auto"/>
          <w:szCs w:val="21"/>
          <w:highlight w:val="none"/>
        </w:rPr>
        <w:t>人民币（大写）</w:t>
      </w:r>
      <w:r>
        <w:rPr>
          <w:rFonts w:hint="eastAsia" w:ascii="宋体" w:hAnsi="宋体"/>
          <w:color w:val="auto"/>
          <w:szCs w:val="21"/>
          <w:highlight w:val="none"/>
          <w:u w:val="single"/>
          <w:lang w:val="en-US" w:eastAsia="zh-CN"/>
        </w:rPr>
        <w:t xml:space="preserve">  </w:t>
      </w:r>
      <w:r>
        <w:rPr>
          <w:rFonts w:hint="eastAsia" w:ascii="宋体" w:hAnsi="宋体" w:cs="宋体"/>
          <w:color w:val="auto"/>
          <w:szCs w:val="21"/>
          <w:highlight w:val="none"/>
        </w:rPr>
        <w:t xml:space="preserve"> （¥</w:t>
      </w:r>
      <w:r>
        <w:rPr>
          <w:rFonts w:hint="eastAsia" w:ascii="宋体" w:hAnsi="宋体"/>
          <w:color w:val="auto"/>
          <w:szCs w:val="21"/>
          <w:highlight w:val="none"/>
          <w:u w:val="single"/>
          <w:lang w:val="en-US" w:eastAsia="zh-CN"/>
        </w:rPr>
        <w:t xml:space="preserve">  </w:t>
      </w:r>
      <w:r>
        <w:rPr>
          <w:rFonts w:hint="eastAsia" w:ascii="宋体" w:hAnsi="宋体" w:cs="宋体"/>
          <w:color w:val="auto"/>
          <w:szCs w:val="21"/>
          <w:highlight w:val="none"/>
        </w:rPr>
        <w:t>元）；</w:t>
      </w:r>
    </w:p>
    <w:p w14:paraId="2CA73C38">
      <w:pPr>
        <w:pStyle w:val="39"/>
        <w:keepNext w:val="0"/>
        <w:keepLines w:val="0"/>
        <w:pageBreakBefore w:val="0"/>
        <w:widowControl w:val="0"/>
        <w:numPr>
          <w:ilvl w:val="0"/>
          <w:numId w:val="5"/>
        </w:numPr>
        <w:wordWrap/>
        <w:topLinePunct w:val="0"/>
        <w:bidi w:val="0"/>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增值税：</w:t>
      </w:r>
    </w:p>
    <w:p w14:paraId="3AEED2B5">
      <w:pPr>
        <w:pStyle w:val="39"/>
        <w:keepNext w:val="0"/>
        <w:keepLines w:val="0"/>
        <w:pageBreakBefore w:val="0"/>
        <w:widowControl w:val="0"/>
        <w:wordWrap/>
        <w:topLinePunct w:val="0"/>
        <w:bidi w:val="0"/>
        <w:adjustRightInd w:val="0"/>
        <w:snapToGrid w:val="0"/>
        <w:spacing w:line="400" w:lineRule="exact"/>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人民币（大写）</w:t>
      </w:r>
      <w:r>
        <w:rPr>
          <w:rFonts w:hint="eastAsia" w:ascii="宋体" w:hAnsi="宋体"/>
          <w:color w:val="auto"/>
          <w:szCs w:val="21"/>
          <w:highlight w:val="none"/>
          <w:u w:val="single"/>
          <w:lang w:val="en-US" w:eastAsia="zh-CN"/>
        </w:rPr>
        <w:t xml:space="preserve">  </w:t>
      </w:r>
      <w:r>
        <w:rPr>
          <w:rFonts w:hint="eastAsia" w:ascii="宋体" w:hAnsi="宋体" w:cs="宋体"/>
          <w:color w:val="auto"/>
          <w:szCs w:val="21"/>
          <w:highlight w:val="none"/>
        </w:rPr>
        <w:t xml:space="preserve"> （¥</w:t>
      </w:r>
      <w:r>
        <w:rPr>
          <w:rFonts w:hint="eastAsia" w:ascii="宋体" w:hAnsi="宋体"/>
          <w:color w:val="auto"/>
          <w:szCs w:val="21"/>
          <w:highlight w:val="none"/>
          <w:u w:val="single"/>
          <w:lang w:val="en-US" w:eastAsia="zh-CN"/>
        </w:rPr>
        <w:t xml:space="preserve">  </w:t>
      </w:r>
      <w:r>
        <w:rPr>
          <w:rFonts w:hint="eastAsia" w:ascii="宋体" w:hAnsi="宋体" w:cs="宋体"/>
          <w:color w:val="auto"/>
          <w:szCs w:val="21"/>
          <w:highlight w:val="none"/>
        </w:rPr>
        <w:t>元）；</w:t>
      </w:r>
    </w:p>
    <w:p w14:paraId="5588CC56">
      <w:pPr>
        <w:pStyle w:val="39"/>
        <w:keepNext w:val="0"/>
        <w:keepLines w:val="0"/>
        <w:pageBreakBefore w:val="0"/>
        <w:widowControl w:val="0"/>
        <w:wordWrap/>
        <w:topLinePunct w:val="0"/>
        <w:bidi w:val="0"/>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（5）材料和工程设备暂估价金额：</w:t>
      </w:r>
    </w:p>
    <w:p w14:paraId="7AB5DD5E">
      <w:pPr>
        <w:pStyle w:val="39"/>
        <w:keepNext w:val="0"/>
        <w:keepLines w:val="0"/>
        <w:pageBreakBefore w:val="0"/>
        <w:widowControl w:val="0"/>
        <w:wordWrap/>
        <w:topLinePunct w:val="0"/>
        <w:bidi w:val="0"/>
        <w:adjustRightInd w:val="0"/>
        <w:snapToGrid w:val="0"/>
        <w:spacing w:line="400" w:lineRule="exact"/>
        <w:ind w:firstLine="945" w:firstLineChars="450"/>
        <w:rPr>
          <w:rFonts w:ascii="宋体" w:hAnsi="宋体" w:cs="宋体"/>
          <w:color w:val="auto"/>
          <w:szCs w:val="21"/>
          <w:highlight w:val="none"/>
        </w:rPr>
      </w:pPr>
      <w:r>
        <w:rPr>
          <w:rFonts w:hint="eastAsia" w:ascii="宋体" w:hAnsi="宋体" w:cs="宋体"/>
          <w:color w:val="auto"/>
          <w:szCs w:val="21"/>
          <w:highlight w:val="none"/>
        </w:rPr>
        <w:t>人民币（大写）</w:t>
      </w:r>
      <w:r>
        <w:rPr>
          <w:rFonts w:hint="eastAsia" w:ascii="宋体" w:hAnsi="宋体"/>
          <w:color w:val="auto"/>
          <w:szCs w:val="21"/>
          <w:highlight w:val="none"/>
          <w:u w:val="single"/>
          <w:lang w:val="en-US" w:eastAsia="zh-CN"/>
        </w:rPr>
        <w:t xml:space="preserve">  </w:t>
      </w:r>
      <w:r>
        <w:rPr>
          <w:rFonts w:hint="eastAsia" w:ascii="宋体" w:hAnsi="宋体" w:cs="宋体"/>
          <w:color w:val="auto"/>
          <w:szCs w:val="21"/>
          <w:highlight w:val="none"/>
        </w:rPr>
        <w:t xml:space="preserve"> （¥</w:t>
      </w:r>
      <w:r>
        <w:rPr>
          <w:rFonts w:hint="eastAsia" w:ascii="宋体" w:hAnsi="宋体"/>
          <w:color w:val="auto"/>
          <w:szCs w:val="21"/>
          <w:highlight w:val="none"/>
          <w:u w:val="single"/>
          <w:lang w:val="en-US" w:eastAsia="zh-CN"/>
        </w:rPr>
        <w:t xml:space="preserve">  </w:t>
      </w:r>
      <w:r>
        <w:rPr>
          <w:rFonts w:hint="eastAsia" w:ascii="宋体" w:hAnsi="宋体" w:cs="宋体"/>
          <w:color w:val="auto"/>
          <w:szCs w:val="21"/>
          <w:highlight w:val="none"/>
        </w:rPr>
        <w:t>元）；</w:t>
      </w:r>
    </w:p>
    <w:p w14:paraId="5862D06E">
      <w:pPr>
        <w:pStyle w:val="39"/>
        <w:keepNext w:val="0"/>
        <w:keepLines w:val="0"/>
        <w:pageBreakBefore w:val="0"/>
        <w:widowControl w:val="0"/>
        <w:wordWrap/>
        <w:topLinePunct w:val="0"/>
        <w:bidi w:val="0"/>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（6）专业工程暂估价金额：</w:t>
      </w:r>
    </w:p>
    <w:p w14:paraId="68125727">
      <w:pPr>
        <w:pStyle w:val="39"/>
        <w:keepNext w:val="0"/>
        <w:keepLines w:val="0"/>
        <w:pageBreakBefore w:val="0"/>
        <w:widowControl w:val="0"/>
        <w:wordWrap/>
        <w:topLinePunct w:val="0"/>
        <w:bidi w:val="0"/>
        <w:adjustRightInd w:val="0"/>
        <w:snapToGrid w:val="0"/>
        <w:spacing w:line="400" w:lineRule="exact"/>
        <w:ind w:firstLine="945" w:firstLineChars="450"/>
        <w:rPr>
          <w:rFonts w:ascii="宋体" w:hAnsi="宋体" w:cs="宋体"/>
          <w:color w:val="auto"/>
          <w:szCs w:val="21"/>
          <w:highlight w:val="none"/>
        </w:rPr>
      </w:pPr>
      <w:r>
        <w:rPr>
          <w:rFonts w:hint="eastAsia" w:ascii="宋体" w:hAnsi="宋体" w:cs="宋体"/>
          <w:color w:val="auto"/>
          <w:szCs w:val="21"/>
          <w:highlight w:val="none"/>
        </w:rPr>
        <w:t>人民币（大写）</w:t>
      </w:r>
      <w:r>
        <w:rPr>
          <w:rFonts w:hint="eastAsia" w:ascii="宋体" w:hAnsi="宋体"/>
          <w:color w:val="auto"/>
          <w:szCs w:val="21"/>
          <w:highlight w:val="none"/>
          <w:u w:val="single"/>
          <w:lang w:val="en-US" w:eastAsia="zh-CN"/>
        </w:rPr>
        <w:t xml:space="preserve">  </w:t>
      </w:r>
      <w:r>
        <w:rPr>
          <w:rFonts w:hint="eastAsia" w:ascii="宋体" w:hAnsi="宋体" w:cs="宋体"/>
          <w:color w:val="auto"/>
          <w:szCs w:val="21"/>
          <w:highlight w:val="none"/>
        </w:rPr>
        <w:t xml:space="preserve"> （¥</w:t>
      </w:r>
      <w:r>
        <w:rPr>
          <w:rFonts w:hint="eastAsia" w:ascii="宋体" w:hAnsi="宋体"/>
          <w:color w:val="auto"/>
          <w:szCs w:val="21"/>
          <w:highlight w:val="none"/>
          <w:u w:val="single"/>
          <w:lang w:val="en-US" w:eastAsia="zh-CN"/>
        </w:rPr>
        <w:t xml:space="preserve">  </w:t>
      </w:r>
      <w:r>
        <w:rPr>
          <w:rFonts w:hint="eastAsia" w:ascii="宋体" w:hAnsi="宋体" w:cs="宋体"/>
          <w:color w:val="auto"/>
          <w:szCs w:val="21"/>
          <w:highlight w:val="none"/>
        </w:rPr>
        <w:t>元）；</w:t>
      </w:r>
    </w:p>
    <w:p w14:paraId="181FCD12">
      <w:pPr>
        <w:pStyle w:val="39"/>
        <w:keepNext w:val="0"/>
        <w:keepLines w:val="0"/>
        <w:pageBreakBefore w:val="0"/>
        <w:widowControl w:val="0"/>
        <w:wordWrap/>
        <w:topLinePunct w:val="0"/>
        <w:bidi w:val="0"/>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（7）暂列金额：</w:t>
      </w:r>
    </w:p>
    <w:p w14:paraId="0C049FC5">
      <w:pPr>
        <w:pStyle w:val="39"/>
        <w:keepNext w:val="0"/>
        <w:keepLines w:val="0"/>
        <w:pageBreakBefore w:val="0"/>
        <w:widowControl w:val="0"/>
        <w:wordWrap/>
        <w:topLinePunct w:val="0"/>
        <w:bidi w:val="0"/>
        <w:adjustRightInd w:val="0"/>
        <w:snapToGrid w:val="0"/>
        <w:spacing w:line="400" w:lineRule="exact"/>
        <w:ind w:firstLine="945" w:firstLineChars="450"/>
        <w:rPr>
          <w:rFonts w:ascii="宋体" w:hAnsi="宋体" w:cs="宋体"/>
          <w:color w:val="auto"/>
          <w:szCs w:val="21"/>
          <w:highlight w:val="none"/>
        </w:rPr>
      </w:pPr>
      <w:r>
        <w:rPr>
          <w:rFonts w:hint="eastAsia" w:ascii="宋体" w:hAnsi="宋体" w:cs="宋体"/>
          <w:color w:val="auto"/>
          <w:szCs w:val="21"/>
          <w:highlight w:val="none"/>
        </w:rPr>
        <w:t>人民币（大写）</w:t>
      </w:r>
      <w:r>
        <w:rPr>
          <w:rFonts w:hint="eastAsia" w:ascii="宋体" w:hAnsi="宋体"/>
          <w:color w:val="auto"/>
          <w:szCs w:val="21"/>
          <w:highlight w:val="none"/>
          <w:u w:val="single"/>
          <w:lang w:val="en-US" w:eastAsia="zh-CN"/>
        </w:rPr>
        <w:t xml:space="preserve">  </w:t>
      </w:r>
      <w:r>
        <w:rPr>
          <w:rFonts w:hint="eastAsia" w:ascii="宋体" w:hAnsi="宋体" w:cs="宋体"/>
          <w:color w:val="auto"/>
          <w:szCs w:val="21"/>
          <w:highlight w:val="none"/>
        </w:rPr>
        <w:t xml:space="preserve"> （¥</w:t>
      </w:r>
      <w:r>
        <w:rPr>
          <w:rFonts w:hint="eastAsia" w:ascii="宋体" w:hAnsi="宋体"/>
          <w:color w:val="auto"/>
          <w:szCs w:val="21"/>
          <w:highlight w:val="none"/>
          <w:u w:val="single"/>
          <w:lang w:val="en-US" w:eastAsia="zh-CN"/>
        </w:rPr>
        <w:t xml:space="preserve">  </w:t>
      </w:r>
      <w:r>
        <w:rPr>
          <w:rFonts w:hint="eastAsia" w:ascii="宋体" w:hAnsi="宋体" w:cs="宋体"/>
          <w:color w:val="auto"/>
          <w:szCs w:val="21"/>
          <w:highlight w:val="none"/>
        </w:rPr>
        <w:t>元）。</w:t>
      </w:r>
    </w:p>
    <w:p w14:paraId="2AFB0CF5">
      <w:pPr>
        <w:pStyle w:val="39"/>
        <w:keepNext w:val="0"/>
        <w:keepLines w:val="0"/>
        <w:pageBreakBefore w:val="0"/>
        <w:widowControl w:val="0"/>
        <w:wordWrap/>
        <w:topLinePunct w:val="0"/>
        <w:bidi w:val="0"/>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 合同价格形式：</w:t>
      </w:r>
      <w:r>
        <w:rPr>
          <w:rFonts w:hint="eastAsia" w:ascii="宋体" w:hAnsi="宋体" w:cs="宋体"/>
          <w:color w:val="auto"/>
          <w:szCs w:val="21"/>
          <w:highlight w:val="none"/>
          <w:u w:val="single"/>
        </w:rPr>
        <w:t>采用固定综合单价合同形式</w:t>
      </w:r>
      <w:r>
        <w:rPr>
          <w:rFonts w:hint="eastAsia" w:ascii="宋体" w:hAnsi="宋体" w:cs="宋体"/>
          <w:color w:val="auto"/>
          <w:szCs w:val="21"/>
          <w:highlight w:val="none"/>
        </w:rPr>
        <w:t>。</w:t>
      </w:r>
    </w:p>
    <w:p w14:paraId="63ED699E">
      <w:pPr>
        <w:pStyle w:val="40"/>
        <w:keepNext w:val="0"/>
        <w:keepLines w:val="0"/>
        <w:pageBreakBefore w:val="0"/>
        <w:widowControl w:val="0"/>
        <w:wordWrap/>
        <w:topLinePunct w:val="0"/>
        <w:bidi w:val="0"/>
        <w:adjustRightInd w:val="0"/>
        <w:snapToGrid w:val="0"/>
        <w:spacing w:line="400" w:lineRule="exact"/>
        <w:ind w:firstLine="422"/>
        <w:outlineLvl w:val="2"/>
        <w:rPr>
          <w:rFonts w:ascii="宋体" w:hAnsi="宋体" w:cs="宋体"/>
          <w:b/>
          <w:color w:val="auto"/>
          <w:highlight w:val="none"/>
        </w:rPr>
      </w:pPr>
      <w:bookmarkStart w:id="183" w:name="_Toc351203485"/>
      <w:bookmarkStart w:id="184" w:name="_Toc406419157"/>
      <w:bookmarkStart w:id="185" w:name="_Toc29758"/>
      <w:bookmarkStart w:id="186" w:name="_Toc10860"/>
      <w:bookmarkStart w:id="187" w:name="_Toc406522032"/>
      <w:bookmarkStart w:id="188" w:name="_Toc522201563"/>
      <w:r>
        <w:rPr>
          <w:rFonts w:hint="eastAsia" w:ascii="宋体" w:hAnsi="宋体" w:cs="宋体"/>
          <w:b/>
          <w:color w:val="auto"/>
          <w:highlight w:val="none"/>
        </w:rPr>
        <w:t>五、</w:t>
      </w:r>
      <w:bookmarkEnd w:id="183"/>
      <w:r>
        <w:rPr>
          <w:rFonts w:hint="eastAsia" w:ascii="宋体" w:hAnsi="宋体" w:cs="宋体"/>
          <w:b/>
          <w:color w:val="auto"/>
          <w:highlight w:val="none"/>
        </w:rPr>
        <w:t>项目经理</w:t>
      </w:r>
      <w:bookmarkEnd w:id="184"/>
      <w:bookmarkEnd w:id="185"/>
      <w:bookmarkEnd w:id="186"/>
      <w:bookmarkEnd w:id="187"/>
      <w:bookmarkEnd w:id="188"/>
    </w:p>
    <w:p w14:paraId="0AF4CAA9">
      <w:pPr>
        <w:pStyle w:val="39"/>
        <w:keepNext w:val="0"/>
        <w:keepLines w:val="0"/>
        <w:pageBreakBefore w:val="0"/>
        <w:widowControl w:val="0"/>
        <w:wordWrap/>
        <w:topLinePunct w:val="0"/>
        <w:bidi w:val="0"/>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承包人项目经理：</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lang w:eastAsia="zh-CN"/>
        </w:rPr>
        <w:t>；</w:t>
      </w:r>
      <w:r>
        <w:rPr>
          <w:rFonts w:hint="eastAsia" w:ascii="宋体" w:hAnsi="宋体" w:cs="宋体"/>
          <w:color w:val="auto"/>
          <w:szCs w:val="21"/>
          <w:highlight w:val="none"/>
          <w:u w:val="none"/>
          <w:lang w:val="en-US" w:eastAsia="zh-CN"/>
        </w:rPr>
        <w:t>联系方式：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14:paraId="6BAEE754">
      <w:pPr>
        <w:pStyle w:val="40"/>
        <w:keepNext w:val="0"/>
        <w:keepLines w:val="0"/>
        <w:pageBreakBefore w:val="0"/>
        <w:widowControl w:val="0"/>
        <w:wordWrap/>
        <w:topLinePunct w:val="0"/>
        <w:bidi w:val="0"/>
        <w:adjustRightInd w:val="0"/>
        <w:snapToGrid w:val="0"/>
        <w:spacing w:line="400" w:lineRule="exact"/>
        <w:ind w:firstLine="422"/>
        <w:outlineLvl w:val="2"/>
        <w:rPr>
          <w:rFonts w:ascii="宋体" w:hAnsi="宋体" w:cs="宋体"/>
          <w:b/>
          <w:color w:val="auto"/>
          <w:highlight w:val="none"/>
        </w:rPr>
      </w:pPr>
      <w:bookmarkStart w:id="189" w:name="_Toc23735"/>
      <w:bookmarkStart w:id="190" w:name="_Toc351203486"/>
      <w:bookmarkStart w:id="191" w:name="_Toc28117"/>
      <w:bookmarkStart w:id="192" w:name="_Toc406522033"/>
      <w:bookmarkStart w:id="193" w:name="_Toc406419158"/>
      <w:bookmarkStart w:id="194" w:name="_Toc522201564"/>
      <w:r>
        <w:rPr>
          <w:rFonts w:hint="eastAsia" w:ascii="宋体" w:hAnsi="宋体" w:cs="宋体"/>
          <w:b/>
          <w:color w:val="auto"/>
          <w:highlight w:val="none"/>
        </w:rPr>
        <w:t>六、合同文件构成</w:t>
      </w:r>
      <w:bookmarkEnd w:id="189"/>
      <w:bookmarkEnd w:id="190"/>
      <w:bookmarkEnd w:id="191"/>
      <w:bookmarkEnd w:id="192"/>
      <w:bookmarkEnd w:id="193"/>
      <w:bookmarkEnd w:id="194"/>
    </w:p>
    <w:p w14:paraId="442DB43F">
      <w:pPr>
        <w:pStyle w:val="39"/>
        <w:keepNext w:val="0"/>
        <w:keepLines w:val="0"/>
        <w:pageBreakBefore w:val="0"/>
        <w:widowControl w:val="0"/>
        <w:wordWrap/>
        <w:topLinePunct w:val="0"/>
        <w:bidi w:val="0"/>
        <w:adjustRightInd w:val="0"/>
        <w:snapToGrid w:val="0"/>
        <w:spacing w:line="400" w:lineRule="exact"/>
        <w:ind w:firstLine="420" w:firstLineChars="200"/>
        <w:rPr>
          <w:rFonts w:ascii="宋体" w:hAnsi="宋体" w:cs="宋体"/>
          <w:color w:val="auto"/>
          <w:szCs w:val="21"/>
          <w:highlight w:val="none"/>
        </w:rPr>
      </w:pPr>
      <w:bookmarkStart w:id="195" w:name="_Toc406522034"/>
      <w:bookmarkStart w:id="196" w:name="_Toc351203487"/>
      <w:bookmarkStart w:id="197" w:name="_Toc406419159"/>
      <w:bookmarkStart w:id="198" w:name="_Toc7021"/>
      <w:r>
        <w:rPr>
          <w:rFonts w:hint="eastAsia" w:ascii="宋体" w:hAnsi="宋体" w:cs="宋体"/>
          <w:color w:val="auto"/>
          <w:szCs w:val="21"/>
          <w:highlight w:val="none"/>
        </w:rPr>
        <w:t>本协议书与下列文件一起构成合同文件：</w:t>
      </w:r>
    </w:p>
    <w:p w14:paraId="58E589DD">
      <w:pPr>
        <w:pStyle w:val="39"/>
        <w:keepNext w:val="0"/>
        <w:keepLines w:val="0"/>
        <w:pageBreakBefore w:val="0"/>
        <w:widowControl w:val="0"/>
        <w:wordWrap/>
        <w:topLinePunct w:val="0"/>
        <w:bidi w:val="0"/>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（1）中标</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成交</w:t>
      </w:r>
      <w:r>
        <w:rPr>
          <w:rFonts w:hint="eastAsia" w:ascii="宋体" w:hAnsi="宋体" w:cs="宋体"/>
          <w:color w:val="auto"/>
          <w:szCs w:val="21"/>
          <w:highlight w:val="none"/>
          <w:lang w:eastAsia="zh-CN"/>
        </w:rPr>
        <w:t>）</w:t>
      </w:r>
      <w:r>
        <w:rPr>
          <w:rFonts w:hint="eastAsia" w:ascii="宋体" w:hAnsi="宋体" w:cs="宋体"/>
          <w:color w:val="auto"/>
          <w:szCs w:val="21"/>
          <w:highlight w:val="none"/>
        </w:rPr>
        <w:t>通知书（如果有）；</w:t>
      </w:r>
    </w:p>
    <w:p w14:paraId="230FE644">
      <w:pPr>
        <w:pStyle w:val="39"/>
        <w:keepNext w:val="0"/>
        <w:keepLines w:val="0"/>
        <w:pageBreakBefore w:val="0"/>
        <w:widowControl w:val="0"/>
        <w:wordWrap/>
        <w:topLinePunct w:val="0"/>
        <w:bidi w:val="0"/>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投标（响应）函</w:t>
      </w:r>
      <w:r>
        <w:rPr>
          <w:rFonts w:hint="eastAsia" w:ascii="宋体" w:hAnsi="宋体" w:cs="宋体"/>
          <w:color w:val="auto"/>
          <w:szCs w:val="21"/>
          <w:highlight w:val="none"/>
        </w:rPr>
        <w:t xml:space="preserve">及其附录（如果有）； </w:t>
      </w:r>
    </w:p>
    <w:p w14:paraId="1972EEC8">
      <w:pPr>
        <w:pStyle w:val="39"/>
        <w:keepNext w:val="0"/>
        <w:keepLines w:val="0"/>
        <w:pageBreakBefore w:val="0"/>
        <w:widowControl w:val="0"/>
        <w:wordWrap/>
        <w:topLinePunct w:val="0"/>
        <w:bidi w:val="0"/>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（3）专用合同条款及其附件；</w:t>
      </w:r>
    </w:p>
    <w:p w14:paraId="46BF7D22">
      <w:pPr>
        <w:pStyle w:val="39"/>
        <w:keepNext w:val="0"/>
        <w:keepLines w:val="0"/>
        <w:pageBreakBefore w:val="0"/>
        <w:widowControl w:val="0"/>
        <w:wordWrap/>
        <w:topLinePunct w:val="0"/>
        <w:bidi w:val="0"/>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（4）通用合同条款；</w:t>
      </w:r>
    </w:p>
    <w:p w14:paraId="56F2AC60">
      <w:pPr>
        <w:pStyle w:val="39"/>
        <w:keepNext w:val="0"/>
        <w:keepLines w:val="0"/>
        <w:pageBreakBefore w:val="0"/>
        <w:widowControl w:val="0"/>
        <w:wordWrap/>
        <w:topLinePunct w:val="0"/>
        <w:bidi w:val="0"/>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（5）技术标准和要求；</w:t>
      </w:r>
    </w:p>
    <w:p w14:paraId="1DA1B9DC">
      <w:pPr>
        <w:pStyle w:val="39"/>
        <w:keepNext w:val="0"/>
        <w:keepLines w:val="0"/>
        <w:pageBreakBefore w:val="0"/>
        <w:widowControl w:val="0"/>
        <w:wordWrap/>
        <w:topLinePunct w:val="0"/>
        <w:bidi w:val="0"/>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（6）图纸；</w:t>
      </w:r>
    </w:p>
    <w:p w14:paraId="0B12481F">
      <w:pPr>
        <w:pStyle w:val="39"/>
        <w:keepNext w:val="0"/>
        <w:keepLines w:val="0"/>
        <w:pageBreakBefore w:val="0"/>
        <w:widowControl w:val="0"/>
        <w:wordWrap/>
        <w:topLinePunct w:val="0"/>
        <w:bidi w:val="0"/>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（7）已标价工程量清单或预算书；</w:t>
      </w:r>
    </w:p>
    <w:p w14:paraId="5E4A1C79">
      <w:pPr>
        <w:pStyle w:val="39"/>
        <w:keepNext w:val="0"/>
        <w:keepLines w:val="0"/>
        <w:pageBreakBefore w:val="0"/>
        <w:widowControl w:val="0"/>
        <w:wordWrap/>
        <w:topLinePunct w:val="0"/>
        <w:bidi w:val="0"/>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（8）其他合同文件。</w:t>
      </w:r>
    </w:p>
    <w:p w14:paraId="720709F0">
      <w:pPr>
        <w:pStyle w:val="39"/>
        <w:keepNext w:val="0"/>
        <w:keepLines w:val="0"/>
        <w:pageBreakBefore w:val="0"/>
        <w:widowControl w:val="0"/>
        <w:wordWrap/>
        <w:topLinePunct w:val="0"/>
        <w:bidi w:val="0"/>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在合同订立及履行过程中形成的与合同有关的文件均构成合同文件组成部分。</w:t>
      </w:r>
    </w:p>
    <w:p w14:paraId="1095D5AC">
      <w:pPr>
        <w:pStyle w:val="39"/>
        <w:keepNext w:val="0"/>
        <w:keepLines w:val="0"/>
        <w:pageBreakBefore w:val="0"/>
        <w:widowControl w:val="0"/>
        <w:wordWrap/>
        <w:topLinePunct w:val="0"/>
        <w:bidi w:val="0"/>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上述各项合同文件包括合同当事人就该项合同文件所作出的补充和修改，属于同一类内容的文件，应以最新签署的为准。专用合同条款及其附件须经合同当事人签字或盖章。</w:t>
      </w:r>
    </w:p>
    <w:p w14:paraId="206A13FD">
      <w:pPr>
        <w:pStyle w:val="40"/>
        <w:keepNext w:val="0"/>
        <w:keepLines w:val="0"/>
        <w:pageBreakBefore w:val="0"/>
        <w:widowControl w:val="0"/>
        <w:wordWrap/>
        <w:topLinePunct w:val="0"/>
        <w:bidi w:val="0"/>
        <w:adjustRightInd w:val="0"/>
        <w:snapToGrid w:val="0"/>
        <w:spacing w:line="400" w:lineRule="exact"/>
        <w:ind w:firstLine="422"/>
        <w:outlineLvl w:val="2"/>
        <w:rPr>
          <w:rFonts w:ascii="宋体" w:hAnsi="宋体" w:cs="宋体"/>
          <w:b/>
          <w:color w:val="auto"/>
          <w:highlight w:val="none"/>
        </w:rPr>
      </w:pPr>
      <w:bookmarkStart w:id="199" w:name="_Toc522201565"/>
      <w:bookmarkStart w:id="200" w:name="_Toc23022"/>
      <w:r>
        <w:rPr>
          <w:rFonts w:hint="eastAsia" w:ascii="宋体" w:hAnsi="宋体" w:cs="宋体"/>
          <w:b/>
          <w:color w:val="auto"/>
          <w:highlight w:val="none"/>
        </w:rPr>
        <w:t>七、承诺</w:t>
      </w:r>
      <w:bookmarkEnd w:id="195"/>
      <w:bookmarkEnd w:id="196"/>
      <w:bookmarkEnd w:id="197"/>
      <w:bookmarkEnd w:id="198"/>
      <w:bookmarkEnd w:id="199"/>
      <w:bookmarkEnd w:id="200"/>
    </w:p>
    <w:p w14:paraId="78852701">
      <w:pPr>
        <w:pStyle w:val="39"/>
        <w:keepNext w:val="0"/>
        <w:keepLines w:val="0"/>
        <w:pageBreakBefore w:val="0"/>
        <w:widowControl w:val="0"/>
        <w:wordWrap/>
        <w:topLinePunct w:val="0"/>
        <w:bidi w:val="0"/>
        <w:adjustRightInd w:val="0"/>
        <w:snapToGrid w:val="0"/>
        <w:spacing w:line="400" w:lineRule="exact"/>
        <w:ind w:firstLine="420" w:firstLineChars="200"/>
        <w:rPr>
          <w:rFonts w:ascii="宋体" w:hAnsi="宋体" w:cs="宋体"/>
          <w:color w:val="auto"/>
          <w:szCs w:val="21"/>
          <w:highlight w:val="none"/>
        </w:rPr>
      </w:pPr>
      <w:bookmarkStart w:id="201" w:name="_Toc11962"/>
      <w:bookmarkStart w:id="202" w:name="_Toc406419160"/>
      <w:bookmarkStart w:id="203" w:name="_Toc351203488"/>
      <w:bookmarkStart w:id="204" w:name="_Toc406522035"/>
      <w:r>
        <w:rPr>
          <w:rFonts w:hint="eastAsia" w:ascii="宋体" w:hAnsi="宋体" w:cs="宋体"/>
          <w:color w:val="auto"/>
          <w:szCs w:val="21"/>
          <w:highlight w:val="none"/>
        </w:rPr>
        <w:t>1.发包人承诺按照法律规定履行项目审批手续、筹集工程建设资金并按照合同约定的期限和方式支付合同价款。</w:t>
      </w:r>
    </w:p>
    <w:p w14:paraId="7A8F8101">
      <w:pPr>
        <w:pStyle w:val="39"/>
        <w:keepNext w:val="0"/>
        <w:keepLines w:val="0"/>
        <w:pageBreakBefore w:val="0"/>
        <w:widowControl w:val="0"/>
        <w:wordWrap/>
        <w:topLinePunct w:val="0"/>
        <w:bidi w:val="0"/>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2.承包人承诺按照法律规定及合同约定组织完成工程施工，确保工程质量和安全，不进行转包及违法分包，并在缺陷责任期及保修期内承担相应的工程维修责任。</w:t>
      </w:r>
    </w:p>
    <w:p w14:paraId="66AA17AB">
      <w:pPr>
        <w:pStyle w:val="39"/>
        <w:keepNext w:val="0"/>
        <w:keepLines w:val="0"/>
        <w:pageBreakBefore w:val="0"/>
        <w:widowControl w:val="0"/>
        <w:wordWrap/>
        <w:topLinePunct w:val="0"/>
        <w:bidi w:val="0"/>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3.发包人和承包人通过招投标</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或政府采购</w:t>
      </w:r>
      <w:r>
        <w:rPr>
          <w:rFonts w:hint="eastAsia" w:ascii="宋体" w:hAnsi="宋体" w:cs="宋体"/>
          <w:color w:val="auto"/>
          <w:szCs w:val="21"/>
          <w:highlight w:val="none"/>
          <w:lang w:eastAsia="zh-CN"/>
        </w:rPr>
        <w:t>）</w:t>
      </w:r>
      <w:r>
        <w:rPr>
          <w:rFonts w:hint="eastAsia" w:ascii="宋体" w:hAnsi="宋体" w:cs="宋体"/>
          <w:color w:val="auto"/>
          <w:szCs w:val="21"/>
          <w:highlight w:val="none"/>
        </w:rPr>
        <w:t>形式签订合同的，双方理解并承诺不再就同一工程另行签订与合同实质性内容相背离的协议。</w:t>
      </w:r>
    </w:p>
    <w:p w14:paraId="6771DA3B">
      <w:pPr>
        <w:pStyle w:val="40"/>
        <w:keepNext w:val="0"/>
        <w:keepLines w:val="0"/>
        <w:pageBreakBefore w:val="0"/>
        <w:widowControl w:val="0"/>
        <w:wordWrap/>
        <w:topLinePunct w:val="0"/>
        <w:bidi w:val="0"/>
        <w:adjustRightInd w:val="0"/>
        <w:snapToGrid w:val="0"/>
        <w:spacing w:line="400" w:lineRule="exact"/>
        <w:ind w:firstLine="422"/>
        <w:outlineLvl w:val="2"/>
        <w:rPr>
          <w:rFonts w:ascii="宋体" w:hAnsi="宋体" w:cs="宋体"/>
          <w:b/>
          <w:color w:val="auto"/>
          <w:highlight w:val="none"/>
        </w:rPr>
      </w:pPr>
      <w:bookmarkStart w:id="205" w:name="_Toc522201566"/>
      <w:bookmarkStart w:id="206" w:name="_Toc9465"/>
      <w:r>
        <w:rPr>
          <w:rFonts w:hint="eastAsia" w:ascii="宋体" w:hAnsi="宋体" w:cs="宋体"/>
          <w:b/>
          <w:color w:val="auto"/>
          <w:highlight w:val="none"/>
        </w:rPr>
        <w:t>八、词语含义</w:t>
      </w:r>
      <w:bookmarkEnd w:id="201"/>
      <w:bookmarkEnd w:id="202"/>
      <w:bookmarkEnd w:id="203"/>
      <w:bookmarkEnd w:id="204"/>
      <w:bookmarkEnd w:id="205"/>
      <w:bookmarkEnd w:id="206"/>
    </w:p>
    <w:p w14:paraId="27A6E6B5">
      <w:pPr>
        <w:pStyle w:val="39"/>
        <w:keepNext w:val="0"/>
        <w:keepLines w:val="0"/>
        <w:pageBreakBefore w:val="0"/>
        <w:widowControl w:val="0"/>
        <w:wordWrap/>
        <w:topLinePunct w:val="0"/>
        <w:bidi w:val="0"/>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本协议书中词语含义与第二部分通用合同条款中赋予的含义相同。</w:t>
      </w:r>
    </w:p>
    <w:p w14:paraId="7B788569">
      <w:pPr>
        <w:pStyle w:val="40"/>
        <w:keepNext w:val="0"/>
        <w:keepLines w:val="0"/>
        <w:pageBreakBefore w:val="0"/>
        <w:widowControl w:val="0"/>
        <w:wordWrap/>
        <w:topLinePunct w:val="0"/>
        <w:bidi w:val="0"/>
        <w:adjustRightInd w:val="0"/>
        <w:snapToGrid w:val="0"/>
        <w:spacing w:line="400" w:lineRule="exact"/>
        <w:ind w:firstLine="422"/>
        <w:outlineLvl w:val="2"/>
        <w:rPr>
          <w:rFonts w:ascii="宋体" w:hAnsi="宋体" w:cs="宋体"/>
          <w:b/>
          <w:color w:val="auto"/>
          <w:highlight w:val="none"/>
        </w:rPr>
      </w:pPr>
      <w:bookmarkStart w:id="207" w:name="_Toc406419161"/>
      <w:bookmarkStart w:id="208" w:name="_Toc351203489"/>
      <w:bookmarkStart w:id="209" w:name="_Toc2053"/>
      <w:bookmarkStart w:id="210" w:name="_Toc522201567"/>
      <w:bookmarkStart w:id="211" w:name="_Toc22011"/>
      <w:bookmarkStart w:id="212" w:name="_Toc406522036"/>
      <w:r>
        <w:rPr>
          <w:rFonts w:hint="eastAsia" w:ascii="宋体" w:hAnsi="宋体" w:cs="宋体"/>
          <w:b/>
          <w:color w:val="auto"/>
          <w:highlight w:val="none"/>
        </w:rPr>
        <w:t>九、签订时间</w:t>
      </w:r>
      <w:bookmarkEnd w:id="207"/>
      <w:bookmarkEnd w:id="208"/>
      <w:bookmarkEnd w:id="209"/>
      <w:bookmarkEnd w:id="210"/>
      <w:bookmarkEnd w:id="211"/>
      <w:bookmarkEnd w:id="212"/>
    </w:p>
    <w:p w14:paraId="5200569D">
      <w:pPr>
        <w:pStyle w:val="39"/>
        <w:keepNext w:val="0"/>
        <w:keepLines w:val="0"/>
        <w:pageBreakBefore w:val="0"/>
        <w:widowControl w:val="0"/>
        <w:wordWrap/>
        <w:topLinePunct w:val="0"/>
        <w:bidi w:val="0"/>
        <w:adjustRightInd w:val="0"/>
        <w:snapToGrid w:val="0"/>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本合同于</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年</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月</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日签订。</w:t>
      </w:r>
    </w:p>
    <w:p w14:paraId="3D13BB12">
      <w:pPr>
        <w:pStyle w:val="40"/>
        <w:keepNext w:val="0"/>
        <w:keepLines w:val="0"/>
        <w:pageBreakBefore w:val="0"/>
        <w:widowControl w:val="0"/>
        <w:wordWrap/>
        <w:topLinePunct w:val="0"/>
        <w:bidi w:val="0"/>
        <w:adjustRightInd w:val="0"/>
        <w:snapToGrid w:val="0"/>
        <w:spacing w:line="400" w:lineRule="exact"/>
        <w:ind w:firstLine="422"/>
        <w:outlineLvl w:val="2"/>
        <w:rPr>
          <w:rFonts w:ascii="宋体" w:hAnsi="宋体" w:cs="宋体"/>
          <w:b/>
          <w:color w:val="auto"/>
          <w:highlight w:val="none"/>
        </w:rPr>
      </w:pPr>
      <w:bookmarkStart w:id="213" w:name="_Toc3692"/>
      <w:bookmarkStart w:id="214" w:name="_Toc406419162"/>
      <w:bookmarkStart w:id="215" w:name="_Toc351203490"/>
      <w:bookmarkStart w:id="216" w:name="_Toc31694"/>
      <w:bookmarkStart w:id="217" w:name="_Toc406522037"/>
      <w:bookmarkStart w:id="218" w:name="_Toc522201568"/>
      <w:r>
        <w:rPr>
          <w:rFonts w:hint="eastAsia" w:ascii="宋体" w:hAnsi="宋体" w:cs="宋体"/>
          <w:b/>
          <w:color w:val="auto"/>
          <w:highlight w:val="none"/>
        </w:rPr>
        <w:t>十、签订地点</w:t>
      </w:r>
      <w:bookmarkEnd w:id="213"/>
      <w:bookmarkEnd w:id="214"/>
      <w:bookmarkEnd w:id="215"/>
      <w:bookmarkEnd w:id="216"/>
      <w:bookmarkEnd w:id="217"/>
      <w:bookmarkEnd w:id="218"/>
    </w:p>
    <w:p w14:paraId="3F075480">
      <w:pPr>
        <w:pStyle w:val="39"/>
        <w:keepNext w:val="0"/>
        <w:keepLines w:val="0"/>
        <w:pageBreakBefore w:val="0"/>
        <w:widowControl w:val="0"/>
        <w:wordWrap/>
        <w:topLinePunct w:val="0"/>
        <w:bidi w:val="0"/>
        <w:adjustRightInd w:val="0"/>
        <w:snapToGrid w:val="0"/>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本合同在</w:t>
      </w:r>
      <w:r>
        <w:rPr>
          <w:rFonts w:hint="eastAsia" w:ascii="宋体" w:hAnsi="宋体" w:cs="宋体"/>
          <w:bCs/>
          <w:color w:val="auto"/>
          <w:szCs w:val="21"/>
          <w:highlight w:val="none"/>
          <w:u w:val="single"/>
        </w:rPr>
        <w:t xml:space="preserve">  广西桂林市</w:t>
      </w:r>
      <w:r>
        <w:rPr>
          <w:rFonts w:hint="eastAsia" w:ascii="宋体" w:hAnsi="宋体" w:cs="宋体"/>
          <w:bCs/>
          <w:color w:val="auto"/>
          <w:szCs w:val="21"/>
          <w:highlight w:val="none"/>
          <w:u w:val="single"/>
          <w:lang w:val="en-US" w:eastAsia="zh-CN"/>
        </w:rPr>
        <w:t>资源县</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签订。</w:t>
      </w:r>
    </w:p>
    <w:p w14:paraId="42BB7168">
      <w:pPr>
        <w:pStyle w:val="40"/>
        <w:keepNext w:val="0"/>
        <w:keepLines w:val="0"/>
        <w:pageBreakBefore w:val="0"/>
        <w:widowControl w:val="0"/>
        <w:wordWrap/>
        <w:topLinePunct w:val="0"/>
        <w:bidi w:val="0"/>
        <w:adjustRightInd w:val="0"/>
        <w:snapToGrid w:val="0"/>
        <w:spacing w:line="400" w:lineRule="exact"/>
        <w:ind w:firstLine="422"/>
        <w:outlineLvl w:val="2"/>
        <w:rPr>
          <w:rFonts w:ascii="宋体" w:hAnsi="宋体" w:cs="宋体"/>
          <w:b/>
          <w:color w:val="auto"/>
          <w:highlight w:val="none"/>
        </w:rPr>
      </w:pPr>
      <w:bookmarkStart w:id="219" w:name="_Toc522201569"/>
      <w:bookmarkStart w:id="220" w:name="_Toc9576"/>
      <w:bookmarkStart w:id="221" w:name="_Toc351203491"/>
      <w:bookmarkStart w:id="222" w:name="_Toc19804"/>
      <w:bookmarkStart w:id="223" w:name="_Toc406522038"/>
      <w:bookmarkStart w:id="224" w:name="_Toc406419163"/>
      <w:r>
        <w:rPr>
          <w:rFonts w:hint="eastAsia" w:ascii="宋体" w:hAnsi="宋体" w:eastAsia="宋体" w:cs="宋体"/>
          <w:b/>
          <w:color w:val="auto"/>
          <w:highlight w:val="none"/>
        </w:rPr>
        <w:t>十一</w:t>
      </w:r>
      <w:r>
        <w:rPr>
          <w:rFonts w:hint="eastAsia" w:ascii="宋体" w:hAnsi="宋体" w:cs="宋体"/>
          <w:b/>
          <w:color w:val="auto"/>
          <w:highlight w:val="none"/>
        </w:rPr>
        <w:t>、补充协议</w:t>
      </w:r>
      <w:bookmarkEnd w:id="219"/>
      <w:bookmarkEnd w:id="220"/>
      <w:bookmarkEnd w:id="221"/>
      <w:bookmarkEnd w:id="222"/>
      <w:bookmarkEnd w:id="223"/>
      <w:bookmarkEnd w:id="224"/>
    </w:p>
    <w:p w14:paraId="54FF8A8B">
      <w:pPr>
        <w:pStyle w:val="39"/>
        <w:keepNext w:val="0"/>
        <w:keepLines w:val="0"/>
        <w:pageBreakBefore w:val="0"/>
        <w:widowControl w:val="0"/>
        <w:wordWrap/>
        <w:topLinePunct w:val="0"/>
        <w:bidi w:val="0"/>
        <w:adjustRightInd w:val="0"/>
        <w:snapToGrid w:val="0"/>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合同未尽事宜，合同当事人另行签订补充协议，补充协议是合同的组成部分。</w:t>
      </w:r>
    </w:p>
    <w:p w14:paraId="128F1E24">
      <w:pPr>
        <w:pStyle w:val="40"/>
        <w:keepNext w:val="0"/>
        <w:keepLines w:val="0"/>
        <w:pageBreakBefore w:val="0"/>
        <w:widowControl w:val="0"/>
        <w:wordWrap/>
        <w:topLinePunct w:val="0"/>
        <w:bidi w:val="0"/>
        <w:adjustRightInd w:val="0"/>
        <w:snapToGrid w:val="0"/>
        <w:spacing w:line="400" w:lineRule="exact"/>
        <w:ind w:firstLine="422"/>
        <w:outlineLvl w:val="2"/>
        <w:rPr>
          <w:rFonts w:ascii="宋体" w:hAnsi="宋体" w:cs="宋体"/>
          <w:b/>
          <w:color w:val="auto"/>
          <w:highlight w:val="none"/>
        </w:rPr>
      </w:pPr>
      <w:bookmarkStart w:id="225" w:name="_Toc1768"/>
      <w:bookmarkStart w:id="226" w:name="_Toc406522039"/>
      <w:bookmarkStart w:id="227" w:name="_Toc522201570"/>
      <w:bookmarkStart w:id="228" w:name="_Toc32443"/>
      <w:bookmarkStart w:id="229" w:name="_Toc406419164"/>
      <w:bookmarkStart w:id="230" w:name="_Toc351203492"/>
      <w:r>
        <w:rPr>
          <w:rFonts w:hint="eastAsia" w:ascii="宋体" w:hAnsi="宋体" w:cs="宋体"/>
          <w:b/>
          <w:color w:val="auto"/>
          <w:highlight w:val="none"/>
        </w:rPr>
        <w:t>十二、合同生效</w:t>
      </w:r>
      <w:bookmarkEnd w:id="225"/>
      <w:bookmarkEnd w:id="226"/>
      <w:bookmarkEnd w:id="227"/>
      <w:bookmarkEnd w:id="228"/>
      <w:bookmarkEnd w:id="229"/>
      <w:bookmarkEnd w:id="230"/>
    </w:p>
    <w:p w14:paraId="55A56759">
      <w:pPr>
        <w:pStyle w:val="39"/>
        <w:keepNext w:val="0"/>
        <w:keepLines w:val="0"/>
        <w:pageBreakBefore w:val="0"/>
        <w:widowControl w:val="0"/>
        <w:wordWrap/>
        <w:topLinePunct w:val="0"/>
        <w:bidi w:val="0"/>
        <w:adjustRightInd w:val="0"/>
        <w:snapToGrid w:val="0"/>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本合同自</w:t>
      </w:r>
      <w:r>
        <w:rPr>
          <w:rFonts w:hint="eastAsia" w:ascii="宋体" w:hAnsi="宋体" w:cs="宋体"/>
          <w:bCs/>
          <w:color w:val="auto"/>
          <w:szCs w:val="21"/>
          <w:highlight w:val="none"/>
          <w:u w:val="single"/>
        </w:rPr>
        <w:t xml:space="preserve">  </w:t>
      </w:r>
      <w:r>
        <w:rPr>
          <w:rFonts w:hint="eastAsia" w:ascii="宋体" w:hAnsi="宋体" w:cs="宋体"/>
          <w:color w:val="auto"/>
          <w:szCs w:val="21"/>
          <w:highlight w:val="none"/>
          <w:u w:val="single"/>
        </w:rPr>
        <w:t>双方法定代表人或其委托代理人签字或盖章并加盖单位</w:t>
      </w:r>
      <w:r>
        <w:rPr>
          <w:rFonts w:hint="eastAsia" w:ascii="宋体" w:hAnsi="宋体" w:cs="宋体"/>
          <w:color w:val="auto"/>
          <w:szCs w:val="21"/>
          <w:highlight w:val="none"/>
          <w:u w:val="single"/>
          <w:lang w:eastAsia="zh-CN"/>
        </w:rPr>
        <w:t>公</w:t>
      </w:r>
      <w:r>
        <w:rPr>
          <w:rFonts w:hint="eastAsia" w:ascii="宋体" w:hAnsi="宋体" w:cs="宋体"/>
          <w:color w:val="auto"/>
          <w:szCs w:val="21"/>
          <w:highlight w:val="none"/>
          <w:u w:val="single"/>
        </w:rPr>
        <w:t>章后</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生效。</w:t>
      </w:r>
    </w:p>
    <w:p w14:paraId="6E515FF4">
      <w:pPr>
        <w:pStyle w:val="40"/>
        <w:keepNext w:val="0"/>
        <w:keepLines w:val="0"/>
        <w:pageBreakBefore w:val="0"/>
        <w:widowControl w:val="0"/>
        <w:wordWrap/>
        <w:topLinePunct w:val="0"/>
        <w:bidi w:val="0"/>
        <w:adjustRightInd w:val="0"/>
        <w:snapToGrid w:val="0"/>
        <w:spacing w:line="400" w:lineRule="exact"/>
        <w:ind w:firstLine="422"/>
        <w:outlineLvl w:val="2"/>
        <w:rPr>
          <w:rFonts w:ascii="宋体" w:hAnsi="宋体" w:cs="宋体"/>
          <w:b/>
          <w:color w:val="auto"/>
          <w:highlight w:val="none"/>
        </w:rPr>
      </w:pPr>
      <w:bookmarkStart w:id="231" w:name="_Toc406419165"/>
      <w:bookmarkStart w:id="232" w:name="_Toc406522040"/>
      <w:bookmarkStart w:id="233" w:name="_Toc28880"/>
      <w:bookmarkStart w:id="234" w:name="_Toc522201571"/>
      <w:bookmarkStart w:id="235" w:name="_Toc14945"/>
      <w:bookmarkStart w:id="236" w:name="_Toc351203493"/>
      <w:r>
        <w:rPr>
          <w:rFonts w:hint="eastAsia" w:ascii="宋体" w:hAnsi="宋体" w:eastAsia="宋体" w:cs="宋体"/>
          <w:b/>
          <w:color w:val="auto"/>
          <w:highlight w:val="none"/>
        </w:rPr>
        <w:t>十三</w:t>
      </w:r>
      <w:r>
        <w:rPr>
          <w:rFonts w:hint="eastAsia" w:ascii="宋体" w:hAnsi="宋体" w:cs="宋体"/>
          <w:b/>
          <w:color w:val="auto"/>
          <w:highlight w:val="none"/>
        </w:rPr>
        <w:t>、合同份数</w:t>
      </w:r>
      <w:bookmarkEnd w:id="231"/>
      <w:bookmarkEnd w:id="232"/>
      <w:bookmarkEnd w:id="233"/>
      <w:bookmarkEnd w:id="234"/>
      <w:bookmarkEnd w:id="235"/>
      <w:bookmarkEnd w:id="236"/>
    </w:p>
    <w:p w14:paraId="33EC4B61">
      <w:pPr>
        <w:pStyle w:val="39"/>
        <w:keepNext w:val="0"/>
        <w:keepLines w:val="0"/>
        <w:pageBreakBefore w:val="0"/>
        <w:widowControl w:val="0"/>
        <w:wordWrap/>
        <w:topLinePunct w:val="0"/>
        <w:bidi w:val="0"/>
        <w:adjustRightInd w:val="0"/>
        <w:snapToGrid w:val="0"/>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本合同一式</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份，均具有同等法律效力，发包人执</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份，承包人执</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份，招标代理机构执</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w:t>
      </w:r>
    </w:p>
    <w:p w14:paraId="2F9B17AC">
      <w:pPr>
        <w:pStyle w:val="39"/>
        <w:keepNext w:val="0"/>
        <w:keepLines w:val="0"/>
        <w:pageBreakBefore w:val="0"/>
        <w:widowControl w:val="0"/>
        <w:wordWrap/>
        <w:topLinePunct w:val="0"/>
        <w:bidi w:val="0"/>
        <w:adjustRightInd w:val="0"/>
        <w:snapToGrid w:val="0"/>
        <w:spacing w:line="400" w:lineRule="exact"/>
        <w:ind w:firstLine="420" w:firstLineChars="200"/>
        <w:rPr>
          <w:rFonts w:ascii="宋体" w:hAnsi="宋体" w:cs="宋体"/>
          <w:bCs/>
          <w:color w:val="auto"/>
          <w:szCs w:val="21"/>
          <w:highlight w:val="none"/>
        </w:rPr>
      </w:pPr>
    </w:p>
    <w:tbl>
      <w:tblPr>
        <w:tblStyle w:val="28"/>
        <w:tblW w:w="8900" w:type="dxa"/>
        <w:tblInd w:w="46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03"/>
        <w:gridCol w:w="4597"/>
      </w:tblGrid>
      <w:tr w14:paraId="2BDE2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03" w:type="dxa"/>
            <w:noWrap w:val="0"/>
            <w:vAlign w:val="top"/>
          </w:tcPr>
          <w:p w14:paraId="67018445">
            <w:pPr>
              <w:keepNext w:val="0"/>
              <w:keepLines w:val="0"/>
              <w:pageBreakBefore w:val="0"/>
              <w:widowControl w:val="0"/>
              <w:wordWrap/>
              <w:topLinePunct w:val="0"/>
              <w:bidi w:val="0"/>
              <w:spacing w:line="360" w:lineRule="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发包人：（公章）</w:t>
            </w:r>
          </w:p>
          <w:p w14:paraId="0AF120DE">
            <w:pPr>
              <w:keepNext w:val="0"/>
              <w:keepLines w:val="0"/>
              <w:pageBreakBefore w:val="0"/>
              <w:widowControl w:val="0"/>
              <w:wordWrap/>
              <w:topLinePunct w:val="0"/>
              <w:bidi w:val="0"/>
              <w:spacing w:line="360" w:lineRule="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 xml:space="preserve"> </w:t>
            </w:r>
          </w:p>
        </w:tc>
        <w:tc>
          <w:tcPr>
            <w:tcW w:w="4597" w:type="dxa"/>
            <w:noWrap w:val="0"/>
            <w:vAlign w:val="top"/>
          </w:tcPr>
          <w:p w14:paraId="601C73A3">
            <w:pPr>
              <w:keepNext w:val="0"/>
              <w:keepLines w:val="0"/>
              <w:pageBreakBefore w:val="0"/>
              <w:widowControl w:val="0"/>
              <w:wordWrap/>
              <w:topLinePunct w:val="0"/>
              <w:bidi w:val="0"/>
              <w:spacing w:line="360" w:lineRule="auto"/>
              <w:rPr>
                <w:rFonts w:hint="eastAsia"/>
                <w:color w:val="auto"/>
                <w:highlight w:val="none"/>
                <w:lang w:val="en-US" w:eastAsia="zh-CN"/>
              </w:rPr>
            </w:pPr>
            <w:r>
              <w:rPr>
                <w:rFonts w:hint="eastAsia"/>
                <w:color w:val="auto"/>
                <w:highlight w:val="none"/>
                <w:lang w:val="en-US" w:eastAsia="zh-CN"/>
              </w:rPr>
              <w:t>承包人：（公章）</w:t>
            </w:r>
          </w:p>
          <w:p w14:paraId="1587D2B5">
            <w:pPr>
              <w:pStyle w:val="9"/>
              <w:keepNext w:val="0"/>
              <w:keepLines w:val="0"/>
              <w:pageBreakBefore w:val="0"/>
              <w:widowControl w:val="0"/>
              <w:wordWrap/>
              <w:topLinePunct w:val="0"/>
              <w:bidi w:val="0"/>
              <w:rPr>
                <w:rFonts w:hint="eastAsia"/>
                <w:color w:val="auto"/>
                <w:highlight w:val="none"/>
                <w:lang w:val="en-US" w:eastAsia="zh-CN"/>
              </w:rPr>
            </w:pPr>
          </w:p>
        </w:tc>
      </w:tr>
      <w:tr w14:paraId="315C2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03" w:type="dxa"/>
            <w:noWrap w:val="0"/>
            <w:vAlign w:val="top"/>
          </w:tcPr>
          <w:p w14:paraId="3544C44E">
            <w:pPr>
              <w:keepNext w:val="0"/>
              <w:keepLines w:val="0"/>
              <w:pageBreakBefore w:val="0"/>
              <w:widowControl w:val="0"/>
              <w:wordWrap/>
              <w:topLinePunct w:val="0"/>
              <w:bidi w:val="0"/>
              <w:spacing w:line="360" w:lineRule="auto"/>
              <w:rPr>
                <w:rFonts w:hint="eastAsia" w:ascii="宋体" w:hAnsi="宋体" w:eastAsia="宋体" w:cs="宋体"/>
                <w:color w:val="auto"/>
                <w:kern w:val="0"/>
                <w:sz w:val="21"/>
                <w:szCs w:val="21"/>
                <w:highlight w:val="none"/>
                <w:u w:val="none"/>
                <w:lang w:val="en-US" w:eastAsia="zh-CN"/>
              </w:rPr>
            </w:pPr>
          </w:p>
        </w:tc>
        <w:tc>
          <w:tcPr>
            <w:tcW w:w="4597" w:type="dxa"/>
            <w:noWrap w:val="0"/>
            <w:vAlign w:val="top"/>
          </w:tcPr>
          <w:p w14:paraId="6A1D639E">
            <w:pPr>
              <w:keepNext w:val="0"/>
              <w:keepLines w:val="0"/>
              <w:pageBreakBefore w:val="0"/>
              <w:widowControl w:val="0"/>
              <w:wordWrap/>
              <w:topLinePunct w:val="0"/>
              <w:bidi w:val="0"/>
              <w:spacing w:line="360" w:lineRule="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 xml:space="preserve"> </w:t>
            </w:r>
          </w:p>
        </w:tc>
      </w:tr>
      <w:tr w14:paraId="46195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03" w:type="dxa"/>
            <w:noWrap w:val="0"/>
            <w:vAlign w:val="top"/>
          </w:tcPr>
          <w:p w14:paraId="48A90BBA">
            <w:pPr>
              <w:keepNext w:val="0"/>
              <w:keepLines w:val="0"/>
              <w:pageBreakBefore w:val="0"/>
              <w:widowControl w:val="0"/>
              <w:wordWrap/>
              <w:topLinePunct w:val="0"/>
              <w:bidi w:val="0"/>
              <w:spacing w:line="360" w:lineRule="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法定代表人</w:t>
            </w:r>
            <w:r>
              <w:rPr>
                <w:rFonts w:hint="eastAsia" w:hAnsi="宋体" w:cs="宋体"/>
                <w:color w:val="auto"/>
                <w:szCs w:val="21"/>
                <w:highlight w:val="none"/>
              </w:rPr>
              <w:t>或其委托代理人</w:t>
            </w:r>
            <w:r>
              <w:rPr>
                <w:rFonts w:hint="eastAsia" w:ascii="宋体" w:hAnsi="宋体" w:eastAsia="宋体" w:cs="宋体"/>
                <w:color w:val="auto"/>
                <w:kern w:val="0"/>
                <w:sz w:val="21"/>
                <w:szCs w:val="21"/>
                <w:highlight w:val="none"/>
                <w:u w:val="none"/>
                <w:lang w:val="en-US" w:eastAsia="zh-CN"/>
              </w:rPr>
              <w:t>：</w:t>
            </w:r>
          </w:p>
          <w:p w14:paraId="7AE6A054">
            <w:pPr>
              <w:keepNext w:val="0"/>
              <w:keepLines w:val="0"/>
              <w:pageBreakBefore w:val="0"/>
              <w:widowControl w:val="0"/>
              <w:wordWrap/>
              <w:topLinePunct w:val="0"/>
              <w:bidi w:val="0"/>
              <w:spacing w:line="360" w:lineRule="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（签字或盖章）</w:t>
            </w:r>
          </w:p>
        </w:tc>
        <w:tc>
          <w:tcPr>
            <w:tcW w:w="4597" w:type="dxa"/>
            <w:noWrap w:val="0"/>
            <w:vAlign w:val="top"/>
          </w:tcPr>
          <w:p w14:paraId="5D880CA6">
            <w:pPr>
              <w:keepNext w:val="0"/>
              <w:keepLines w:val="0"/>
              <w:pageBreakBefore w:val="0"/>
              <w:widowControl w:val="0"/>
              <w:wordWrap/>
              <w:topLinePunct w:val="0"/>
              <w:bidi w:val="0"/>
              <w:spacing w:line="360" w:lineRule="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法定代表人</w:t>
            </w:r>
            <w:r>
              <w:rPr>
                <w:rFonts w:hint="eastAsia" w:hAnsi="宋体" w:cs="宋体"/>
                <w:color w:val="auto"/>
                <w:szCs w:val="21"/>
                <w:highlight w:val="none"/>
              </w:rPr>
              <w:t>或其委托代理人</w:t>
            </w:r>
            <w:r>
              <w:rPr>
                <w:rFonts w:hint="eastAsia" w:ascii="宋体" w:hAnsi="宋体" w:eastAsia="宋体" w:cs="宋体"/>
                <w:color w:val="auto"/>
                <w:kern w:val="0"/>
                <w:sz w:val="21"/>
                <w:szCs w:val="21"/>
                <w:highlight w:val="none"/>
                <w:u w:val="none"/>
                <w:lang w:val="en-US" w:eastAsia="zh-CN"/>
              </w:rPr>
              <w:t>：</w:t>
            </w:r>
          </w:p>
          <w:p w14:paraId="302EFC43">
            <w:pPr>
              <w:keepNext w:val="0"/>
              <w:keepLines w:val="0"/>
              <w:pageBreakBefore w:val="0"/>
              <w:widowControl w:val="0"/>
              <w:wordWrap/>
              <w:topLinePunct w:val="0"/>
              <w:bidi w:val="0"/>
              <w:spacing w:line="360" w:lineRule="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（签字或盖章）</w:t>
            </w:r>
          </w:p>
        </w:tc>
      </w:tr>
      <w:tr w14:paraId="32942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4303" w:type="dxa"/>
            <w:noWrap w:val="0"/>
            <w:vAlign w:val="top"/>
          </w:tcPr>
          <w:p w14:paraId="26B74CD9">
            <w:pPr>
              <w:keepNext w:val="0"/>
              <w:keepLines w:val="0"/>
              <w:pageBreakBefore w:val="0"/>
              <w:widowControl w:val="0"/>
              <w:wordWrap/>
              <w:topLinePunct w:val="0"/>
              <w:bidi w:val="0"/>
              <w:spacing w:line="360" w:lineRule="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统一社会信用代码：</w:t>
            </w:r>
          </w:p>
        </w:tc>
        <w:tc>
          <w:tcPr>
            <w:tcW w:w="4597" w:type="dxa"/>
            <w:noWrap w:val="0"/>
            <w:vAlign w:val="top"/>
          </w:tcPr>
          <w:p w14:paraId="2B862D2B">
            <w:pPr>
              <w:keepNext w:val="0"/>
              <w:keepLines w:val="0"/>
              <w:pageBreakBefore w:val="0"/>
              <w:widowControl w:val="0"/>
              <w:wordWrap/>
              <w:topLinePunct w:val="0"/>
              <w:bidi w:val="0"/>
              <w:spacing w:line="360" w:lineRule="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 xml:space="preserve">统一社会信用代码： </w:t>
            </w:r>
          </w:p>
        </w:tc>
      </w:tr>
      <w:tr w14:paraId="3D41E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03" w:type="dxa"/>
            <w:noWrap w:val="0"/>
            <w:vAlign w:val="top"/>
          </w:tcPr>
          <w:p w14:paraId="5CE505F3">
            <w:pPr>
              <w:keepNext w:val="0"/>
              <w:keepLines w:val="0"/>
              <w:pageBreakBefore w:val="0"/>
              <w:widowControl w:val="0"/>
              <w:wordWrap/>
              <w:topLinePunct w:val="0"/>
              <w:bidi w:val="0"/>
              <w:spacing w:line="360" w:lineRule="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地址：</w:t>
            </w:r>
          </w:p>
        </w:tc>
        <w:tc>
          <w:tcPr>
            <w:tcW w:w="4597" w:type="dxa"/>
            <w:noWrap w:val="0"/>
            <w:vAlign w:val="top"/>
          </w:tcPr>
          <w:p w14:paraId="245B906E">
            <w:pPr>
              <w:keepNext w:val="0"/>
              <w:keepLines w:val="0"/>
              <w:pageBreakBefore w:val="0"/>
              <w:widowControl w:val="0"/>
              <w:wordWrap/>
              <w:topLinePunct w:val="0"/>
              <w:bidi w:val="0"/>
              <w:spacing w:line="360" w:lineRule="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地址：</w:t>
            </w:r>
            <w:r>
              <w:rPr>
                <w:rFonts w:hint="eastAsia" w:ascii="宋体" w:hAnsi="宋体" w:eastAsia="宋体" w:cs="宋体"/>
                <w:color w:val="auto"/>
                <w:sz w:val="21"/>
                <w:szCs w:val="21"/>
                <w:highlight w:val="none"/>
                <w:u w:val="none"/>
                <w:lang w:val="en-US" w:eastAsia="zh-CN"/>
              </w:rPr>
              <w:t xml:space="preserve"> </w:t>
            </w:r>
          </w:p>
        </w:tc>
      </w:tr>
      <w:tr w14:paraId="549C6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03" w:type="dxa"/>
            <w:noWrap w:val="0"/>
            <w:vAlign w:val="top"/>
          </w:tcPr>
          <w:p w14:paraId="69CEDC33">
            <w:pPr>
              <w:keepNext w:val="0"/>
              <w:keepLines w:val="0"/>
              <w:pageBreakBefore w:val="0"/>
              <w:widowControl w:val="0"/>
              <w:wordWrap/>
              <w:topLinePunct w:val="0"/>
              <w:bidi w:val="0"/>
              <w:spacing w:line="360" w:lineRule="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邮政编码：</w:t>
            </w:r>
          </w:p>
        </w:tc>
        <w:tc>
          <w:tcPr>
            <w:tcW w:w="4597" w:type="dxa"/>
            <w:noWrap w:val="0"/>
            <w:vAlign w:val="top"/>
          </w:tcPr>
          <w:p w14:paraId="772FCBEA">
            <w:pPr>
              <w:keepNext w:val="0"/>
              <w:keepLines w:val="0"/>
              <w:pageBreakBefore w:val="0"/>
              <w:widowControl w:val="0"/>
              <w:wordWrap/>
              <w:topLinePunct w:val="0"/>
              <w:bidi w:val="0"/>
              <w:spacing w:line="360" w:lineRule="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 xml:space="preserve">邮政编码： </w:t>
            </w:r>
          </w:p>
        </w:tc>
      </w:tr>
      <w:tr w14:paraId="3153F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03" w:type="dxa"/>
            <w:noWrap w:val="0"/>
            <w:vAlign w:val="top"/>
          </w:tcPr>
          <w:p w14:paraId="4641E8E2">
            <w:pPr>
              <w:keepNext w:val="0"/>
              <w:keepLines w:val="0"/>
              <w:pageBreakBefore w:val="0"/>
              <w:widowControl w:val="0"/>
              <w:wordWrap/>
              <w:topLinePunct w:val="0"/>
              <w:bidi w:val="0"/>
              <w:spacing w:line="360" w:lineRule="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联系人：</w:t>
            </w:r>
          </w:p>
        </w:tc>
        <w:tc>
          <w:tcPr>
            <w:tcW w:w="4597" w:type="dxa"/>
            <w:noWrap w:val="0"/>
            <w:vAlign w:val="top"/>
          </w:tcPr>
          <w:p w14:paraId="3B2B556E">
            <w:pPr>
              <w:keepNext w:val="0"/>
              <w:keepLines w:val="0"/>
              <w:pageBreakBefore w:val="0"/>
              <w:widowControl w:val="0"/>
              <w:wordWrap/>
              <w:topLinePunct w:val="0"/>
              <w:bidi w:val="0"/>
              <w:spacing w:line="360" w:lineRule="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联系人：</w:t>
            </w:r>
          </w:p>
        </w:tc>
      </w:tr>
      <w:tr w14:paraId="313FE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03" w:type="dxa"/>
            <w:noWrap w:val="0"/>
            <w:vAlign w:val="top"/>
          </w:tcPr>
          <w:p w14:paraId="2738B30D">
            <w:pPr>
              <w:keepNext w:val="0"/>
              <w:keepLines w:val="0"/>
              <w:pageBreakBefore w:val="0"/>
              <w:widowControl w:val="0"/>
              <w:wordWrap/>
              <w:topLinePunct w:val="0"/>
              <w:bidi w:val="0"/>
              <w:spacing w:line="360" w:lineRule="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电话：</w:t>
            </w:r>
          </w:p>
        </w:tc>
        <w:tc>
          <w:tcPr>
            <w:tcW w:w="4597" w:type="dxa"/>
            <w:noWrap w:val="0"/>
            <w:vAlign w:val="top"/>
          </w:tcPr>
          <w:p w14:paraId="261CD0C9">
            <w:pPr>
              <w:keepNext w:val="0"/>
              <w:keepLines w:val="0"/>
              <w:pageBreakBefore w:val="0"/>
              <w:widowControl w:val="0"/>
              <w:wordWrap/>
              <w:topLinePunct w:val="0"/>
              <w:bidi w:val="0"/>
              <w:spacing w:line="360" w:lineRule="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 xml:space="preserve">电话： </w:t>
            </w:r>
          </w:p>
        </w:tc>
      </w:tr>
      <w:tr w14:paraId="43EB4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03" w:type="dxa"/>
            <w:noWrap w:val="0"/>
            <w:vAlign w:val="top"/>
          </w:tcPr>
          <w:p w14:paraId="4D3D5F0A">
            <w:pPr>
              <w:keepNext w:val="0"/>
              <w:keepLines w:val="0"/>
              <w:pageBreakBefore w:val="0"/>
              <w:widowControl w:val="0"/>
              <w:wordWrap/>
              <w:topLinePunct w:val="0"/>
              <w:bidi w:val="0"/>
              <w:spacing w:line="360" w:lineRule="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传真：</w:t>
            </w:r>
          </w:p>
        </w:tc>
        <w:tc>
          <w:tcPr>
            <w:tcW w:w="4597" w:type="dxa"/>
            <w:noWrap w:val="0"/>
            <w:vAlign w:val="top"/>
          </w:tcPr>
          <w:p w14:paraId="31525421">
            <w:pPr>
              <w:keepNext w:val="0"/>
              <w:keepLines w:val="0"/>
              <w:pageBreakBefore w:val="0"/>
              <w:widowControl w:val="0"/>
              <w:wordWrap/>
              <w:topLinePunct w:val="0"/>
              <w:bidi w:val="0"/>
              <w:spacing w:line="360" w:lineRule="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 xml:space="preserve">传真： </w:t>
            </w:r>
          </w:p>
        </w:tc>
      </w:tr>
      <w:tr w14:paraId="3FDF4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03" w:type="dxa"/>
            <w:noWrap w:val="0"/>
            <w:vAlign w:val="top"/>
          </w:tcPr>
          <w:p w14:paraId="3830165C">
            <w:pPr>
              <w:keepNext w:val="0"/>
              <w:keepLines w:val="0"/>
              <w:pageBreakBefore w:val="0"/>
              <w:widowControl w:val="0"/>
              <w:wordWrap/>
              <w:topLinePunct w:val="0"/>
              <w:bidi w:val="0"/>
              <w:spacing w:line="360" w:lineRule="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电子信箱：</w:t>
            </w:r>
          </w:p>
        </w:tc>
        <w:tc>
          <w:tcPr>
            <w:tcW w:w="4597" w:type="dxa"/>
            <w:noWrap w:val="0"/>
            <w:vAlign w:val="top"/>
          </w:tcPr>
          <w:p w14:paraId="38A702C3">
            <w:pPr>
              <w:keepNext w:val="0"/>
              <w:keepLines w:val="0"/>
              <w:pageBreakBefore w:val="0"/>
              <w:widowControl w:val="0"/>
              <w:wordWrap/>
              <w:topLinePunct w:val="0"/>
              <w:bidi w:val="0"/>
              <w:spacing w:line="360" w:lineRule="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 xml:space="preserve">电子信箱： </w:t>
            </w:r>
          </w:p>
        </w:tc>
      </w:tr>
      <w:tr w14:paraId="4A134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03" w:type="dxa"/>
            <w:noWrap w:val="0"/>
            <w:vAlign w:val="top"/>
          </w:tcPr>
          <w:p w14:paraId="3EE2CBB0">
            <w:pPr>
              <w:keepNext w:val="0"/>
              <w:keepLines w:val="0"/>
              <w:pageBreakBefore w:val="0"/>
              <w:widowControl w:val="0"/>
              <w:wordWrap/>
              <w:topLinePunct w:val="0"/>
              <w:bidi w:val="0"/>
              <w:spacing w:line="360" w:lineRule="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开户银行：</w:t>
            </w:r>
          </w:p>
        </w:tc>
        <w:tc>
          <w:tcPr>
            <w:tcW w:w="4597" w:type="dxa"/>
            <w:noWrap w:val="0"/>
            <w:vAlign w:val="top"/>
          </w:tcPr>
          <w:p w14:paraId="1E4F4FF1">
            <w:pPr>
              <w:keepNext w:val="0"/>
              <w:keepLines w:val="0"/>
              <w:pageBreakBefore w:val="0"/>
              <w:widowControl w:val="0"/>
              <w:wordWrap/>
              <w:topLinePunct w:val="0"/>
              <w:bidi w:val="0"/>
              <w:spacing w:line="360" w:lineRule="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 xml:space="preserve">开户银行： </w:t>
            </w:r>
          </w:p>
        </w:tc>
      </w:tr>
      <w:tr w14:paraId="1ABCB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03" w:type="dxa"/>
            <w:noWrap w:val="0"/>
            <w:vAlign w:val="top"/>
          </w:tcPr>
          <w:p w14:paraId="6F76D709">
            <w:pPr>
              <w:keepNext w:val="0"/>
              <w:keepLines w:val="0"/>
              <w:pageBreakBefore w:val="0"/>
              <w:widowControl w:val="0"/>
              <w:wordWrap/>
              <w:topLinePunct w:val="0"/>
              <w:bidi w:val="0"/>
              <w:spacing w:line="360" w:lineRule="auto"/>
              <w:rPr>
                <w:rFonts w:hint="default"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开户名称：</w:t>
            </w:r>
          </w:p>
        </w:tc>
        <w:tc>
          <w:tcPr>
            <w:tcW w:w="4597" w:type="dxa"/>
            <w:noWrap w:val="0"/>
            <w:vAlign w:val="top"/>
          </w:tcPr>
          <w:p w14:paraId="149F253D">
            <w:pPr>
              <w:keepNext w:val="0"/>
              <w:keepLines w:val="0"/>
              <w:pageBreakBefore w:val="0"/>
              <w:widowControl w:val="0"/>
              <w:wordWrap/>
              <w:topLinePunct w:val="0"/>
              <w:bidi w:val="0"/>
              <w:spacing w:line="360" w:lineRule="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开户名称：</w:t>
            </w:r>
          </w:p>
        </w:tc>
      </w:tr>
      <w:tr w14:paraId="02908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03" w:type="dxa"/>
            <w:noWrap w:val="0"/>
            <w:vAlign w:val="top"/>
          </w:tcPr>
          <w:p w14:paraId="6FC75115">
            <w:pPr>
              <w:keepNext w:val="0"/>
              <w:keepLines w:val="0"/>
              <w:pageBreakBefore w:val="0"/>
              <w:widowControl w:val="0"/>
              <w:wordWrap/>
              <w:topLinePunct w:val="0"/>
              <w:bidi w:val="0"/>
              <w:spacing w:line="360" w:lineRule="auto"/>
              <w:rPr>
                <w:rFonts w:hint="eastAsia" w:ascii="宋体" w:hAnsi="宋体" w:eastAsia="宋体" w:cs="宋体"/>
                <w:color w:val="auto"/>
                <w:kern w:val="0"/>
                <w:sz w:val="21"/>
                <w:szCs w:val="21"/>
                <w:highlight w:val="none"/>
                <w:u w:val="none"/>
                <w:lang w:val="en-US" w:eastAsia="zh-CN" w:bidi="ar-SA"/>
              </w:rPr>
            </w:pPr>
            <w:r>
              <w:rPr>
                <w:rFonts w:hint="eastAsia" w:ascii="宋体" w:hAnsi="宋体" w:eastAsia="宋体" w:cs="宋体"/>
                <w:color w:val="auto"/>
                <w:kern w:val="0"/>
                <w:sz w:val="21"/>
                <w:szCs w:val="21"/>
                <w:highlight w:val="none"/>
                <w:u w:val="none"/>
                <w:lang w:val="en-US" w:eastAsia="zh-CN"/>
              </w:rPr>
              <w:t>账号：</w:t>
            </w:r>
          </w:p>
        </w:tc>
        <w:tc>
          <w:tcPr>
            <w:tcW w:w="4597" w:type="dxa"/>
            <w:noWrap w:val="0"/>
            <w:vAlign w:val="top"/>
          </w:tcPr>
          <w:p w14:paraId="317D1898">
            <w:pPr>
              <w:keepNext w:val="0"/>
              <w:keepLines w:val="0"/>
              <w:pageBreakBefore w:val="0"/>
              <w:widowControl w:val="0"/>
              <w:wordWrap/>
              <w:topLinePunct w:val="0"/>
              <w:bidi w:val="0"/>
              <w:spacing w:line="360" w:lineRule="auto"/>
              <w:rPr>
                <w:rFonts w:hint="eastAsia" w:ascii="宋体" w:hAnsi="宋体" w:eastAsia="宋体" w:cs="宋体"/>
                <w:color w:val="auto"/>
                <w:kern w:val="0"/>
                <w:sz w:val="21"/>
                <w:szCs w:val="21"/>
                <w:highlight w:val="none"/>
                <w:u w:val="none"/>
                <w:lang w:val="en-US" w:eastAsia="zh-CN" w:bidi="ar-SA"/>
              </w:rPr>
            </w:pPr>
            <w:r>
              <w:rPr>
                <w:rFonts w:hint="eastAsia" w:ascii="宋体" w:hAnsi="宋体" w:eastAsia="宋体" w:cs="宋体"/>
                <w:color w:val="auto"/>
                <w:kern w:val="0"/>
                <w:sz w:val="21"/>
                <w:szCs w:val="21"/>
                <w:highlight w:val="none"/>
                <w:u w:val="none"/>
                <w:lang w:val="en-US" w:eastAsia="zh-CN"/>
              </w:rPr>
              <w:t xml:space="preserve">账号： </w:t>
            </w:r>
          </w:p>
        </w:tc>
      </w:tr>
    </w:tbl>
    <w:p w14:paraId="68665A5C">
      <w:pPr>
        <w:pStyle w:val="39"/>
        <w:keepNext w:val="0"/>
        <w:keepLines w:val="0"/>
        <w:pageBreakBefore w:val="0"/>
        <w:widowControl w:val="0"/>
        <w:wordWrap/>
        <w:topLinePunct w:val="0"/>
        <w:bidi w:val="0"/>
        <w:adjustRightInd w:val="0"/>
        <w:snapToGrid w:val="0"/>
        <w:spacing w:line="400" w:lineRule="exact"/>
        <w:jc w:val="center"/>
        <w:rPr>
          <w:rFonts w:ascii="宋体" w:hAnsi="宋体" w:cs="宋体"/>
          <w:b/>
          <w:bCs/>
          <w:color w:val="auto"/>
          <w:szCs w:val="21"/>
          <w:highlight w:val="none"/>
        </w:rPr>
      </w:pPr>
    </w:p>
    <w:p w14:paraId="2EEF7EEA">
      <w:pPr>
        <w:pStyle w:val="37"/>
        <w:keepNext w:val="0"/>
        <w:keepLines w:val="0"/>
        <w:pageBreakBefore w:val="0"/>
        <w:widowControl w:val="0"/>
        <w:wordWrap/>
        <w:topLinePunct w:val="0"/>
        <w:bidi w:val="0"/>
        <w:jc w:val="center"/>
        <w:outlineLvl w:val="1"/>
        <w:rPr>
          <w:rFonts w:eastAsia="黑体"/>
          <w:b w:val="0"/>
          <w:bCs w:val="0"/>
          <w:color w:val="auto"/>
          <w:sz w:val="32"/>
          <w:szCs w:val="32"/>
          <w:highlight w:val="none"/>
        </w:rPr>
      </w:pPr>
      <w:r>
        <w:rPr>
          <w:b w:val="0"/>
          <w:bCs w:val="0"/>
          <w:color w:val="auto"/>
          <w:highlight w:val="none"/>
        </w:rPr>
        <w:br w:type="page"/>
      </w:r>
      <w:bookmarkStart w:id="237" w:name="_Toc19427"/>
      <w:bookmarkStart w:id="238" w:name="_Toc522201572"/>
      <w:bookmarkStart w:id="239" w:name="_Toc2370"/>
      <w:bookmarkStart w:id="240" w:name="_Toc351203494"/>
      <w:bookmarkStart w:id="241" w:name="_Toc256000032"/>
      <w:bookmarkStart w:id="242" w:name="_Toc6868"/>
      <w:r>
        <w:rPr>
          <w:rFonts w:ascii="宋体"/>
          <w:color w:val="auto"/>
          <w:sz w:val="32"/>
          <w:highlight w:val="none"/>
        </w:rPr>
        <w:t>第二部分 通用合同条款</w:t>
      </w:r>
      <w:bookmarkEnd w:id="237"/>
      <w:bookmarkEnd w:id="238"/>
      <w:bookmarkEnd w:id="239"/>
      <w:bookmarkEnd w:id="240"/>
      <w:bookmarkEnd w:id="241"/>
      <w:bookmarkEnd w:id="242"/>
      <w:bookmarkStart w:id="243" w:name="_Toc337558727"/>
    </w:p>
    <w:bookmarkEnd w:id="243"/>
    <w:p w14:paraId="5936C3FD">
      <w:pPr>
        <w:keepNext w:val="0"/>
        <w:keepLines w:val="0"/>
        <w:pageBreakBefore w:val="0"/>
        <w:widowControl w:val="0"/>
        <w:kinsoku/>
        <w:wordWrap/>
        <w:overflowPunct/>
        <w:topLinePunct w:val="0"/>
        <w:bidi w:val="0"/>
        <w:snapToGrid/>
        <w:spacing w:line="360" w:lineRule="exact"/>
        <w:ind w:left="0" w:leftChars="0" w:right="0" w:rightChars="0"/>
        <w:jc w:val="center"/>
        <w:outlineLvl w:val="9"/>
        <w:rPr>
          <w:rFonts w:hint="eastAsia" w:ascii="宋体" w:hAnsi="宋体" w:eastAsia="宋体" w:cs="宋体"/>
          <w:b w:val="0"/>
          <w:bCs w:val="0"/>
          <w:color w:val="auto"/>
          <w:sz w:val="28"/>
          <w:szCs w:val="28"/>
          <w:highlight w:val="none"/>
        </w:rPr>
      </w:pPr>
      <w:bookmarkStart w:id="244" w:name="_Toc16978"/>
    </w:p>
    <w:p w14:paraId="3164C4DA">
      <w:pPr>
        <w:pStyle w:val="40"/>
        <w:keepNext w:val="0"/>
        <w:keepLines w:val="0"/>
        <w:pageBreakBefore w:val="0"/>
        <w:widowControl w:val="0"/>
        <w:wordWrap/>
        <w:topLinePunct w:val="0"/>
        <w:bidi w:val="0"/>
        <w:adjustRightInd w:val="0"/>
        <w:snapToGrid w:val="0"/>
        <w:spacing w:line="400" w:lineRule="exact"/>
        <w:ind w:left="0" w:leftChars="0" w:firstLine="0" w:firstLineChars="0"/>
        <w:outlineLvl w:val="2"/>
        <w:rPr>
          <w:rFonts w:hint="eastAsia" w:ascii="宋体" w:hAnsi="宋体" w:eastAsia="宋体" w:cs="宋体"/>
          <w:b w:val="0"/>
          <w:color w:val="auto"/>
          <w:sz w:val="21"/>
          <w:szCs w:val="21"/>
          <w:highlight w:val="none"/>
        </w:rPr>
      </w:pPr>
      <w:bookmarkStart w:id="245" w:name="_Toc351203495"/>
      <w:r>
        <w:rPr>
          <w:rFonts w:hint="eastAsia" w:ascii="宋体" w:hAnsi="宋体" w:eastAsia="宋体" w:cs="宋体"/>
          <w:b w:val="0"/>
          <w:color w:val="auto"/>
          <w:sz w:val="21"/>
          <w:szCs w:val="21"/>
          <w:highlight w:val="none"/>
        </w:rPr>
        <w:t>1.</w:t>
      </w:r>
      <w:bookmarkStart w:id="246" w:name="_Toc303538975"/>
      <w:bookmarkEnd w:id="246"/>
      <w:bookmarkStart w:id="247" w:name="_Toc303538972"/>
      <w:bookmarkEnd w:id="247"/>
      <w:bookmarkStart w:id="248" w:name="_Toc303538976"/>
      <w:bookmarkEnd w:id="248"/>
      <w:bookmarkStart w:id="249" w:name="_Toc303538973"/>
      <w:bookmarkEnd w:id="249"/>
      <w:bookmarkStart w:id="250" w:name="_Toc303538974"/>
      <w:bookmarkEnd w:id="250"/>
      <w:bookmarkStart w:id="251" w:name="_Toc296503027"/>
      <w:bookmarkStart w:id="252" w:name="_Toc296346528"/>
      <w:r>
        <w:rPr>
          <w:rFonts w:hint="eastAsia" w:ascii="宋体" w:hAnsi="宋体" w:eastAsia="宋体" w:cs="宋体"/>
          <w:b w:val="0"/>
          <w:color w:val="auto"/>
          <w:sz w:val="21"/>
          <w:szCs w:val="21"/>
          <w:highlight w:val="none"/>
        </w:rPr>
        <w:t xml:space="preserve"> 一般约定</w:t>
      </w:r>
      <w:bookmarkEnd w:id="245"/>
      <w:bookmarkEnd w:id="251"/>
      <w:bookmarkEnd w:id="252"/>
    </w:p>
    <w:p w14:paraId="277C1BCB">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253" w:name="_Toc296503028"/>
      <w:bookmarkStart w:id="254" w:name="_Toc337558728"/>
      <w:bookmarkStart w:id="255" w:name="_Toc296346529"/>
      <w:bookmarkStart w:id="256" w:name="_Toc351203496"/>
      <w:r>
        <w:rPr>
          <w:rFonts w:hint="eastAsia" w:ascii="宋体" w:hAnsi="宋体" w:eastAsia="宋体" w:cs="宋体"/>
          <w:b w:val="0"/>
          <w:color w:val="auto"/>
          <w:sz w:val="21"/>
          <w:szCs w:val="21"/>
          <w:highlight w:val="none"/>
        </w:rPr>
        <w:t>1.1词语定义</w:t>
      </w:r>
      <w:bookmarkEnd w:id="253"/>
      <w:bookmarkEnd w:id="254"/>
      <w:bookmarkEnd w:id="255"/>
      <w:r>
        <w:rPr>
          <w:rFonts w:hint="eastAsia" w:ascii="宋体" w:hAnsi="宋体" w:eastAsia="宋体" w:cs="宋体"/>
          <w:b w:val="0"/>
          <w:color w:val="auto"/>
          <w:sz w:val="21"/>
          <w:szCs w:val="21"/>
          <w:highlight w:val="none"/>
        </w:rPr>
        <w:t>与解释</w:t>
      </w:r>
      <w:bookmarkEnd w:id="256"/>
    </w:p>
    <w:p w14:paraId="2615B6CA">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合同协议书、通用合同条款、专用合同条款中的下列词语具有本款所赋予的含义：</w:t>
      </w:r>
    </w:p>
    <w:p w14:paraId="1D2E15C9">
      <w:pPr>
        <w:keepNext w:val="0"/>
        <w:keepLines w:val="0"/>
        <w:pageBreakBefore w:val="0"/>
        <w:widowControl w:val="0"/>
        <w:kinsoku/>
        <w:wordWrap/>
        <w:overflowPunct/>
        <w:topLinePunct w:val="0"/>
        <w:autoSpaceDE w:val="0"/>
        <w:autoSpaceDN w:val="0"/>
        <w:bidi w:val="0"/>
        <w:adjustRightInd w:val="0"/>
        <w:snapToGrid/>
        <w:spacing w:line="390" w:lineRule="exact"/>
        <w:ind w:left="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1.1.1 合同</w:t>
      </w:r>
    </w:p>
    <w:p w14:paraId="24018328">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1.1.1.1 合同：是指根据法律规定和合同当事人约定具有约束力的文件，构成合同的文件包括合同协议书、中标</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成交</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通知书（如果有）、</w:t>
      </w:r>
      <w:r>
        <w:rPr>
          <w:rFonts w:hint="eastAsia" w:ascii="宋体" w:hAnsi="宋体" w:cs="宋体"/>
          <w:color w:val="auto"/>
          <w:kern w:val="0"/>
          <w:sz w:val="21"/>
          <w:szCs w:val="21"/>
          <w:highlight w:val="none"/>
          <w:lang w:eastAsia="zh-CN"/>
        </w:rPr>
        <w:t>投标（响应）函</w:t>
      </w:r>
      <w:r>
        <w:rPr>
          <w:rFonts w:hint="eastAsia" w:ascii="宋体" w:hAnsi="宋体" w:eastAsia="宋体" w:cs="宋体"/>
          <w:color w:val="auto"/>
          <w:kern w:val="0"/>
          <w:sz w:val="21"/>
          <w:szCs w:val="21"/>
          <w:highlight w:val="none"/>
        </w:rPr>
        <w:t>及其附录（如果有）、专用合同条款</w:t>
      </w:r>
      <w:r>
        <w:rPr>
          <w:rFonts w:hint="eastAsia" w:ascii="宋体" w:hAnsi="宋体" w:eastAsia="宋体" w:cs="宋体"/>
          <w:color w:val="auto"/>
          <w:sz w:val="21"/>
          <w:szCs w:val="21"/>
          <w:highlight w:val="none"/>
        </w:rPr>
        <w:t>及其附件</w:t>
      </w:r>
      <w:r>
        <w:rPr>
          <w:rFonts w:hint="eastAsia" w:ascii="宋体" w:hAnsi="宋体" w:eastAsia="宋体" w:cs="宋体"/>
          <w:color w:val="auto"/>
          <w:kern w:val="0"/>
          <w:sz w:val="21"/>
          <w:szCs w:val="21"/>
          <w:highlight w:val="none"/>
        </w:rPr>
        <w:t>、通用合同条款、技术标准和要求、图纸、已标价工程量清单或预算书以及其他合同文件。</w:t>
      </w:r>
    </w:p>
    <w:p w14:paraId="0A1D5D6C">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1.1.1.2 合同协议书：是指构成合同的由发包人和承包人共同签署的称为“合同协议书”的书面文件。</w:t>
      </w:r>
    </w:p>
    <w:p w14:paraId="50515ED6">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1.1.1.3 中标</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成交</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通知书：是指构成合同的由发包人通知承包人中标</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成交</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的书面文件。</w:t>
      </w:r>
    </w:p>
    <w:p w14:paraId="134A1B1E">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1.1.1.4 </w:t>
      </w:r>
      <w:r>
        <w:rPr>
          <w:rFonts w:hint="eastAsia" w:ascii="宋体" w:hAnsi="宋体" w:cs="宋体"/>
          <w:color w:val="auto"/>
          <w:kern w:val="0"/>
          <w:sz w:val="21"/>
          <w:szCs w:val="21"/>
          <w:highlight w:val="none"/>
          <w:lang w:eastAsia="zh-CN"/>
        </w:rPr>
        <w:t>投标（响应）函</w:t>
      </w:r>
      <w:r>
        <w:rPr>
          <w:rFonts w:hint="eastAsia" w:ascii="宋体" w:hAnsi="宋体" w:eastAsia="宋体" w:cs="宋体"/>
          <w:color w:val="auto"/>
          <w:kern w:val="0"/>
          <w:sz w:val="21"/>
          <w:szCs w:val="21"/>
          <w:highlight w:val="none"/>
        </w:rPr>
        <w:t>：是指构成合同的由承包人填写并签署的用于投标</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磋商</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的称为“</w:t>
      </w:r>
      <w:r>
        <w:rPr>
          <w:rFonts w:hint="eastAsia" w:ascii="宋体" w:hAnsi="宋体" w:cs="宋体"/>
          <w:color w:val="auto"/>
          <w:kern w:val="0"/>
          <w:sz w:val="21"/>
          <w:szCs w:val="21"/>
          <w:highlight w:val="none"/>
          <w:lang w:eastAsia="zh-CN"/>
        </w:rPr>
        <w:t>投标（响应）函</w:t>
      </w:r>
      <w:r>
        <w:rPr>
          <w:rFonts w:hint="eastAsia" w:ascii="宋体" w:hAnsi="宋体" w:eastAsia="宋体" w:cs="宋体"/>
          <w:color w:val="auto"/>
          <w:kern w:val="0"/>
          <w:sz w:val="21"/>
          <w:szCs w:val="21"/>
          <w:highlight w:val="none"/>
        </w:rPr>
        <w:t>”的文件。</w:t>
      </w:r>
    </w:p>
    <w:p w14:paraId="318A7566">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1.1.1.5 </w:t>
      </w:r>
      <w:r>
        <w:rPr>
          <w:rFonts w:hint="eastAsia" w:ascii="宋体" w:hAnsi="宋体" w:cs="宋体"/>
          <w:color w:val="auto"/>
          <w:kern w:val="0"/>
          <w:sz w:val="21"/>
          <w:szCs w:val="21"/>
          <w:highlight w:val="none"/>
          <w:lang w:eastAsia="zh-CN"/>
        </w:rPr>
        <w:t>投标（响应）函</w:t>
      </w:r>
      <w:r>
        <w:rPr>
          <w:rFonts w:hint="eastAsia" w:ascii="宋体" w:hAnsi="宋体" w:eastAsia="宋体" w:cs="宋体"/>
          <w:color w:val="auto"/>
          <w:kern w:val="0"/>
          <w:sz w:val="21"/>
          <w:szCs w:val="21"/>
          <w:highlight w:val="none"/>
        </w:rPr>
        <w:t>附录：是指构成合同的附在</w:t>
      </w:r>
      <w:r>
        <w:rPr>
          <w:rFonts w:hint="eastAsia" w:ascii="宋体" w:hAnsi="宋体" w:cs="宋体"/>
          <w:color w:val="auto"/>
          <w:kern w:val="0"/>
          <w:sz w:val="21"/>
          <w:szCs w:val="21"/>
          <w:highlight w:val="none"/>
          <w:lang w:eastAsia="zh-CN"/>
        </w:rPr>
        <w:t>投标（响应）函</w:t>
      </w:r>
      <w:r>
        <w:rPr>
          <w:rFonts w:hint="eastAsia" w:ascii="宋体" w:hAnsi="宋体" w:eastAsia="宋体" w:cs="宋体"/>
          <w:color w:val="auto"/>
          <w:kern w:val="0"/>
          <w:sz w:val="21"/>
          <w:szCs w:val="21"/>
          <w:highlight w:val="none"/>
        </w:rPr>
        <w:t>后的称为“</w:t>
      </w:r>
      <w:r>
        <w:rPr>
          <w:rFonts w:hint="eastAsia" w:ascii="宋体" w:hAnsi="宋体" w:cs="宋体"/>
          <w:color w:val="auto"/>
          <w:kern w:val="0"/>
          <w:sz w:val="21"/>
          <w:szCs w:val="21"/>
          <w:highlight w:val="none"/>
          <w:lang w:eastAsia="zh-CN"/>
        </w:rPr>
        <w:t>投标（响应）函</w:t>
      </w:r>
      <w:r>
        <w:rPr>
          <w:rFonts w:hint="eastAsia" w:ascii="宋体" w:hAnsi="宋体" w:eastAsia="宋体" w:cs="宋体"/>
          <w:color w:val="auto"/>
          <w:kern w:val="0"/>
          <w:sz w:val="21"/>
          <w:szCs w:val="21"/>
          <w:highlight w:val="none"/>
        </w:rPr>
        <w:t>附录”的文件。</w:t>
      </w:r>
    </w:p>
    <w:p w14:paraId="3523B1F5">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1.1.1.6 技术标准和要求：是指构成合同的施工应当遵守的或指导施工的国家、行业或地方的技术标准和要求，以及合同约定的技术标准和要求。</w:t>
      </w:r>
    </w:p>
    <w:p w14:paraId="79E6E37F">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1.1.1.7 图纸：是指构成合同的图纸，包括由发包人按照合同约定提供或经发包人批准的设计文件、施工图、鸟瞰图及模型等，以及在合同履行过程中形成的图纸文件。图纸应当按照法律规定审查合格。</w:t>
      </w:r>
    </w:p>
    <w:p w14:paraId="69F6805B">
      <w:pPr>
        <w:keepNext w:val="0"/>
        <w:keepLines w:val="0"/>
        <w:pageBreakBefore w:val="0"/>
        <w:widowControl w:val="0"/>
        <w:kinsoku/>
        <w:wordWrap/>
        <w:overflowPunct/>
        <w:topLinePunct w:val="0"/>
        <w:autoSpaceDE w:val="0"/>
        <w:autoSpaceDN w:val="0"/>
        <w:bidi w:val="0"/>
        <w:adjustRightInd w:val="0"/>
        <w:snapToGrid/>
        <w:spacing w:line="390" w:lineRule="exact"/>
        <w:ind w:left="0" w:firstLine="409" w:firstLineChars="195"/>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1.1.1.8 已标价工程量清单：是指构成合同的由承包人按照规定的格式和要求填写并标明价格的工程量清单，包括说明和表格。</w:t>
      </w:r>
    </w:p>
    <w:p w14:paraId="22202160">
      <w:pPr>
        <w:keepNext w:val="0"/>
        <w:keepLines w:val="0"/>
        <w:pageBreakBefore w:val="0"/>
        <w:widowControl w:val="0"/>
        <w:kinsoku/>
        <w:wordWrap/>
        <w:overflowPunct/>
        <w:topLinePunct w:val="0"/>
        <w:autoSpaceDE w:val="0"/>
        <w:autoSpaceDN w:val="0"/>
        <w:bidi w:val="0"/>
        <w:adjustRightInd w:val="0"/>
        <w:snapToGrid/>
        <w:spacing w:line="390" w:lineRule="exact"/>
        <w:ind w:left="0" w:firstLine="409" w:firstLineChars="195"/>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1.1.1.9 预算书：是指构成合同的由承包人按照发包人规定的格式和要求编制的工程预算文件。</w:t>
      </w:r>
    </w:p>
    <w:p w14:paraId="0278B7A4">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1.1.1.10 其他合同文件：是指经合同当事人约定的与工程施工有关的具有合同约束力的文件或书面协议。合同当事人可以在专用合同条款中进行约定。</w:t>
      </w:r>
    </w:p>
    <w:p w14:paraId="7CE25E1D">
      <w:pPr>
        <w:keepNext w:val="0"/>
        <w:keepLines w:val="0"/>
        <w:pageBreakBefore w:val="0"/>
        <w:widowControl w:val="0"/>
        <w:kinsoku/>
        <w:wordWrap/>
        <w:overflowPunct/>
        <w:topLinePunct w:val="0"/>
        <w:autoSpaceDE w:val="0"/>
        <w:autoSpaceDN w:val="0"/>
        <w:bidi w:val="0"/>
        <w:adjustRightInd w:val="0"/>
        <w:snapToGrid/>
        <w:spacing w:line="390" w:lineRule="exact"/>
        <w:ind w:left="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1.1.2 合同当事人及其他相关方</w:t>
      </w:r>
    </w:p>
    <w:p w14:paraId="37E0CFE1">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1.1.2.1 合同当事人：是指发包人和（或）承包人。</w:t>
      </w:r>
    </w:p>
    <w:p w14:paraId="7827B447">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1.1.2.2 发包人：是指与承包人签订合同协议书的当事人及取得该当事人资格的合法继承人。</w:t>
      </w:r>
    </w:p>
    <w:p w14:paraId="0A5CC456">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1.1.2.3 承包人：是指与发包人签订合同协议书的，具有相应工程施工承包资质的当事人及取得该当事人资格的合法继承人。</w:t>
      </w:r>
    </w:p>
    <w:p w14:paraId="444E4265">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1.1.2.4 监理人：是指在专用合同条款中指明的，受发包人委托按照法律规定进行工程监督管理的法人或其他组织。</w:t>
      </w:r>
    </w:p>
    <w:p w14:paraId="5A3F7A7B">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1.1.2.5 设计人：是指在专用合同条款中指明的，受发包人委托负责工程设计并具备相应工程设计资质的法人或其他组织。</w:t>
      </w:r>
    </w:p>
    <w:p w14:paraId="2A057D5E">
      <w:pPr>
        <w:keepNext w:val="0"/>
        <w:keepLines w:val="0"/>
        <w:pageBreakBefore w:val="0"/>
        <w:widowControl w:val="0"/>
        <w:kinsoku/>
        <w:wordWrap/>
        <w:overflowPunct/>
        <w:topLinePunct w:val="0"/>
        <w:bidi w:val="0"/>
        <w:snapToGrid/>
        <w:spacing w:line="390" w:lineRule="exact"/>
        <w:ind w:left="0" w:firstLine="409" w:firstLineChars="195"/>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1.1.2.6 分包人：</w:t>
      </w:r>
      <w:bookmarkStart w:id="257" w:name="#go5"/>
      <w:bookmarkEnd w:id="257"/>
      <w:r>
        <w:rPr>
          <w:rFonts w:hint="eastAsia" w:ascii="宋体" w:hAnsi="宋体" w:eastAsia="宋体" w:cs="宋体"/>
          <w:color w:val="auto"/>
          <w:kern w:val="0"/>
          <w:sz w:val="21"/>
          <w:szCs w:val="21"/>
          <w:highlight w:val="none"/>
        </w:rPr>
        <w:t>是指按照法律规定和合同约定，分包部分工程或工作，并与承包人签订分包合同的具有相应资质的法人。</w:t>
      </w:r>
    </w:p>
    <w:p w14:paraId="6EAA717D">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1.1.2.7 发包人代表：是指由发包人任命并派驻施工现场在发包人授权范围内行使发包人权利的人。</w:t>
      </w:r>
    </w:p>
    <w:p w14:paraId="031A1E30">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1.1.2.8 项目经理：是指由承包人任命并派驻施工现场，在承包人授权范围内负责合同履行，且按照法律规定具有相应资格的项目负责人。</w:t>
      </w:r>
    </w:p>
    <w:p w14:paraId="3ED34993">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1.1.2.9 总监理工程师：是指由监理人任命并派驻施工现场进行工程监理的总负责人。</w:t>
      </w:r>
    </w:p>
    <w:p w14:paraId="7BC0F129">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 工程和设备</w:t>
      </w:r>
    </w:p>
    <w:p w14:paraId="59B3CF13">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1.1.3.1 工程：是指与合同协议书中工程承包范围对应的永久工程和（或）临时工程。</w:t>
      </w:r>
    </w:p>
    <w:p w14:paraId="260CEA06">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1.1.3.2 永久工程：是指按合同约定建造并移交给发包人的工程，包括工程设备。</w:t>
      </w:r>
    </w:p>
    <w:p w14:paraId="3FD0A4D9">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1.1.3.3 临时工程：是指为完成合同约定的永久工程所修建的各类临时性工程，不包括施工设备。</w:t>
      </w:r>
    </w:p>
    <w:p w14:paraId="09D04677">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1.1.3.4 单位工程：是指在合同协议书中指明的，具备独立施工条件并能形成独立使用功能的永久工程。</w:t>
      </w:r>
    </w:p>
    <w:p w14:paraId="49F0181C">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1.1.3.5 工程设备：是指构成永久工程的机电设备、金属结构设备、仪器及其他类似的设备和装置。</w:t>
      </w:r>
    </w:p>
    <w:p w14:paraId="46714384">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1.1.3.6 施工设备：是指为完成合同约定的各项工作所需的设备、器具和其他物品，但不包括工程设备、临时工程和材料。</w:t>
      </w:r>
    </w:p>
    <w:p w14:paraId="3E369F25">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1.1.3.7 施工现场：是指用于工程施工的场所，以及在专用合同条款中指明作为施工场所组成部分的其他场所，包括永久占地和临时占地。</w:t>
      </w:r>
    </w:p>
    <w:p w14:paraId="3A92C658">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1.1.3.8临时设施：是指为完成合同约定的各项工作所服务的临时性生产和生活设施。</w:t>
      </w:r>
    </w:p>
    <w:p w14:paraId="66030D07">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1.1.3.9 永久占地：是指专用合同条款中指明为实施工程需永久占用的土地。</w:t>
      </w:r>
    </w:p>
    <w:p w14:paraId="045884CB">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1.1.3.10 临时占地：是指专用合同条款中指明为实施工程需要临时占用的土地。</w:t>
      </w:r>
    </w:p>
    <w:p w14:paraId="31573B50">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1.1.4 日期和期限</w:t>
      </w:r>
    </w:p>
    <w:p w14:paraId="04C99C92">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1.1.4.1 开工日期：包括计划开工日期和实际开工日期。计划开工日期是指合同协议书约定的开工日期；实际开工日期是指监理人按照第7.3.2项〔开工通知〕约定发出的符合法律规定的开工通知中载明的开工日期。</w:t>
      </w:r>
    </w:p>
    <w:p w14:paraId="4ED032F6">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1.1.4.2 竣工日期：包括计划竣工日期和实际竣工日期。计划竣工日期是指合同协议书约定的竣工日期；实际竣工日期按照第13.2.3项〔竣工日期〕的约定确定。 </w:t>
      </w:r>
    </w:p>
    <w:p w14:paraId="4763BFE4">
      <w:pPr>
        <w:keepNext w:val="0"/>
        <w:keepLines w:val="0"/>
        <w:pageBreakBefore w:val="0"/>
        <w:widowControl w:val="0"/>
        <w:kinsoku/>
        <w:wordWrap/>
        <w:overflowPunct/>
        <w:topLinePunct w:val="0"/>
        <w:bidi w:val="0"/>
        <w:snapToGrid/>
        <w:spacing w:line="390" w:lineRule="exact"/>
        <w:ind w:left="0" w:firstLine="426" w:firstLineChars="203"/>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1.1.4.3 工期：是指在合同协议书约定的承包人完成工程所需的期限，包括按照合同约定所作的期限变更。</w:t>
      </w:r>
    </w:p>
    <w:p w14:paraId="75345DEA">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1.1.4.4 缺陷责任期：是指承包人按照合同约定承担缺陷修复义务，且发包人预留质量保证金（已缴纳履约保证金的除外）的期限，自工程实际竣工日期起计算。</w:t>
      </w:r>
    </w:p>
    <w:p w14:paraId="59B87A1F">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1.1.4.5 保修期：是指承包人按照合同约定对工程承担保修责任的期限，从工程竣工验收合格之日起计算。</w:t>
      </w:r>
    </w:p>
    <w:p w14:paraId="1715582A">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1.1.4.6 基准日期：招标发包的工程以</w:t>
      </w:r>
      <w:r>
        <w:rPr>
          <w:rFonts w:hint="eastAsia" w:ascii="宋体" w:hAnsi="宋体" w:cs="宋体"/>
          <w:color w:val="auto"/>
          <w:kern w:val="0"/>
          <w:sz w:val="21"/>
          <w:szCs w:val="21"/>
          <w:highlight w:val="none"/>
          <w:lang w:eastAsia="zh-CN"/>
        </w:rPr>
        <w:t>投标（响应）截止日</w:t>
      </w:r>
      <w:r>
        <w:rPr>
          <w:rFonts w:hint="eastAsia" w:ascii="宋体" w:hAnsi="宋体" w:eastAsia="宋体" w:cs="宋体"/>
          <w:color w:val="auto"/>
          <w:kern w:val="0"/>
          <w:sz w:val="21"/>
          <w:szCs w:val="21"/>
          <w:highlight w:val="none"/>
        </w:rPr>
        <w:t>前28天的日期为基准日期，直接发包的工程以合同签订日前28天的日期为基准日期。</w:t>
      </w:r>
    </w:p>
    <w:p w14:paraId="0F21E7CE">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1.1.4.7 天：除特别指明外，均指日历天。合同中按天计算时间的，开始当天不计入，从次日开始计算，期限最后一天的截止时间为当天24</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00时。</w:t>
      </w:r>
    </w:p>
    <w:p w14:paraId="070E8F6C">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1.1.5 合同价格和费用</w:t>
      </w:r>
    </w:p>
    <w:p w14:paraId="070E32E4">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1.1.5.1 签约合同价：是指</w:t>
      </w:r>
      <w:r>
        <w:rPr>
          <w:rFonts w:hint="eastAsia" w:ascii="宋体" w:hAnsi="宋体" w:eastAsia="宋体" w:cs="宋体"/>
          <w:color w:val="auto"/>
          <w:sz w:val="21"/>
          <w:szCs w:val="21"/>
          <w:highlight w:val="none"/>
        </w:rPr>
        <w:t>发包人和承包人在合同协议书中确定的总金额，包括安全文明施工费、暂估价及暂列金额等。</w:t>
      </w:r>
    </w:p>
    <w:p w14:paraId="36972DE4">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1.1.5.2 合同价格：是指发包人用于支付承包人按照合同约定完成承包范围内全部工作的金额，包括合同履行过程中按合同约定发生的价格变化。</w:t>
      </w:r>
    </w:p>
    <w:p w14:paraId="26926E61">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1.1.5.3 费用：是指为履行合同所发生的或将要发生的所有必需的开支，包括管理费和应分摊的其他费用，但不包括利润。</w:t>
      </w:r>
    </w:p>
    <w:p w14:paraId="27E2E461">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1.1.5.4 暂估价：是指发包人在工程量清单或预算书中提供的用于支付必然发生但暂时不能确定价格的材料、工程设备的单价、专业工程以及服务工作的金额。</w:t>
      </w:r>
    </w:p>
    <w:p w14:paraId="2D025F32">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41E176B2">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1.1.5.6 计日工：是指合同履行过程中，承包人完成发包人提出的零星工作或需要采用计日工计价的变更工作时，按合同中约定的单价计价的一种方式。</w:t>
      </w:r>
    </w:p>
    <w:p w14:paraId="5A3FD383">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1.1.5.7 质量保证金</w:t>
      </w:r>
      <w:bookmarkStart w:id="258" w:name="#go2"/>
      <w:bookmarkEnd w:id="258"/>
      <w:r>
        <w:rPr>
          <w:rFonts w:hint="eastAsia" w:ascii="宋体" w:hAnsi="宋体" w:eastAsia="宋体" w:cs="宋体"/>
          <w:color w:val="auto"/>
          <w:kern w:val="0"/>
          <w:sz w:val="21"/>
          <w:szCs w:val="21"/>
          <w:highlight w:val="none"/>
        </w:rPr>
        <w:t>：是指按照第15.3款〔质量保证金〕约定承包人用于保证其在缺陷责任期内履行缺陷修补义务的担保</w:t>
      </w:r>
      <w:r>
        <w:rPr>
          <w:rFonts w:hint="eastAsia" w:ascii="宋体" w:hAnsi="宋体" w:eastAsia="宋体" w:cs="宋体"/>
          <w:color w:val="auto"/>
          <w:sz w:val="21"/>
          <w:szCs w:val="21"/>
          <w:highlight w:val="none"/>
        </w:rPr>
        <w:t>。</w:t>
      </w:r>
    </w:p>
    <w:p w14:paraId="1236EC6E">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1.1.5.8 总价项目：是指在现行国家、行业以及地方的计量规则中无工程量计算规则，在已标价工程量清单或预算书中以总价或以费率形式计算的项目。</w:t>
      </w:r>
    </w:p>
    <w:p w14:paraId="78F4F6F8">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1.1.6 其他</w:t>
      </w:r>
    </w:p>
    <w:p w14:paraId="68FCD6E6">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1.1.6.1 书面形式：是指合同文件、信函、电报、传真等可以有形地表现所载内容的形式。</w:t>
      </w:r>
    </w:p>
    <w:p w14:paraId="52114919">
      <w:pPr>
        <w:keepNext w:val="0"/>
        <w:keepLines w:val="0"/>
        <w:pageBreakBefore w:val="0"/>
        <w:widowControl w:val="0"/>
        <w:kinsoku/>
        <w:wordWrap/>
        <w:overflowPunct/>
        <w:topLinePunct w:val="0"/>
        <w:bidi w:val="0"/>
        <w:snapToGrid/>
        <w:spacing w:before="0" w:after="0" w:line="390" w:lineRule="exact"/>
        <w:ind w:left="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w:t>
      </w:r>
      <w:bookmarkStart w:id="259" w:name="_Toc337558729"/>
      <w:bookmarkStart w:id="260" w:name="_Toc351203497"/>
      <w:bookmarkStart w:id="261" w:name="_Toc296346530"/>
      <w:bookmarkStart w:id="262" w:name="_Toc296503029"/>
      <w:r>
        <w:rPr>
          <w:rFonts w:hint="eastAsia" w:ascii="宋体" w:hAnsi="宋体" w:eastAsia="宋体" w:cs="宋体"/>
          <w:b w:val="0"/>
          <w:color w:val="auto"/>
          <w:sz w:val="21"/>
          <w:szCs w:val="21"/>
          <w:highlight w:val="none"/>
        </w:rPr>
        <w:t>1.2语言文字</w:t>
      </w:r>
      <w:bookmarkEnd w:id="259"/>
      <w:bookmarkEnd w:id="260"/>
      <w:bookmarkEnd w:id="261"/>
      <w:bookmarkEnd w:id="262"/>
    </w:p>
    <w:p w14:paraId="77D1799C">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合同以中国的汉语简体文字编写、解释和说明。合同当事人在专用合同条款中约定使用两种以上语言时，汉语为优先解释和说明合同的语言。</w:t>
      </w:r>
    </w:p>
    <w:p w14:paraId="66D0456A">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263" w:name="_Toc296346531"/>
      <w:bookmarkStart w:id="264" w:name="_Toc296503030"/>
      <w:bookmarkStart w:id="265" w:name="_Toc351203498"/>
      <w:bookmarkStart w:id="266" w:name="_Toc337558730"/>
      <w:r>
        <w:rPr>
          <w:rFonts w:hint="eastAsia" w:ascii="宋体" w:hAnsi="宋体" w:eastAsia="宋体" w:cs="宋体"/>
          <w:b w:val="0"/>
          <w:color w:val="auto"/>
          <w:sz w:val="21"/>
          <w:szCs w:val="21"/>
          <w:highlight w:val="none"/>
        </w:rPr>
        <w:t>1.3法律</w:t>
      </w:r>
      <w:bookmarkEnd w:id="263"/>
      <w:bookmarkEnd w:id="264"/>
      <w:bookmarkEnd w:id="265"/>
      <w:bookmarkEnd w:id="266"/>
    </w:p>
    <w:p w14:paraId="467D3E53">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合同所称法律是指中华人民共和国法律、行政法规、部门规章，以及工程所在地的地方性法规、自治条例、单行条例和地方政府规章等。</w:t>
      </w:r>
    </w:p>
    <w:p w14:paraId="5BE91DC6">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合同当事人可以在专用合同条款中约定合同适用的其他规范性文件。</w:t>
      </w:r>
    </w:p>
    <w:p w14:paraId="1F3B8BEA">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267" w:name="_Toc351203499"/>
      <w:r>
        <w:rPr>
          <w:rFonts w:hint="eastAsia" w:ascii="宋体" w:hAnsi="宋体" w:eastAsia="宋体" w:cs="宋体"/>
          <w:b w:val="0"/>
          <w:color w:val="auto"/>
          <w:sz w:val="21"/>
          <w:szCs w:val="21"/>
          <w:highlight w:val="none"/>
        </w:rPr>
        <w:t>1.4 标准和规范</w:t>
      </w:r>
      <w:bookmarkEnd w:id="267"/>
    </w:p>
    <w:p w14:paraId="74D4AC6B">
      <w:pPr>
        <w:keepNext w:val="0"/>
        <w:keepLines w:val="0"/>
        <w:pageBreakBefore w:val="0"/>
        <w:widowControl w:val="0"/>
        <w:kinsoku/>
        <w:wordWrap/>
        <w:overflowPunct/>
        <w:topLinePunct w:val="0"/>
        <w:autoSpaceDE w:val="0"/>
        <w:autoSpaceDN w:val="0"/>
        <w:bidi w:val="0"/>
        <w:adjustRightInd w:val="0"/>
        <w:snapToGrid/>
        <w:spacing w:line="390" w:lineRule="exact"/>
        <w:ind w:left="0" w:firstLine="64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1.4.1 适用于工程的国家标准、行业标准、工程所在地的地方性标准，以及相应的规范、规程等，合同当事人有特别要求的，应在专用合同条款中约定。</w:t>
      </w:r>
    </w:p>
    <w:p w14:paraId="0B56302E">
      <w:pPr>
        <w:keepNext w:val="0"/>
        <w:keepLines w:val="0"/>
        <w:pageBreakBefore w:val="0"/>
        <w:widowControl w:val="0"/>
        <w:kinsoku/>
        <w:wordWrap/>
        <w:overflowPunct/>
        <w:topLinePunct w:val="0"/>
        <w:autoSpaceDE w:val="0"/>
        <w:autoSpaceDN w:val="0"/>
        <w:bidi w:val="0"/>
        <w:adjustRightInd w:val="0"/>
        <w:snapToGrid/>
        <w:spacing w:line="390" w:lineRule="exact"/>
        <w:ind w:left="0" w:firstLine="64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1.4.2 发包人要求使用国外标准、规范的，发包人负责提供原文版本和中文译本，并在专用合同条款中约定提供标准规范的名称、份数和时间。</w:t>
      </w:r>
    </w:p>
    <w:p w14:paraId="313E7EC4">
      <w:pPr>
        <w:keepNext w:val="0"/>
        <w:keepLines w:val="0"/>
        <w:pageBreakBefore w:val="0"/>
        <w:widowControl w:val="0"/>
        <w:kinsoku/>
        <w:wordWrap/>
        <w:overflowPunct/>
        <w:topLinePunct w:val="0"/>
        <w:autoSpaceDE w:val="0"/>
        <w:autoSpaceDN w:val="0"/>
        <w:bidi w:val="0"/>
        <w:adjustRightInd w:val="0"/>
        <w:snapToGrid/>
        <w:spacing w:line="390" w:lineRule="exact"/>
        <w:ind w:left="0" w:firstLine="64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39648E51">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268" w:name="_Toc351203500"/>
      <w:r>
        <w:rPr>
          <w:rFonts w:hint="eastAsia" w:ascii="宋体" w:hAnsi="宋体" w:eastAsia="宋体" w:cs="宋体"/>
          <w:b w:val="0"/>
          <w:color w:val="auto"/>
          <w:sz w:val="21"/>
          <w:szCs w:val="21"/>
          <w:highlight w:val="none"/>
        </w:rPr>
        <w:t>1</w:t>
      </w:r>
      <w:bookmarkStart w:id="269" w:name="_Toc296346532"/>
      <w:bookmarkStart w:id="270" w:name="_Toc337558731"/>
      <w:bookmarkStart w:id="271" w:name="_Toc296503031"/>
      <w:r>
        <w:rPr>
          <w:rFonts w:hint="eastAsia" w:ascii="宋体" w:hAnsi="宋体" w:eastAsia="宋体" w:cs="宋体"/>
          <w:b w:val="0"/>
          <w:color w:val="auto"/>
          <w:sz w:val="21"/>
          <w:szCs w:val="21"/>
          <w:highlight w:val="none"/>
        </w:rPr>
        <w:t>.5 合同文件的优先顺序</w:t>
      </w:r>
      <w:bookmarkEnd w:id="268"/>
    </w:p>
    <w:bookmarkEnd w:id="269"/>
    <w:bookmarkEnd w:id="270"/>
    <w:bookmarkEnd w:id="271"/>
    <w:p w14:paraId="7D173D57">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组成合同的各项文件应互相解释，互为说明。除专用合同条款另有约定外，解释合同文件的优先顺序如下：</w:t>
      </w:r>
    </w:p>
    <w:p w14:paraId="25C43851">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（1）合同协议书；</w:t>
      </w:r>
    </w:p>
    <w:p w14:paraId="3DA1F952">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（2）中标</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成交</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通知书（如果有）；</w:t>
      </w:r>
    </w:p>
    <w:p w14:paraId="59C65199">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cs="宋体"/>
          <w:color w:val="auto"/>
          <w:kern w:val="0"/>
          <w:sz w:val="21"/>
          <w:szCs w:val="21"/>
          <w:highlight w:val="none"/>
          <w:lang w:eastAsia="zh-CN"/>
        </w:rPr>
        <w:t>投标（响应）函</w:t>
      </w:r>
      <w:r>
        <w:rPr>
          <w:rFonts w:hint="eastAsia" w:ascii="宋体" w:hAnsi="宋体" w:eastAsia="宋体" w:cs="宋体"/>
          <w:color w:val="auto"/>
          <w:kern w:val="0"/>
          <w:sz w:val="21"/>
          <w:szCs w:val="21"/>
          <w:highlight w:val="none"/>
        </w:rPr>
        <w:t>及其附录（如果有）；</w:t>
      </w:r>
    </w:p>
    <w:p w14:paraId="00A8F16F">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（4）专用合同条款</w:t>
      </w:r>
      <w:r>
        <w:rPr>
          <w:rFonts w:hint="eastAsia" w:ascii="宋体" w:hAnsi="宋体" w:eastAsia="宋体" w:cs="宋体"/>
          <w:color w:val="auto"/>
          <w:sz w:val="21"/>
          <w:szCs w:val="21"/>
          <w:highlight w:val="none"/>
        </w:rPr>
        <w:t>及其附件</w:t>
      </w:r>
      <w:r>
        <w:rPr>
          <w:rFonts w:hint="eastAsia" w:ascii="宋体" w:hAnsi="宋体" w:eastAsia="宋体" w:cs="宋体"/>
          <w:color w:val="auto"/>
          <w:kern w:val="0"/>
          <w:sz w:val="21"/>
          <w:szCs w:val="21"/>
          <w:highlight w:val="none"/>
        </w:rPr>
        <w:t>；</w:t>
      </w:r>
    </w:p>
    <w:p w14:paraId="03CF50AE">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（5）通用合同条款；</w:t>
      </w:r>
    </w:p>
    <w:p w14:paraId="5BBC888D">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（6）技术标准和要求；</w:t>
      </w:r>
    </w:p>
    <w:p w14:paraId="5A6DA8CA">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（7）图纸；</w:t>
      </w:r>
    </w:p>
    <w:p w14:paraId="34C98A6E">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（8）已标价工程量清单或预算书；</w:t>
      </w:r>
    </w:p>
    <w:p w14:paraId="2E68C0E6">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（9）其他合同文件。</w:t>
      </w:r>
    </w:p>
    <w:p w14:paraId="6A837290">
      <w:pPr>
        <w:keepNext w:val="0"/>
        <w:keepLines w:val="0"/>
        <w:pageBreakBefore w:val="0"/>
        <w:widowControl w:val="0"/>
        <w:kinsoku/>
        <w:wordWrap/>
        <w:overflowPunct/>
        <w:topLinePunct w:val="0"/>
        <w:bidi w:val="0"/>
        <w:snapToGrid/>
        <w:spacing w:line="390" w:lineRule="exact"/>
        <w:ind w:left="0" w:firstLine="447" w:firstLineChars="213"/>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上述各项合同文件包括合同当事人就该项合同文件所作出的补充和修改，属于同一类内容的文件，应以最新签署的为准。</w:t>
      </w:r>
    </w:p>
    <w:p w14:paraId="106DDB9C">
      <w:pPr>
        <w:keepNext w:val="0"/>
        <w:keepLines w:val="0"/>
        <w:pageBreakBefore w:val="0"/>
        <w:widowControl w:val="0"/>
        <w:kinsoku/>
        <w:wordWrap/>
        <w:overflowPunct/>
        <w:topLinePunct w:val="0"/>
        <w:bidi w:val="0"/>
        <w:snapToGrid/>
        <w:spacing w:line="390" w:lineRule="exact"/>
        <w:ind w:left="0" w:firstLine="447" w:firstLineChars="213"/>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在合同订立及履行过程中形成的与合同有关的文件均构成合同文件组成部分，并根据其性质确定优先解释顺序。</w:t>
      </w:r>
    </w:p>
    <w:p w14:paraId="57AE3B76">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272" w:name="_Toc351203501"/>
      <w:r>
        <w:rPr>
          <w:rFonts w:hint="eastAsia" w:ascii="宋体" w:hAnsi="宋体" w:eastAsia="宋体" w:cs="宋体"/>
          <w:b w:val="0"/>
          <w:color w:val="auto"/>
          <w:sz w:val="21"/>
          <w:szCs w:val="21"/>
          <w:highlight w:val="none"/>
        </w:rPr>
        <w:t>1</w:t>
      </w:r>
      <w:bookmarkStart w:id="273" w:name="_Toc296503032"/>
      <w:bookmarkStart w:id="274" w:name="_Toc337558732"/>
      <w:bookmarkStart w:id="275" w:name="_Toc296346533"/>
      <w:r>
        <w:rPr>
          <w:rFonts w:hint="eastAsia" w:ascii="宋体" w:hAnsi="宋体" w:eastAsia="宋体" w:cs="宋体"/>
          <w:b w:val="0"/>
          <w:color w:val="auto"/>
          <w:sz w:val="21"/>
          <w:szCs w:val="21"/>
          <w:highlight w:val="none"/>
        </w:rPr>
        <w:t>.6图纸和承包人文件</w:t>
      </w:r>
      <w:bookmarkEnd w:id="272"/>
    </w:p>
    <w:bookmarkEnd w:id="273"/>
    <w:bookmarkEnd w:id="274"/>
    <w:bookmarkEnd w:id="275"/>
    <w:p w14:paraId="52344A0D">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1.6.1 图纸的提供和交底</w:t>
      </w:r>
    </w:p>
    <w:p w14:paraId="55C12E00">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32E328A3">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因发包人未按合同约定提供图纸导致承包人费用增加和（或）工期延误的，按照第7.5.1项〔因发包人原因导致工期延误〕约定办理。</w:t>
      </w:r>
    </w:p>
    <w:p w14:paraId="08F822DB">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1.6.2 图纸的错误</w:t>
      </w:r>
    </w:p>
    <w:p w14:paraId="5BA299AC">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538CD6F1">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1.6.3 图纸的修改和补充</w:t>
      </w:r>
    </w:p>
    <w:p w14:paraId="399E79D5">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图纸需要修改和补充的，应经图纸原设计人及审批部门同意，并由监理人在工程或工程相应部位施工前将修改后的图纸或补充图纸提交给承包人，承包人应按修改或补充后的图纸施工。</w:t>
      </w:r>
    </w:p>
    <w:p w14:paraId="678540D0">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1.6.4 承包人文件</w:t>
      </w:r>
    </w:p>
    <w:p w14:paraId="1CD9D910">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承包人应按照专用合同条款的约定提供应当由其编制的与工程施工有关的文件，并按照专用合同条款约定的期限、数量和形式提交监理人，并由监理人报送发包人。</w:t>
      </w:r>
    </w:p>
    <w:p w14:paraId="7E9CA023">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3D39B98B">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1.6.5 图纸和承包人文件的保管</w:t>
      </w:r>
    </w:p>
    <w:p w14:paraId="7E5904EA">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除专用合同条款另有约定外，承包人应在施工现场另外保存一套完整的图纸和承包人文件，供发包人、监理人及有关人员进行工程检查时使用。</w:t>
      </w:r>
    </w:p>
    <w:p w14:paraId="6DD161B5">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276" w:name="_Toc351203502"/>
      <w:r>
        <w:rPr>
          <w:rFonts w:hint="eastAsia" w:ascii="宋体" w:hAnsi="宋体" w:eastAsia="宋体" w:cs="宋体"/>
          <w:b w:val="0"/>
          <w:color w:val="auto"/>
          <w:sz w:val="21"/>
          <w:szCs w:val="21"/>
          <w:highlight w:val="none"/>
        </w:rPr>
        <w:t>1</w:t>
      </w:r>
      <w:bookmarkStart w:id="277" w:name="_Toc296503033"/>
      <w:bookmarkStart w:id="278" w:name="_Toc337558733"/>
      <w:bookmarkStart w:id="279" w:name="_Toc296346534"/>
      <w:r>
        <w:rPr>
          <w:rFonts w:hint="eastAsia" w:ascii="宋体" w:hAnsi="宋体" w:eastAsia="宋体" w:cs="宋体"/>
          <w:b w:val="0"/>
          <w:color w:val="auto"/>
          <w:sz w:val="21"/>
          <w:szCs w:val="21"/>
          <w:highlight w:val="none"/>
        </w:rPr>
        <w:t>.7联络</w:t>
      </w:r>
      <w:bookmarkEnd w:id="276"/>
    </w:p>
    <w:bookmarkEnd w:id="277"/>
    <w:bookmarkEnd w:id="278"/>
    <w:bookmarkEnd w:id="279"/>
    <w:p w14:paraId="21060C5B">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1.7.1 与合同有关的通知、批准、证明、证书、指示、指令、要求、请求、同意、意见、确定和决定等，均应采用书面形式，并应在合同约定的期限内送达接收人和送达地点。</w:t>
      </w:r>
    </w:p>
    <w:p w14:paraId="4015E948">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1.7.2 发包人和承包人应在专用合同条款中约定各自的送达接收人和送达地点。任何一方合同当事人指定的接收人或送达地点发生变动的，应提前3天以书面形式通知对方。</w:t>
      </w:r>
    </w:p>
    <w:p w14:paraId="1835995F">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1.7.3 发包人和承包人应当及时签收另一方送达至送达地点和指定接收人的来往信函。拒不签收的，由此增加的费用和（或）延误的工期由拒绝接收一方承担。</w:t>
      </w:r>
    </w:p>
    <w:p w14:paraId="6DE53601">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280" w:name="_Toc351203503"/>
      <w:r>
        <w:rPr>
          <w:rFonts w:hint="eastAsia" w:ascii="宋体" w:hAnsi="宋体" w:eastAsia="宋体" w:cs="宋体"/>
          <w:b w:val="0"/>
          <w:color w:val="auto"/>
          <w:sz w:val="21"/>
          <w:szCs w:val="21"/>
          <w:highlight w:val="none"/>
        </w:rPr>
        <w:t>1</w:t>
      </w:r>
      <w:bookmarkStart w:id="281" w:name="_Toc296503035"/>
      <w:bookmarkStart w:id="282" w:name="_Toc337558734"/>
      <w:bookmarkStart w:id="283" w:name="_Toc296346536"/>
      <w:r>
        <w:rPr>
          <w:rFonts w:hint="eastAsia" w:ascii="宋体" w:hAnsi="宋体" w:eastAsia="宋体" w:cs="宋体"/>
          <w:b w:val="0"/>
          <w:color w:val="auto"/>
          <w:sz w:val="21"/>
          <w:szCs w:val="21"/>
          <w:highlight w:val="none"/>
        </w:rPr>
        <w:t>.8严禁贿赂</w:t>
      </w:r>
      <w:bookmarkEnd w:id="280"/>
    </w:p>
    <w:bookmarkEnd w:id="281"/>
    <w:bookmarkEnd w:id="282"/>
    <w:bookmarkEnd w:id="283"/>
    <w:p w14:paraId="2F08D7A8">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合同当事人不得以贿赂或变相贿赂的方式，谋取非法利益或损害对方权益。因一方合同当事人的贿赂造成对方损失的，应赔偿损失，并承担相应的法律责任。</w:t>
      </w:r>
    </w:p>
    <w:p w14:paraId="5002EF84">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承包人不得与监理人或发包人聘请的第三方串通损害发包人利益。未经发包人书面同意，承包人不得为监理人提供合同约定以外的通讯设备、交通工具及其他任何形式的利益，不得向监理人支付报酬。</w:t>
      </w:r>
    </w:p>
    <w:p w14:paraId="13DE0E36">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284" w:name="_Toc351203504"/>
      <w:r>
        <w:rPr>
          <w:rFonts w:hint="eastAsia" w:ascii="宋体" w:hAnsi="宋体" w:eastAsia="宋体" w:cs="宋体"/>
          <w:b w:val="0"/>
          <w:color w:val="auto"/>
          <w:sz w:val="21"/>
          <w:szCs w:val="21"/>
          <w:highlight w:val="none"/>
        </w:rPr>
        <w:t>1</w:t>
      </w:r>
      <w:bookmarkStart w:id="285" w:name="_Toc296503036"/>
      <w:bookmarkStart w:id="286" w:name="_Toc296346537"/>
      <w:bookmarkStart w:id="287" w:name="_Toc337558735"/>
      <w:r>
        <w:rPr>
          <w:rFonts w:hint="eastAsia" w:ascii="宋体" w:hAnsi="宋体" w:eastAsia="宋体" w:cs="宋体"/>
          <w:b w:val="0"/>
          <w:color w:val="auto"/>
          <w:sz w:val="21"/>
          <w:szCs w:val="21"/>
          <w:highlight w:val="none"/>
        </w:rPr>
        <w:t>.9化石、文物</w:t>
      </w:r>
      <w:bookmarkEnd w:id="284"/>
    </w:p>
    <w:bookmarkEnd w:id="285"/>
    <w:bookmarkEnd w:id="286"/>
    <w:bookmarkEnd w:id="287"/>
    <w:p w14:paraId="0C89AC0F">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3A61FFD2">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发包人、监理人和承包人应按有关政府行政管理部门要求采取妥善的保护措施，由此增加的费用和（或）延误的工期由发包人承担。</w:t>
      </w:r>
    </w:p>
    <w:p w14:paraId="4B946622">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承包人发现文物后不及时报告或隐瞒不报，致使文物丢失或损坏的，应赔偿损失，并承担相应的法律责任。</w:t>
      </w:r>
    </w:p>
    <w:p w14:paraId="200F65A9">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288" w:name="_Toc351203505"/>
      <w:r>
        <w:rPr>
          <w:rFonts w:hint="eastAsia" w:ascii="宋体" w:hAnsi="宋体" w:eastAsia="宋体" w:cs="宋体"/>
          <w:b w:val="0"/>
          <w:color w:val="auto"/>
          <w:sz w:val="21"/>
          <w:szCs w:val="21"/>
          <w:highlight w:val="none"/>
        </w:rPr>
        <w:t>1</w:t>
      </w:r>
      <w:bookmarkStart w:id="289" w:name="_Toc337558736"/>
      <w:r>
        <w:rPr>
          <w:rFonts w:hint="eastAsia" w:ascii="宋体" w:hAnsi="宋体" w:eastAsia="宋体" w:cs="宋体"/>
          <w:b w:val="0"/>
          <w:color w:val="auto"/>
          <w:sz w:val="21"/>
          <w:szCs w:val="21"/>
          <w:highlight w:val="none"/>
        </w:rPr>
        <w:t>.10交通运输</w:t>
      </w:r>
      <w:bookmarkEnd w:id="288"/>
    </w:p>
    <w:bookmarkEnd w:id="289"/>
    <w:p w14:paraId="59FD6238">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1.10.1 出入现场的权利</w:t>
      </w:r>
    </w:p>
    <w:p w14:paraId="5726B9D6">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225C1E61">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14:paraId="0347D932">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1.10.2 场外交通</w:t>
      </w:r>
    </w:p>
    <w:p w14:paraId="03F2D7B5">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29372FD7">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1.10.3场内交通</w:t>
      </w:r>
    </w:p>
    <w:p w14:paraId="4194A023">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5DCB2ACF">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7ED79E7D">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场外交通和场内交通的边界由合同当事人在专用合同条款中约定。</w:t>
      </w:r>
    </w:p>
    <w:p w14:paraId="0513F95E">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1.10.4 超大件和超重件的运输</w:t>
      </w:r>
    </w:p>
    <w:p w14:paraId="1D3D383B">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172F73F9">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1.10.5 道路和桥梁的损坏责任</w:t>
      </w:r>
    </w:p>
    <w:p w14:paraId="7A744D55">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因承包人运输造成施工场地内外公共道路和桥梁损坏的，由承包人承担修复损坏的全部费用和可能引起的赔偿。</w:t>
      </w:r>
    </w:p>
    <w:p w14:paraId="0FFFFEAC">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1.10.6 水路和航空运输</w:t>
      </w:r>
    </w:p>
    <w:p w14:paraId="77109127">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本款前述各项的内容适用于水路运输和航空运输，其中“道路”一词的涵义包括河道、航线、船闸、机场、码头、堤防以及水路或航空运输中其他相似结构物；“车辆”一词的涵义包括船舶和飞机等。</w:t>
      </w:r>
    </w:p>
    <w:p w14:paraId="29EDFBBF">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290" w:name="_Toc351203506"/>
      <w:r>
        <w:rPr>
          <w:rFonts w:hint="eastAsia" w:ascii="宋体" w:hAnsi="宋体" w:eastAsia="宋体" w:cs="宋体"/>
          <w:b w:val="0"/>
          <w:color w:val="auto"/>
          <w:sz w:val="21"/>
          <w:szCs w:val="21"/>
          <w:highlight w:val="none"/>
        </w:rPr>
        <w:t>1</w:t>
      </w:r>
      <w:bookmarkStart w:id="291" w:name="_Toc337558737"/>
      <w:bookmarkStart w:id="292" w:name="_Toc296346538"/>
      <w:bookmarkStart w:id="293" w:name="_Toc296503037"/>
      <w:r>
        <w:rPr>
          <w:rFonts w:hint="eastAsia" w:ascii="宋体" w:hAnsi="宋体" w:eastAsia="宋体" w:cs="宋体"/>
          <w:b w:val="0"/>
          <w:color w:val="auto"/>
          <w:sz w:val="21"/>
          <w:szCs w:val="21"/>
          <w:highlight w:val="none"/>
        </w:rPr>
        <w:t>.11知识产权</w:t>
      </w:r>
      <w:bookmarkEnd w:id="290"/>
      <w:r>
        <w:rPr>
          <w:rFonts w:hint="eastAsia" w:ascii="宋体" w:hAnsi="宋体" w:eastAsia="宋体" w:cs="宋体"/>
          <w:b w:val="0"/>
          <w:color w:val="auto"/>
          <w:sz w:val="21"/>
          <w:szCs w:val="21"/>
          <w:highlight w:val="none"/>
        </w:rPr>
        <w:t xml:space="preserve"> </w:t>
      </w:r>
      <w:bookmarkEnd w:id="291"/>
    </w:p>
    <w:bookmarkEnd w:id="292"/>
    <w:bookmarkEnd w:id="293"/>
    <w:p w14:paraId="0D3ECC8D">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7DD1C429">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5A9BDE08">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33A702F6">
      <w:pPr>
        <w:keepNext w:val="0"/>
        <w:keepLines w:val="0"/>
        <w:pageBreakBefore w:val="0"/>
        <w:widowControl w:val="0"/>
        <w:kinsoku/>
        <w:wordWrap/>
        <w:overflowPunct/>
        <w:topLinePunct w:val="0"/>
        <w:bidi w:val="0"/>
        <w:snapToGrid/>
        <w:spacing w:line="390" w:lineRule="exact"/>
        <w:ind w:left="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sz w:val="21"/>
          <w:szCs w:val="21"/>
          <w:highlight w:val="none"/>
        </w:rPr>
        <w:t>1.11.4 除专用合同条款另有约定外，承包人在合同签订前和签订时已确定采用的专利、专有技术、技术秘密的使用费已包含在签约合同价中。</w:t>
      </w:r>
    </w:p>
    <w:p w14:paraId="7729BFE6">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294" w:name="_Toc351203507"/>
      <w:r>
        <w:rPr>
          <w:rFonts w:hint="eastAsia" w:ascii="宋体" w:hAnsi="宋体" w:eastAsia="宋体" w:cs="宋体"/>
          <w:b w:val="0"/>
          <w:color w:val="auto"/>
          <w:sz w:val="21"/>
          <w:szCs w:val="21"/>
          <w:highlight w:val="none"/>
        </w:rPr>
        <w:t>1</w:t>
      </w:r>
      <w:bookmarkStart w:id="295" w:name="_Toc337558738"/>
      <w:r>
        <w:rPr>
          <w:rFonts w:hint="eastAsia" w:ascii="宋体" w:hAnsi="宋体" w:eastAsia="宋体" w:cs="宋体"/>
          <w:b w:val="0"/>
          <w:color w:val="auto"/>
          <w:sz w:val="21"/>
          <w:szCs w:val="21"/>
          <w:highlight w:val="none"/>
        </w:rPr>
        <w:t>.12保密</w:t>
      </w:r>
      <w:bookmarkEnd w:id="294"/>
    </w:p>
    <w:bookmarkEnd w:id="295"/>
    <w:p w14:paraId="2FBA5D8F">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除法律规定或合同另有约定外，未经发包人同意，承包人不得将发包人提供的图纸、文件以及声明需要保密的资料信息等商业秘密泄露给第三方。</w:t>
      </w:r>
    </w:p>
    <w:p w14:paraId="2C50EF9D">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除法律规定或合同另有约定外，未经承包人同意，发包人不得将承包人提供的技术秘密及声明需要保密的资料信息等商业秘密泄露给第三方。</w:t>
      </w:r>
    </w:p>
    <w:p w14:paraId="4B1D8682">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296" w:name="_Toc351203508"/>
      <w:r>
        <w:rPr>
          <w:rFonts w:hint="eastAsia" w:ascii="宋体" w:hAnsi="宋体" w:eastAsia="宋体" w:cs="宋体"/>
          <w:b w:val="0"/>
          <w:color w:val="auto"/>
          <w:sz w:val="21"/>
          <w:szCs w:val="21"/>
          <w:highlight w:val="none"/>
        </w:rPr>
        <w:t>1.13工程量清单错误的修正</w:t>
      </w:r>
      <w:bookmarkEnd w:id="296"/>
    </w:p>
    <w:p w14:paraId="30B4A946">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除专用合同条款另有约定外，发包人提供的工程量清单，应被认为是准确的和完整的。出现下列情形之一时，发包人应予以修正，并相应调整合同价格：</w:t>
      </w:r>
    </w:p>
    <w:p w14:paraId="693676D4">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（1）工程量清单存在缺项、漏项的；</w:t>
      </w:r>
    </w:p>
    <w:p w14:paraId="465F4BB5">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（2）工程量清单偏差超出专用合同条款约定的工程量偏差范围的；</w:t>
      </w:r>
    </w:p>
    <w:p w14:paraId="2AF7CFE3">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（3）未按照国家现行计量规范强制性规定计量的。</w:t>
      </w:r>
    </w:p>
    <w:p w14:paraId="796EF870">
      <w:pPr>
        <w:pStyle w:val="40"/>
        <w:keepNext w:val="0"/>
        <w:keepLines w:val="0"/>
        <w:pageBreakBefore w:val="0"/>
        <w:widowControl w:val="0"/>
        <w:wordWrap/>
        <w:topLinePunct w:val="0"/>
        <w:bidi w:val="0"/>
        <w:adjustRightInd w:val="0"/>
        <w:snapToGrid w:val="0"/>
        <w:spacing w:line="400" w:lineRule="exact"/>
        <w:ind w:left="0" w:leftChars="0" w:firstLine="0" w:firstLineChars="0"/>
        <w:outlineLvl w:val="2"/>
        <w:rPr>
          <w:rFonts w:hint="eastAsia" w:ascii="宋体" w:hAnsi="宋体" w:eastAsia="宋体" w:cs="宋体"/>
          <w:b w:val="0"/>
          <w:color w:val="auto"/>
          <w:sz w:val="21"/>
          <w:szCs w:val="21"/>
          <w:highlight w:val="none"/>
        </w:rPr>
      </w:pPr>
      <w:bookmarkStart w:id="297" w:name="_Toc351203509"/>
      <w:r>
        <w:rPr>
          <w:rFonts w:hint="eastAsia" w:ascii="宋体" w:hAnsi="宋体" w:eastAsia="宋体" w:cs="宋体"/>
          <w:b w:val="0"/>
          <w:color w:val="auto"/>
          <w:sz w:val="21"/>
          <w:szCs w:val="21"/>
          <w:highlight w:val="none"/>
        </w:rPr>
        <w:t>2</w:t>
      </w:r>
      <w:bookmarkStart w:id="298" w:name="_Toc337558739"/>
      <w:bookmarkStart w:id="299" w:name="_Toc296503038"/>
      <w:bookmarkStart w:id="300" w:name="_Toc296346539"/>
      <w:bookmarkStart w:id="301" w:name="OLE_LINK2"/>
      <w:r>
        <w:rPr>
          <w:rFonts w:hint="eastAsia" w:ascii="宋体" w:hAnsi="宋体" w:eastAsia="宋体" w:cs="宋体"/>
          <w:b w:val="0"/>
          <w:color w:val="auto"/>
          <w:sz w:val="21"/>
          <w:szCs w:val="21"/>
          <w:highlight w:val="none"/>
        </w:rPr>
        <w:t>. 发包人</w:t>
      </w:r>
      <w:bookmarkEnd w:id="297"/>
    </w:p>
    <w:bookmarkEnd w:id="298"/>
    <w:bookmarkEnd w:id="299"/>
    <w:bookmarkEnd w:id="300"/>
    <w:p w14:paraId="53AA4593">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302" w:name="_Toc351203510"/>
      <w:r>
        <w:rPr>
          <w:rFonts w:hint="eastAsia" w:ascii="宋体" w:hAnsi="宋体" w:eastAsia="宋体" w:cs="宋体"/>
          <w:b w:val="0"/>
          <w:color w:val="auto"/>
          <w:sz w:val="21"/>
          <w:szCs w:val="21"/>
          <w:highlight w:val="none"/>
        </w:rPr>
        <w:t>2</w:t>
      </w:r>
      <w:bookmarkStart w:id="303" w:name="_Toc337558740"/>
      <w:bookmarkStart w:id="304" w:name="_Toc296346540"/>
      <w:bookmarkStart w:id="305" w:name="_Toc296503039"/>
      <w:r>
        <w:rPr>
          <w:rFonts w:hint="eastAsia" w:ascii="宋体" w:hAnsi="宋体" w:eastAsia="宋体" w:cs="宋体"/>
          <w:b w:val="0"/>
          <w:color w:val="auto"/>
          <w:sz w:val="21"/>
          <w:szCs w:val="21"/>
          <w:highlight w:val="none"/>
        </w:rPr>
        <w:t>.1 许可或批准</w:t>
      </w:r>
      <w:bookmarkEnd w:id="302"/>
    </w:p>
    <w:p w14:paraId="34A2AECD">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080CA956">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因发包人原因未能及时办理完毕前述许可、批准或备案，由发包人承担由此增加的费用和（或）延误的工期，并支付承包人合理的利润。</w:t>
      </w:r>
    </w:p>
    <w:p w14:paraId="157E1E8B">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306" w:name="_Toc351203511"/>
      <w:r>
        <w:rPr>
          <w:rFonts w:hint="eastAsia" w:ascii="宋体" w:hAnsi="宋体" w:eastAsia="宋体" w:cs="宋体"/>
          <w:b w:val="0"/>
          <w:color w:val="auto"/>
          <w:sz w:val="21"/>
          <w:szCs w:val="21"/>
          <w:highlight w:val="none"/>
        </w:rPr>
        <w:t>2.2 发包人代表</w:t>
      </w:r>
      <w:bookmarkEnd w:id="306"/>
    </w:p>
    <w:p w14:paraId="1D903EB3">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751555DE">
      <w:pPr>
        <w:keepNext w:val="0"/>
        <w:keepLines w:val="0"/>
        <w:pageBreakBefore w:val="0"/>
        <w:widowControl w:val="0"/>
        <w:kinsoku/>
        <w:wordWrap/>
        <w:overflowPunct/>
        <w:topLinePunct w:val="0"/>
        <w:bidi w:val="0"/>
        <w:snapToGrid/>
        <w:spacing w:line="390" w:lineRule="exact"/>
        <w:ind w:left="0" w:firstLine="420" w:firstLineChars="20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发包人代表不能按照合同约定履行其职责及义务，并导致合同无法继续正常履行的，承包人可以要求发包人撤换发包人代表。</w:t>
      </w:r>
    </w:p>
    <w:p w14:paraId="7C09A591">
      <w:pPr>
        <w:keepNext w:val="0"/>
        <w:keepLines w:val="0"/>
        <w:pageBreakBefore w:val="0"/>
        <w:widowControl w:val="0"/>
        <w:kinsoku/>
        <w:wordWrap/>
        <w:overflowPunct/>
        <w:topLinePunct w:val="0"/>
        <w:bidi w:val="0"/>
        <w:snapToGrid/>
        <w:spacing w:line="390" w:lineRule="exact"/>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不属于法定必须监理的工程，监理人的职权可以由发包人代表或发包人指定的其他人员行使。</w:t>
      </w:r>
    </w:p>
    <w:p w14:paraId="31F8BEFC">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307" w:name="_Toc351203512"/>
      <w:r>
        <w:rPr>
          <w:rFonts w:hint="eastAsia" w:ascii="宋体" w:hAnsi="宋体" w:eastAsia="宋体" w:cs="宋体"/>
          <w:b w:val="0"/>
          <w:color w:val="auto"/>
          <w:sz w:val="21"/>
          <w:szCs w:val="21"/>
          <w:highlight w:val="none"/>
        </w:rPr>
        <w:t>2.3 发包人人员</w:t>
      </w:r>
      <w:bookmarkEnd w:id="307"/>
    </w:p>
    <w:p w14:paraId="6414C207">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发包人应要求在施工现场的发包人人员遵守法律及有关安全、质量、环境保护、文明施工等规定，并保障承包人免于承受因发包人人员未遵守上述要求给承包人造成的损失和责任。</w:t>
      </w:r>
    </w:p>
    <w:p w14:paraId="61B5673A">
      <w:pPr>
        <w:keepNext w:val="0"/>
        <w:keepLines w:val="0"/>
        <w:pageBreakBefore w:val="0"/>
        <w:widowControl w:val="0"/>
        <w:kinsoku/>
        <w:wordWrap/>
        <w:overflowPunct/>
        <w:topLinePunct w:val="0"/>
        <w:bidi w:val="0"/>
        <w:snapToGrid/>
        <w:spacing w:line="390" w:lineRule="exact"/>
        <w:ind w:left="0" w:firstLine="64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发包人人员包括发包人代表及其他由发包人派驻施工现场的人员。</w:t>
      </w:r>
      <w:bookmarkEnd w:id="303"/>
      <w:bookmarkEnd w:id="304"/>
      <w:bookmarkEnd w:id="305"/>
    </w:p>
    <w:p w14:paraId="0532EA5A">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308" w:name="_Toc351203513"/>
      <w:r>
        <w:rPr>
          <w:rFonts w:hint="eastAsia" w:ascii="宋体" w:hAnsi="宋体" w:eastAsia="宋体" w:cs="宋体"/>
          <w:b w:val="0"/>
          <w:color w:val="auto"/>
          <w:sz w:val="21"/>
          <w:szCs w:val="21"/>
          <w:highlight w:val="none"/>
        </w:rPr>
        <w:t>2</w:t>
      </w:r>
      <w:bookmarkStart w:id="309" w:name="_Toc296503040"/>
      <w:bookmarkStart w:id="310" w:name="_Toc337558741"/>
      <w:bookmarkStart w:id="311" w:name="_Toc296346541"/>
      <w:r>
        <w:rPr>
          <w:rFonts w:hint="eastAsia" w:ascii="宋体" w:hAnsi="宋体" w:eastAsia="宋体" w:cs="宋体"/>
          <w:b w:val="0"/>
          <w:color w:val="auto"/>
          <w:sz w:val="21"/>
          <w:szCs w:val="21"/>
          <w:highlight w:val="none"/>
        </w:rPr>
        <w:t>.4 施工现场、施工条件和基础资料的提供</w:t>
      </w:r>
      <w:bookmarkEnd w:id="308"/>
      <w:r>
        <w:rPr>
          <w:rFonts w:hint="eastAsia" w:ascii="宋体" w:hAnsi="宋体" w:eastAsia="宋体" w:cs="宋体"/>
          <w:b w:val="0"/>
          <w:color w:val="auto"/>
          <w:sz w:val="21"/>
          <w:szCs w:val="21"/>
          <w:highlight w:val="none"/>
        </w:rPr>
        <w:t xml:space="preserve"> </w:t>
      </w:r>
      <w:bookmarkEnd w:id="309"/>
      <w:bookmarkEnd w:id="310"/>
      <w:bookmarkEnd w:id="311"/>
      <w:r>
        <w:rPr>
          <w:rFonts w:hint="eastAsia" w:ascii="宋体" w:hAnsi="宋体" w:eastAsia="宋体" w:cs="宋体"/>
          <w:b w:val="0"/>
          <w:color w:val="auto"/>
          <w:sz w:val="21"/>
          <w:szCs w:val="21"/>
          <w:highlight w:val="none"/>
        </w:rPr>
        <w:t xml:space="preserve"> </w:t>
      </w:r>
    </w:p>
    <w:p w14:paraId="4A3D11B3">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2.4.1 提供施工现场</w:t>
      </w:r>
    </w:p>
    <w:p w14:paraId="4027B6DA">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w:t>
      </w:r>
      <w:bookmarkEnd w:id="301"/>
      <w:r>
        <w:rPr>
          <w:rFonts w:hint="eastAsia" w:ascii="宋体" w:hAnsi="宋体" w:eastAsia="宋体" w:cs="宋体"/>
          <w:color w:val="auto"/>
          <w:kern w:val="0"/>
          <w:sz w:val="21"/>
          <w:szCs w:val="21"/>
          <w:highlight w:val="none"/>
        </w:rPr>
        <w:t>专用合同条款另有约定外，发包人应最迟于开工日期7天前向承包人移交施工现场。</w:t>
      </w:r>
    </w:p>
    <w:p w14:paraId="4084C048">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2.4.2 提供施工条件</w:t>
      </w:r>
    </w:p>
    <w:p w14:paraId="3B2DC051">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除专用合同条款另有约定外，发包人应负责提供施工所需要的条件，包括：</w:t>
      </w:r>
    </w:p>
    <w:p w14:paraId="3DF3E774">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（1）将施工用水、电力、通讯线路等施工所必需的条件接至施工现场内；</w:t>
      </w:r>
    </w:p>
    <w:p w14:paraId="5D90F377">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（2）保证向承包人提供正常施工所需要的进入施工现场的交通条件；</w:t>
      </w:r>
    </w:p>
    <w:p w14:paraId="210EFEB5">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（3）协调处理施工现场周围地下管线和邻近建筑物、构筑物、古树名木的保护工作，并承担相关费用；</w:t>
      </w:r>
    </w:p>
    <w:p w14:paraId="3C8D94BA">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（4）按照专用合同条款约定应提供的其他设施和条件。</w:t>
      </w:r>
    </w:p>
    <w:p w14:paraId="37DAD709">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2.4.3 提供基础资料</w:t>
      </w:r>
    </w:p>
    <w:p w14:paraId="12795A8D">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5F959957">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按照法律规定确需在开工后方能提供的基础资料，发包人应尽其努力及时地在相应工程施工前的合理期限内提供，合理期限应以不影响承包人的正常施工为限。</w:t>
      </w:r>
    </w:p>
    <w:p w14:paraId="3E9DE389">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2.4.4 逾期提供的责任</w:t>
      </w:r>
    </w:p>
    <w:p w14:paraId="57001975">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因发包人原因未能按合同约定及时向承包人提供施工现场、施工条件、基础资料的，由发包人承担由此增加的费用和（或）延误的工期。</w:t>
      </w:r>
    </w:p>
    <w:p w14:paraId="5D66904B">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312" w:name="_Toc351203514"/>
      <w:r>
        <w:rPr>
          <w:rFonts w:hint="eastAsia" w:ascii="宋体" w:hAnsi="宋体" w:eastAsia="宋体" w:cs="宋体"/>
          <w:b w:val="0"/>
          <w:color w:val="auto"/>
          <w:sz w:val="21"/>
          <w:szCs w:val="21"/>
          <w:highlight w:val="none"/>
        </w:rPr>
        <w:t>2</w:t>
      </w:r>
      <w:bookmarkStart w:id="313" w:name="_Toc296346543"/>
      <w:bookmarkStart w:id="314" w:name="_Toc296503042"/>
      <w:bookmarkStart w:id="315" w:name="_Toc337558745"/>
      <w:r>
        <w:rPr>
          <w:rFonts w:hint="eastAsia" w:ascii="宋体" w:hAnsi="宋体" w:eastAsia="宋体" w:cs="宋体"/>
          <w:b w:val="0"/>
          <w:color w:val="auto"/>
          <w:sz w:val="21"/>
          <w:szCs w:val="21"/>
          <w:highlight w:val="none"/>
        </w:rPr>
        <w:t>.5 资</w:t>
      </w:r>
      <w:bookmarkEnd w:id="313"/>
      <w:bookmarkEnd w:id="314"/>
      <w:bookmarkEnd w:id="315"/>
      <w:r>
        <w:rPr>
          <w:rFonts w:hint="eastAsia" w:ascii="宋体" w:hAnsi="宋体" w:eastAsia="宋体" w:cs="宋体"/>
          <w:b w:val="0"/>
          <w:color w:val="auto"/>
          <w:sz w:val="21"/>
          <w:szCs w:val="21"/>
          <w:highlight w:val="none"/>
        </w:rPr>
        <w:t>金来源证明及支付担保</w:t>
      </w:r>
      <w:bookmarkEnd w:id="312"/>
    </w:p>
    <w:p w14:paraId="354B2C68">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除专用合同条款另有约定外，发包人应在收到承包人要求提供资金来源证明的书面通知后28天内，向承包人提供能够按照合同约定支付合同价款的相应资金来源证明。</w:t>
      </w:r>
    </w:p>
    <w:p w14:paraId="015FD4DD">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除专用合同条款另有约定外，发包人要求承包人提供履约担保的，发包人应当向承包人提供支付担保。支付担保可以采用银行保函或担保公司担保等形式，具体由合同当事人在专用合同条款中约定。</w:t>
      </w:r>
    </w:p>
    <w:p w14:paraId="3B730AB9">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316" w:name="_Toc351203515"/>
      <w:r>
        <w:rPr>
          <w:rFonts w:hint="eastAsia" w:ascii="宋体" w:hAnsi="宋体" w:eastAsia="宋体" w:cs="宋体"/>
          <w:b w:val="0"/>
          <w:color w:val="auto"/>
          <w:sz w:val="21"/>
          <w:szCs w:val="21"/>
          <w:highlight w:val="none"/>
        </w:rPr>
        <w:t>2.6 支付合同价款</w:t>
      </w:r>
      <w:bookmarkEnd w:id="316"/>
    </w:p>
    <w:p w14:paraId="201E14AE">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发包人应按合同约定向承包人及时支付合同价款。</w:t>
      </w:r>
    </w:p>
    <w:p w14:paraId="240DA6D0">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317" w:name="_Toc351203516"/>
      <w:r>
        <w:rPr>
          <w:rFonts w:hint="eastAsia" w:ascii="宋体" w:hAnsi="宋体" w:eastAsia="宋体" w:cs="宋体"/>
          <w:b w:val="0"/>
          <w:color w:val="auto"/>
          <w:sz w:val="21"/>
          <w:szCs w:val="21"/>
          <w:highlight w:val="none"/>
        </w:rPr>
        <w:t>2.7 组织竣工验收</w:t>
      </w:r>
      <w:bookmarkEnd w:id="317"/>
    </w:p>
    <w:p w14:paraId="032763B1">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发包人应按合同约定及时组织竣工验收。</w:t>
      </w:r>
    </w:p>
    <w:p w14:paraId="12D391CB">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318" w:name="_Toc351203517"/>
      <w:r>
        <w:rPr>
          <w:rFonts w:hint="eastAsia" w:ascii="宋体" w:hAnsi="宋体" w:eastAsia="宋体" w:cs="宋体"/>
          <w:b w:val="0"/>
          <w:color w:val="auto"/>
          <w:sz w:val="21"/>
          <w:szCs w:val="21"/>
          <w:highlight w:val="none"/>
        </w:rPr>
        <w:t>2.8 现场统一管理协议</w:t>
      </w:r>
      <w:bookmarkEnd w:id="318"/>
    </w:p>
    <w:p w14:paraId="451E9572">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发包人应与承包人、由发包人直接发包的专业工程的承包人签订施工现场统一管理协议，明确各方的权利义务。施工现场统一管理协议作为专用合同条款的附件。</w:t>
      </w:r>
    </w:p>
    <w:p w14:paraId="2F2314B5">
      <w:pPr>
        <w:pStyle w:val="40"/>
        <w:keepNext w:val="0"/>
        <w:keepLines w:val="0"/>
        <w:pageBreakBefore w:val="0"/>
        <w:widowControl w:val="0"/>
        <w:wordWrap/>
        <w:topLinePunct w:val="0"/>
        <w:bidi w:val="0"/>
        <w:adjustRightInd w:val="0"/>
        <w:snapToGrid w:val="0"/>
        <w:spacing w:line="400" w:lineRule="exact"/>
        <w:ind w:left="0" w:leftChars="0" w:firstLine="0" w:firstLineChars="0"/>
        <w:outlineLvl w:val="2"/>
        <w:rPr>
          <w:rFonts w:hint="eastAsia" w:ascii="宋体" w:hAnsi="宋体" w:eastAsia="宋体" w:cs="宋体"/>
          <w:b w:val="0"/>
          <w:color w:val="auto"/>
          <w:sz w:val="21"/>
          <w:szCs w:val="21"/>
          <w:highlight w:val="none"/>
        </w:rPr>
      </w:pPr>
      <w:bookmarkStart w:id="319" w:name="_Toc351203518"/>
      <w:r>
        <w:rPr>
          <w:rFonts w:hint="eastAsia" w:ascii="宋体" w:hAnsi="宋体" w:eastAsia="宋体" w:cs="宋体"/>
          <w:b w:val="0"/>
          <w:color w:val="auto"/>
          <w:sz w:val="21"/>
          <w:szCs w:val="21"/>
          <w:highlight w:val="none"/>
        </w:rPr>
        <w:t>3</w:t>
      </w:r>
      <w:bookmarkStart w:id="320" w:name="_Toc296346546"/>
      <w:bookmarkStart w:id="321" w:name="_Toc337558746"/>
      <w:bookmarkStart w:id="322" w:name="_Toc296503045"/>
      <w:r>
        <w:rPr>
          <w:rFonts w:hint="eastAsia" w:ascii="宋体" w:hAnsi="宋体" w:eastAsia="宋体" w:cs="宋体"/>
          <w:b w:val="0"/>
          <w:color w:val="auto"/>
          <w:sz w:val="21"/>
          <w:szCs w:val="21"/>
          <w:highlight w:val="none"/>
        </w:rPr>
        <w:t>. 承包人</w:t>
      </w:r>
      <w:bookmarkEnd w:id="319"/>
    </w:p>
    <w:bookmarkEnd w:id="320"/>
    <w:bookmarkEnd w:id="321"/>
    <w:bookmarkEnd w:id="322"/>
    <w:p w14:paraId="238C4A37">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323" w:name="_Toc351203519"/>
      <w:r>
        <w:rPr>
          <w:rFonts w:hint="eastAsia" w:ascii="宋体" w:hAnsi="宋体" w:eastAsia="宋体" w:cs="宋体"/>
          <w:b w:val="0"/>
          <w:color w:val="auto"/>
          <w:sz w:val="21"/>
          <w:szCs w:val="21"/>
          <w:highlight w:val="none"/>
        </w:rPr>
        <w:t>3</w:t>
      </w:r>
      <w:bookmarkStart w:id="324" w:name="_Toc296346547"/>
      <w:bookmarkStart w:id="325" w:name="_Toc296503046"/>
      <w:bookmarkStart w:id="326" w:name="_Toc337558747"/>
      <w:r>
        <w:rPr>
          <w:rFonts w:hint="eastAsia" w:ascii="宋体" w:hAnsi="宋体" w:eastAsia="宋体" w:cs="宋体"/>
          <w:b w:val="0"/>
          <w:color w:val="auto"/>
          <w:sz w:val="21"/>
          <w:szCs w:val="21"/>
          <w:highlight w:val="none"/>
        </w:rPr>
        <w:t>.1 承包人的一般义务</w:t>
      </w:r>
      <w:bookmarkEnd w:id="323"/>
    </w:p>
    <w:bookmarkEnd w:id="324"/>
    <w:bookmarkEnd w:id="325"/>
    <w:bookmarkEnd w:id="326"/>
    <w:p w14:paraId="58934C83">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承包人在履行合同过程中应遵守法律和工程建设标准规范，并履行以下义务：</w:t>
      </w:r>
    </w:p>
    <w:p w14:paraId="7807DBB4">
      <w:pPr>
        <w:keepNext w:val="0"/>
        <w:keepLines w:val="0"/>
        <w:pageBreakBefore w:val="0"/>
        <w:widowControl w:val="0"/>
        <w:numPr>
          <w:ilvl w:val="0"/>
          <w:numId w:val="6"/>
        </w:numPr>
        <w:kinsoku/>
        <w:wordWrap/>
        <w:overflowPunct/>
        <w:topLinePunct w:val="0"/>
        <w:autoSpaceDE w:val="0"/>
        <w:autoSpaceDN w:val="0"/>
        <w:bidi w:val="0"/>
        <w:adjustRightInd w:val="0"/>
        <w:snapToGrid/>
        <w:spacing w:line="390" w:lineRule="exact"/>
        <w:ind w:left="482" w:leftChars="0" w:firstLine="420" w:firstLineChars="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办理法律规定应由承包人办理的许可和批准，并将办理结果书面报送发包人留存；</w:t>
      </w:r>
    </w:p>
    <w:p w14:paraId="28CF6033">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（2）按法律规定和合同约定完成工程，并在保修期内承担保修义务；</w:t>
      </w:r>
    </w:p>
    <w:p w14:paraId="0C24A380">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（3）按法律规定和合同约定采取施工安全和环境保护措施，办理工伤保险，确保工程及人员、材料、设备和设施的安全；</w:t>
      </w:r>
    </w:p>
    <w:p w14:paraId="7A22F1C7">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（4）按合同约定的工作内容和施工进度要求，编制施工组织设计和施工措施计划，并对所有施工作业和施工方法的完备性和安全可靠性负责；</w:t>
      </w:r>
    </w:p>
    <w:p w14:paraId="4C4639A5">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5DAC5C26">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（6）按照第6.3款〔环境保护〕约定负责施工场地及其周边环境与生态的保护工作；</w:t>
      </w:r>
    </w:p>
    <w:p w14:paraId="353E8066">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（7）按第6.1款〔安全文明施工〕约定采取施工安全措施，确保工程及其人员、材料、设备和设施的安全，防止因工程施工造成的人身伤害和财产损失；</w:t>
      </w:r>
    </w:p>
    <w:p w14:paraId="447443E4">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（8）将发包人按合同约定支付的各项价款专用于合同工程，且应及时支付其雇用人员工资，并及时向分包人支付合同价款；</w:t>
      </w:r>
    </w:p>
    <w:p w14:paraId="6BCEF7DF">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（9）按照法律规定和合同约定编制竣工资料，完成竣工资料立卷及归档，并按专用合同条款约定的竣工资料的套数、内容、时间等要求移交发包人；</w:t>
      </w:r>
    </w:p>
    <w:p w14:paraId="7BB3E34C">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（10）应履行的其他义务。</w:t>
      </w:r>
    </w:p>
    <w:p w14:paraId="035C3DEB">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327" w:name="_Toc351203520"/>
      <w:r>
        <w:rPr>
          <w:rFonts w:hint="eastAsia" w:ascii="宋体" w:hAnsi="宋体" w:eastAsia="宋体" w:cs="宋体"/>
          <w:b w:val="0"/>
          <w:color w:val="auto"/>
          <w:sz w:val="21"/>
          <w:szCs w:val="21"/>
          <w:highlight w:val="none"/>
        </w:rPr>
        <w:t>3</w:t>
      </w:r>
      <w:bookmarkStart w:id="328" w:name="_Toc296503047"/>
      <w:bookmarkStart w:id="329" w:name="_Toc296346548"/>
      <w:bookmarkStart w:id="330" w:name="_Toc337558748"/>
      <w:r>
        <w:rPr>
          <w:rFonts w:hint="eastAsia" w:ascii="宋体" w:hAnsi="宋体" w:eastAsia="宋体" w:cs="宋体"/>
          <w:b w:val="0"/>
          <w:color w:val="auto"/>
          <w:sz w:val="21"/>
          <w:szCs w:val="21"/>
          <w:highlight w:val="none"/>
        </w:rPr>
        <w:t xml:space="preserve">.2 </w:t>
      </w:r>
      <w:bookmarkEnd w:id="327"/>
      <w:r>
        <w:rPr>
          <w:rFonts w:hint="eastAsia" w:ascii="宋体" w:hAnsi="宋体" w:eastAsia="宋体" w:cs="宋体"/>
          <w:b w:val="0"/>
          <w:color w:val="auto"/>
          <w:sz w:val="21"/>
          <w:szCs w:val="21"/>
          <w:highlight w:val="none"/>
        </w:rPr>
        <w:t>项目经理</w:t>
      </w:r>
    </w:p>
    <w:bookmarkEnd w:id="328"/>
    <w:bookmarkEnd w:id="329"/>
    <w:bookmarkEnd w:id="330"/>
    <w:p w14:paraId="58CA9C00">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2E396410">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2F5F77C2">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承包人违反上述约定的，应按照专用合同条款的约定，承担违约责任。</w:t>
      </w:r>
    </w:p>
    <w:p w14:paraId="194887A5">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2157FF7D">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50FBC361">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48B7B4D6">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3.2.5 项目经理因特殊情况授权其下属人员履行其某项工作职责的，该下属人员应具备履行相应职责的能力，并应提前7天将上述人员的姓名和授权范围书面通知监理人，并征得发包人书面同意。</w:t>
      </w:r>
    </w:p>
    <w:p w14:paraId="71B91AFE">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331" w:name="_Toc351203521"/>
      <w:r>
        <w:rPr>
          <w:rFonts w:hint="eastAsia" w:ascii="宋体" w:hAnsi="宋体" w:eastAsia="宋体" w:cs="宋体"/>
          <w:b w:val="0"/>
          <w:color w:val="auto"/>
          <w:sz w:val="21"/>
          <w:szCs w:val="21"/>
          <w:highlight w:val="none"/>
        </w:rPr>
        <w:t>3</w:t>
      </w:r>
      <w:bookmarkStart w:id="332" w:name="_Toc296503048"/>
      <w:bookmarkStart w:id="333" w:name="_Toc296346549"/>
      <w:bookmarkStart w:id="334" w:name="_Toc337558749"/>
      <w:r>
        <w:rPr>
          <w:rFonts w:hint="eastAsia" w:ascii="宋体" w:hAnsi="宋体" w:eastAsia="宋体" w:cs="宋体"/>
          <w:b w:val="0"/>
          <w:color w:val="auto"/>
          <w:sz w:val="21"/>
          <w:szCs w:val="21"/>
          <w:highlight w:val="none"/>
        </w:rPr>
        <w:t xml:space="preserve">.3 </w:t>
      </w:r>
      <w:bookmarkEnd w:id="332"/>
      <w:bookmarkEnd w:id="333"/>
      <w:r>
        <w:rPr>
          <w:rFonts w:hint="eastAsia" w:ascii="宋体" w:hAnsi="宋体" w:eastAsia="宋体" w:cs="宋体"/>
          <w:b w:val="0"/>
          <w:color w:val="auto"/>
          <w:sz w:val="21"/>
          <w:szCs w:val="21"/>
          <w:highlight w:val="none"/>
        </w:rPr>
        <w:t>承包人人员</w:t>
      </w:r>
      <w:bookmarkEnd w:id="331"/>
    </w:p>
    <w:bookmarkEnd w:id="334"/>
    <w:p w14:paraId="04D9B5FB">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6384CA5D">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75B2807E">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特殊工种作业人员均应持有相应的资格证明，监理人可以随时检查。</w:t>
      </w:r>
    </w:p>
    <w:p w14:paraId="6C4F0EEF">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603A0BEA">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7573E0AF">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3.3.5 承包人擅自更换主要施工管理人员，或前述人员未经监理人或发包人同意擅自离开施工现场的，应按照专用合同条款约定承担违约责任。</w:t>
      </w:r>
    </w:p>
    <w:p w14:paraId="0D4B6678">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335" w:name="_Toc351203522"/>
      <w:r>
        <w:rPr>
          <w:rFonts w:hint="eastAsia" w:ascii="宋体" w:hAnsi="宋体" w:eastAsia="宋体" w:cs="宋体"/>
          <w:b w:val="0"/>
          <w:color w:val="auto"/>
          <w:sz w:val="21"/>
          <w:szCs w:val="21"/>
          <w:highlight w:val="none"/>
        </w:rPr>
        <w:t>3</w:t>
      </w:r>
      <w:bookmarkStart w:id="336" w:name="_Toc296503050"/>
      <w:bookmarkStart w:id="337" w:name="_Toc337558750"/>
      <w:bookmarkStart w:id="338" w:name="_Toc296346551"/>
      <w:r>
        <w:rPr>
          <w:rFonts w:hint="eastAsia" w:ascii="宋体" w:hAnsi="宋体" w:eastAsia="宋体" w:cs="宋体"/>
          <w:b w:val="0"/>
          <w:color w:val="auto"/>
          <w:sz w:val="21"/>
          <w:szCs w:val="21"/>
          <w:highlight w:val="none"/>
        </w:rPr>
        <w:t>.4 承包人现场查勘</w:t>
      </w:r>
      <w:bookmarkEnd w:id="335"/>
    </w:p>
    <w:bookmarkEnd w:id="336"/>
    <w:bookmarkEnd w:id="337"/>
    <w:bookmarkEnd w:id="338"/>
    <w:p w14:paraId="39B4937A">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承包人应对基于发包人按照第2.4.3项〔提供基础资料〕提交的基础资料所做出的解释和推断负责，但因基础资料存在错误、遗漏导致承包人解释或推断失实的，由发包人承担责任。</w:t>
      </w:r>
    </w:p>
    <w:p w14:paraId="589A1849">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6CDA9331">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339" w:name="_Toc351203523"/>
      <w:r>
        <w:rPr>
          <w:rFonts w:hint="eastAsia" w:ascii="宋体" w:hAnsi="宋体" w:eastAsia="宋体" w:cs="宋体"/>
          <w:b w:val="0"/>
          <w:color w:val="auto"/>
          <w:sz w:val="21"/>
          <w:szCs w:val="21"/>
          <w:highlight w:val="none"/>
        </w:rPr>
        <w:t>3</w:t>
      </w:r>
      <w:bookmarkStart w:id="340" w:name="_Toc337558751"/>
      <w:bookmarkStart w:id="341" w:name="_Toc296503051"/>
      <w:bookmarkStart w:id="342" w:name="_Toc296346552"/>
      <w:r>
        <w:rPr>
          <w:rFonts w:hint="eastAsia" w:ascii="宋体" w:hAnsi="宋体" w:eastAsia="宋体" w:cs="宋体"/>
          <w:b w:val="0"/>
          <w:color w:val="auto"/>
          <w:sz w:val="21"/>
          <w:szCs w:val="21"/>
          <w:highlight w:val="none"/>
        </w:rPr>
        <w:t>.5 分包</w:t>
      </w:r>
      <w:bookmarkEnd w:id="339"/>
    </w:p>
    <w:bookmarkEnd w:id="340"/>
    <w:bookmarkEnd w:id="341"/>
    <w:bookmarkEnd w:id="342"/>
    <w:p w14:paraId="36F6454B">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3.5.1 分包的一般约定</w:t>
      </w:r>
    </w:p>
    <w:p w14:paraId="4E3589D2">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37399EFA">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承包人不得以劳务分包的名义转包或违法分包工程。</w:t>
      </w:r>
    </w:p>
    <w:p w14:paraId="0F8AF947">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3.5.2 分包的确定</w:t>
      </w:r>
    </w:p>
    <w:p w14:paraId="57E451D9">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0D6E1C2F">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3.5.3 分包管理</w:t>
      </w:r>
    </w:p>
    <w:p w14:paraId="3BC50D86">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承包人应向监理人提交分包人的主要施工管理人员表，并对分包人的施工人员进行实名制管理，包括但不限于进出场管理、登记造册以及各种证照的办理。</w:t>
      </w:r>
    </w:p>
    <w:p w14:paraId="56704F82">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3.5.4 分包合同价款</w:t>
      </w:r>
    </w:p>
    <w:p w14:paraId="2BC5102B">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（1）除本项第（2）目约定的情况或专用合同条款另有约定外，分包合同价款由承包人与分包人结算，未经承包人同意，发包人不得向分包人支付分包工程价款；</w:t>
      </w:r>
    </w:p>
    <w:p w14:paraId="195C1D44">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（2）生效法律文书要求发包人向分包人支付分包合同价款的，发包人有权从应付承包人工程款中扣除该部分款项。</w:t>
      </w:r>
    </w:p>
    <w:p w14:paraId="128B8851">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3.5.5 分包合同权益的转让</w:t>
      </w:r>
    </w:p>
    <w:p w14:paraId="7CFEF299">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343" w:name="_Toc351203524"/>
    </w:p>
    <w:p w14:paraId="1F79C1B8">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3.6 工程照管与成品、半成品保护</w:t>
      </w:r>
      <w:bookmarkEnd w:id="343"/>
    </w:p>
    <w:p w14:paraId="228B6204">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（1）除专用合同条款另有约定外，自发包人向承包人移交施工现场之日起，承包人应负责照管工程及工程相关的材料、工程设备，直到颁发工程接收证书之日止。</w:t>
      </w:r>
    </w:p>
    <w:p w14:paraId="7CAC43E5">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（2）在承包人负责照管期间，因承包人原因造成工程、材料、工程设备损坏的，由承包人负责修复或更换，并承担由此增加的费用和（或）延误的工期。</w:t>
      </w:r>
    </w:p>
    <w:p w14:paraId="6F669B2D">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（3）对合同内分期完成的成品和半成品，在工程接收证书颁发前，由承包人承担保护责任。因承包人原因造成成品或半成品损坏的，由承包人负责修复或更换，并承担由此增加的费用和（或）延误的工期。</w:t>
      </w:r>
    </w:p>
    <w:p w14:paraId="07C96DE8">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344" w:name="_Toc351203525"/>
      <w:r>
        <w:rPr>
          <w:rFonts w:hint="eastAsia" w:ascii="宋体" w:hAnsi="宋体" w:eastAsia="宋体" w:cs="宋体"/>
          <w:b w:val="0"/>
          <w:color w:val="auto"/>
          <w:sz w:val="21"/>
          <w:szCs w:val="21"/>
          <w:highlight w:val="none"/>
        </w:rPr>
        <w:t>3</w:t>
      </w:r>
      <w:bookmarkStart w:id="345" w:name="_Toc296346553"/>
      <w:bookmarkStart w:id="346" w:name="_Toc296503052"/>
      <w:bookmarkStart w:id="347" w:name="_Toc337558752"/>
      <w:r>
        <w:rPr>
          <w:rFonts w:hint="eastAsia" w:ascii="宋体" w:hAnsi="宋体" w:eastAsia="宋体" w:cs="宋体"/>
          <w:b w:val="0"/>
          <w:color w:val="auto"/>
          <w:sz w:val="21"/>
          <w:szCs w:val="21"/>
          <w:highlight w:val="none"/>
        </w:rPr>
        <w:t>.7 履约担保</w:t>
      </w:r>
      <w:bookmarkEnd w:id="344"/>
    </w:p>
    <w:bookmarkEnd w:id="345"/>
    <w:bookmarkEnd w:id="346"/>
    <w:bookmarkEnd w:id="347"/>
    <w:p w14:paraId="23A02C1E">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7BF28B8A">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因承包人原因导致工期延长的，继续提供履约担保所增加的费用由承包人承担；非因承包人原因导致工期延长的，继续提供履约担保所增加的费用由发包人承担。</w:t>
      </w:r>
    </w:p>
    <w:p w14:paraId="6438C9DE">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348" w:name="_Toc351203526"/>
      <w:r>
        <w:rPr>
          <w:rFonts w:hint="eastAsia" w:ascii="宋体" w:hAnsi="宋体" w:eastAsia="宋体" w:cs="宋体"/>
          <w:b w:val="0"/>
          <w:color w:val="auto"/>
          <w:sz w:val="21"/>
          <w:szCs w:val="21"/>
          <w:highlight w:val="none"/>
        </w:rPr>
        <w:t>3.8 联合体</w:t>
      </w:r>
      <w:bookmarkEnd w:id="348"/>
    </w:p>
    <w:p w14:paraId="2E366E4C">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3.8.1 联合体各方应共同与发包人签订合同协议书。联合体各方应为履行合同向发包人承担连带责任。</w:t>
      </w:r>
    </w:p>
    <w:p w14:paraId="0228BBDB">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3.8.2 联合体协议经发包人确认后作为合同附件。在履行合同过程中，未经发包人同意，不得修改联合体协议。</w:t>
      </w:r>
    </w:p>
    <w:p w14:paraId="59AB334D">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3.8.3 联合体牵头人负责与发包人和监理人联系，并接受指示，负责组织联合体各成员全面履行合同。</w:t>
      </w:r>
    </w:p>
    <w:p w14:paraId="43B18C0E">
      <w:pPr>
        <w:pStyle w:val="40"/>
        <w:keepNext w:val="0"/>
        <w:keepLines w:val="0"/>
        <w:pageBreakBefore w:val="0"/>
        <w:widowControl w:val="0"/>
        <w:wordWrap/>
        <w:topLinePunct w:val="0"/>
        <w:bidi w:val="0"/>
        <w:adjustRightInd w:val="0"/>
        <w:snapToGrid w:val="0"/>
        <w:spacing w:line="400" w:lineRule="exact"/>
        <w:ind w:left="0" w:leftChars="0" w:firstLine="0" w:firstLineChars="0"/>
        <w:outlineLvl w:val="2"/>
        <w:rPr>
          <w:rFonts w:hint="eastAsia" w:ascii="宋体" w:hAnsi="宋体" w:eastAsia="宋体" w:cs="宋体"/>
          <w:b w:val="0"/>
          <w:color w:val="auto"/>
          <w:sz w:val="21"/>
          <w:szCs w:val="21"/>
          <w:highlight w:val="none"/>
        </w:rPr>
      </w:pPr>
      <w:bookmarkStart w:id="349" w:name="_Toc351203527"/>
      <w:r>
        <w:rPr>
          <w:rFonts w:hint="eastAsia" w:ascii="宋体" w:hAnsi="宋体" w:eastAsia="宋体" w:cs="宋体"/>
          <w:b w:val="0"/>
          <w:color w:val="auto"/>
          <w:sz w:val="21"/>
          <w:szCs w:val="21"/>
          <w:highlight w:val="none"/>
        </w:rPr>
        <w:t>4</w:t>
      </w:r>
      <w:bookmarkStart w:id="350" w:name="_Toc296346554"/>
      <w:bookmarkStart w:id="351" w:name="_Toc296503053"/>
      <w:bookmarkStart w:id="352" w:name="_Toc337558753"/>
      <w:r>
        <w:rPr>
          <w:rFonts w:hint="eastAsia" w:ascii="宋体" w:hAnsi="宋体" w:eastAsia="宋体" w:cs="宋体"/>
          <w:b w:val="0"/>
          <w:color w:val="auto"/>
          <w:sz w:val="21"/>
          <w:szCs w:val="21"/>
          <w:highlight w:val="none"/>
        </w:rPr>
        <w:t>. 监</w:t>
      </w:r>
      <w:bookmarkEnd w:id="350"/>
      <w:bookmarkEnd w:id="351"/>
      <w:r>
        <w:rPr>
          <w:rFonts w:hint="eastAsia" w:ascii="宋体" w:hAnsi="宋体" w:eastAsia="宋体" w:cs="宋体"/>
          <w:b w:val="0"/>
          <w:color w:val="auto"/>
          <w:sz w:val="21"/>
          <w:szCs w:val="21"/>
          <w:highlight w:val="none"/>
        </w:rPr>
        <w:t>理人</w:t>
      </w:r>
      <w:bookmarkEnd w:id="349"/>
    </w:p>
    <w:bookmarkEnd w:id="352"/>
    <w:p w14:paraId="1FBB3673">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353" w:name="_Toc351203528"/>
      <w:r>
        <w:rPr>
          <w:rFonts w:hint="eastAsia" w:ascii="宋体" w:hAnsi="宋体" w:eastAsia="宋体" w:cs="宋体"/>
          <w:b w:val="0"/>
          <w:color w:val="auto"/>
          <w:sz w:val="21"/>
          <w:szCs w:val="21"/>
          <w:highlight w:val="none"/>
        </w:rPr>
        <w:t>4</w:t>
      </w:r>
      <w:bookmarkStart w:id="354" w:name="_Toc296503054"/>
      <w:bookmarkStart w:id="355" w:name="_Toc337558754"/>
      <w:bookmarkStart w:id="356" w:name="_Toc296346555"/>
      <w:r>
        <w:rPr>
          <w:rFonts w:hint="eastAsia" w:ascii="宋体" w:hAnsi="宋体" w:eastAsia="宋体" w:cs="宋体"/>
          <w:b w:val="0"/>
          <w:color w:val="auto"/>
          <w:sz w:val="21"/>
          <w:szCs w:val="21"/>
          <w:highlight w:val="none"/>
        </w:rPr>
        <w:t>.1监理人的一般规定</w:t>
      </w:r>
      <w:bookmarkEnd w:id="353"/>
    </w:p>
    <w:bookmarkEnd w:id="354"/>
    <w:bookmarkEnd w:id="355"/>
    <w:bookmarkEnd w:id="356"/>
    <w:p w14:paraId="18410A7A">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71F5CBD4">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除专用合同条款另有约定外，监理人在施工现场的办公场所、生活场所由承包人提供，所发生的费用由发包人承担。</w:t>
      </w:r>
    </w:p>
    <w:p w14:paraId="148BC9EE">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357" w:name="_Toc351203529"/>
      <w:r>
        <w:rPr>
          <w:rFonts w:hint="eastAsia" w:ascii="宋体" w:hAnsi="宋体" w:eastAsia="宋体" w:cs="宋体"/>
          <w:b w:val="0"/>
          <w:color w:val="auto"/>
          <w:sz w:val="21"/>
          <w:szCs w:val="21"/>
          <w:highlight w:val="none"/>
        </w:rPr>
        <w:t>4</w:t>
      </w:r>
      <w:bookmarkStart w:id="358" w:name="_Toc337558755"/>
      <w:r>
        <w:rPr>
          <w:rFonts w:hint="eastAsia" w:ascii="宋体" w:hAnsi="宋体" w:eastAsia="宋体" w:cs="宋体"/>
          <w:b w:val="0"/>
          <w:color w:val="auto"/>
          <w:sz w:val="21"/>
          <w:szCs w:val="21"/>
          <w:highlight w:val="none"/>
        </w:rPr>
        <w:t>.2监理人员</w:t>
      </w:r>
      <w:bookmarkEnd w:id="357"/>
    </w:p>
    <w:bookmarkEnd w:id="358"/>
    <w:p w14:paraId="1C31D40D">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46A2B9C4">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359" w:name="_Toc351203530"/>
      <w:r>
        <w:rPr>
          <w:rFonts w:hint="eastAsia" w:ascii="宋体" w:hAnsi="宋体" w:eastAsia="宋体" w:cs="宋体"/>
          <w:b w:val="0"/>
          <w:color w:val="auto"/>
          <w:sz w:val="21"/>
          <w:szCs w:val="21"/>
          <w:highlight w:val="none"/>
        </w:rPr>
        <w:t>4</w:t>
      </w:r>
      <w:bookmarkStart w:id="360" w:name="_Toc296503055"/>
      <w:bookmarkStart w:id="361" w:name="_Toc296346556"/>
      <w:bookmarkStart w:id="362" w:name="_Toc337558756"/>
      <w:r>
        <w:rPr>
          <w:rFonts w:hint="eastAsia" w:ascii="宋体" w:hAnsi="宋体" w:eastAsia="宋体" w:cs="宋体"/>
          <w:b w:val="0"/>
          <w:color w:val="auto"/>
          <w:sz w:val="21"/>
          <w:szCs w:val="21"/>
          <w:highlight w:val="none"/>
        </w:rPr>
        <w:t>.3</w:t>
      </w:r>
      <w:bookmarkEnd w:id="360"/>
      <w:bookmarkEnd w:id="361"/>
      <w:r>
        <w:rPr>
          <w:rFonts w:hint="eastAsia" w:ascii="宋体" w:hAnsi="宋体" w:eastAsia="宋体" w:cs="宋体"/>
          <w:b w:val="0"/>
          <w:color w:val="auto"/>
          <w:sz w:val="21"/>
          <w:szCs w:val="21"/>
          <w:highlight w:val="none"/>
        </w:rPr>
        <w:t>监理人的指</w:t>
      </w:r>
      <w:bookmarkEnd w:id="362"/>
      <w:r>
        <w:rPr>
          <w:rFonts w:hint="eastAsia" w:ascii="宋体" w:hAnsi="宋体" w:eastAsia="宋体" w:cs="宋体"/>
          <w:b w:val="0"/>
          <w:color w:val="auto"/>
          <w:sz w:val="21"/>
          <w:szCs w:val="21"/>
          <w:highlight w:val="none"/>
        </w:rPr>
        <w:t>示</w:t>
      </w:r>
      <w:bookmarkEnd w:id="359"/>
    </w:p>
    <w:p w14:paraId="5F7CD288">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336F3799">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5607E181">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承包人对监理人发出的指示有疑问的，应向监理人提出书面异议，监理人应在48小时内对该指示予以确认、更改或撤销，监理人逾期未回复的，承包人有权拒绝执行上述指示。</w:t>
      </w:r>
    </w:p>
    <w:p w14:paraId="1B0AE988">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监理人对承包人的任何工作、工程或其采用的材料和工程设备未在约定的或合理期限内提出意见的，视为批准，但不免除或减轻承包人对该工作、工程、材料、工程设备等应承担的责任和义务。</w:t>
      </w:r>
    </w:p>
    <w:p w14:paraId="085DD5F0">
      <w:pPr>
        <w:keepNext w:val="0"/>
        <w:keepLines w:val="0"/>
        <w:pageBreakBefore w:val="0"/>
        <w:widowControl w:val="0"/>
        <w:kinsoku/>
        <w:wordWrap/>
        <w:overflowPunct/>
        <w:topLinePunct w:val="0"/>
        <w:bidi w:val="0"/>
        <w:snapToGrid/>
        <w:spacing w:before="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363" w:name="_Toc351203531"/>
      <w:r>
        <w:rPr>
          <w:rFonts w:hint="eastAsia" w:ascii="宋体" w:hAnsi="宋体" w:eastAsia="宋体" w:cs="宋体"/>
          <w:b w:val="0"/>
          <w:color w:val="auto"/>
          <w:sz w:val="21"/>
          <w:szCs w:val="21"/>
          <w:highlight w:val="none"/>
        </w:rPr>
        <w:t>4</w:t>
      </w:r>
      <w:bookmarkStart w:id="364" w:name="_Toc337558757"/>
      <w:bookmarkStart w:id="365" w:name="_Toc296346558"/>
      <w:bookmarkStart w:id="366" w:name="_Toc296503057"/>
      <w:r>
        <w:rPr>
          <w:rFonts w:hint="eastAsia" w:ascii="宋体" w:hAnsi="宋体" w:eastAsia="宋体" w:cs="宋体"/>
          <w:b w:val="0"/>
          <w:color w:val="auto"/>
          <w:sz w:val="21"/>
          <w:szCs w:val="21"/>
          <w:highlight w:val="none"/>
        </w:rPr>
        <w:t>.4 商定或确定</w:t>
      </w:r>
      <w:bookmarkEnd w:id="363"/>
    </w:p>
    <w:bookmarkEnd w:id="364"/>
    <w:bookmarkEnd w:id="365"/>
    <w:bookmarkEnd w:id="366"/>
    <w:p w14:paraId="21FCB776">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合同当事人进行商定或确定时，总监理工程师应当会同合同当事人尽量通过协商达成一致，不能达成一致的，由总监理工程师按照合同约定审慎做出公正的确定。</w:t>
      </w:r>
    </w:p>
    <w:p w14:paraId="579E70F8">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464D496D">
      <w:pPr>
        <w:pStyle w:val="40"/>
        <w:keepNext w:val="0"/>
        <w:keepLines w:val="0"/>
        <w:pageBreakBefore w:val="0"/>
        <w:widowControl w:val="0"/>
        <w:wordWrap/>
        <w:topLinePunct w:val="0"/>
        <w:bidi w:val="0"/>
        <w:adjustRightInd w:val="0"/>
        <w:snapToGrid w:val="0"/>
        <w:spacing w:line="400" w:lineRule="exact"/>
        <w:ind w:left="0" w:leftChars="0" w:firstLine="0" w:firstLineChars="0"/>
        <w:outlineLvl w:val="2"/>
        <w:rPr>
          <w:rFonts w:hint="eastAsia" w:ascii="宋体" w:hAnsi="宋体" w:eastAsia="宋体" w:cs="宋体"/>
          <w:b w:val="0"/>
          <w:color w:val="auto"/>
          <w:sz w:val="21"/>
          <w:szCs w:val="21"/>
          <w:highlight w:val="none"/>
        </w:rPr>
      </w:pPr>
      <w:bookmarkStart w:id="367" w:name="_Toc351203532"/>
      <w:r>
        <w:rPr>
          <w:rFonts w:hint="eastAsia" w:ascii="宋体" w:hAnsi="宋体" w:eastAsia="宋体" w:cs="宋体"/>
          <w:b w:val="0"/>
          <w:color w:val="auto"/>
          <w:sz w:val="21"/>
          <w:szCs w:val="21"/>
          <w:highlight w:val="none"/>
        </w:rPr>
        <w:t>5</w:t>
      </w:r>
      <w:bookmarkStart w:id="368" w:name="_Toc337558758"/>
      <w:r>
        <w:rPr>
          <w:rFonts w:hint="eastAsia" w:ascii="宋体" w:hAnsi="宋体" w:eastAsia="宋体" w:cs="宋体"/>
          <w:b w:val="0"/>
          <w:color w:val="auto"/>
          <w:sz w:val="21"/>
          <w:szCs w:val="21"/>
          <w:highlight w:val="none"/>
        </w:rPr>
        <w:t>. 工程质量</w:t>
      </w:r>
      <w:bookmarkEnd w:id="367"/>
    </w:p>
    <w:bookmarkEnd w:id="368"/>
    <w:p w14:paraId="0E91A448">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369" w:name="_Toc351203533"/>
      <w:r>
        <w:rPr>
          <w:rFonts w:hint="eastAsia" w:ascii="宋体" w:hAnsi="宋体" w:eastAsia="宋体" w:cs="宋体"/>
          <w:b w:val="0"/>
          <w:color w:val="auto"/>
          <w:sz w:val="21"/>
          <w:szCs w:val="21"/>
          <w:highlight w:val="none"/>
        </w:rPr>
        <w:t>5</w:t>
      </w:r>
      <w:bookmarkStart w:id="370" w:name="_Toc337558759"/>
      <w:r>
        <w:rPr>
          <w:rFonts w:hint="eastAsia" w:ascii="宋体" w:hAnsi="宋体" w:eastAsia="宋体" w:cs="宋体"/>
          <w:b w:val="0"/>
          <w:color w:val="auto"/>
          <w:sz w:val="21"/>
          <w:szCs w:val="21"/>
          <w:highlight w:val="none"/>
        </w:rPr>
        <w:t>.1质量要求</w:t>
      </w:r>
      <w:bookmarkEnd w:id="369"/>
    </w:p>
    <w:bookmarkEnd w:id="370"/>
    <w:p w14:paraId="05377647">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5.1.1 工程质量标准必须符合现行国家有关工程施工质量验收规范和标准的要求。有关工程质量的特殊标准或要求由合同当事人在专用合同条款中约定。</w:t>
      </w:r>
    </w:p>
    <w:p w14:paraId="535ACBDE">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5.1.2 因发包人原因造成工程质量未达到合同约定标准的，由发包人承担由此增加的费用和（或）延误的工期，并支付承包人合理的利润。</w:t>
      </w:r>
    </w:p>
    <w:p w14:paraId="29630D1C">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5.1.3 因承包人原因造成工程质量未达到合同约定标准的，发包人有权要求承包人返工直至工程质量达到合同约定的标准为止，并由承包人承担由此增加的费用和（或）延误的工期。</w:t>
      </w:r>
    </w:p>
    <w:p w14:paraId="7618FA36">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371" w:name="_Toc351203534"/>
      <w:r>
        <w:rPr>
          <w:rFonts w:hint="eastAsia" w:ascii="宋体" w:hAnsi="宋体" w:eastAsia="宋体" w:cs="宋体"/>
          <w:b w:val="0"/>
          <w:color w:val="auto"/>
          <w:sz w:val="21"/>
          <w:szCs w:val="21"/>
          <w:highlight w:val="none"/>
        </w:rPr>
        <w:t>5</w:t>
      </w:r>
      <w:bookmarkStart w:id="372" w:name="_Toc337558760"/>
      <w:r>
        <w:rPr>
          <w:rFonts w:hint="eastAsia" w:ascii="宋体" w:hAnsi="宋体" w:eastAsia="宋体" w:cs="宋体"/>
          <w:b w:val="0"/>
          <w:color w:val="auto"/>
          <w:sz w:val="21"/>
          <w:szCs w:val="21"/>
          <w:highlight w:val="none"/>
        </w:rPr>
        <w:t>.2质量保证措施</w:t>
      </w:r>
      <w:bookmarkEnd w:id="371"/>
    </w:p>
    <w:bookmarkEnd w:id="372"/>
    <w:p w14:paraId="5CAD163B">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5.2.1 发包人的质量管理</w:t>
      </w:r>
    </w:p>
    <w:p w14:paraId="081DF565">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发包人应按照法律规定及合同约定完成与工程质量有关的各项工作。</w:t>
      </w:r>
    </w:p>
    <w:p w14:paraId="3C223B47">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5.2.2 承包人的质量管理</w:t>
      </w:r>
    </w:p>
    <w:p w14:paraId="13300168">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2FA45529">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承包人应对施工人员进行质量教育和技术培训，定期考核施工人员的劳动技能，严格执行施工规范和操作规程。</w:t>
      </w:r>
    </w:p>
    <w:p w14:paraId="0FF6D2AB">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71A52471">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5.2.3 监理人的质量检查和检验</w:t>
      </w:r>
    </w:p>
    <w:p w14:paraId="49AACE1C">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116951CE">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502A9D90">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373" w:name="_Toc351203535"/>
      <w:r>
        <w:rPr>
          <w:rFonts w:hint="eastAsia" w:ascii="宋体" w:hAnsi="宋体" w:eastAsia="宋体" w:cs="宋体"/>
          <w:b w:val="0"/>
          <w:color w:val="auto"/>
          <w:sz w:val="21"/>
          <w:szCs w:val="21"/>
          <w:highlight w:val="none"/>
        </w:rPr>
        <w:t>5</w:t>
      </w:r>
      <w:bookmarkStart w:id="374" w:name="_Toc337558761"/>
      <w:r>
        <w:rPr>
          <w:rFonts w:hint="eastAsia" w:ascii="宋体" w:hAnsi="宋体" w:eastAsia="宋体" w:cs="宋体"/>
          <w:b w:val="0"/>
          <w:color w:val="auto"/>
          <w:sz w:val="21"/>
          <w:szCs w:val="21"/>
          <w:highlight w:val="none"/>
        </w:rPr>
        <w:t>.3 隐蔽工程检查</w:t>
      </w:r>
      <w:bookmarkEnd w:id="373"/>
    </w:p>
    <w:bookmarkEnd w:id="374"/>
    <w:p w14:paraId="31E9C404">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5.3.1承包人自检</w:t>
      </w:r>
    </w:p>
    <w:p w14:paraId="3E08DF24">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承包人应当对工程隐蔽部位进行自检，并经自检确认是否具备覆盖条件。</w:t>
      </w:r>
    </w:p>
    <w:p w14:paraId="61C4EBD6">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5.3.2检查程序</w:t>
      </w:r>
    </w:p>
    <w:p w14:paraId="3BA8079F">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77AF027A">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5FE9971B">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2C8AEB11">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5.3.3 重新检查</w:t>
      </w:r>
    </w:p>
    <w:p w14:paraId="4A38DDA0">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4919C282">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5.3.4 承包人私自覆盖</w:t>
      </w:r>
    </w:p>
    <w:p w14:paraId="46E12E23">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承包人未通知监理人到场检查，私自将工程隐蔽部位覆盖的，监理人有权指示承包人钻孔探测或揭开检查，无论工程隐蔽部位质量是否合格，由此增加的费用和（或）延误的工期均由承包人承担。</w:t>
      </w:r>
    </w:p>
    <w:p w14:paraId="49EE925D">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375" w:name="_Toc351203536"/>
      <w:r>
        <w:rPr>
          <w:rFonts w:hint="eastAsia" w:ascii="宋体" w:hAnsi="宋体" w:eastAsia="宋体" w:cs="宋体"/>
          <w:b w:val="0"/>
          <w:color w:val="auto"/>
          <w:sz w:val="21"/>
          <w:szCs w:val="21"/>
          <w:highlight w:val="none"/>
        </w:rPr>
        <w:t>5</w:t>
      </w:r>
      <w:bookmarkStart w:id="376" w:name="_Toc337558762"/>
      <w:r>
        <w:rPr>
          <w:rFonts w:hint="eastAsia" w:ascii="宋体" w:hAnsi="宋体" w:eastAsia="宋体" w:cs="宋体"/>
          <w:b w:val="0"/>
          <w:color w:val="auto"/>
          <w:sz w:val="21"/>
          <w:szCs w:val="21"/>
          <w:highlight w:val="none"/>
        </w:rPr>
        <w:t>.4不合格工程的处理</w:t>
      </w:r>
      <w:bookmarkEnd w:id="375"/>
    </w:p>
    <w:bookmarkEnd w:id="376"/>
    <w:p w14:paraId="1447E0BC">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14:paraId="2D483A09">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5.4.2 因发包人原因造成工程不合格的，由此增加的费用和（或）延误的工期由发包人承担，并支付承包人合理的利润。</w:t>
      </w:r>
    </w:p>
    <w:p w14:paraId="056EE45D">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377" w:name="_Toc351203537"/>
      <w:r>
        <w:rPr>
          <w:rFonts w:hint="eastAsia" w:ascii="宋体" w:hAnsi="宋体" w:eastAsia="宋体" w:cs="宋体"/>
          <w:b w:val="0"/>
          <w:color w:val="auto"/>
          <w:sz w:val="21"/>
          <w:szCs w:val="21"/>
          <w:highlight w:val="none"/>
        </w:rPr>
        <w:t>5.5 质量争议检测</w:t>
      </w:r>
      <w:bookmarkEnd w:id="377"/>
    </w:p>
    <w:p w14:paraId="461265F4">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合同当事人对工程质量有争议的，由双方协商确定的工程质量检测机构鉴定，由此产生的费用及因此造成的损失，由责任方承担。</w:t>
      </w:r>
    </w:p>
    <w:p w14:paraId="4118DBB3">
      <w:pPr>
        <w:keepNext w:val="0"/>
        <w:keepLines w:val="0"/>
        <w:pageBreakBefore w:val="0"/>
        <w:widowControl w:val="0"/>
        <w:kinsoku/>
        <w:wordWrap/>
        <w:overflowPunct/>
        <w:topLinePunct w:val="0"/>
        <w:autoSpaceDE w:val="0"/>
        <w:autoSpaceDN w:val="0"/>
        <w:bidi w:val="0"/>
        <w:adjustRightInd w:val="0"/>
        <w:snapToGrid/>
        <w:spacing w:line="390" w:lineRule="exact"/>
        <w:ind w:left="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合同当事人均有责任的，由双方根据其责任分别承担。合同当事人无法达成一致的，按照第4.4款〔商定或确定〕执行。</w:t>
      </w:r>
    </w:p>
    <w:p w14:paraId="0A9FB9CB">
      <w:pPr>
        <w:pStyle w:val="40"/>
        <w:keepNext w:val="0"/>
        <w:keepLines w:val="0"/>
        <w:pageBreakBefore w:val="0"/>
        <w:widowControl w:val="0"/>
        <w:wordWrap/>
        <w:topLinePunct w:val="0"/>
        <w:bidi w:val="0"/>
        <w:adjustRightInd w:val="0"/>
        <w:snapToGrid w:val="0"/>
        <w:spacing w:line="400" w:lineRule="exact"/>
        <w:ind w:left="0" w:leftChars="0" w:firstLine="0" w:firstLineChars="0"/>
        <w:outlineLvl w:val="2"/>
        <w:rPr>
          <w:rFonts w:hint="eastAsia" w:ascii="宋体" w:hAnsi="宋体" w:eastAsia="宋体" w:cs="宋体"/>
          <w:b w:val="0"/>
          <w:color w:val="auto"/>
          <w:sz w:val="21"/>
          <w:szCs w:val="21"/>
          <w:highlight w:val="none"/>
        </w:rPr>
      </w:pPr>
      <w:bookmarkStart w:id="378" w:name="_Toc351203538"/>
      <w:r>
        <w:rPr>
          <w:rFonts w:hint="eastAsia" w:ascii="宋体" w:hAnsi="宋体" w:eastAsia="宋体" w:cs="宋体"/>
          <w:b w:val="0"/>
          <w:color w:val="auto"/>
          <w:sz w:val="21"/>
          <w:szCs w:val="21"/>
          <w:highlight w:val="none"/>
        </w:rPr>
        <w:t>6</w:t>
      </w:r>
      <w:bookmarkStart w:id="379" w:name="_Toc337558763"/>
      <w:r>
        <w:rPr>
          <w:rFonts w:hint="eastAsia" w:ascii="宋体" w:hAnsi="宋体" w:eastAsia="宋体" w:cs="宋体"/>
          <w:b w:val="0"/>
          <w:color w:val="auto"/>
          <w:sz w:val="21"/>
          <w:szCs w:val="21"/>
          <w:highlight w:val="none"/>
        </w:rPr>
        <w:t>. 安全文明施工与环境保护</w:t>
      </w:r>
      <w:bookmarkEnd w:id="378"/>
    </w:p>
    <w:bookmarkEnd w:id="379"/>
    <w:p w14:paraId="420B60D6">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380" w:name="_Toc351203539"/>
      <w:r>
        <w:rPr>
          <w:rFonts w:hint="eastAsia" w:ascii="宋体" w:hAnsi="宋体" w:eastAsia="宋体" w:cs="宋体"/>
          <w:b w:val="0"/>
          <w:color w:val="auto"/>
          <w:sz w:val="21"/>
          <w:szCs w:val="21"/>
          <w:highlight w:val="none"/>
        </w:rPr>
        <w:t>6</w:t>
      </w:r>
      <w:bookmarkStart w:id="381" w:name="_Toc337558764"/>
      <w:r>
        <w:rPr>
          <w:rFonts w:hint="eastAsia" w:ascii="宋体" w:hAnsi="宋体" w:eastAsia="宋体" w:cs="宋体"/>
          <w:b w:val="0"/>
          <w:color w:val="auto"/>
          <w:sz w:val="21"/>
          <w:szCs w:val="21"/>
          <w:highlight w:val="none"/>
        </w:rPr>
        <w:t>.1安全文明施工</w:t>
      </w:r>
      <w:bookmarkEnd w:id="380"/>
    </w:p>
    <w:bookmarkEnd w:id="381"/>
    <w:p w14:paraId="6411A924">
      <w:pPr>
        <w:keepNext w:val="0"/>
        <w:keepLines w:val="0"/>
        <w:pageBreakBefore w:val="0"/>
        <w:widowControl w:val="0"/>
        <w:kinsoku/>
        <w:wordWrap/>
        <w:overflowPunct/>
        <w:topLinePunct w:val="0"/>
        <w:bidi w:val="0"/>
        <w:snapToGrid/>
        <w:spacing w:line="390" w:lineRule="exact"/>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6.1.1安全生产要求</w:t>
      </w:r>
    </w:p>
    <w:p w14:paraId="3702B038">
      <w:pPr>
        <w:keepNext w:val="0"/>
        <w:keepLines w:val="0"/>
        <w:pageBreakBefore w:val="0"/>
        <w:widowControl w:val="0"/>
        <w:kinsoku/>
        <w:wordWrap/>
        <w:overflowPunct/>
        <w:topLinePunct w:val="0"/>
        <w:bidi w:val="0"/>
        <w:snapToGrid/>
        <w:spacing w:line="390" w:lineRule="exact"/>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67AF96E8">
      <w:pPr>
        <w:keepNext w:val="0"/>
        <w:keepLines w:val="0"/>
        <w:pageBreakBefore w:val="0"/>
        <w:widowControl w:val="0"/>
        <w:kinsoku/>
        <w:wordWrap/>
        <w:overflowPunct/>
        <w:topLinePunct w:val="0"/>
        <w:bidi w:val="0"/>
        <w:snapToGrid/>
        <w:spacing w:line="390" w:lineRule="exact"/>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在施工过程中，如遇到突发的地质变动、事先未知的地下施工障碍等影响施工安全的紧急情况，承包人应及时报告监理人和发包人，发包人应当及时下令停工并报</w:t>
      </w:r>
      <w:r>
        <w:rPr>
          <w:rFonts w:hint="eastAsia" w:ascii="宋体" w:hAnsi="宋体" w:eastAsia="宋体" w:cs="宋体"/>
          <w:color w:val="auto"/>
          <w:kern w:val="0"/>
          <w:sz w:val="21"/>
          <w:szCs w:val="21"/>
          <w:highlight w:val="none"/>
        </w:rPr>
        <w:t>政府有关行政管理部门</w:t>
      </w:r>
      <w:r>
        <w:rPr>
          <w:rFonts w:hint="eastAsia" w:ascii="宋体" w:hAnsi="宋体" w:eastAsia="宋体" w:cs="宋体"/>
          <w:color w:val="auto"/>
          <w:sz w:val="21"/>
          <w:szCs w:val="21"/>
          <w:highlight w:val="none"/>
        </w:rPr>
        <w:t>采取应急措施。</w:t>
      </w:r>
    </w:p>
    <w:p w14:paraId="526FD8BF">
      <w:pPr>
        <w:keepNext w:val="0"/>
        <w:keepLines w:val="0"/>
        <w:pageBreakBefore w:val="0"/>
        <w:widowControl w:val="0"/>
        <w:kinsoku/>
        <w:wordWrap/>
        <w:overflowPunct/>
        <w:topLinePunct w:val="0"/>
        <w:bidi w:val="0"/>
        <w:snapToGrid/>
        <w:spacing w:line="390" w:lineRule="exact"/>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因安全生产需要暂停施工的，按照第7.8款〔暂停施工〕的约定执行。</w:t>
      </w:r>
    </w:p>
    <w:p w14:paraId="6744CFD7">
      <w:pPr>
        <w:keepNext w:val="0"/>
        <w:keepLines w:val="0"/>
        <w:pageBreakBefore w:val="0"/>
        <w:widowControl w:val="0"/>
        <w:kinsoku/>
        <w:wordWrap/>
        <w:overflowPunct/>
        <w:topLinePunct w:val="0"/>
        <w:bidi w:val="0"/>
        <w:snapToGrid/>
        <w:spacing w:line="390" w:lineRule="exact"/>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6.1.2 安全生产保证措施</w:t>
      </w:r>
    </w:p>
    <w:p w14:paraId="1E8A4A5C">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承包人应当按照有关</w:t>
      </w:r>
      <w:r>
        <w:rPr>
          <w:rFonts w:hint="eastAsia" w:ascii="宋体" w:hAnsi="宋体" w:eastAsia="宋体" w:cs="宋体"/>
          <w:color w:val="auto"/>
          <w:kern w:val="0"/>
          <w:sz w:val="21"/>
          <w:szCs w:val="21"/>
          <w:highlight w:val="none"/>
        </w:rPr>
        <w:t>规定编制安全技术措施或者专项施工方案，</w:t>
      </w:r>
      <w:r>
        <w:rPr>
          <w:rFonts w:hint="eastAsia" w:ascii="宋体" w:hAnsi="宋体" w:eastAsia="宋体" w:cs="宋体"/>
          <w:color w:val="auto"/>
          <w:sz w:val="21"/>
          <w:szCs w:val="21"/>
          <w:highlight w:val="none"/>
        </w:rPr>
        <w:t>建立安全生产责任制度、治安保卫制度及安全生产教育培训制度，并</w:t>
      </w:r>
      <w:r>
        <w:rPr>
          <w:rFonts w:hint="eastAsia" w:ascii="宋体" w:hAnsi="宋体" w:eastAsia="宋体" w:cs="宋体"/>
          <w:color w:val="auto"/>
          <w:kern w:val="0"/>
          <w:sz w:val="21"/>
          <w:szCs w:val="21"/>
          <w:highlight w:val="none"/>
        </w:rPr>
        <w:t>按安全生产法律规定及合同约定履行安全职责，如实</w:t>
      </w:r>
      <w:r>
        <w:rPr>
          <w:rFonts w:hint="eastAsia" w:ascii="宋体" w:hAnsi="宋体" w:eastAsia="宋体" w:cs="宋体"/>
          <w:color w:val="auto"/>
          <w:sz w:val="21"/>
          <w:szCs w:val="21"/>
          <w:highlight w:val="none"/>
        </w:rPr>
        <w:t>编制工程安全生产的有关记录，</w:t>
      </w:r>
      <w:r>
        <w:rPr>
          <w:rFonts w:hint="eastAsia" w:ascii="宋体" w:hAnsi="宋体" w:eastAsia="宋体" w:cs="宋体"/>
          <w:color w:val="auto"/>
          <w:kern w:val="0"/>
          <w:sz w:val="21"/>
          <w:szCs w:val="21"/>
          <w:highlight w:val="none"/>
        </w:rPr>
        <w:t>接受发包人、监理人及政府安全监督部门的检查与监督。</w:t>
      </w:r>
    </w:p>
    <w:p w14:paraId="17A7F9AD">
      <w:pPr>
        <w:keepNext w:val="0"/>
        <w:keepLines w:val="0"/>
        <w:pageBreakBefore w:val="0"/>
        <w:widowControl w:val="0"/>
        <w:kinsoku/>
        <w:wordWrap/>
        <w:overflowPunct/>
        <w:topLinePunct w:val="0"/>
        <w:bidi w:val="0"/>
        <w:snapToGrid/>
        <w:spacing w:line="390" w:lineRule="exact"/>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6.1.3特别安全生产事项</w:t>
      </w:r>
    </w:p>
    <w:p w14:paraId="10C2955F">
      <w:pPr>
        <w:keepNext w:val="0"/>
        <w:keepLines w:val="0"/>
        <w:pageBreakBefore w:val="0"/>
        <w:widowControl w:val="0"/>
        <w:kinsoku/>
        <w:wordWrap/>
        <w:overflowPunct/>
        <w:topLinePunct w:val="0"/>
        <w:bidi w:val="0"/>
        <w:snapToGrid/>
        <w:spacing w:line="390" w:lineRule="exact"/>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7FD7BDDC">
      <w:pPr>
        <w:keepNext w:val="0"/>
        <w:keepLines w:val="0"/>
        <w:pageBreakBefore w:val="0"/>
        <w:widowControl w:val="0"/>
        <w:kinsoku/>
        <w:wordWrap/>
        <w:overflowPunct/>
        <w:topLinePunct w:val="0"/>
        <w:bidi w:val="0"/>
        <w:snapToGrid/>
        <w:spacing w:line="390" w:lineRule="exact"/>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承包人在动力设备、输电线路、地下管道、密封防震车间、易燃易爆地段以及临街交通要道附近施工时，施工开始前应向发包人和监理人提出安全防护措施，经发包人认可后实施。 </w:t>
      </w:r>
    </w:p>
    <w:p w14:paraId="2ED5DD69">
      <w:pPr>
        <w:keepNext w:val="0"/>
        <w:keepLines w:val="0"/>
        <w:pageBreakBefore w:val="0"/>
        <w:widowControl w:val="0"/>
        <w:kinsoku/>
        <w:wordWrap/>
        <w:overflowPunct/>
        <w:topLinePunct w:val="0"/>
        <w:bidi w:val="0"/>
        <w:snapToGrid/>
        <w:spacing w:line="390" w:lineRule="exact"/>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实施爆破作业，在放射、毒害性环境中施工（含储存、运输、使用）及使用毒害性、腐蚀性物品施工时，承包人应在施工前7天以书面通知发包人和监理人，并报送相应的安全防护措施，经发包人认可后实施。</w:t>
      </w:r>
    </w:p>
    <w:p w14:paraId="24F50497">
      <w:pPr>
        <w:keepNext w:val="0"/>
        <w:keepLines w:val="0"/>
        <w:pageBreakBefore w:val="0"/>
        <w:widowControl w:val="0"/>
        <w:kinsoku/>
        <w:wordWrap/>
        <w:overflowPunct/>
        <w:topLinePunct w:val="0"/>
        <w:bidi w:val="0"/>
        <w:snapToGrid/>
        <w:spacing w:line="390" w:lineRule="exact"/>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需单独编制危险性较大分部分项专项工程施工方案的，及要求进行专家论证的超过一定规模的危险性较大的分部分项工程，承包人应及时编制和组织论证。</w:t>
      </w:r>
    </w:p>
    <w:p w14:paraId="50FFA182">
      <w:pPr>
        <w:keepNext w:val="0"/>
        <w:keepLines w:val="0"/>
        <w:pageBreakBefore w:val="0"/>
        <w:widowControl w:val="0"/>
        <w:kinsoku/>
        <w:wordWrap/>
        <w:overflowPunct/>
        <w:topLinePunct w:val="0"/>
        <w:bidi w:val="0"/>
        <w:snapToGrid/>
        <w:spacing w:line="390" w:lineRule="exact"/>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6.1.4 治安保卫</w:t>
      </w:r>
    </w:p>
    <w:p w14:paraId="09FD8C81">
      <w:pPr>
        <w:keepNext w:val="0"/>
        <w:keepLines w:val="0"/>
        <w:pageBreakBefore w:val="0"/>
        <w:widowControl w:val="0"/>
        <w:kinsoku/>
        <w:wordWrap/>
        <w:overflowPunct/>
        <w:topLinePunct w:val="0"/>
        <w:bidi w:val="0"/>
        <w:snapToGrid/>
        <w:spacing w:line="390" w:lineRule="exact"/>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除专用合同条款另有约定外，发包人应与当地公安部门协商，在现场建立治安管理机构或联防组织，统一管理施工场地的治安保卫事项，履行合同工程的治安保卫职责。</w:t>
      </w:r>
    </w:p>
    <w:p w14:paraId="3FF8DC8E">
      <w:pPr>
        <w:keepNext w:val="0"/>
        <w:keepLines w:val="0"/>
        <w:pageBreakBefore w:val="0"/>
        <w:widowControl w:val="0"/>
        <w:kinsoku/>
        <w:wordWrap/>
        <w:overflowPunct/>
        <w:topLinePunct w:val="0"/>
        <w:bidi w:val="0"/>
        <w:snapToGrid/>
        <w:spacing w:line="390" w:lineRule="exact"/>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发包人和承包人除应协助现场治安管理机构或联防组织维护施工场地的社会治安外，还应做好包括生活区在内的各自管辖区的治安保卫工作。</w:t>
      </w:r>
    </w:p>
    <w:p w14:paraId="6556441A">
      <w:pPr>
        <w:keepNext w:val="0"/>
        <w:keepLines w:val="0"/>
        <w:pageBreakBefore w:val="0"/>
        <w:widowControl w:val="0"/>
        <w:kinsoku/>
        <w:wordWrap/>
        <w:overflowPunct/>
        <w:topLinePunct w:val="0"/>
        <w:bidi w:val="0"/>
        <w:snapToGrid/>
        <w:spacing w:line="390" w:lineRule="exact"/>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10F3D2FE">
      <w:pPr>
        <w:keepNext w:val="0"/>
        <w:keepLines w:val="0"/>
        <w:pageBreakBefore w:val="0"/>
        <w:widowControl w:val="0"/>
        <w:kinsoku/>
        <w:wordWrap/>
        <w:overflowPunct/>
        <w:topLinePunct w:val="0"/>
        <w:bidi w:val="0"/>
        <w:snapToGrid/>
        <w:spacing w:line="390" w:lineRule="exact"/>
        <w:ind w:left="0" w:firstLine="420" w:firstLineChars="20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6.1.5 文明施工</w:t>
      </w:r>
    </w:p>
    <w:p w14:paraId="45A87A1C">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54069C64">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4570384C">
      <w:pPr>
        <w:keepNext w:val="0"/>
        <w:keepLines w:val="0"/>
        <w:pageBreakBefore w:val="0"/>
        <w:widowControl w:val="0"/>
        <w:kinsoku/>
        <w:wordWrap/>
        <w:overflowPunct/>
        <w:topLinePunct w:val="0"/>
        <w:bidi w:val="0"/>
        <w:snapToGrid/>
        <w:spacing w:line="390" w:lineRule="exact"/>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6.1.6 安全文明施工费</w:t>
      </w:r>
    </w:p>
    <w:p w14:paraId="7E88420B">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安全文明施工费由发包人承担，发包人不得以任何形式扣减该部分费用。因基准日期后合同所适用的法律或政府有关规定发生变化，增加的安全文明施工费由发包人承担。</w:t>
      </w:r>
    </w:p>
    <w:p w14:paraId="525AC123">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2B49D1A7">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5BB62AE0">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526E71A5">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6.1.7 紧急情况处理</w:t>
      </w:r>
    </w:p>
    <w:p w14:paraId="1BF49ABC">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7242AB70">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6.1.8 事故处理</w:t>
      </w:r>
    </w:p>
    <w:p w14:paraId="55E9A489">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675730CD">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6.1.9 安全生产责任</w:t>
      </w:r>
    </w:p>
    <w:p w14:paraId="57E9BB59">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6.1.9.1 发包人的安全责任</w:t>
      </w:r>
    </w:p>
    <w:p w14:paraId="03D1CDB3">
      <w:pPr>
        <w:keepNext w:val="0"/>
        <w:keepLines w:val="0"/>
        <w:pageBreakBefore w:val="0"/>
        <w:widowControl w:val="0"/>
        <w:kinsoku/>
        <w:wordWrap/>
        <w:overflowPunct/>
        <w:topLinePunct w:val="0"/>
        <w:bidi w:val="0"/>
        <w:snapToGrid/>
        <w:spacing w:line="390" w:lineRule="exact"/>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发包人应负责赔偿以下各种情况造成的损失：</w:t>
      </w:r>
    </w:p>
    <w:p w14:paraId="47218D2F">
      <w:pPr>
        <w:keepNext w:val="0"/>
        <w:keepLines w:val="0"/>
        <w:pageBreakBefore w:val="0"/>
        <w:widowControl w:val="0"/>
        <w:kinsoku/>
        <w:wordWrap/>
        <w:overflowPunct/>
        <w:topLinePunct w:val="0"/>
        <w:bidi w:val="0"/>
        <w:snapToGrid/>
        <w:spacing w:line="390" w:lineRule="exact"/>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（1）工程或工程的任何部分对土地的占用所造成的第三者财产损失；</w:t>
      </w:r>
    </w:p>
    <w:p w14:paraId="626785DD">
      <w:pPr>
        <w:keepNext w:val="0"/>
        <w:keepLines w:val="0"/>
        <w:pageBreakBefore w:val="0"/>
        <w:widowControl w:val="0"/>
        <w:kinsoku/>
        <w:wordWrap/>
        <w:overflowPunct/>
        <w:topLinePunct w:val="0"/>
        <w:bidi w:val="0"/>
        <w:snapToGrid/>
        <w:spacing w:line="390" w:lineRule="exact"/>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（2）由于发包人原因在施工场地及其毗邻地带造成的第三者人身伤亡和财产损失；</w:t>
      </w:r>
    </w:p>
    <w:p w14:paraId="64BD963C">
      <w:pPr>
        <w:keepNext w:val="0"/>
        <w:keepLines w:val="0"/>
        <w:pageBreakBefore w:val="0"/>
        <w:widowControl w:val="0"/>
        <w:kinsoku/>
        <w:wordWrap/>
        <w:overflowPunct/>
        <w:topLinePunct w:val="0"/>
        <w:bidi w:val="0"/>
        <w:snapToGrid/>
        <w:spacing w:line="390" w:lineRule="exact"/>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（3）由于发包人原因对承包人、监理人造成的人员人身伤亡和财产损失；</w:t>
      </w:r>
    </w:p>
    <w:p w14:paraId="00E7C758">
      <w:pPr>
        <w:keepNext w:val="0"/>
        <w:keepLines w:val="0"/>
        <w:pageBreakBefore w:val="0"/>
        <w:widowControl w:val="0"/>
        <w:kinsoku/>
        <w:wordWrap/>
        <w:overflowPunct/>
        <w:topLinePunct w:val="0"/>
        <w:bidi w:val="0"/>
        <w:snapToGrid/>
        <w:spacing w:line="390" w:lineRule="exact"/>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（4）由于发包人原因造成的发包人自身人员的人身伤害以及财产损失。</w:t>
      </w:r>
    </w:p>
    <w:p w14:paraId="014A7A61">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6.1.9.2 承包人的安全责任</w:t>
      </w:r>
    </w:p>
    <w:p w14:paraId="08DF970C">
      <w:pPr>
        <w:keepNext w:val="0"/>
        <w:keepLines w:val="0"/>
        <w:pageBreakBefore w:val="0"/>
        <w:widowControl w:val="0"/>
        <w:kinsoku/>
        <w:wordWrap/>
        <w:overflowPunct/>
        <w:topLinePunct w:val="0"/>
        <w:bidi w:val="0"/>
        <w:snapToGrid/>
        <w:spacing w:line="390" w:lineRule="exact"/>
        <w:ind w:left="0" w:firstLine="420" w:firstLineChars="20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由于承包人原因在施工场地内及其毗邻地带造成的发包人、监理人以及第三者人员伤亡和财产损失，由承包人负责赔偿。</w:t>
      </w:r>
    </w:p>
    <w:p w14:paraId="352CD73D">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382" w:name="_Toc351203540"/>
      <w:r>
        <w:rPr>
          <w:rFonts w:hint="eastAsia" w:ascii="宋体" w:hAnsi="宋体" w:eastAsia="宋体" w:cs="宋体"/>
          <w:b w:val="0"/>
          <w:color w:val="auto"/>
          <w:sz w:val="21"/>
          <w:szCs w:val="21"/>
          <w:highlight w:val="none"/>
        </w:rPr>
        <w:t>6</w:t>
      </w:r>
      <w:bookmarkStart w:id="383" w:name="_Toc337558765"/>
      <w:r>
        <w:rPr>
          <w:rFonts w:hint="eastAsia" w:ascii="宋体" w:hAnsi="宋体" w:eastAsia="宋体" w:cs="宋体"/>
          <w:b w:val="0"/>
          <w:color w:val="auto"/>
          <w:sz w:val="21"/>
          <w:szCs w:val="21"/>
          <w:highlight w:val="none"/>
        </w:rPr>
        <w:t>.2 职业健康</w:t>
      </w:r>
      <w:bookmarkEnd w:id="382"/>
    </w:p>
    <w:bookmarkEnd w:id="383"/>
    <w:p w14:paraId="44FAEFD2">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6.2.1 劳动保护</w:t>
      </w:r>
    </w:p>
    <w:p w14:paraId="7E5550D5">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7A98711E">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5A17F852">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承包人应按法律规定安排工作时间，保证其雇佣人员享有休息和休假的权利。因工程施工的特殊需要占用休假日或延长工作时间的，应不超过法律规定的限度，并按法律规定给予补休或付酬。</w:t>
      </w:r>
    </w:p>
    <w:p w14:paraId="06A9D051">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6.2.2 生活条件</w:t>
      </w:r>
    </w:p>
    <w:p w14:paraId="36B75E3E">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03AB98D5">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384" w:name="_Toc351203541"/>
      <w:r>
        <w:rPr>
          <w:rFonts w:hint="eastAsia" w:ascii="宋体" w:hAnsi="宋体" w:eastAsia="宋体" w:cs="宋体"/>
          <w:b w:val="0"/>
          <w:color w:val="auto"/>
          <w:sz w:val="21"/>
          <w:szCs w:val="21"/>
          <w:highlight w:val="none"/>
        </w:rPr>
        <w:t>6</w:t>
      </w:r>
      <w:bookmarkStart w:id="385" w:name="_Toc337558766"/>
      <w:r>
        <w:rPr>
          <w:rFonts w:hint="eastAsia" w:ascii="宋体" w:hAnsi="宋体" w:eastAsia="宋体" w:cs="宋体"/>
          <w:b w:val="0"/>
          <w:color w:val="auto"/>
          <w:sz w:val="21"/>
          <w:szCs w:val="21"/>
          <w:highlight w:val="none"/>
        </w:rPr>
        <w:t>.3 环境保护</w:t>
      </w:r>
      <w:bookmarkEnd w:id="384"/>
    </w:p>
    <w:bookmarkEnd w:id="385"/>
    <w:p w14:paraId="7CA4901A">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4924254B">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承包人应当承担因其原因引起的环境污染侵权损害赔偿责任，因上述环境污染引起纠纷而导致暂停施工的，由此增加的费用和（或）延误的工期由承包人承担。</w:t>
      </w:r>
    </w:p>
    <w:p w14:paraId="145D9D3F">
      <w:pPr>
        <w:pStyle w:val="40"/>
        <w:keepNext w:val="0"/>
        <w:keepLines w:val="0"/>
        <w:pageBreakBefore w:val="0"/>
        <w:widowControl w:val="0"/>
        <w:wordWrap/>
        <w:topLinePunct w:val="0"/>
        <w:bidi w:val="0"/>
        <w:adjustRightInd w:val="0"/>
        <w:snapToGrid w:val="0"/>
        <w:spacing w:line="400" w:lineRule="exact"/>
        <w:ind w:left="0" w:leftChars="0" w:firstLine="0" w:firstLineChars="0"/>
        <w:outlineLvl w:val="2"/>
        <w:rPr>
          <w:rFonts w:hint="eastAsia" w:ascii="宋体" w:hAnsi="宋体" w:eastAsia="宋体" w:cs="宋体"/>
          <w:b w:val="0"/>
          <w:color w:val="auto"/>
          <w:sz w:val="21"/>
          <w:szCs w:val="21"/>
          <w:highlight w:val="none"/>
        </w:rPr>
      </w:pPr>
      <w:bookmarkStart w:id="386" w:name="_Toc351203542"/>
      <w:r>
        <w:rPr>
          <w:rFonts w:hint="eastAsia" w:ascii="宋体" w:hAnsi="宋体" w:eastAsia="宋体" w:cs="宋体"/>
          <w:b w:val="0"/>
          <w:color w:val="auto"/>
          <w:sz w:val="21"/>
          <w:szCs w:val="21"/>
          <w:highlight w:val="none"/>
        </w:rPr>
        <w:t>7</w:t>
      </w:r>
      <w:bookmarkStart w:id="387" w:name="_Toc337558767"/>
      <w:r>
        <w:rPr>
          <w:rFonts w:hint="eastAsia" w:ascii="宋体" w:hAnsi="宋体" w:eastAsia="宋体" w:cs="宋体"/>
          <w:b w:val="0"/>
          <w:color w:val="auto"/>
          <w:sz w:val="21"/>
          <w:szCs w:val="21"/>
          <w:highlight w:val="none"/>
        </w:rPr>
        <w:t>. 工期和进度</w:t>
      </w:r>
      <w:bookmarkEnd w:id="386"/>
    </w:p>
    <w:bookmarkEnd w:id="387"/>
    <w:p w14:paraId="577F0390">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388" w:name="_Toc351203543"/>
      <w:r>
        <w:rPr>
          <w:rFonts w:hint="eastAsia" w:ascii="宋体" w:hAnsi="宋体" w:eastAsia="宋体" w:cs="宋体"/>
          <w:b w:val="0"/>
          <w:color w:val="auto"/>
          <w:sz w:val="21"/>
          <w:szCs w:val="21"/>
          <w:highlight w:val="none"/>
        </w:rPr>
        <w:t>7</w:t>
      </w:r>
      <w:bookmarkStart w:id="389" w:name="_Toc337558768"/>
      <w:bookmarkStart w:id="390" w:name="_Toc296346567"/>
      <w:bookmarkStart w:id="391" w:name="_Toc296503066"/>
      <w:r>
        <w:rPr>
          <w:rFonts w:hint="eastAsia" w:ascii="宋体" w:hAnsi="宋体" w:eastAsia="宋体" w:cs="宋体"/>
          <w:b w:val="0"/>
          <w:color w:val="auto"/>
          <w:sz w:val="21"/>
          <w:szCs w:val="21"/>
          <w:highlight w:val="none"/>
        </w:rPr>
        <w:t>.1施工组织设计</w:t>
      </w:r>
      <w:bookmarkEnd w:id="388"/>
    </w:p>
    <w:bookmarkEnd w:id="389"/>
    <w:p w14:paraId="158056C6">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 xml:space="preserve">7.1.1 </w:t>
      </w:r>
      <w:r>
        <w:rPr>
          <w:rFonts w:hint="eastAsia" w:ascii="宋体" w:hAnsi="宋体" w:eastAsia="宋体" w:cs="宋体"/>
          <w:color w:val="auto"/>
          <w:kern w:val="0"/>
          <w:sz w:val="21"/>
          <w:szCs w:val="21"/>
          <w:highlight w:val="none"/>
        </w:rPr>
        <w:t>施工组织设计的内容</w:t>
      </w:r>
    </w:p>
    <w:p w14:paraId="2161A3FA">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施工组织设计应包含以下内容：</w:t>
      </w:r>
    </w:p>
    <w:p w14:paraId="5DA3EA74">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（1）施工方案； </w:t>
      </w:r>
    </w:p>
    <w:p w14:paraId="56EB0D49">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（2）施工现场平面布置图；</w:t>
      </w:r>
    </w:p>
    <w:p w14:paraId="0E5EDA7D">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（3）施工进度计划和保证措施； </w:t>
      </w:r>
    </w:p>
    <w:p w14:paraId="34CD3238">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（4）劳动力及材料供应计划；</w:t>
      </w:r>
    </w:p>
    <w:p w14:paraId="492099D5">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（5）施工机械设备的选用；</w:t>
      </w:r>
    </w:p>
    <w:p w14:paraId="36C283C8">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（6）质量保证体系及措施；</w:t>
      </w:r>
    </w:p>
    <w:p w14:paraId="6BB11C6B">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（7）安全生产、文明施工措施；</w:t>
      </w:r>
    </w:p>
    <w:p w14:paraId="7EEB4186">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（8）环境保护、成本控制措施；</w:t>
      </w:r>
    </w:p>
    <w:p w14:paraId="0A20EF7D">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（9）合同当事人约定的其他内容。</w:t>
      </w:r>
    </w:p>
    <w:p w14:paraId="503B0D0E">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 xml:space="preserve">7.1.2 </w:t>
      </w:r>
      <w:r>
        <w:rPr>
          <w:rFonts w:hint="eastAsia" w:ascii="宋体" w:hAnsi="宋体" w:eastAsia="宋体" w:cs="宋体"/>
          <w:color w:val="auto"/>
          <w:kern w:val="0"/>
          <w:sz w:val="21"/>
          <w:szCs w:val="21"/>
          <w:highlight w:val="none"/>
        </w:rPr>
        <w:t>施工组织设计的提交和修改</w:t>
      </w:r>
    </w:p>
    <w:p w14:paraId="48811C5E">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6B722455">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施工进度计划的编制和修改按照第7.2款〔施工进度计划〕执行。</w:t>
      </w:r>
    </w:p>
    <w:p w14:paraId="0E94E340">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392" w:name="_Toc351203544"/>
      <w:r>
        <w:rPr>
          <w:rFonts w:hint="eastAsia" w:ascii="宋体" w:hAnsi="宋体" w:eastAsia="宋体" w:cs="宋体"/>
          <w:b w:val="0"/>
          <w:color w:val="auto"/>
          <w:sz w:val="21"/>
          <w:szCs w:val="21"/>
          <w:highlight w:val="none"/>
        </w:rPr>
        <w:t>7</w:t>
      </w:r>
      <w:bookmarkStart w:id="393" w:name="_Toc337558769"/>
      <w:r>
        <w:rPr>
          <w:rFonts w:hint="eastAsia" w:ascii="宋体" w:hAnsi="宋体" w:eastAsia="宋体" w:cs="宋体"/>
          <w:b w:val="0"/>
          <w:color w:val="auto"/>
          <w:sz w:val="21"/>
          <w:szCs w:val="21"/>
          <w:highlight w:val="none"/>
        </w:rPr>
        <w:t>.2 施工进度计划</w:t>
      </w:r>
      <w:bookmarkEnd w:id="392"/>
    </w:p>
    <w:bookmarkEnd w:id="393"/>
    <w:p w14:paraId="4CAD345A">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7.2.1 施工进度计划的编制</w:t>
      </w:r>
    </w:p>
    <w:p w14:paraId="2B1131A8">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045C6C74">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7.2.2 施工进度计划的修订</w:t>
      </w:r>
    </w:p>
    <w:p w14:paraId="39CCDC8D">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2F128358">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394" w:name="_Toc351203545"/>
      <w:r>
        <w:rPr>
          <w:rFonts w:hint="eastAsia" w:ascii="宋体" w:hAnsi="宋体" w:eastAsia="宋体" w:cs="宋体"/>
          <w:b w:val="0"/>
          <w:color w:val="auto"/>
          <w:sz w:val="21"/>
          <w:szCs w:val="21"/>
          <w:highlight w:val="none"/>
        </w:rPr>
        <w:t>7</w:t>
      </w:r>
      <w:bookmarkStart w:id="395" w:name="_Toc337558770"/>
      <w:r>
        <w:rPr>
          <w:rFonts w:hint="eastAsia" w:ascii="宋体" w:hAnsi="宋体" w:eastAsia="宋体" w:cs="宋体"/>
          <w:b w:val="0"/>
          <w:color w:val="auto"/>
          <w:sz w:val="21"/>
          <w:szCs w:val="21"/>
          <w:highlight w:val="none"/>
        </w:rPr>
        <w:t>.3 开工</w:t>
      </w:r>
      <w:bookmarkEnd w:id="394"/>
    </w:p>
    <w:p w14:paraId="429B67D2">
      <w:pPr>
        <w:keepNext w:val="0"/>
        <w:keepLines w:val="0"/>
        <w:pageBreakBefore w:val="0"/>
        <w:widowControl w:val="0"/>
        <w:kinsoku/>
        <w:wordWrap/>
        <w:overflowPunct/>
        <w:topLinePunct w:val="0"/>
        <w:bidi w:val="0"/>
        <w:snapToGrid/>
        <w:spacing w:line="390" w:lineRule="exact"/>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7.3.1 开工准备</w:t>
      </w:r>
    </w:p>
    <w:p w14:paraId="73FB65BE">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74A16DF0">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除专用合同条款另有约定外，合同当事人应按约定完成开工准备工作。</w:t>
      </w:r>
    </w:p>
    <w:p w14:paraId="08679475">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7.3.2 开工通知</w:t>
      </w:r>
    </w:p>
    <w:bookmarkEnd w:id="395"/>
    <w:p w14:paraId="54FE43AE">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31FF746F">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28F98725">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396" w:name="_Toc351203546"/>
      <w:r>
        <w:rPr>
          <w:rFonts w:hint="eastAsia" w:ascii="宋体" w:hAnsi="宋体" w:eastAsia="宋体" w:cs="宋体"/>
          <w:b w:val="0"/>
          <w:color w:val="auto"/>
          <w:sz w:val="21"/>
          <w:szCs w:val="21"/>
          <w:highlight w:val="none"/>
        </w:rPr>
        <w:t>7.4测量放线</w:t>
      </w:r>
      <w:bookmarkEnd w:id="396"/>
    </w:p>
    <w:p w14:paraId="340920A3">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69791642">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50354E73">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4A6970F4">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施工过程中对施工现场内水准点等测量标志物的保护工作由承包人负责。</w:t>
      </w:r>
      <w:bookmarkStart w:id="397" w:name="_Toc351203547"/>
    </w:p>
    <w:p w14:paraId="07F03F9A">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7</w:t>
      </w:r>
      <w:bookmarkEnd w:id="390"/>
      <w:bookmarkEnd w:id="391"/>
      <w:bookmarkStart w:id="398" w:name="_Toc296346574"/>
      <w:bookmarkStart w:id="399" w:name="_Toc337558772"/>
      <w:bookmarkStart w:id="400" w:name="_Toc296503073"/>
      <w:r>
        <w:rPr>
          <w:rFonts w:hint="eastAsia" w:ascii="宋体" w:hAnsi="宋体" w:eastAsia="宋体" w:cs="宋体"/>
          <w:b w:val="0"/>
          <w:color w:val="auto"/>
          <w:sz w:val="21"/>
          <w:szCs w:val="21"/>
          <w:highlight w:val="none"/>
        </w:rPr>
        <w:t>.5 工期延误</w:t>
      </w:r>
      <w:bookmarkEnd w:id="397"/>
    </w:p>
    <w:bookmarkEnd w:id="398"/>
    <w:bookmarkEnd w:id="399"/>
    <w:bookmarkEnd w:id="400"/>
    <w:p w14:paraId="72BB8A16">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7.5.1 因发包人原因导致工期延误</w:t>
      </w:r>
    </w:p>
    <w:p w14:paraId="20305056">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在合同履行过程中，因下列情况导致工期延误和（或）费用增加的，由发包人承担由此延误的工期和（或）增加的费用，且发包人应支付承包人合理的利润： </w:t>
      </w:r>
    </w:p>
    <w:p w14:paraId="03D58F6A">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（1）发包人未能按合同约定提供图纸或所提供图纸不符合合同约定的；</w:t>
      </w:r>
    </w:p>
    <w:p w14:paraId="3E9CD530">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（2）发包人未能按合同约定提供施工现场、施工条件、基础资料、许可、批准等开工条件的；</w:t>
      </w:r>
    </w:p>
    <w:p w14:paraId="2EB80FFA">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（3）发包人提供的测量基准点、基准线和水准点及其书面资料存在错误或疏漏的；</w:t>
      </w:r>
    </w:p>
    <w:p w14:paraId="706BD6B6">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（4）发包人未能在计划开工日期之日起7天内同意下达开工通知的；</w:t>
      </w:r>
    </w:p>
    <w:p w14:paraId="0BCDEBA9">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（5）发包人未能按合同约定日期支付工程预付款、进度款或竣工结算款的；</w:t>
      </w:r>
    </w:p>
    <w:p w14:paraId="65C0A7EA">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（6）监理人未按合同约定发出指示、批准等文件的；</w:t>
      </w:r>
    </w:p>
    <w:p w14:paraId="371C2502">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（7）专用合同条款中约定的其他情形。</w:t>
      </w:r>
    </w:p>
    <w:p w14:paraId="2959F647">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2AE965EC">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7.5.2 因承包人原因导致工期延误</w:t>
      </w:r>
    </w:p>
    <w:p w14:paraId="4FFD9F7E">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bookmarkStart w:id="401" w:name="_Toc296346577"/>
      <w:bookmarkStart w:id="402" w:name="_Toc296503076"/>
      <w:r>
        <w:rPr>
          <w:rFonts w:hint="eastAsia" w:ascii="宋体" w:hAnsi="宋体" w:eastAsia="宋体" w:cs="宋体"/>
          <w:color w:val="auto"/>
          <w:kern w:val="0"/>
          <w:sz w:val="21"/>
          <w:szCs w:val="21"/>
          <w:highlight w:val="none"/>
        </w:rPr>
        <w:t>因</w:t>
      </w:r>
      <w:bookmarkEnd w:id="401"/>
      <w:bookmarkEnd w:id="402"/>
      <w:r>
        <w:rPr>
          <w:rFonts w:hint="eastAsia" w:ascii="宋体" w:hAnsi="宋体" w:eastAsia="宋体" w:cs="宋体"/>
          <w:color w:val="auto"/>
          <w:kern w:val="0"/>
          <w:sz w:val="21"/>
          <w:szCs w:val="21"/>
          <w:highlight w:val="none"/>
        </w:rPr>
        <w:t>承包人原因造成工期延误的，可以在专用合同条款中约定逾期竣工违约金的计算方法和逾期竣工违约金的上限。承包人支付逾期竣工违约金后，不免除承包人继续完成工程及修补缺陷的义务。</w:t>
      </w:r>
    </w:p>
    <w:p w14:paraId="284FAA29">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403" w:name="_Toc351203548"/>
      <w:r>
        <w:rPr>
          <w:rFonts w:hint="eastAsia" w:ascii="宋体" w:hAnsi="宋体" w:eastAsia="宋体" w:cs="宋体"/>
          <w:b w:val="0"/>
          <w:color w:val="auto"/>
          <w:sz w:val="21"/>
          <w:szCs w:val="21"/>
          <w:highlight w:val="none"/>
        </w:rPr>
        <w:t>7</w:t>
      </w:r>
      <w:bookmarkStart w:id="404" w:name="_Toc296503074"/>
      <w:bookmarkStart w:id="405" w:name="_Toc337558773"/>
      <w:bookmarkStart w:id="406" w:name="_Toc296346575"/>
      <w:bookmarkStart w:id="407" w:name="_Toc296346578"/>
      <w:bookmarkStart w:id="408" w:name="_Toc296503077"/>
      <w:r>
        <w:rPr>
          <w:rFonts w:hint="eastAsia" w:ascii="宋体" w:hAnsi="宋体" w:eastAsia="宋体" w:cs="宋体"/>
          <w:b w:val="0"/>
          <w:color w:val="auto"/>
          <w:sz w:val="21"/>
          <w:szCs w:val="21"/>
          <w:highlight w:val="none"/>
        </w:rPr>
        <w:t>.6 不利物质条件</w:t>
      </w:r>
      <w:bookmarkEnd w:id="403"/>
    </w:p>
    <w:bookmarkEnd w:id="404"/>
    <w:bookmarkEnd w:id="405"/>
    <w:bookmarkEnd w:id="406"/>
    <w:p w14:paraId="74A2EA18">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0BFDCADF">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43CB5AAE">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409" w:name="_Toc351203549"/>
      <w:r>
        <w:rPr>
          <w:rFonts w:hint="eastAsia" w:ascii="宋体" w:hAnsi="宋体" w:eastAsia="宋体" w:cs="宋体"/>
          <w:b w:val="0"/>
          <w:color w:val="auto"/>
          <w:sz w:val="21"/>
          <w:szCs w:val="21"/>
          <w:highlight w:val="none"/>
        </w:rPr>
        <w:t>7</w:t>
      </w:r>
      <w:bookmarkStart w:id="410" w:name="_Toc296346576"/>
      <w:bookmarkStart w:id="411" w:name="_Toc337558774"/>
      <w:bookmarkStart w:id="412" w:name="_Toc296503075"/>
      <w:r>
        <w:rPr>
          <w:rFonts w:hint="eastAsia" w:ascii="宋体" w:hAnsi="宋体" w:eastAsia="宋体" w:cs="宋体"/>
          <w:b w:val="0"/>
          <w:color w:val="auto"/>
          <w:sz w:val="21"/>
          <w:szCs w:val="21"/>
          <w:highlight w:val="none"/>
        </w:rPr>
        <w:t>.7 异常恶劣的气候条件</w:t>
      </w:r>
      <w:bookmarkEnd w:id="409"/>
    </w:p>
    <w:bookmarkEnd w:id="410"/>
    <w:bookmarkEnd w:id="411"/>
    <w:bookmarkEnd w:id="412"/>
    <w:p w14:paraId="76019496">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448DFA93">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413" w:name="_Toc351203550"/>
    </w:p>
    <w:p w14:paraId="73441863">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w:t>
      </w:r>
      <w:bookmarkStart w:id="414" w:name="_Toc337558775"/>
      <w:r>
        <w:rPr>
          <w:rFonts w:hint="eastAsia" w:ascii="宋体" w:hAnsi="宋体" w:eastAsia="宋体" w:cs="宋体"/>
          <w:bCs/>
          <w:color w:val="auto"/>
          <w:sz w:val="21"/>
          <w:szCs w:val="21"/>
          <w:highlight w:val="none"/>
        </w:rPr>
        <w:t>.8 暂停施工</w:t>
      </w:r>
      <w:bookmarkEnd w:id="413"/>
    </w:p>
    <w:bookmarkEnd w:id="407"/>
    <w:bookmarkEnd w:id="408"/>
    <w:bookmarkEnd w:id="414"/>
    <w:p w14:paraId="41484BEC">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7.8.1发包人原因引起的暂停施工</w:t>
      </w:r>
    </w:p>
    <w:p w14:paraId="263E046F">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因发包人原因引起暂停施工的，监理人经发包人同意后，应及时下达暂停施工指示。情况紧急且监理人未及时下达暂停施工指示的，按照第7.8.4项〔紧急情况下的暂停施工〕执行。</w:t>
      </w:r>
    </w:p>
    <w:p w14:paraId="4D9499FA">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因发包人原因引起的暂停施工，发包人应承担由此增加的费用和（或）延误的工期，并支付承包人合理的利润。</w:t>
      </w:r>
    </w:p>
    <w:p w14:paraId="23D3AF01">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7.8.2 承包人原因引起的暂停施工</w:t>
      </w:r>
    </w:p>
    <w:p w14:paraId="6B939100">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617BB9D5">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7.8.3 指示暂停施工</w:t>
      </w:r>
    </w:p>
    <w:p w14:paraId="54725691">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监理人认为有必要时，并经发包人批准后，可向承包人作出暂停施工的指示，承包人应按监理人指示暂停施工。</w:t>
      </w:r>
    </w:p>
    <w:p w14:paraId="71FF9204">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7.8.4 紧急情况下的暂停施工</w:t>
      </w:r>
    </w:p>
    <w:p w14:paraId="09F17C3B">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768AA8DE">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7.8.5 暂停施工后的复工</w:t>
      </w:r>
    </w:p>
    <w:p w14:paraId="2E2F0739">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39C00AE9">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承包人无故拖延和拒绝复工的，承包人承担由此增加的费用和（或）延误的工期；因发包人原因无法按时复工的，按照第7.5.1项〔因发包人原因导致工期延误〕约定办理。</w:t>
      </w:r>
    </w:p>
    <w:p w14:paraId="388606B6">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7.8.6 暂停施工持续56天以上</w:t>
      </w:r>
    </w:p>
    <w:p w14:paraId="244D30A2">
      <w:pPr>
        <w:keepNext w:val="0"/>
        <w:keepLines w:val="0"/>
        <w:pageBreakBefore w:val="0"/>
        <w:widowControl w:val="0"/>
        <w:kinsoku/>
        <w:wordWrap/>
        <w:overflowPunct/>
        <w:topLinePunct w:val="0"/>
        <w:bidi w:val="0"/>
        <w:snapToGrid/>
        <w:spacing w:line="390" w:lineRule="exact"/>
        <w:ind w:left="0" w:firstLine="409" w:firstLineChars="195"/>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521A8F5D">
      <w:pPr>
        <w:keepNext w:val="0"/>
        <w:keepLines w:val="0"/>
        <w:pageBreakBefore w:val="0"/>
        <w:widowControl w:val="0"/>
        <w:kinsoku/>
        <w:wordWrap/>
        <w:overflowPunct/>
        <w:topLinePunct w:val="0"/>
        <w:bidi w:val="0"/>
        <w:snapToGrid/>
        <w:spacing w:line="390" w:lineRule="exact"/>
        <w:ind w:left="0" w:firstLine="409" w:firstLineChars="195"/>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77E59E22">
      <w:pPr>
        <w:keepNext w:val="0"/>
        <w:keepLines w:val="0"/>
        <w:pageBreakBefore w:val="0"/>
        <w:widowControl w:val="0"/>
        <w:kinsoku/>
        <w:wordWrap/>
        <w:overflowPunct/>
        <w:topLinePunct w:val="0"/>
        <w:bidi w:val="0"/>
        <w:snapToGrid/>
        <w:spacing w:line="390" w:lineRule="exact"/>
        <w:ind w:left="0" w:firstLine="409" w:firstLineChars="195"/>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7.8.7 暂停施工期间的工程照管</w:t>
      </w:r>
    </w:p>
    <w:p w14:paraId="65F45A19">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暂停施工期间，承包人应负责妥善照管工程并提供安全保障，由此增加的费用由责任方承担。</w:t>
      </w:r>
    </w:p>
    <w:p w14:paraId="726B0917">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7.8.8 暂停施工的措施</w:t>
      </w:r>
    </w:p>
    <w:p w14:paraId="4073D4C0">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暂停施工期间，发包人和承包人均应采取必要的措施确保工程质量及安全，防止因暂停施工扩大损失。</w:t>
      </w:r>
    </w:p>
    <w:p w14:paraId="6BE7E873">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415" w:name="_Toc351203551"/>
      <w:r>
        <w:rPr>
          <w:rFonts w:hint="eastAsia" w:ascii="宋体" w:hAnsi="宋体" w:eastAsia="宋体" w:cs="宋体"/>
          <w:b w:val="0"/>
          <w:color w:val="auto"/>
          <w:sz w:val="21"/>
          <w:szCs w:val="21"/>
          <w:highlight w:val="none"/>
        </w:rPr>
        <w:t>7.9提前竣工</w:t>
      </w:r>
      <w:bookmarkEnd w:id="415"/>
    </w:p>
    <w:p w14:paraId="094833DE">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49F507BF">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7.9.2 发包人要求承包人提前竣工，或承包人提出提前竣工的建议能够给发包人带来效益的，合同当事人可以在专用合同条款中约定提前竣工的奖励。</w:t>
      </w:r>
    </w:p>
    <w:p w14:paraId="1B402A1A">
      <w:pPr>
        <w:pStyle w:val="40"/>
        <w:keepNext w:val="0"/>
        <w:keepLines w:val="0"/>
        <w:pageBreakBefore w:val="0"/>
        <w:widowControl w:val="0"/>
        <w:wordWrap/>
        <w:topLinePunct w:val="0"/>
        <w:bidi w:val="0"/>
        <w:adjustRightInd w:val="0"/>
        <w:snapToGrid w:val="0"/>
        <w:spacing w:line="400" w:lineRule="exact"/>
        <w:ind w:left="0" w:leftChars="0" w:firstLine="0" w:firstLineChars="0"/>
        <w:outlineLvl w:val="2"/>
        <w:rPr>
          <w:rFonts w:hint="eastAsia" w:ascii="宋体" w:hAnsi="宋体" w:eastAsia="宋体" w:cs="宋体"/>
          <w:b w:val="0"/>
          <w:color w:val="auto"/>
          <w:sz w:val="21"/>
          <w:szCs w:val="21"/>
          <w:highlight w:val="none"/>
        </w:rPr>
      </w:pPr>
      <w:bookmarkStart w:id="416" w:name="_Toc351203552"/>
      <w:r>
        <w:rPr>
          <w:rFonts w:hint="eastAsia" w:ascii="宋体" w:hAnsi="宋体" w:eastAsia="宋体" w:cs="宋体"/>
          <w:b w:val="0"/>
          <w:color w:val="auto"/>
          <w:sz w:val="21"/>
          <w:szCs w:val="21"/>
          <w:highlight w:val="none"/>
        </w:rPr>
        <w:t>8</w:t>
      </w:r>
      <w:bookmarkStart w:id="417" w:name="_Toc296503058"/>
      <w:bookmarkStart w:id="418" w:name="_Toc296346559"/>
      <w:bookmarkStart w:id="419" w:name="_Toc337558776"/>
      <w:r>
        <w:rPr>
          <w:rFonts w:hint="eastAsia" w:ascii="宋体" w:hAnsi="宋体" w:eastAsia="宋体" w:cs="宋体"/>
          <w:b w:val="0"/>
          <w:color w:val="auto"/>
          <w:sz w:val="21"/>
          <w:szCs w:val="21"/>
          <w:highlight w:val="none"/>
        </w:rPr>
        <w:t>. 材料与设备</w:t>
      </w:r>
      <w:bookmarkEnd w:id="416"/>
    </w:p>
    <w:bookmarkEnd w:id="417"/>
    <w:bookmarkEnd w:id="418"/>
    <w:bookmarkEnd w:id="419"/>
    <w:p w14:paraId="7BE4AA28">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420" w:name="_Toc351203553"/>
      <w:r>
        <w:rPr>
          <w:rFonts w:hint="eastAsia" w:ascii="宋体" w:hAnsi="宋体" w:eastAsia="宋体" w:cs="宋体"/>
          <w:b w:val="0"/>
          <w:color w:val="auto"/>
          <w:sz w:val="21"/>
          <w:szCs w:val="21"/>
          <w:highlight w:val="none"/>
        </w:rPr>
        <w:t>8</w:t>
      </w:r>
      <w:bookmarkStart w:id="421" w:name="_Toc296503059"/>
      <w:bookmarkStart w:id="422" w:name="_Toc337558777"/>
      <w:bookmarkStart w:id="423" w:name="_Toc296346560"/>
      <w:bookmarkStart w:id="424" w:name="_Toc468936960"/>
      <w:r>
        <w:rPr>
          <w:rFonts w:hint="eastAsia" w:ascii="宋体" w:hAnsi="宋体" w:eastAsia="宋体" w:cs="宋体"/>
          <w:b w:val="0"/>
          <w:color w:val="auto"/>
          <w:sz w:val="21"/>
          <w:szCs w:val="21"/>
          <w:highlight w:val="none"/>
        </w:rPr>
        <w:t>.1发包人供应材料与工程设备</w:t>
      </w:r>
      <w:bookmarkEnd w:id="420"/>
    </w:p>
    <w:bookmarkEnd w:id="421"/>
    <w:bookmarkEnd w:id="422"/>
    <w:bookmarkEnd w:id="423"/>
    <w:p w14:paraId="233E4CFC">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发包人自行供应材料、工程设备的，应在签订合同时在专用合同条款的附件《发包人供应材料设备一览表》中明确材料、工程设备的品种、规格、型号、数量、单价、质量等级和送达地点。</w:t>
      </w:r>
    </w:p>
    <w:p w14:paraId="2C72CB2C">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5E601689">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color w:val="auto"/>
          <w:sz w:val="21"/>
          <w:szCs w:val="21"/>
          <w:highlight w:val="none"/>
        </w:rPr>
      </w:pPr>
      <w:bookmarkStart w:id="425" w:name="_Toc351203554"/>
      <w:r>
        <w:rPr>
          <w:rFonts w:hint="eastAsia" w:ascii="宋体" w:hAnsi="宋体" w:eastAsia="宋体" w:cs="宋体"/>
          <w:b w:val="0"/>
          <w:color w:val="auto"/>
          <w:sz w:val="21"/>
          <w:szCs w:val="21"/>
          <w:highlight w:val="none"/>
        </w:rPr>
        <w:t>8</w:t>
      </w:r>
      <w:bookmarkStart w:id="426" w:name="_Toc296346561"/>
      <w:bookmarkStart w:id="427" w:name="_Toc296503060"/>
      <w:bookmarkStart w:id="428" w:name="_Toc337558778"/>
      <w:r>
        <w:rPr>
          <w:rFonts w:hint="eastAsia" w:ascii="宋体" w:hAnsi="宋体" w:eastAsia="宋体" w:cs="宋体"/>
          <w:b w:val="0"/>
          <w:color w:val="auto"/>
          <w:sz w:val="21"/>
          <w:szCs w:val="21"/>
          <w:highlight w:val="none"/>
        </w:rPr>
        <w:t>.2承包人采购材料与工程设备</w:t>
      </w:r>
      <w:bookmarkEnd w:id="425"/>
    </w:p>
    <w:bookmarkEnd w:id="426"/>
    <w:bookmarkEnd w:id="427"/>
    <w:bookmarkEnd w:id="428"/>
    <w:p w14:paraId="1D9AA7F3">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02528500">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429" w:name="_Toc351203555"/>
      <w:r>
        <w:rPr>
          <w:rFonts w:hint="eastAsia" w:ascii="宋体" w:hAnsi="宋体" w:eastAsia="宋体" w:cs="宋体"/>
          <w:b w:val="0"/>
          <w:color w:val="auto"/>
          <w:sz w:val="21"/>
          <w:szCs w:val="21"/>
          <w:highlight w:val="none"/>
        </w:rPr>
        <w:t>8</w:t>
      </w:r>
      <w:bookmarkStart w:id="430" w:name="_Toc296346562"/>
      <w:bookmarkStart w:id="431" w:name="_Toc296503061"/>
      <w:bookmarkStart w:id="432" w:name="_Toc337558779"/>
      <w:r>
        <w:rPr>
          <w:rFonts w:hint="eastAsia" w:ascii="宋体" w:hAnsi="宋体" w:eastAsia="宋体" w:cs="宋体"/>
          <w:b w:val="0"/>
          <w:color w:val="auto"/>
          <w:sz w:val="21"/>
          <w:szCs w:val="21"/>
          <w:highlight w:val="none"/>
        </w:rPr>
        <w:t>.3材料与工程设备的接收与拒收</w:t>
      </w:r>
      <w:bookmarkEnd w:id="429"/>
    </w:p>
    <w:bookmarkEnd w:id="430"/>
    <w:bookmarkEnd w:id="431"/>
    <w:bookmarkEnd w:id="432"/>
    <w:p w14:paraId="2E5AEC55">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44B4A4AF">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发包人提供的材料和工程设备的规格、数量或质量不符合合同约定的，或因发包人原因导致交货日期延误或交货地点变更等情况的，按照第16.1款〔发包人违约〕约定办理。</w:t>
      </w:r>
    </w:p>
    <w:p w14:paraId="7FB2D3A4">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8.3.2 承包人采购的材料和工程设备，应保证产品质量合格，承包人应在材料和工程设备到货前24小时通知监理人检验。承</w:t>
      </w:r>
      <w:bookmarkStart w:id="433" w:name="_Toc250655469"/>
      <w:r>
        <w:rPr>
          <w:rFonts w:hint="eastAsia" w:ascii="宋体" w:hAnsi="宋体" w:eastAsia="宋体" w:cs="宋体"/>
          <w:color w:val="auto"/>
          <w:kern w:val="0"/>
          <w:sz w:val="21"/>
          <w:szCs w:val="21"/>
          <w:highlight w:val="none"/>
        </w:rPr>
        <w:t>包人进行永久设备、材料的制造和生产的，应符合相关质量标准，并向监理人提交材料的样本以及有关资料，并应在使用该材料或工程设备之前获得监理人同意。</w:t>
      </w:r>
    </w:p>
    <w:bookmarkEnd w:id="433"/>
    <w:p w14:paraId="461B003C">
      <w:pPr>
        <w:keepNext w:val="0"/>
        <w:keepLines w:val="0"/>
        <w:pageBreakBefore w:val="0"/>
        <w:widowControl w:val="0"/>
        <w:kinsoku/>
        <w:wordWrap/>
        <w:overflowPunct/>
        <w:topLinePunct w:val="0"/>
        <w:autoSpaceDE w:val="0"/>
        <w:autoSpaceDN w:val="0"/>
        <w:bidi w:val="0"/>
        <w:adjustRightInd w:val="0"/>
        <w:snapToGrid/>
        <w:spacing w:line="390" w:lineRule="exact"/>
        <w:ind w:left="0" w:firstLine="315" w:firstLineChars="15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434A79E2">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434" w:name="_Toc351203556"/>
      <w:r>
        <w:rPr>
          <w:rFonts w:hint="eastAsia" w:ascii="宋体" w:hAnsi="宋体" w:eastAsia="宋体" w:cs="宋体"/>
          <w:b w:val="0"/>
          <w:color w:val="auto"/>
          <w:sz w:val="21"/>
          <w:szCs w:val="21"/>
          <w:highlight w:val="none"/>
        </w:rPr>
        <w:t>8</w:t>
      </w:r>
      <w:bookmarkStart w:id="435" w:name="_Toc296503062"/>
      <w:bookmarkStart w:id="436" w:name="_Toc337558780"/>
      <w:bookmarkStart w:id="437" w:name="_Toc296346563"/>
      <w:r>
        <w:rPr>
          <w:rFonts w:hint="eastAsia" w:ascii="宋体" w:hAnsi="宋体" w:eastAsia="宋体" w:cs="宋体"/>
          <w:b w:val="0"/>
          <w:color w:val="auto"/>
          <w:sz w:val="21"/>
          <w:szCs w:val="21"/>
          <w:highlight w:val="none"/>
        </w:rPr>
        <w:t>.4材料与工程设备的保管与使用</w:t>
      </w:r>
      <w:bookmarkEnd w:id="434"/>
    </w:p>
    <w:bookmarkEnd w:id="435"/>
    <w:bookmarkEnd w:id="436"/>
    <w:bookmarkEnd w:id="437"/>
    <w:p w14:paraId="0F1D2E9E">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8.4.1 发包人供应</w:t>
      </w:r>
      <w:r>
        <w:rPr>
          <w:rFonts w:hint="eastAsia" w:ascii="宋体" w:hAnsi="宋体" w:eastAsia="宋体" w:cs="宋体"/>
          <w:color w:val="auto"/>
          <w:sz w:val="21"/>
          <w:szCs w:val="21"/>
          <w:highlight w:val="none"/>
        </w:rPr>
        <w:t>材料与</w:t>
      </w:r>
      <w:r>
        <w:rPr>
          <w:rFonts w:hint="eastAsia" w:ascii="宋体" w:hAnsi="宋体" w:eastAsia="宋体" w:cs="宋体"/>
          <w:color w:val="auto"/>
          <w:kern w:val="0"/>
          <w:sz w:val="21"/>
          <w:szCs w:val="21"/>
          <w:highlight w:val="none"/>
        </w:rPr>
        <w:t>工程</w:t>
      </w:r>
      <w:r>
        <w:rPr>
          <w:rFonts w:hint="eastAsia" w:ascii="宋体" w:hAnsi="宋体" w:eastAsia="宋体" w:cs="宋体"/>
          <w:color w:val="auto"/>
          <w:sz w:val="21"/>
          <w:szCs w:val="21"/>
          <w:highlight w:val="none"/>
        </w:rPr>
        <w:t>设备的保管与使用</w:t>
      </w:r>
    </w:p>
    <w:p w14:paraId="11E6EDB4">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749B5C91">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发包人供应的材料和工程设备使用前，由承包人负责检验，检验费用由发包人承担，不合格的不得使用。</w:t>
      </w:r>
    </w:p>
    <w:p w14:paraId="603897BD">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8.4.2 承包人采购</w:t>
      </w:r>
      <w:r>
        <w:rPr>
          <w:rFonts w:hint="eastAsia" w:ascii="宋体" w:hAnsi="宋体" w:eastAsia="宋体" w:cs="宋体"/>
          <w:color w:val="auto"/>
          <w:sz w:val="21"/>
          <w:szCs w:val="21"/>
          <w:highlight w:val="none"/>
        </w:rPr>
        <w:t>材料与</w:t>
      </w:r>
      <w:r>
        <w:rPr>
          <w:rFonts w:hint="eastAsia" w:ascii="宋体" w:hAnsi="宋体" w:eastAsia="宋体" w:cs="宋体"/>
          <w:color w:val="auto"/>
          <w:kern w:val="0"/>
          <w:sz w:val="21"/>
          <w:szCs w:val="21"/>
          <w:highlight w:val="none"/>
        </w:rPr>
        <w:t>工程</w:t>
      </w:r>
      <w:r>
        <w:rPr>
          <w:rFonts w:hint="eastAsia" w:ascii="宋体" w:hAnsi="宋体" w:eastAsia="宋体" w:cs="宋体"/>
          <w:color w:val="auto"/>
          <w:sz w:val="21"/>
          <w:szCs w:val="21"/>
          <w:highlight w:val="none"/>
        </w:rPr>
        <w:t>设备的保管与使用</w:t>
      </w:r>
    </w:p>
    <w:p w14:paraId="272F3257">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5D4B3C17">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发包人或监理人发现承包人使用不符合设计或有关标准要求的材料和工程设备时，有权要求承包人进行修复、拆除或重新采购，由此增加的费用和（或）延误的工期，由承包人承担。</w:t>
      </w:r>
    </w:p>
    <w:p w14:paraId="1A716B4A">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438" w:name="_Toc351203557"/>
      <w:r>
        <w:rPr>
          <w:rFonts w:hint="eastAsia" w:ascii="宋体" w:hAnsi="宋体" w:eastAsia="宋体" w:cs="宋体"/>
          <w:b w:val="0"/>
          <w:color w:val="auto"/>
          <w:sz w:val="21"/>
          <w:szCs w:val="21"/>
          <w:highlight w:val="none"/>
        </w:rPr>
        <w:t>8.5禁止使用不合格的材料和工程设备</w:t>
      </w:r>
      <w:bookmarkEnd w:id="438"/>
    </w:p>
    <w:p w14:paraId="0533F5D7">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8.5.1 监理人有权拒绝承包人提供的不合格材料或工程设备，并要求承包人立即进行更换。监理人应在更换后再次进行检查和检验，由此增加的费用和（或）延误的工期由承包人承担。</w:t>
      </w:r>
    </w:p>
    <w:p w14:paraId="61C79B06">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8.5.2 监理人发现承包人使用了不合格的材料和工程设备，承包人应按照监理人的指示立即改正，并禁止在工程中继续使用不合格的材料和工程设备。</w:t>
      </w:r>
    </w:p>
    <w:p w14:paraId="49D256E4">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8.5.3 发包人提供的材料或工程设备不符合合同要求的，承包人有权拒绝，并可要求发包人更换，由此增加的费用和（或）延误的工期由发包人承担，并支付承包人合理的利润。</w:t>
      </w:r>
    </w:p>
    <w:p w14:paraId="4E320D11">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439" w:name="_Toc351203558"/>
      <w:r>
        <w:rPr>
          <w:rFonts w:hint="eastAsia" w:ascii="宋体" w:hAnsi="宋体" w:eastAsia="宋体" w:cs="宋体"/>
          <w:b w:val="0"/>
          <w:color w:val="auto"/>
          <w:sz w:val="21"/>
          <w:szCs w:val="21"/>
          <w:highlight w:val="none"/>
        </w:rPr>
        <w:t>8.6 样品</w:t>
      </w:r>
      <w:bookmarkEnd w:id="439"/>
    </w:p>
    <w:p w14:paraId="055AEB7D">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8.6.1</w:t>
      </w:r>
      <w:r>
        <w:rPr>
          <w:rFonts w:hint="eastAsia" w:ascii="宋体" w:hAnsi="宋体" w:eastAsia="宋体" w:cs="宋体"/>
          <w:color w:val="auto"/>
          <w:kern w:val="0"/>
          <w:sz w:val="21"/>
          <w:szCs w:val="21"/>
          <w:highlight w:val="none"/>
        </w:rPr>
        <w:tab/>
      </w:r>
      <w:r>
        <w:rPr>
          <w:rFonts w:hint="eastAsia" w:ascii="宋体" w:hAnsi="宋体" w:eastAsia="宋体" w:cs="宋体"/>
          <w:color w:val="auto"/>
          <w:kern w:val="0"/>
          <w:sz w:val="21"/>
          <w:szCs w:val="21"/>
          <w:highlight w:val="none"/>
        </w:rPr>
        <w:t>样品的报送与封存</w:t>
      </w:r>
    </w:p>
    <w:p w14:paraId="174A8B76">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需要承包人报送样品的材料或工程设备，样品的种类、名称、规格、数量等要求均应在专用合同条款中约定。样品的报送程序如下：</w:t>
      </w:r>
    </w:p>
    <w:p w14:paraId="0C324EA3">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5CF6FA46">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659CCA97">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（3）经发包人和监理人审批确认的样品应按约定的方法封样，封存的样品作为检验工程相关部分的标准之一。承包人在施工过程中不得使用与样品不符的材料或工程设备。</w:t>
      </w:r>
    </w:p>
    <w:p w14:paraId="7B72458C">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63E10D20">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8.6.2 样品的保管</w:t>
      </w:r>
    </w:p>
    <w:p w14:paraId="7D583ACE">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经批准的样品应由监理人负责封存于现场，承包人应在现场为保存样品提供适当和固定的场所并保持适当和良好的存储环境条件。</w:t>
      </w:r>
    </w:p>
    <w:p w14:paraId="48ADEB98">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440" w:name="_Toc351203559"/>
      <w:r>
        <w:rPr>
          <w:rFonts w:hint="eastAsia" w:ascii="宋体" w:hAnsi="宋体" w:eastAsia="宋体" w:cs="宋体"/>
          <w:b w:val="0"/>
          <w:color w:val="auto"/>
          <w:sz w:val="21"/>
          <w:szCs w:val="21"/>
          <w:highlight w:val="none"/>
        </w:rPr>
        <w:t>8.7材料与工程设备的替代</w:t>
      </w:r>
      <w:bookmarkEnd w:id="440"/>
    </w:p>
    <w:p w14:paraId="119C3750">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8.7.1 出现下列情况需要使用替代材料和工程设备的，承包人应按照第8.7.2项约定的程序执行：</w:t>
      </w:r>
    </w:p>
    <w:p w14:paraId="08960989">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（1）基准日期后生效的法律规定禁止使用的；</w:t>
      </w:r>
    </w:p>
    <w:p w14:paraId="7B5E633E">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（2）发包人要求使用替代品的；</w:t>
      </w:r>
    </w:p>
    <w:p w14:paraId="5DECDB10">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（3）因其他原因必须使用替代品的。</w:t>
      </w:r>
    </w:p>
    <w:p w14:paraId="3D253DFD">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8.7.2 承包人应在使用替代材料和工程设备28天前书面通知监理人，并附下列文件：</w:t>
      </w:r>
    </w:p>
    <w:p w14:paraId="3B19E3E8">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（1）被替代的材料和工程设备的名称、数量、规格、型号、品牌、性能、价格及其他相关资料；</w:t>
      </w:r>
    </w:p>
    <w:p w14:paraId="1C5259DE">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（2）替代品的名称、数量、规格、型号、品牌、性能、价格及其他相关资料；</w:t>
      </w:r>
    </w:p>
    <w:p w14:paraId="5995AEC3">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（3）替代品与被替代产品之间的差异以及使用替代品可能对工程产生的影响；</w:t>
      </w:r>
    </w:p>
    <w:p w14:paraId="75693B0F">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（4）替代品与被替代产品的价格差异；</w:t>
      </w:r>
    </w:p>
    <w:p w14:paraId="75E3BA11">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（5）使用替代品的理由和原因说明；</w:t>
      </w:r>
    </w:p>
    <w:p w14:paraId="591D8034">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（6）监理人要求的其他文件。</w:t>
      </w:r>
    </w:p>
    <w:p w14:paraId="53736083">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监理人应在收到通知后14天内向承包人发出经发包人签认的书面指示；监理人逾期发出书面指示的，视为发包人和监理人同意使用替代品。</w:t>
      </w:r>
    </w:p>
    <w:p w14:paraId="748E7E5A">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2BAD2A33">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441" w:name="_Toc351203560"/>
      <w:r>
        <w:rPr>
          <w:rFonts w:hint="eastAsia" w:ascii="宋体" w:hAnsi="宋体" w:eastAsia="宋体" w:cs="宋体"/>
          <w:b w:val="0"/>
          <w:color w:val="auto"/>
          <w:sz w:val="21"/>
          <w:szCs w:val="21"/>
          <w:highlight w:val="none"/>
        </w:rPr>
        <w:t>8.8施工设备和临时设施</w:t>
      </w:r>
      <w:bookmarkEnd w:id="441"/>
    </w:p>
    <w:p w14:paraId="4D0C0CF6">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8.8.1 承包人提供的施工设备和临时设施</w:t>
      </w:r>
    </w:p>
    <w:p w14:paraId="091ECE70">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承包人应按合同进度计划的要求，及时配置施工设备和修建临时设施。进入施工场地的承包人设备需经监理人核查后才能投入使用。承包人更换合同约定的承包人设备的，应报监理人批准。</w:t>
      </w:r>
    </w:p>
    <w:p w14:paraId="29E4558C">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除专用合同条款另有约定外，承包人应自行承担修建临时设施的费用，需要临时占地的，应由发包人办理申请手续并承担相应费用。</w:t>
      </w:r>
    </w:p>
    <w:p w14:paraId="19B6DE0A">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8.8.2发包人提供的施工设备和临时设施</w:t>
      </w:r>
    </w:p>
    <w:p w14:paraId="2F495216">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发包人提供的施工设备或临时设施在专用合同条款中约定。</w:t>
      </w:r>
    </w:p>
    <w:p w14:paraId="70622D33">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8.8.3要求承包人增加或更换施工设备</w:t>
      </w:r>
    </w:p>
    <w:p w14:paraId="3FD463BC">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承包人使用的施工设备不能满足合同进度计划和（或）质量要求时，监理人有权要求承包人增加或更换施工设备，承包人应及时增加或更换，由此增加的费用和（或）延误的工期由承包人承担。</w:t>
      </w:r>
    </w:p>
    <w:p w14:paraId="2E79F986">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442" w:name="_Toc351203561"/>
      <w:r>
        <w:rPr>
          <w:rFonts w:hint="eastAsia" w:ascii="宋体" w:hAnsi="宋体" w:eastAsia="宋体" w:cs="宋体"/>
          <w:b w:val="0"/>
          <w:color w:val="auto"/>
          <w:sz w:val="21"/>
          <w:szCs w:val="21"/>
          <w:highlight w:val="none"/>
        </w:rPr>
        <w:t>8</w:t>
      </w:r>
      <w:bookmarkStart w:id="443" w:name="_Toc337558781"/>
      <w:bookmarkStart w:id="444" w:name="_Toc296346564"/>
      <w:bookmarkStart w:id="445" w:name="_Toc296503063"/>
      <w:r>
        <w:rPr>
          <w:rFonts w:hint="eastAsia" w:ascii="宋体" w:hAnsi="宋体" w:eastAsia="宋体" w:cs="宋体"/>
          <w:b w:val="0"/>
          <w:color w:val="auto"/>
          <w:sz w:val="21"/>
          <w:szCs w:val="21"/>
          <w:highlight w:val="none"/>
        </w:rPr>
        <w:t>.9材料与设备专用</w:t>
      </w:r>
      <w:bookmarkEnd w:id="442"/>
      <w:r>
        <w:rPr>
          <w:rFonts w:hint="eastAsia" w:ascii="宋体" w:hAnsi="宋体" w:eastAsia="宋体" w:cs="宋体"/>
          <w:b w:val="0"/>
          <w:color w:val="auto"/>
          <w:sz w:val="21"/>
          <w:szCs w:val="21"/>
          <w:highlight w:val="none"/>
        </w:rPr>
        <w:t>要求</w:t>
      </w:r>
    </w:p>
    <w:bookmarkEnd w:id="443"/>
    <w:bookmarkEnd w:id="444"/>
    <w:bookmarkEnd w:id="445"/>
    <w:p w14:paraId="6E686D89">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承包人运入施工现场的材料、工程设备、施工设备以及在施工场地建设的临时设施，包括备品备件、安装工具与资料，必须专用于工程。未经发包人批准，承包人不得运出施工现场或挪作他用；</w:t>
      </w:r>
      <w:bookmarkEnd w:id="424"/>
      <w:r>
        <w:rPr>
          <w:rFonts w:hint="eastAsia" w:ascii="宋体" w:hAnsi="宋体" w:eastAsia="宋体" w:cs="宋体"/>
          <w:color w:val="auto"/>
          <w:kern w:val="0"/>
          <w:sz w:val="21"/>
          <w:szCs w:val="21"/>
          <w:highlight w:val="none"/>
        </w:rPr>
        <w:t>经发包人批准，承包人可以根据施工进度计划撤走闲置的施工设备和其他物品。</w:t>
      </w:r>
    </w:p>
    <w:p w14:paraId="10268E1B">
      <w:pPr>
        <w:pStyle w:val="40"/>
        <w:keepNext w:val="0"/>
        <w:keepLines w:val="0"/>
        <w:pageBreakBefore w:val="0"/>
        <w:widowControl w:val="0"/>
        <w:wordWrap/>
        <w:topLinePunct w:val="0"/>
        <w:bidi w:val="0"/>
        <w:adjustRightInd w:val="0"/>
        <w:snapToGrid w:val="0"/>
        <w:spacing w:line="400" w:lineRule="exact"/>
        <w:ind w:left="0" w:leftChars="0" w:firstLine="0" w:firstLineChars="0"/>
        <w:outlineLvl w:val="2"/>
        <w:rPr>
          <w:rFonts w:hint="eastAsia" w:ascii="宋体" w:hAnsi="宋体" w:eastAsia="宋体" w:cs="宋体"/>
          <w:b w:val="0"/>
          <w:color w:val="auto"/>
          <w:sz w:val="21"/>
          <w:szCs w:val="21"/>
          <w:highlight w:val="none"/>
        </w:rPr>
      </w:pPr>
      <w:bookmarkStart w:id="446" w:name="_Toc351203562"/>
      <w:r>
        <w:rPr>
          <w:rFonts w:hint="eastAsia" w:ascii="宋体" w:hAnsi="宋体" w:eastAsia="宋体" w:cs="宋体"/>
          <w:b w:val="0"/>
          <w:color w:val="auto"/>
          <w:sz w:val="21"/>
          <w:szCs w:val="21"/>
          <w:highlight w:val="none"/>
        </w:rPr>
        <w:t>9</w:t>
      </w:r>
      <w:bookmarkStart w:id="447" w:name="_Toc337558782"/>
      <w:bookmarkStart w:id="448" w:name="_Toc296346584"/>
      <w:bookmarkStart w:id="449" w:name="_Toc296503083"/>
      <w:r>
        <w:rPr>
          <w:rFonts w:hint="eastAsia" w:ascii="宋体" w:hAnsi="宋体" w:eastAsia="宋体" w:cs="宋体"/>
          <w:b w:val="0"/>
          <w:color w:val="auto"/>
          <w:sz w:val="21"/>
          <w:szCs w:val="21"/>
          <w:highlight w:val="none"/>
        </w:rPr>
        <w:t>. 试验与检验</w:t>
      </w:r>
      <w:bookmarkEnd w:id="446"/>
    </w:p>
    <w:bookmarkEnd w:id="447"/>
    <w:p w14:paraId="65870C62">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450" w:name="_Toc351203563"/>
      <w:r>
        <w:rPr>
          <w:rFonts w:hint="eastAsia" w:ascii="宋体" w:hAnsi="宋体" w:eastAsia="宋体" w:cs="宋体"/>
          <w:b w:val="0"/>
          <w:color w:val="auto"/>
          <w:sz w:val="21"/>
          <w:szCs w:val="21"/>
          <w:highlight w:val="none"/>
        </w:rPr>
        <w:t>9</w:t>
      </w:r>
      <w:bookmarkStart w:id="451" w:name="_Toc337558783"/>
      <w:r>
        <w:rPr>
          <w:rFonts w:hint="eastAsia" w:ascii="宋体" w:hAnsi="宋体" w:eastAsia="宋体" w:cs="宋体"/>
          <w:b w:val="0"/>
          <w:color w:val="auto"/>
          <w:sz w:val="21"/>
          <w:szCs w:val="21"/>
          <w:highlight w:val="none"/>
        </w:rPr>
        <w:t>.1试验设备与试验人员</w:t>
      </w:r>
      <w:bookmarkEnd w:id="450"/>
    </w:p>
    <w:bookmarkEnd w:id="451"/>
    <w:p w14:paraId="0ADA1676">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338901B0">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9.1.2 承包人应按专用合同条款的约定提供试验设备、取样装置、试验场所和试验条件，并向监理人提交相应进场计划表。</w:t>
      </w:r>
    </w:p>
    <w:p w14:paraId="4A8BE078">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承包人配置的试验设备要符合相应试验规程的要求并经过具有资质的检测单位检测，且在正式使用该试验设备前，需要经过监理人与承包人共同校定。</w:t>
      </w:r>
    </w:p>
    <w:p w14:paraId="123C1C91">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9.1.3 承包人应向监理人提交试验人员的名单及其岗位、资格等证明资料，试验人员必须能够熟练进行相应的检测试验，承包人对试验人员的试验程序和试验结果的正确性负责。</w:t>
      </w:r>
    </w:p>
    <w:p w14:paraId="597E70EE">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452" w:name="_Toc351203564"/>
      <w:r>
        <w:rPr>
          <w:rFonts w:hint="eastAsia" w:ascii="宋体" w:hAnsi="宋体" w:eastAsia="宋体" w:cs="宋体"/>
          <w:b w:val="0"/>
          <w:color w:val="auto"/>
          <w:sz w:val="21"/>
          <w:szCs w:val="21"/>
          <w:highlight w:val="none"/>
        </w:rPr>
        <w:t>9</w:t>
      </w:r>
      <w:bookmarkStart w:id="453" w:name="_Toc337558784"/>
      <w:r>
        <w:rPr>
          <w:rFonts w:hint="eastAsia" w:ascii="宋体" w:hAnsi="宋体" w:eastAsia="宋体" w:cs="宋体"/>
          <w:b w:val="0"/>
          <w:color w:val="auto"/>
          <w:sz w:val="21"/>
          <w:szCs w:val="21"/>
          <w:highlight w:val="none"/>
        </w:rPr>
        <w:t>.2取样</w:t>
      </w:r>
      <w:bookmarkEnd w:id="452"/>
    </w:p>
    <w:bookmarkEnd w:id="453"/>
    <w:p w14:paraId="3D07F6CA">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试验属于自检性质的，承包人可以单独取样。试验属于监理人抽检性质的，可由监理人取样，也可由承包人的试验人员在监理人的监督下取样。</w:t>
      </w:r>
    </w:p>
    <w:p w14:paraId="2A71AED4">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454" w:name="_Toc351203565"/>
      <w:r>
        <w:rPr>
          <w:rFonts w:hint="eastAsia" w:ascii="宋体" w:hAnsi="宋体" w:eastAsia="宋体" w:cs="宋体"/>
          <w:b w:val="0"/>
          <w:color w:val="auto"/>
          <w:sz w:val="21"/>
          <w:szCs w:val="21"/>
          <w:highlight w:val="none"/>
        </w:rPr>
        <w:t>9</w:t>
      </w:r>
      <w:bookmarkStart w:id="455" w:name="_Toc337558785"/>
      <w:r>
        <w:rPr>
          <w:rFonts w:hint="eastAsia" w:ascii="宋体" w:hAnsi="宋体" w:eastAsia="宋体" w:cs="宋体"/>
          <w:b w:val="0"/>
          <w:color w:val="auto"/>
          <w:sz w:val="21"/>
          <w:szCs w:val="21"/>
          <w:highlight w:val="none"/>
        </w:rPr>
        <w:t>.3材料、工程设备和工程的试验和检验</w:t>
      </w:r>
      <w:bookmarkEnd w:id="454"/>
    </w:p>
    <w:bookmarkEnd w:id="455"/>
    <w:p w14:paraId="7EA1E977">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15081A5D">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2B8C81D0">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09FE6452">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456" w:name="_Toc351203566"/>
      <w:r>
        <w:rPr>
          <w:rFonts w:hint="eastAsia" w:ascii="宋体" w:hAnsi="宋体" w:eastAsia="宋体" w:cs="宋体"/>
          <w:b w:val="0"/>
          <w:color w:val="auto"/>
          <w:sz w:val="21"/>
          <w:szCs w:val="21"/>
          <w:highlight w:val="none"/>
        </w:rPr>
        <w:t>9</w:t>
      </w:r>
      <w:bookmarkStart w:id="457" w:name="_Toc337558786"/>
      <w:r>
        <w:rPr>
          <w:rFonts w:hint="eastAsia" w:ascii="宋体" w:hAnsi="宋体" w:eastAsia="宋体" w:cs="宋体"/>
          <w:b w:val="0"/>
          <w:color w:val="auto"/>
          <w:sz w:val="21"/>
          <w:szCs w:val="21"/>
          <w:highlight w:val="none"/>
        </w:rPr>
        <w:t>.4现场工艺试验</w:t>
      </w:r>
      <w:bookmarkEnd w:id="456"/>
    </w:p>
    <w:bookmarkEnd w:id="457"/>
    <w:p w14:paraId="0ACC5137">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承包人应按合同约定或监理人指示进行现场工艺试验。对大型的现场工艺试验，监理人认为必要时，承包人应根据监理人提出的工艺试验要求，编制工艺试验措施计划，报送监理人审查。</w:t>
      </w:r>
    </w:p>
    <w:p w14:paraId="7AC68069">
      <w:pPr>
        <w:pStyle w:val="40"/>
        <w:keepNext w:val="0"/>
        <w:keepLines w:val="0"/>
        <w:pageBreakBefore w:val="0"/>
        <w:widowControl w:val="0"/>
        <w:wordWrap/>
        <w:topLinePunct w:val="0"/>
        <w:bidi w:val="0"/>
        <w:adjustRightInd w:val="0"/>
        <w:snapToGrid w:val="0"/>
        <w:spacing w:line="400" w:lineRule="exact"/>
        <w:ind w:left="0" w:leftChars="0" w:firstLine="0" w:firstLineChars="0"/>
        <w:outlineLvl w:val="2"/>
        <w:rPr>
          <w:rFonts w:hint="eastAsia" w:ascii="宋体" w:hAnsi="宋体" w:eastAsia="宋体" w:cs="宋体"/>
          <w:b w:val="0"/>
          <w:color w:val="auto"/>
          <w:sz w:val="21"/>
          <w:szCs w:val="21"/>
          <w:highlight w:val="none"/>
        </w:rPr>
      </w:pPr>
      <w:bookmarkStart w:id="458" w:name="_Toc351203567"/>
      <w:r>
        <w:rPr>
          <w:rFonts w:hint="eastAsia" w:ascii="宋体" w:hAnsi="宋体" w:eastAsia="宋体" w:cs="宋体"/>
          <w:b w:val="0"/>
          <w:color w:val="auto"/>
          <w:sz w:val="21"/>
          <w:szCs w:val="21"/>
          <w:highlight w:val="none"/>
        </w:rPr>
        <w:t>1</w:t>
      </w:r>
      <w:bookmarkStart w:id="459" w:name="_Toc337558787"/>
      <w:r>
        <w:rPr>
          <w:rFonts w:hint="eastAsia" w:ascii="宋体" w:hAnsi="宋体" w:eastAsia="宋体" w:cs="宋体"/>
          <w:b w:val="0"/>
          <w:color w:val="auto"/>
          <w:sz w:val="21"/>
          <w:szCs w:val="21"/>
          <w:highlight w:val="none"/>
        </w:rPr>
        <w:t>0. 变更</w:t>
      </w:r>
      <w:bookmarkEnd w:id="448"/>
      <w:bookmarkEnd w:id="449"/>
      <w:bookmarkEnd w:id="458"/>
    </w:p>
    <w:bookmarkEnd w:id="459"/>
    <w:p w14:paraId="3037E23A">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460" w:name="_Toc351203568"/>
      <w:r>
        <w:rPr>
          <w:rFonts w:hint="eastAsia" w:ascii="宋体" w:hAnsi="宋体" w:eastAsia="宋体" w:cs="宋体"/>
          <w:b w:val="0"/>
          <w:color w:val="auto"/>
          <w:sz w:val="21"/>
          <w:szCs w:val="21"/>
          <w:highlight w:val="none"/>
        </w:rPr>
        <w:t>1</w:t>
      </w:r>
      <w:bookmarkStart w:id="461" w:name="_Toc296346585"/>
      <w:bookmarkStart w:id="462" w:name="_Toc337558788"/>
      <w:bookmarkStart w:id="463" w:name="_Toc296503084"/>
      <w:r>
        <w:rPr>
          <w:rFonts w:hint="eastAsia" w:ascii="宋体" w:hAnsi="宋体" w:eastAsia="宋体" w:cs="宋体"/>
          <w:b w:val="0"/>
          <w:color w:val="auto"/>
          <w:sz w:val="21"/>
          <w:szCs w:val="21"/>
          <w:highlight w:val="none"/>
        </w:rPr>
        <w:t>0.1变更的范围</w:t>
      </w:r>
      <w:bookmarkEnd w:id="460"/>
    </w:p>
    <w:bookmarkEnd w:id="461"/>
    <w:bookmarkEnd w:id="462"/>
    <w:bookmarkEnd w:id="463"/>
    <w:p w14:paraId="35FACB44">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除专用合同条款另有约定外，合同履行过程中发生以下情形的，应按照本条约定进行变更：</w:t>
      </w:r>
    </w:p>
    <w:p w14:paraId="08654243">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（1）增加或减少合同中任何工作，或追加额外的工作；</w:t>
      </w:r>
    </w:p>
    <w:p w14:paraId="0768AC44">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（2）取消合同中任何工作，但转由他人实施的工作除外；</w:t>
      </w:r>
    </w:p>
    <w:p w14:paraId="3085F848">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（3）改变合同中任何工作的质量标准或其他特性；</w:t>
      </w:r>
    </w:p>
    <w:p w14:paraId="5CFD64CC">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（4）改变工程的基线、标高、位置和尺寸；</w:t>
      </w:r>
    </w:p>
    <w:p w14:paraId="45435F42">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（5）改变工程的时间安排或实施顺序。</w:t>
      </w:r>
    </w:p>
    <w:p w14:paraId="5F545D33">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464" w:name="_Toc351203569"/>
      <w:r>
        <w:rPr>
          <w:rFonts w:hint="eastAsia" w:ascii="宋体" w:hAnsi="宋体" w:eastAsia="宋体" w:cs="宋体"/>
          <w:b w:val="0"/>
          <w:color w:val="auto"/>
          <w:sz w:val="21"/>
          <w:szCs w:val="21"/>
          <w:highlight w:val="none"/>
        </w:rPr>
        <w:t>1</w:t>
      </w:r>
      <w:bookmarkStart w:id="465" w:name="_Toc296503085"/>
      <w:bookmarkStart w:id="466" w:name="_Toc337558789"/>
      <w:bookmarkStart w:id="467" w:name="_Toc296346586"/>
      <w:r>
        <w:rPr>
          <w:rFonts w:hint="eastAsia" w:ascii="宋体" w:hAnsi="宋体" w:eastAsia="宋体" w:cs="宋体"/>
          <w:b w:val="0"/>
          <w:color w:val="auto"/>
          <w:sz w:val="21"/>
          <w:szCs w:val="21"/>
          <w:highlight w:val="none"/>
        </w:rPr>
        <w:t>0.2变更权</w:t>
      </w:r>
      <w:bookmarkEnd w:id="464"/>
    </w:p>
    <w:bookmarkEnd w:id="465"/>
    <w:bookmarkEnd w:id="466"/>
    <w:bookmarkEnd w:id="467"/>
    <w:p w14:paraId="273E1BFA">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18CA8978">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涉及设计变更的，应由设计人提供变更后的图纸和说明。如变更超过原设计标准或批准的建设规模时，发包人应及时办理规划、设计变更等审批手续。</w:t>
      </w:r>
    </w:p>
    <w:p w14:paraId="51300199">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468" w:name="_Toc351203570"/>
      <w:r>
        <w:rPr>
          <w:rFonts w:hint="eastAsia" w:ascii="宋体" w:hAnsi="宋体" w:eastAsia="宋体" w:cs="宋体"/>
          <w:b w:val="0"/>
          <w:color w:val="auto"/>
          <w:sz w:val="21"/>
          <w:szCs w:val="21"/>
          <w:highlight w:val="none"/>
        </w:rPr>
        <w:t>1</w:t>
      </w:r>
      <w:bookmarkStart w:id="469" w:name="_Toc296503086"/>
      <w:bookmarkStart w:id="470" w:name="_Toc296346587"/>
      <w:bookmarkStart w:id="471" w:name="_Toc337558790"/>
      <w:r>
        <w:rPr>
          <w:rFonts w:hint="eastAsia" w:ascii="宋体" w:hAnsi="宋体" w:eastAsia="宋体" w:cs="宋体"/>
          <w:b w:val="0"/>
          <w:color w:val="auto"/>
          <w:sz w:val="21"/>
          <w:szCs w:val="21"/>
          <w:highlight w:val="none"/>
        </w:rPr>
        <w:t>0.3变更程序</w:t>
      </w:r>
      <w:bookmarkEnd w:id="468"/>
    </w:p>
    <w:bookmarkEnd w:id="469"/>
    <w:bookmarkEnd w:id="470"/>
    <w:bookmarkEnd w:id="471"/>
    <w:p w14:paraId="7F2E72A5">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10</w:t>
      </w:r>
      <w:r>
        <w:rPr>
          <w:rFonts w:hint="eastAsia" w:ascii="宋体" w:hAnsi="宋体" w:eastAsia="宋体" w:cs="宋体"/>
          <w:color w:val="auto"/>
          <w:kern w:val="0"/>
          <w:sz w:val="21"/>
          <w:szCs w:val="21"/>
          <w:highlight w:val="none"/>
        </w:rPr>
        <w:t>.3.1 发包人提出变更</w:t>
      </w:r>
    </w:p>
    <w:p w14:paraId="4FA4F289">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发包人提出变更的，应通过监理人向承包人发出变更指示，变更指示应说明计划变更的工程范围和变更的内容。</w:t>
      </w:r>
    </w:p>
    <w:p w14:paraId="76BCEA7C">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10</w:t>
      </w:r>
      <w:r>
        <w:rPr>
          <w:rFonts w:hint="eastAsia" w:ascii="宋体" w:hAnsi="宋体" w:eastAsia="宋体" w:cs="宋体"/>
          <w:color w:val="auto"/>
          <w:kern w:val="0"/>
          <w:sz w:val="21"/>
          <w:szCs w:val="21"/>
          <w:highlight w:val="none"/>
        </w:rPr>
        <w:t>.3.2 监理人提出变更建议</w:t>
      </w:r>
    </w:p>
    <w:p w14:paraId="01AC9959">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7A355D30">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10.3.3 变更执行</w:t>
      </w:r>
    </w:p>
    <w:p w14:paraId="56509857">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003342B5">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472" w:name="_Toc351203571"/>
      <w:r>
        <w:rPr>
          <w:rFonts w:hint="eastAsia" w:ascii="宋体" w:hAnsi="宋体" w:eastAsia="宋体" w:cs="宋体"/>
          <w:b w:val="0"/>
          <w:color w:val="auto"/>
          <w:sz w:val="21"/>
          <w:szCs w:val="21"/>
          <w:highlight w:val="none"/>
        </w:rPr>
        <w:t>1</w:t>
      </w:r>
      <w:bookmarkStart w:id="473" w:name="_Toc296346588"/>
      <w:bookmarkStart w:id="474" w:name="_Toc296503087"/>
      <w:bookmarkStart w:id="475" w:name="_Toc337558791"/>
      <w:r>
        <w:rPr>
          <w:rFonts w:hint="eastAsia" w:ascii="宋体" w:hAnsi="宋体" w:eastAsia="宋体" w:cs="宋体"/>
          <w:b w:val="0"/>
          <w:color w:val="auto"/>
          <w:sz w:val="21"/>
          <w:szCs w:val="21"/>
          <w:highlight w:val="none"/>
        </w:rPr>
        <w:t>0.4变更估价</w:t>
      </w:r>
      <w:bookmarkEnd w:id="472"/>
    </w:p>
    <w:bookmarkEnd w:id="473"/>
    <w:bookmarkEnd w:id="474"/>
    <w:bookmarkEnd w:id="475"/>
    <w:p w14:paraId="31EB51E9">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10.4.1 变更估价原则</w:t>
      </w:r>
    </w:p>
    <w:p w14:paraId="29D130CC">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除专用合同条款另有约定外，变更估价按照本款约定处理：</w:t>
      </w:r>
    </w:p>
    <w:p w14:paraId="74A592A0">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（1）已标价工程量清单或预算书有相同项目的，按照相同项目单价认定；</w:t>
      </w:r>
    </w:p>
    <w:p w14:paraId="71A83926">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（2）已标价工程量清单或预算书中无相同项目，但有类似项目的，参照类似项目的单价认定；</w:t>
      </w:r>
    </w:p>
    <w:p w14:paraId="5C4416C2">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7DA25306">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10.4.2 变更估价程序</w:t>
      </w:r>
    </w:p>
    <w:p w14:paraId="783B91B2">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23BD0D68">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因变更引起的价格调整应计入最近一期的进度款中支付。</w:t>
      </w:r>
    </w:p>
    <w:p w14:paraId="2FFCCDD8">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476" w:name="_Toc351203572"/>
      <w:r>
        <w:rPr>
          <w:rFonts w:hint="eastAsia" w:ascii="宋体" w:hAnsi="宋体" w:eastAsia="宋体" w:cs="宋体"/>
          <w:b w:val="0"/>
          <w:color w:val="auto"/>
          <w:sz w:val="21"/>
          <w:szCs w:val="21"/>
          <w:highlight w:val="none"/>
        </w:rPr>
        <w:t>1</w:t>
      </w:r>
      <w:bookmarkStart w:id="477" w:name="_Toc337558792"/>
      <w:bookmarkStart w:id="478" w:name="_Toc296346595"/>
      <w:bookmarkStart w:id="479" w:name="_Toc296503094"/>
      <w:r>
        <w:rPr>
          <w:rFonts w:hint="eastAsia" w:ascii="宋体" w:hAnsi="宋体" w:eastAsia="宋体" w:cs="宋体"/>
          <w:b w:val="0"/>
          <w:color w:val="auto"/>
          <w:sz w:val="21"/>
          <w:szCs w:val="21"/>
          <w:highlight w:val="none"/>
        </w:rPr>
        <w:t>0.5承包人的合理化建议</w:t>
      </w:r>
      <w:bookmarkEnd w:id="476"/>
    </w:p>
    <w:bookmarkEnd w:id="477"/>
    <w:bookmarkEnd w:id="478"/>
    <w:bookmarkEnd w:id="479"/>
    <w:p w14:paraId="485D943F">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承包人提出合理化建议的，应向监理人提交合理化建议说明，说明建议的内容和理由，以及实施该建议对合同价格和工期的影响。</w:t>
      </w:r>
    </w:p>
    <w:p w14:paraId="21118B6C">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5D0A665F">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合理化建议降低了合同价格或者提高了工程经济效益的，发包人可对承包人给予奖励，奖励的方法和金额在专用合同条款中约定。</w:t>
      </w:r>
    </w:p>
    <w:p w14:paraId="6174D8C6">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color w:val="auto"/>
          <w:sz w:val="21"/>
          <w:szCs w:val="21"/>
          <w:highlight w:val="none"/>
        </w:rPr>
      </w:pPr>
      <w:bookmarkStart w:id="480" w:name="_Toc351203573"/>
      <w:r>
        <w:rPr>
          <w:rFonts w:hint="eastAsia" w:ascii="宋体" w:hAnsi="宋体" w:eastAsia="宋体" w:cs="宋体"/>
          <w:b w:val="0"/>
          <w:color w:val="auto"/>
          <w:sz w:val="21"/>
          <w:szCs w:val="21"/>
          <w:highlight w:val="none"/>
        </w:rPr>
        <w:t>1</w:t>
      </w:r>
      <w:bookmarkStart w:id="481" w:name="_Toc337558793"/>
      <w:r>
        <w:rPr>
          <w:rFonts w:hint="eastAsia" w:ascii="宋体" w:hAnsi="宋体" w:eastAsia="宋体" w:cs="宋体"/>
          <w:b w:val="0"/>
          <w:color w:val="auto"/>
          <w:sz w:val="21"/>
          <w:szCs w:val="21"/>
          <w:highlight w:val="none"/>
        </w:rPr>
        <w:t>0.6变更引起的工期调整</w:t>
      </w:r>
      <w:bookmarkEnd w:id="480"/>
      <w:r>
        <w:rPr>
          <w:rFonts w:hint="eastAsia" w:ascii="宋体" w:hAnsi="宋体" w:eastAsia="宋体" w:cs="宋体"/>
          <w:b w:val="0"/>
          <w:color w:val="auto"/>
          <w:sz w:val="21"/>
          <w:szCs w:val="21"/>
          <w:highlight w:val="none"/>
        </w:rPr>
        <w:t xml:space="preserve"> </w:t>
      </w:r>
      <w:bookmarkEnd w:id="481"/>
      <w:r>
        <w:rPr>
          <w:rFonts w:hint="eastAsia" w:ascii="宋体" w:hAnsi="宋体" w:eastAsia="宋体" w:cs="宋体"/>
          <w:b w:val="0"/>
          <w:color w:val="auto"/>
          <w:sz w:val="21"/>
          <w:szCs w:val="21"/>
          <w:highlight w:val="none"/>
        </w:rPr>
        <w:t xml:space="preserve"> </w:t>
      </w:r>
      <w:r>
        <w:rPr>
          <w:rFonts w:hint="eastAsia" w:ascii="宋体" w:hAnsi="宋体" w:eastAsia="宋体" w:cs="宋体"/>
          <w:color w:val="auto"/>
          <w:sz w:val="21"/>
          <w:szCs w:val="21"/>
          <w:highlight w:val="none"/>
        </w:rPr>
        <w:t xml:space="preserve"> </w:t>
      </w:r>
    </w:p>
    <w:p w14:paraId="57B02DB5">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因变更引起工期变化的，合同当事人均可要求调整合同工期，由合同当事人按照第4.4款〔商定或确定〕并参考工程所在地的工期定额标准确定增减工期天数。</w:t>
      </w:r>
    </w:p>
    <w:p w14:paraId="06AE25B8">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482" w:name="_Toc351203574"/>
      <w:r>
        <w:rPr>
          <w:rFonts w:hint="eastAsia" w:ascii="宋体" w:hAnsi="宋体" w:eastAsia="宋体" w:cs="宋体"/>
          <w:b w:val="0"/>
          <w:color w:val="auto"/>
          <w:sz w:val="21"/>
          <w:szCs w:val="21"/>
          <w:highlight w:val="none"/>
        </w:rPr>
        <w:t>10.7暂估价</w:t>
      </w:r>
      <w:bookmarkEnd w:id="482"/>
    </w:p>
    <w:p w14:paraId="49EC6C3B">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暂估价专业分包工程、服务、材料和工程设备的明细由合同当事人在专用合同条款中约定。</w:t>
      </w:r>
    </w:p>
    <w:p w14:paraId="4EE26A57">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10.7.1</w:t>
      </w:r>
      <w:r>
        <w:rPr>
          <w:rFonts w:hint="eastAsia" w:ascii="宋体" w:hAnsi="宋体" w:eastAsia="宋体" w:cs="宋体"/>
          <w:color w:val="auto"/>
          <w:kern w:val="0"/>
          <w:sz w:val="21"/>
          <w:szCs w:val="21"/>
          <w:highlight w:val="none"/>
        </w:rPr>
        <w:t xml:space="preserve"> 依法必须招标的暂估价项目</w:t>
      </w:r>
    </w:p>
    <w:p w14:paraId="341690EA">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对于依法必须招标的暂估价项目，采取以下第1种方式确定。合同当事人也可以在专用合同条款中选择其他招标方式。</w:t>
      </w:r>
    </w:p>
    <w:p w14:paraId="606FBAA3">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第1种方式：对于依法必须招标的暂估价项目，由承包人招标，对该暂估价项目的确认和批准按照以下约定执行：</w:t>
      </w:r>
    </w:p>
    <w:p w14:paraId="6E4B46D3">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7EFBD5BB">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14:paraId="4C798C86">
      <w:pPr>
        <w:keepNext w:val="0"/>
        <w:keepLines w:val="0"/>
        <w:pageBreakBefore w:val="0"/>
        <w:widowControl w:val="0"/>
        <w:kinsoku/>
        <w:wordWrap/>
        <w:overflowPunct/>
        <w:topLinePunct w:val="0"/>
        <w:bidi w:val="0"/>
        <w:snapToGrid/>
        <w:spacing w:line="390" w:lineRule="exact"/>
        <w:ind w:left="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208050E8">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4FFFE013">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10.7.2</w:t>
      </w:r>
      <w:r>
        <w:rPr>
          <w:rFonts w:hint="eastAsia" w:ascii="宋体" w:hAnsi="宋体" w:eastAsia="宋体" w:cs="宋体"/>
          <w:color w:val="auto"/>
          <w:kern w:val="0"/>
          <w:sz w:val="21"/>
          <w:szCs w:val="21"/>
          <w:highlight w:val="none"/>
        </w:rPr>
        <w:t>不属于依法必须招标的暂估价项目</w:t>
      </w:r>
    </w:p>
    <w:p w14:paraId="255EFADD">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除专用合同条款另有约定外，对于不属于依法必须招标的暂估价项目，采取以下第1种方式确定： </w:t>
      </w:r>
    </w:p>
    <w:p w14:paraId="792F337B">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第1种方式：对于不属于依法必须招标的暂估价项目，按本项约定确认和批准：</w:t>
      </w:r>
    </w:p>
    <w:p w14:paraId="0247CBC5">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6B033F61">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（2）发包人认为承包人确定的供应商、分包人无法满足工程质量或合同要求的，发包人可以要求承包人重新确定暂估价项目的供应商、分包人;</w:t>
      </w:r>
    </w:p>
    <w:p w14:paraId="1DE40E6C">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（3）承包人应当在签订暂估价合同后7天内，将暂估价合同副本报送发包人留存。</w:t>
      </w:r>
    </w:p>
    <w:p w14:paraId="0D70C777">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第2种方式：承包人按照第10.7.1项〔依法必须招标的暂估价项目〕约定的第1种方式确定暂估价项目。</w:t>
      </w:r>
    </w:p>
    <w:p w14:paraId="635E61C6">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第3种方式：</w:t>
      </w:r>
      <w:r>
        <w:rPr>
          <w:rFonts w:hint="eastAsia" w:ascii="宋体" w:hAnsi="宋体" w:eastAsia="宋体" w:cs="宋体"/>
          <w:color w:val="auto"/>
          <w:kern w:val="0"/>
          <w:sz w:val="21"/>
          <w:szCs w:val="21"/>
          <w:highlight w:val="none"/>
        </w:rPr>
        <w:t>承包人直接实施的暂估价项目</w:t>
      </w:r>
    </w:p>
    <w:p w14:paraId="792EDB02">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承包人具备实施暂估价项目的资格和条件的，经发包人和承包人协商一致后，可由承包人自行实施暂估价项目，合同当事人可以在专用合同条款约定具体事项。</w:t>
      </w:r>
    </w:p>
    <w:p w14:paraId="179C3B5B">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06522AD7">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483" w:name="_Toc351203575"/>
      <w:r>
        <w:rPr>
          <w:rFonts w:hint="eastAsia" w:ascii="宋体" w:hAnsi="宋体" w:eastAsia="宋体" w:cs="宋体"/>
          <w:b w:val="0"/>
          <w:color w:val="auto"/>
          <w:sz w:val="21"/>
          <w:szCs w:val="21"/>
          <w:highlight w:val="none"/>
        </w:rPr>
        <w:t>1</w:t>
      </w:r>
      <w:bookmarkStart w:id="484" w:name="_Toc337558794"/>
      <w:bookmarkStart w:id="485" w:name="_Toc322522561"/>
      <w:bookmarkStart w:id="486" w:name="_Toc296503090"/>
      <w:bookmarkStart w:id="487" w:name="_Toc296346591"/>
      <w:r>
        <w:rPr>
          <w:rFonts w:hint="eastAsia" w:ascii="宋体" w:hAnsi="宋体" w:eastAsia="宋体" w:cs="宋体"/>
          <w:b w:val="0"/>
          <w:color w:val="auto"/>
          <w:sz w:val="21"/>
          <w:szCs w:val="21"/>
          <w:highlight w:val="none"/>
        </w:rPr>
        <w:t>0.8暂列金额</w:t>
      </w:r>
      <w:bookmarkEnd w:id="483"/>
    </w:p>
    <w:bookmarkEnd w:id="484"/>
    <w:p w14:paraId="65D5FE1C">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暂列金额应按照发包人的要求使用，发包人的要求应通过监理人发出。合同当事人可以在专用合同条款中协商确定有关事项。</w:t>
      </w:r>
    </w:p>
    <w:bookmarkEnd w:id="485"/>
    <w:bookmarkEnd w:id="486"/>
    <w:bookmarkEnd w:id="487"/>
    <w:p w14:paraId="097E6E20">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488" w:name="_Toc351203576"/>
      <w:r>
        <w:rPr>
          <w:rFonts w:hint="eastAsia" w:ascii="宋体" w:hAnsi="宋体" w:eastAsia="宋体" w:cs="宋体"/>
          <w:b w:val="0"/>
          <w:color w:val="auto"/>
          <w:sz w:val="21"/>
          <w:szCs w:val="21"/>
          <w:highlight w:val="none"/>
        </w:rPr>
        <w:t>1</w:t>
      </w:r>
      <w:bookmarkStart w:id="489" w:name="_Toc296346592"/>
      <w:bookmarkStart w:id="490" w:name="_Toc337558796"/>
      <w:bookmarkStart w:id="491" w:name="_Toc296503091"/>
      <w:r>
        <w:rPr>
          <w:rFonts w:hint="eastAsia" w:ascii="宋体" w:hAnsi="宋体" w:eastAsia="宋体" w:cs="宋体"/>
          <w:b w:val="0"/>
          <w:color w:val="auto"/>
          <w:sz w:val="21"/>
          <w:szCs w:val="21"/>
          <w:highlight w:val="none"/>
        </w:rPr>
        <w:t>0.9计日工</w:t>
      </w:r>
      <w:bookmarkEnd w:id="488"/>
      <w:r>
        <w:rPr>
          <w:rFonts w:hint="eastAsia" w:ascii="宋体" w:hAnsi="宋体" w:eastAsia="宋体" w:cs="宋体"/>
          <w:b w:val="0"/>
          <w:color w:val="auto"/>
          <w:sz w:val="21"/>
          <w:szCs w:val="21"/>
          <w:highlight w:val="none"/>
        </w:rPr>
        <w:t xml:space="preserve"> </w:t>
      </w:r>
      <w:bookmarkEnd w:id="489"/>
      <w:bookmarkEnd w:id="490"/>
      <w:bookmarkEnd w:id="491"/>
    </w:p>
    <w:p w14:paraId="29FC357B">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14:paraId="018F7C16">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采用计日工计价的任何一项工作，承包人应在该项工作实施过程中，每天提交以下报表和有关凭证报送监理人审查：</w:t>
      </w:r>
    </w:p>
    <w:p w14:paraId="07566AA2">
      <w:pPr>
        <w:keepNext w:val="0"/>
        <w:keepLines w:val="0"/>
        <w:pageBreakBefore w:val="0"/>
        <w:widowControl w:val="0"/>
        <w:kinsoku/>
        <w:wordWrap/>
        <w:overflowPunct/>
        <w:topLinePunct w:val="0"/>
        <w:bidi w:val="0"/>
        <w:snapToGrid/>
        <w:spacing w:line="390" w:lineRule="exact"/>
        <w:ind w:left="0" w:firstLine="315" w:firstLineChars="15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（1）工作名称、内容和数量；</w:t>
      </w:r>
    </w:p>
    <w:p w14:paraId="3FC69C1C">
      <w:pPr>
        <w:keepNext w:val="0"/>
        <w:keepLines w:val="0"/>
        <w:pageBreakBefore w:val="0"/>
        <w:widowControl w:val="0"/>
        <w:kinsoku/>
        <w:wordWrap/>
        <w:overflowPunct/>
        <w:topLinePunct w:val="0"/>
        <w:bidi w:val="0"/>
        <w:snapToGrid/>
        <w:spacing w:line="390" w:lineRule="exact"/>
        <w:ind w:left="0" w:firstLine="315" w:firstLineChars="15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（2）投入该工作的所有人员的姓名、专业、工种、级别和耗用工时；</w:t>
      </w:r>
    </w:p>
    <w:p w14:paraId="3332B611">
      <w:pPr>
        <w:keepNext w:val="0"/>
        <w:keepLines w:val="0"/>
        <w:pageBreakBefore w:val="0"/>
        <w:widowControl w:val="0"/>
        <w:kinsoku/>
        <w:wordWrap/>
        <w:overflowPunct/>
        <w:topLinePunct w:val="0"/>
        <w:bidi w:val="0"/>
        <w:snapToGrid/>
        <w:spacing w:line="390" w:lineRule="exact"/>
        <w:ind w:left="0" w:firstLine="315" w:firstLineChars="15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（3）投入该工作的材料类别和数量；</w:t>
      </w:r>
    </w:p>
    <w:p w14:paraId="6050DEC0">
      <w:pPr>
        <w:keepNext w:val="0"/>
        <w:keepLines w:val="0"/>
        <w:pageBreakBefore w:val="0"/>
        <w:widowControl w:val="0"/>
        <w:kinsoku/>
        <w:wordWrap/>
        <w:overflowPunct/>
        <w:topLinePunct w:val="0"/>
        <w:bidi w:val="0"/>
        <w:snapToGrid/>
        <w:spacing w:line="390" w:lineRule="exact"/>
        <w:ind w:left="0" w:firstLine="315" w:firstLineChars="15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（4）投入该工作的施工设备型号、台数和耗用台时；</w:t>
      </w:r>
    </w:p>
    <w:p w14:paraId="25A7946E">
      <w:pPr>
        <w:keepNext w:val="0"/>
        <w:keepLines w:val="0"/>
        <w:pageBreakBefore w:val="0"/>
        <w:widowControl w:val="0"/>
        <w:kinsoku/>
        <w:wordWrap/>
        <w:overflowPunct/>
        <w:topLinePunct w:val="0"/>
        <w:bidi w:val="0"/>
        <w:snapToGrid/>
        <w:spacing w:line="390" w:lineRule="exact"/>
        <w:ind w:left="0" w:firstLine="315" w:firstLineChars="15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（5）其他有关资料和凭证。</w:t>
      </w:r>
    </w:p>
    <w:p w14:paraId="17E34F07">
      <w:pPr>
        <w:keepNext w:val="0"/>
        <w:keepLines w:val="0"/>
        <w:pageBreakBefore w:val="0"/>
        <w:widowControl w:val="0"/>
        <w:kinsoku/>
        <w:wordWrap/>
        <w:overflowPunct/>
        <w:topLinePunct w:val="0"/>
        <w:bidi w:val="0"/>
        <w:snapToGrid/>
        <w:spacing w:line="390" w:lineRule="exact"/>
        <w:ind w:left="0" w:firstLine="315" w:firstLineChars="15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计日工由承包人汇总后，列入最近一期进度付款申请单，由监理人审查并经发包人批准后列入进度付款。</w:t>
      </w:r>
    </w:p>
    <w:p w14:paraId="3535FB24">
      <w:pPr>
        <w:pStyle w:val="40"/>
        <w:keepNext w:val="0"/>
        <w:keepLines w:val="0"/>
        <w:pageBreakBefore w:val="0"/>
        <w:widowControl w:val="0"/>
        <w:wordWrap/>
        <w:topLinePunct w:val="0"/>
        <w:bidi w:val="0"/>
        <w:adjustRightInd w:val="0"/>
        <w:snapToGrid w:val="0"/>
        <w:spacing w:line="400" w:lineRule="exact"/>
        <w:ind w:left="0" w:leftChars="0" w:firstLine="0" w:firstLineChars="0"/>
        <w:outlineLvl w:val="2"/>
        <w:rPr>
          <w:rFonts w:hint="eastAsia" w:ascii="宋体" w:hAnsi="宋体" w:eastAsia="宋体" w:cs="宋体"/>
          <w:b w:val="0"/>
          <w:color w:val="auto"/>
          <w:sz w:val="21"/>
          <w:szCs w:val="21"/>
          <w:highlight w:val="none"/>
        </w:rPr>
      </w:pPr>
      <w:bookmarkStart w:id="492" w:name="_Toc351203577"/>
      <w:r>
        <w:rPr>
          <w:rFonts w:hint="eastAsia" w:ascii="宋体" w:hAnsi="宋体" w:eastAsia="宋体" w:cs="宋体"/>
          <w:b w:val="0"/>
          <w:color w:val="auto"/>
          <w:sz w:val="21"/>
          <w:szCs w:val="21"/>
          <w:highlight w:val="none"/>
        </w:rPr>
        <w:t>11. 价格调整</w:t>
      </w:r>
      <w:bookmarkEnd w:id="492"/>
    </w:p>
    <w:p w14:paraId="53353129">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493" w:name="_Toc351203578"/>
      <w:bookmarkStart w:id="494" w:name="_Toc296503092"/>
      <w:bookmarkStart w:id="495" w:name="_Toc296346593"/>
      <w:bookmarkStart w:id="496" w:name="_Toc337558797"/>
      <w:r>
        <w:rPr>
          <w:rFonts w:hint="eastAsia" w:ascii="宋体" w:hAnsi="宋体" w:eastAsia="宋体" w:cs="宋体"/>
          <w:b w:val="0"/>
          <w:color w:val="auto"/>
          <w:sz w:val="21"/>
          <w:szCs w:val="21"/>
          <w:highlight w:val="none"/>
        </w:rPr>
        <w:t>11.1市场价格波动引起的调整</w:t>
      </w:r>
      <w:bookmarkEnd w:id="493"/>
    </w:p>
    <w:bookmarkEnd w:id="494"/>
    <w:bookmarkEnd w:id="495"/>
    <w:bookmarkEnd w:id="496"/>
    <w:p w14:paraId="78595F50">
      <w:pPr>
        <w:keepNext w:val="0"/>
        <w:keepLines w:val="0"/>
        <w:pageBreakBefore w:val="0"/>
        <w:widowControl w:val="0"/>
        <w:kinsoku/>
        <w:wordWrap/>
        <w:overflowPunct/>
        <w:topLinePunct w:val="0"/>
        <w:bidi w:val="0"/>
        <w:snapToGrid/>
        <w:spacing w:line="390" w:lineRule="exact"/>
        <w:ind w:left="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除专用合同条款另有约定外，市场价格波动超过合同当事人约定的范围，合同价格应当调整。合同当事人可以在专用合同条款中约定选择以下一种方式对合同价格进行调整：</w:t>
      </w:r>
    </w:p>
    <w:p w14:paraId="0DAD6071">
      <w:pPr>
        <w:keepNext w:val="0"/>
        <w:keepLines w:val="0"/>
        <w:pageBreakBefore w:val="0"/>
        <w:widowControl w:val="0"/>
        <w:kinsoku/>
        <w:wordWrap/>
        <w:overflowPunct/>
        <w:topLinePunct w:val="0"/>
        <w:bidi w:val="0"/>
        <w:snapToGrid/>
        <w:spacing w:line="39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第1种方式：采用价格指数进行价格调整。</w:t>
      </w:r>
    </w:p>
    <w:p w14:paraId="2D830B14">
      <w:pPr>
        <w:keepNext w:val="0"/>
        <w:keepLines w:val="0"/>
        <w:pageBreakBefore w:val="0"/>
        <w:widowControl w:val="0"/>
        <w:tabs>
          <w:tab w:val="left" w:pos="0"/>
          <w:tab w:val="left" w:pos="360"/>
          <w:tab w:val="left" w:pos="540"/>
        </w:tabs>
        <w:kinsoku/>
        <w:wordWrap/>
        <w:overflowPunct/>
        <w:topLinePunct w:val="0"/>
        <w:bidi w:val="0"/>
        <w:snapToGrid/>
        <w:spacing w:line="39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（1）价格调整公式</w:t>
      </w:r>
    </w:p>
    <w:p w14:paraId="4024867E">
      <w:pPr>
        <w:keepNext w:val="0"/>
        <w:keepLines w:val="0"/>
        <w:pageBreakBefore w:val="0"/>
        <w:widowControl w:val="0"/>
        <w:tabs>
          <w:tab w:val="left" w:pos="0"/>
          <w:tab w:val="left" w:pos="360"/>
          <w:tab w:val="left" w:pos="540"/>
        </w:tabs>
        <w:kinsoku/>
        <w:wordWrap/>
        <w:overflowPunct/>
        <w:topLinePunct w:val="0"/>
        <w:bidi w:val="0"/>
        <w:snapToGrid/>
        <w:spacing w:line="39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因人工、材料和设备等价格波动影响合同价格时，根据专用合同条款中约定的数据，按以下公式计算差额并调整合同价格：</w:t>
      </w:r>
    </w:p>
    <w:p w14:paraId="47CB5385">
      <w:pPr>
        <w:keepNext w:val="0"/>
        <w:keepLines w:val="0"/>
        <w:pageBreakBefore w:val="0"/>
        <w:widowControl w:val="0"/>
        <w:tabs>
          <w:tab w:val="left" w:pos="0"/>
          <w:tab w:val="left" w:pos="360"/>
          <w:tab w:val="left" w:pos="540"/>
        </w:tabs>
        <w:kinsoku/>
        <w:wordWrap/>
        <w:overflowPunct/>
        <w:topLinePunct w:val="0"/>
        <w:bidi w:val="0"/>
        <w:snapToGrid/>
        <w:spacing w:line="39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position w:val="-30"/>
          <w:sz w:val="21"/>
          <w:szCs w:val="21"/>
          <w:highlight w:val="none"/>
        </w:rPr>
        <w:object>
          <v:shape id="_x0000_i1025" o:spt="75" type="#_x0000_t75" style="height:43.9pt;width:359.85pt;" o:ole="t" filled="f" stroked="f" coordsize="21600,21600">
            <v:path/>
            <v:fill on="f" focussize="0,0"/>
            <v:stroke on="f"/>
            <v:imagedata r:id="rId12" o:title=""/>
            <o:lock v:ext="edit" grouping="f" rotation="f" text="f" aspectratio="t"/>
            <w10:wrap type="none"/>
            <w10:anchorlock/>
          </v:shape>
          <o:OLEObject Type="Embed" ProgID="Equation.KSEE3" ShapeID="_x0000_i1025" DrawAspect="Content" ObjectID="_1468075725" r:id="rId11">
            <o:LockedField>false</o:LockedField>
          </o:OLEObject>
        </w:object>
      </w:r>
    </w:p>
    <w:p w14:paraId="7E59F0F9">
      <w:pPr>
        <w:keepNext w:val="0"/>
        <w:keepLines w:val="0"/>
        <w:pageBreakBefore w:val="0"/>
        <w:widowControl w:val="0"/>
        <w:tabs>
          <w:tab w:val="left" w:pos="0"/>
          <w:tab w:val="left" w:pos="360"/>
          <w:tab w:val="left" w:pos="540"/>
        </w:tabs>
        <w:kinsoku/>
        <w:wordWrap/>
        <w:overflowPunct/>
        <w:topLinePunct w:val="0"/>
        <w:bidi w:val="0"/>
        <w:snapToGrid/>
        <w:spacing w:line="390" w:lineRule="exact"/>
        <w:ind w:left="0"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公式中：ΔP——需调整的价格差额；</w:t>
      </w:r>
    </w:p>
    <w:p w14:paraId="70402C56">
      <w:pPr>
        <w:keepNext w:val="0"/>
        <w:keepLines w:val="0"/>
        <w:pageBreakBefore w:val="0"/>
        <w:widowControl w:val="0"/>
        <w:tabs>
          <w:tab w:val="left" w:pos="0"/>
          <w:tab w:val="left" w:pos="360"/>
          <w:tab w:val="left" w:pos="540"/>
        </w:tabs>
        <w:kinsoku/>
        <w:wordWrap/>
        <w:overflowPunct/>
        <w:topLinePunct w:val="0"/>
        <w:bidi w:val="0"/>
        <w:snapToGrid/>
        <w:spacing w:line="390" w:lineRule="exact"/>
        <w:ind w:left="0" w:firstLine="1260" w:firstLineChars="600"/>
        <w:textAlignment w:val="auto"/>
        <w:rPr>
          <w:rFonts w:hint="eastAsia" w:ascii="宋体" w:hAnsi="宋体" w:eastAsia="宋体" w:cs="宋体"/>
          <w:color w:val="auto"/>
          <w:sz w:val="21"/>
          <w:szCs w:val="21"/>
          <w:highlight w:val="none"/>
        </w:rPr>
      </w:pPr>
      <w:r>
        <w:rPr>
          <w:rFonts w:hint="eastAsia" w:ascii="宋体" w:hAnsi="宋体" w:eastAsia="宋体" w:cs="宋体"/>
          <w:color w:val="auto"/>
          <w:position w:val="-6"/>
          <w:sz w:val="21"/>
          <w:szCs w:val="21"/>
          <w:highlight w:val="none"/>
        </w:rPr>
        <w:object>
          <v:shape id="_x0000_i1026" o:spt="75" type="#_x0000_t75" style="height:17.95pt;width:17.95pt;" o:ole="t" filled="f" stroked="f" coordsize="21600,21600">
            <v:path/>
            <v:fill on="f" focussize="0,0"/>
            <v:stroke on="f"/>
            <v:imagedata r:id="rId14" o:title=""/>
            <o:lock v:ext="edit" grouping="f" rotation="f" text="f" aspectratio="t"/>
            <w10:wrap type="none"/>
            <w10:anchorlock/>
          </v:shape>
          <o:OLEObject Type="Embed" ProgID="Equation.KSEE3" ShapeID="_x0000_i1026" DrawAspect="Content" ObjectID="_1468075726" r:id="rId13">
            <o:LockedField>false</o:LockedField>
          </o:OLEObject>
        </w:object>
      </w:r>
      <w:r>
        <w:rPr>
          <w:rFonts w:hint="eastAsia" w:ascii="宋体" w:hAnsi="宋体" w:eastAsia="宋体" w:cs="宋体"/>
          <w:color w:val="auto"/>
          <w:sz w:val="21"/>
          <w:szCs w:val="21"/>
          <w:highlight w:val="none"/>
        </w:rPr>
        <w:t>——约定的付款证书中承包人应得到的已完成工程量的金额。此项金额应不包括价格调整、不计质量保证金的扣留和支付、预付款的支付和扣回。约定的变更及其他金额已按现行价格计价的，也不计在内；</w:t>
      </w:r>
    </w:p>
    <w:p w14:paraId="02839946">
      <w:pPr>
        <w:keepNext w:val="0"/>
        <w:keepLines w:val="0"/>
        <w:pageBreakBefore w:val="0"/>
        <w:widowControl w:val="0"/>
        <w:tabs>
          <w:tab w:val="left" w:pos="0"/>
          <w:tab w:val="left" w:pos="360"/>
          <w:tab w:val="left" w:pos="540"/>
        </w:tabs>
        <w:kinsoku/>
        <w:wordWrap/>
        <w:overflowPunct/>
        <w:topLinePunct w:val="0"/>
        <w:bidi w:val="0"/>
        <w:snapToGrid/>
        <w:spacing w:line="39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A——定值权重（即不调部分的权重）；</w:t>
      </w:r>
    </w:p>
    <w:p w14:paraId="216FD01A">
      <w:pPr>
        <w:keepNext w:val="0"/>
        <w:keepLines w:val="0"/>
        <w:pageBreakBefore w:val="0"/>
        <w:widowControl w:val="0"/>
        <w:tabs>
          <w:tab w:val="left" w:pos="0"/>
          <w:tab w:val="left" w:pos="360"/>
          <w:tab w:val="left" w:pos="540"/>
        </w:tabs>
        <w:kinsoku/>
        <w:wordWrap/>
        <w:overflowPunct/>
        <w:topLinePunct w:val="0"/>
        <w:bidi w:val="0"/>
        <w:snapToGrid/>
        <w:spacing w:line="39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position w:val="-10"/>
          <w:sz w:val="21"/>
          <w:szCs w:val="21"/>
          <w:highlight w:val="none"/>
        </w:rPr>
        <w:object>
          <v:shape id="_x0000_i1027" o:spt="75" type="#_x0000_t75" style="height:21.05pt;width:101pt;" o:ole="t" filled="f" stroked="f" coordsize="21600,21600">
            <v:path/>
            <v:fill on="f" focussize="0,0"/>
            <v:stroke on="f"/>
            <v:imagedata r:id="rId16" o:title=""/>
            <o:lock v:ext="edit" grouping="f" rotation="f" text="f" aspectratio="t"/>
            <w10:wrap type="none"/>
            <w10:anchorlock/>
          </v:shape>
          <o:OLEObject Type="Embed" ProgID="Equation.KSEE3" ShapeID="_x0000_i1027" DrawAspect="Content" ObjectID="_1468075727" r:id="rId15">
            <o:LockedField>false</o:LockedField>
          </o:OLEObject>
        </w:object>
      </w:r>
      <w:r>
        <w:rPr>
          <w:rFonts w:hint="eastAsia" w:ascii="宋体" w:hAnsi="宋体" w:eastAsia="宋体" w:cs="宋体"/>
          <w:color w:val="auto"/>
          <w:sz w:val="21"/>
          <w:szCs w:val="21"/>
          <w:highlight w:val="none"/>
        </w:rPr>
        <w:t>——各可调因子的变值权重（即可调部分的权重），为各可调因子在签约合同价中所占的比例；</w:t>
      </w:r>
    </w:p>
    <w:p w14:paraId="36B1EA3C">
      <w:pPr>
        <w:keepNext w:val="0"/>
        <w:keepLines w:val="0"/>
        <w:pageBreakBefore w:val="0"/>
        <w:widowControl w:val="0"/>
        <w:tabs>
          <w:tab w:val="left" w:pos="0"/>
          <w:tab w:val="left" w:pos="360"/>
          <w:tab w:val="left" w:pos="540"/>
        </w:tabs>
        <w:kinsoku/>
        <w:wordWrap/>
        <w:overflowPunct/>
        <w:topLinePunct w:val="0"/>
        <w:bidi w:val="0"/>
        <w:snapToGrid/>
        <w:spacing w:line="39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position w:val="-10"/>
          <w:sz w:val="21"/>
          <w:szCs w:val="21"/>
          <w:highlight w:val="none"/>
        </w:rPr>
        <w:object>
          <v:shape id="_x0000_i1028" o:spt="75" type="#_x0000_t75" style="height:20.6pt;width:102.05pt;" o:ole="t" filled="f" stroked="f" coordsize="21600,21600">
            <v:path/>
            <v:fill on="f" focussize="0,0"/>
            <v:stroke on="f"/>
            <v:imagedata r:id="rId18" o:title=""/>
            <o:lock v:ext="edit" grouping="f" rotation="f" text="f" aspectratio="t"/>
            <w10:wrap type="none"/>
            <w10:anchorlock/>
          </v:shape>
          <o:OLEObject Type="Embed" ProgID="Equation.KSEE3" ShapeID="_x0000_i1028" DrawAspect="Content" ObjectID="_1468075728" r:id="rId17">
            <o:LockedField>false</o:LockedField>
          </o:OLEObject>
        </w:object>
      </w:r>
      <w:r>
        <w:rPr>
          <w:rFonts w:hint="eastAsia" w:ascii="宋体" w:hAnsi="宋体" w:eastAsia="宋体" w:cs="宋体"/>
          <w:color w:val="auto"/>
          <w:sz w:val="21"/>
          <w:szCs w:val="21"/>
          <w:highlight w:val="none"/>
        </w:rPr>
        <w:t>——各可调因子的现行价格指数，指约定的付款证书相关周期最后一天的前42天的各可调因子的价格指数；</w:t>
      </w:r>
    </w:p>
    <w:p w14:paraId="32D33A64">
      <w:pPr>
        <w:keepNext w:val="0"/>
        <w:keepLines w:val="0"/>
        <w:pageBreakBefore w:val="0"/>
        <w:widowControl w:val="0"/>
        <w:tabs>
          <w:tab w:val="left" w:pos="0"/>
          <w:tab w:val="left" w:pos="360"/>
          <w:tab w:val="left" w:pos="540"/>
        </w:tabs>
        <w:kinsoku/>
        <w:wordWrap/>
        <w:overflowPunct/>
        <w:topLinePunct w:val="0"/>
        <w:bidi w:val="0"/>
        <w:snapToGrid/>
        <w:spacing w:line="39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position w:val="-10"/>
          <w:sz w:val="21"/>
          <w:szCs w:val="21"/>
          <w:highlight w:val="none"/>
        </w:rPr>
        <w:object>
          <v:shape id="_x0000_i1029" o:spt="75" type="#_x0000_t75" style="height:20.2pt;width:107.95pt;" o:ole="t" filled="f" stroked="f" coordsize="21600,21600">
            <v:path/>
            <v:fill on="f" focussize="0,0"/>
            <v:stroke on="f"/>
            <v:imagedata r:id="rId20" o:title=""/>
            <o:lock v:ext="edit" grouping="f" rotation="f" text="f" aspectratio="t"/>
            <w10:wrap type="none"/>
            <w10:anchorlock/>
          </v:shape>
          <o:OLEObject Type="Embed" ProgID="Equation.KSEE3" ShapeID="_x0000_i1029" DrawAspect="Content" ObjectID="_1468075729" r:id="rId19">
            <o:LockedField>false</o:LockedField>
          </o:OLEObject>
        </w:object>
      </w:r>
      <w:r>
        <w:rPr>
          <w:rFonts w:hint="eastAsia" w:ascii="宋体" w:hAnsi="宋体" w:eastAsia="宋体" w:cs="宋体"/>
          <w:color w:val="auto"/>
          <w:sz w:val="21"/>
          <w:szCs w:val="21"/>
          <w:highlight w:val="none"/>
        </w:rPr>
        <w:t>——各可调因子的基本价格指数，指基准日期的各可调因子的价格指数。</w:t>
      </w:r>
    </w:p>
    <w:p w14:paraId="34FEB756">
      <w:pPr>
        <w:keepNext w:val="0"/>
        <w:keepLines w:val="0"/>
        <w:pageBreakBefore w:val="0"/>
        <w:widowControl w:val="0"/>
        <w:tabs>
          <w:tab w:val="left" w:pos="0"/>
          <w:tab w:val="left" w:pos="360"/>
          <w:tab w:val="left" w:pos="540"/>
        </w:tabs>
        <w:kinsoku/>
        <w:wordWrap/>
        <w:overflowPunct/>
        <w:topLinePunct w:val="0"/>
        <w:bidi w:val="0"/>
        <w:snapToGrid/>
        <w:spacing w:line="39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以上价格调整公式中的各可调因子、定值和变值权重，以及基本价格指数及其来源在</w:t>
      </w:r>
      <w:r>
        <w:rPr>
          <w:rFonts w:hint="eastAsia" w:ascii="宋体" w:hAnsi="宋体" w:cs="宋体"/>
          <w:color w:val="auto"/>
          <w:sz w:val="21"/>
          <w:szCs w:val="21"/>
          <w:highlight w:val="none"/>
          <w:lang w:eastAsia="zh-CN"/>
        </w:rPr>
        <w:t>投标（响应）函</w:t>
      </w:r>
      <w:r>
        <w:rPr>
          <w:rFonts w:hint="eastAsia" w:ascii="宋体" w:hAnsi="宋体" w:eastAsia="宋体" w:cs="宋体"/>
          <w:color w:val="auto"/>
          <w:sz w:val="21"/>
          <w:szCs w:val="21"/>
          <w:highlight w:val="none"/>
        </w:rPr>
        <w:t>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79F25E63">
      <w:pPr>
        <w:keepNext w:val="0"/>
        <w:keepLines w:val="0"/>
        <w:pageBreakBefore w:val="0"/>
        <w:widowControl w:val="0"/>
        <w:tabs>
          <w:tab w:val="left" w:pos="0"/>
          <w:tab w:val="left" w:pos="360"/>
          <w:tab w:val="left" w:pos="540"/>
        </w:tabs>
        <w:kinsoku/>
        <w:wordWrap/>
        <w:overflowPunct/>
        <w:topLinePunct w:val="0"/>
        <w:bidi w:val="0"/>
        <w:snapToGrid/>
        <w:spacing w:line="39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（2）暂时确定调整差额</w:t>
      </w:r>
    </w:p>
    <w:p w14:paraId="145ACD44">
      <w:pPr>
        <w:keepNext w:val="0"/>
        <w:keepLines w:val="0"/>
        <w:pageBreakBefore w:val="0"/>
        <w:widowControl w:val="0"/>
        <w:tabs>
          <w:tab w:val="left" w:pos="0"/>
          <w:tab w:val="left" w:pos="360"/>
          <w:tab w:val="left" w:pos="540"/>
        </w:tabs>
        <w:kinsoku/>
        <w:wordWrap/>
        <w:overflowPunct/>
        <w:topLinePunct w:val="0"/>
        <w:bidi w:val="0"/>
        <w:snapToGrid/>
        <w:spacing w:line="39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在计算调整差额时无现行价格指数的，合同当事人同意暂用前次价格指数计算。实际价格指数有调整的，合同当事人进行相应调整。</w:t>
      </w:r>
    </w:p>
    <w:p w14:paraId="0EE2C3DD">
      <w:pPr>
        <w:keepNext w:val="0"/>
        <w:keepLines w:val="0"/>
        <w:pageBreakBefore w:val="0"/>
        <w:widowControl w:val="0"/>
        <w:tabs>
          <w:tab w:val="left" w:pos="0"/>
          <w:tab w:val="left" w:pos="360"/>
          <w:tab w:val="left" w:pos="540"/>
        </w:tabs>
        <w:kinsoku/>
        <w:wordWrap/>
        <w:overflowPunct/>
        <w:topLinePunct w:val="0"/>
        <w:bidi w:val="0"/>
        <w:snapToGrid/>
        <w:spacing w:line="39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（3）权重的调整</w:t>
      </w:r>
    </w:p>
    <w:p w14:paraId="24BAFE9D">
      <w:pPr>
        <w:keepNext w:val="0"/>
        <w:keepLines w:val="0"/>
        <w:pageBreakBefore w:val="0"/>
        <w:widowControl w:val="0"/>
        <w:tabs>
          <w:tab w:val="left" w:pos="0"/>
          <w:tab w:val="left" w:pos="360"/>
          <w:tab w:val="left" w:pos="540"/>
        </w:tabs>
        <w:kinsoku/>
        <w:wordWrap/>
        <w:overflowPunct/>
        <w:topLinePunct w:val="0"/>
        <w:bidi w:val="0"/>
        <w:snapToGrid/>
        <w:spacing w:line="39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因变更导致合同约定的权重不合理时，按照第4.4款〔商定或确定〕执行。</w:t>
      </w:r>
    </w:p>
    <w:p w14:paraId="2FFD6BC5">
      <w:pPr>
        <w:keepNext w:val="0"/>
        <w:keepLines w:val="0"/>
        <w:pageBreakBefore w:val="0"/>
        <w:widowControl w:val="0"/>
        <w:tabs>
          <w:tab w:val="left" w:pos="0"/>
          <w:tab w:val="left" w:pos="360"/>
          <w:tab w:val="left" w:pos="540"/>
        </w:tabs>
        <w:kinsoku/>
        <w:wordWrap/>
        <w:overflowPunct/>
        <w:topLinePunct w:val="0"/>
        <w:bidi w:val="0"/>
        <w:snapToGrid/>
        <w:spacing w:line="39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（4）因承包人原因工期延误后的价格调整</w:t>
      </w:r>
    </w:p>
    <w:p w14:paraId="561D65C8">
      <w:pPr>
        <w:keepNext w:val="0"/>
        <w:keepLines w:val="0"/>
        <w:pageBreakBefore w:val="0"/>
        <w:widowControl w:val="0"/>
        <w:tabs>
          <w:tab w:val="left" w:pos="0"/>
          <w:tab w:val="left" w:pos="360"/>
          <w:tab w:val="left" w:pos="540"/>
        </w:tabs>
        <w:kinsoku/>
        <w:wordWrap/>
        <w:overflowPunct/>
        <w:topLinePunct w:val="0"/>
        <w:bidi w:val="0"/>
        <w:snapToGrid/>
        <w:spacing w:line="39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因承包人原因未按期竣工的，对合同约定的竣工日期后继续施工的工程，在使用价格调整公式时，应采用计划竣工日期与实际竣工日期的两个价格指数中较低的一个作为现行价格指数。</w:t>
      </w:r>
    </w:p>
    <w:p w14:paraId="49B093BF">
      <w:pPr>
        <w:keepNext w:val="0"/>
        <w:keepLines w:val="0"/>
        <w:pageBreakBefore w:val="0"/>
        <w:widowControl w:val="0"/>
        <w:kinsoku/>
        <w:wordWrap/>
        <w:overflowPunct/>
        <w:topLinePunct w:val="0"/>
        <w:bidi w:val="0"/>
        <w:snapToGrid/>
        <w:spacing w:line="39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第2种方式：采用造价信息进行价格调整。</w:t>
      </w:r>
    </w:p>
    <w:p w14:paraId="250FB8CA">
      <w:pPr>
        <w:keepNext w:val="0"/>
        <w:keepLines w:val="0"/>
        <w:pageBreakBefore w:val="0"/>
        <w:widowControl w:val="0"/>
        <w:kinsoku/>
        <w:wordWrap/>
        <w:overflowPunct/>
        <w:topLinePunct w:val="0"/>
        <w:bidi w:val="0"/>
        <w:snapToGrid/>
        <w:spacing w:line="39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228446E8">
      <w:pPr>
        <w:keepNext w:val="0"/>
        <w:keepLines w:val="0"/>
        <w:pageBreakBefore w:val="0"/>
        <w:widowControl w:val="0"/>
        <w:kinsoku/>
        <w:wordWrap/>
        <w:overflowPunct/>
        <w:topLinePunct w:val="0"/>
        <w:bidi w:val="0"/>
        <w:snapToGrid/>
        <w:spacing w:line="39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209B1039">
      <w:pPr>
        <w:keepNext w:val="0"/>
        <w:keepLines w:val="0"/>
        <w:pageBreakBefore w:val="0"/>
        <w:widowControl w:val="0"/>
        <w:kinsoku/>
        <w:wordWrap/>
        <w:overflowPunct/>
        <w:topLinePunct w:val="0"/>
        <w:bidi w:val="0"/>
        <w:snapToGrid/>
        <w:spacing w:line="390" w:lineRule="exact"/>
        <w:ind w:lef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（2）材料、工程设备价格变化的价款调整按照发包人提供的基准价格，按以下风险范围规定执行</w:t>
      </w:r>
      <w:r>
        <w:rPr>
          <w:rFonts w:hint="eastAsia" w:ascii="宋体" w:hAnsi="宋体" w:cs="宋体"/>
          <w:color w:val="auto"/>
          <w:sz w:val="21"/>
          <w:szCs w:val="21"/>
          <w:highlight w:val="none"/>
          <w:lang w:eastAsia="zh-CN"/>
        </w:rPr>
        <w:t>：</w:t>
      </w:r>
    </w:p>
    <w:p w14:paraId="6224C9E9">
      <w:pPr>
        <w:keepNext w:val="0"/>
        <w:keepLines w:val="0"/>
        <w:pageBreakBefore w:val="0"/>
        <w:widowControl w:val="0"/>
        <w:kinsoku/>
        <w:wordWrap/>
        <w:overflowPunct/>
        <w:topLinePunct w:val="0"/>
        <w:bidi w:val="0"/>
        <w:snapToGrid/>
        <w:spacing w:line="39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4FFBBDE5">
      <w:pPr>
        <w:keepNext w:val="0"/>
        <w:keepLines w:val="0"/>
        <w:pageBreakBefore w:val="0"/>
        <w:widowControl w:val="0"/>
        <w:kinsoku/>
        <w:wordWrap/>
        <w:overflowPunct/>
        <w:topLinePunct w:val="0"/>
        <w:bidi w:val="0"/>
        <w:snapToGrid/>
        <w:spacing w:line="39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3C0EF232">
      <w:pPr>
        <w:keepNext w:val="0"/>
        <w:keepLines w:val="0"/>
        <w:pageBreakBefore w:val="0"/>
        <w:widowControl w:val="0"/>
        <w:kinsoku/>
        <w:wordWrap/>
        <w:overflowPunct/>
        <w:topLinePunct w:val="0"/>
        <w:bidi w:val="0"/>
        <w:snapToGrid/>
        <w:spacing w:line="39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③承包人在已标价工程量清单或预算书中载明材料单价等于基准价格的：除专用合同条款另有约定外，合同履行期间材料单价涨跌幅以基准价格为基础超过±5%时，其超过部分据实调整。</w:t>
      </w:r>
    </w:p>
    <w:p w14:paraId="3FCE372E">
      <w:pPr>
        <w:keepNext w:val="0"/>
        <w:keepLines w:val="0"/>
        <w:pageBreakBefore w:val="0"/>
        <w:widowControl w:val="0"/>
        <w:kinsoku/>
        <w:wordWrap/>
        <w:overflowPunct/>
        <w:topLinePunct w:val="0"/>
        <w:bidi w:val="0"/>
        <w:snapToGrid/>
        <w:spacing w:line="39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4E995569">
      <w:pPr>
        <w:keepNext w:val="0"/>
        <w:keepLines w:val="0"/>
        <w:pageBreakBefore w:val="0"/>
        <w:widowControl w:val="0"/>
        <w:kinsoku/>
        <w:wordWrap/>
        <w:overflowPunct/>
        <w:topLinePunct w:val="0"/>
        <w:bidi w:val="0"/>
        <w:snapToGrid/>
        <w:spacing w:line="390" w:lineRule="exact"/>
        <w:ind w:left="0" w:firstLine="420" w:firstLineChars="200"/>
        <w:textAlignment w:val="auto"/>
        <w:rPr>
          <w:rFonts w:hint="eastAsia" w:ascii="宋体" w:hAnsi="宋体" w:eastAsia="宋体" w:cs="宋体"/>
          <w:color w:val="auto"/>
          <w:sz w:val="21"/>
          <w:szCs w:val="21"/>
          <w:highlight w:val="none"/>
        </w:rPr>
      </w:pPr>
      <w:bookmarkStart w:id="497" w:name="OLE_LINK3"/>
      <w:r>
        <w:rPr>
          <w:rFonts w:hint="eastAsia" w:ascii="宋体" w:hAnsi="宋体" w:eastAsia="宋体" w:cs="宋体"/>
          <w:color w:val="auto"/>
          <w:sz w:val="21"/>
          <w:szCs w:val="21"/>
          <w:highlight w:val="none"/>
        </w:rPr>
        <w:t>前述基准价格是指由发包人在招标文件或专用合同条款中给定的材料、工程设备的价格，该价格原则上应当按照省级或行业建设主管部门或其授权的工程造价管理机构发布的信息价编制。</w:t>
      </w:r>
    </w:p>
    <w:p w14:paraId="233EC574">
      <w:pPr>
        <w:keepNext w:val="0"/>
        <w:keepLines w:val="0"/>
        <w:pageBreakBefore w:val="0"/>
        <w:widowControl w:val="0"/>
        <w:kinsoku/>
        <w:wordWrap/>
        <w:overflowPunct/>
        <w:topLinePunct w:val="0"/>
        <w:bidi w:val="0"/>
        <w:snapToGrid/>
        <w:spacing w:line="39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（3）施工机械台班单价或施工机械使用费发生变化超过省级或行业建设主管部门或其授权的工程造价管理机构规定的范围时，按规定调整合同价格。</w:t>
      </w:r>
    </w:p>
    <w:p w14:paraId="360538BE">
      <w:pPr>
        <w:keepNext w:val="0"/>
        <w:keepLines w:val="0"/>
        <w:pageBreakBefore w:val="0"/>
        <w:widowControl w:val="0"/>
        <w:kinsoku/>
        <w:wordWrap/>
        <w:overflowPunct/>
        <w:topLinePunct w:val="0"/>
        <w:bidi w:val="0"/>
        <w:snapToGrid/>
        <w:spacing w:line="39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第3种方式：专用合同条款约定的其他方式。</w:t>
      </w:r>
    </w:p>
    <w:p w14:paraId="5A5EB71D">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498" w:name="_Toc351203579"/>
      <w:bookmarkStart w:id="499" w:name="_Toc296503093"/>
      <w:bookmarkStart w:id="500" w:name="_Toc296346594"/>
      <w:bookmarkStart w:id="501" w:name="_Toc337558798"/>
      <w:r>
        <w:rPr>
          <w:rFonts w:hint="eastAsia" w:ascii="宋体" w:hAnsi="宋体" w:eastAsia="宋体" w:cs="宋体"/>
          <w:b w:val="0"/>
          <w:color w:val="auto"/>
          <w:sz w:val="21"/>
          <w:szCs w:val="21"/>
          <w:highlight w:val="none"/>
        </w:rPr>
        <w:t>11.2法律变化引起的调整</w:t>
      </w:r>
      <w:bookmarkEnd w:id="498"/>
    </w:p>
    <w:bookmarkEnd w:id="499"/>
    <w:bookmarkEnd w:id="500"/>
    <w:bookmarkEnd w:id="501"/>
    <w:p w14:paraId="061DAC8D">
      <w:pPr>
        <w:keepNext w:val="0"/>
        <w:keepLines w:val="0"/>
        <w:pageBreakBefore w:val="0"/>
        <w:widowControl w:val="0"/>
        <w:kinsoku/>
        <w:wordWrap/>
        <w:overflowPunct/>
        <w:topLinePunct w:val="0"/>
        <w:bidi w:val="0"/>
        <w:snapToGrid/>
        <w:spacing w:line="39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1F03D77F">
      <w:pPr>
        <w:keepNext w:val="0"/>
        <w:keepLines w:val="0"/>
        <w:pageBreakBefore w:val="0"/>
        <w:widowControl w:val="0"/>
        <w:kinsoku/>
        <w:wordWrap/>
        <w:overflowPunct/>
        <w:topLinePunct w:val="0"/>
        <w:bidi w:val="0"/>
        <w:snapToGrid/>
        <w:spacing w:line="39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因法律变化引起的合同价格和工期调整，合同当事人无法达成一致的，由总监理工程师按第4.4款〔商定或确定〕的约定处理。</w:t>
      </w:r>
    </w:p>
    <w:p w14:paraId="3CD08F90">
      <w:pPr>
        <w:keepNext w:val="0"/>
        <w:keepLines w:val="0"/>
        <w:pageBreakBefore w:val="0"/>
        <w:widowControl w:val="0"/>
        <w:kinsoku/>
        <w:wordWrap/>
        <w:overflowPunct/>
        <w:topLinePunct w:val="0"/>
        <w:bidi w:val="0"/>
        <w:snapToGrid/>
        <w:spacing w:line="39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因承包人原因造成工期延误，在工期延误期间出现法律变化的，由此增加的费用和（或）延误的工期由承包人承担。</w:t>
      </w:r>
    </w:p>
    <w:p w14:paraId="66325AFA">
      <w:pPr>
        <w:pStyle w:val="40"/>
        <w:keepNext w:val="0"/>
        <w:keepLines w:val="0"/>
        <w:pageBreakBefore w:val="0"/>
        <w:widowControl w:val="0"/>
        <w:wordWrap/>
        <w:topLinePunct w:val="0"/>
        <w:bidi w:val="0"/>
        <w:adjustRightInd w:val="0"/>
        <w:snapToGrid w:val="0"/>
        <w:spacing w:line="400" w:lineRule="exact"/>
        <w:ind w:left="0" w:leftChars="0" w:firstLine="0" w:firstLineChars="0"/>
        <w:outlineLvl w:val="2"/>
        <w:rPr>
          <w:rFonts w:hint="eastAsia" w:ascii="宋体" w:hAnsi="宋体" w:eastAsia="宋体" w:cs="宋体"/>
          <w:b w:val="0"/>
          <w:color w:val="auto"/>
          <w:sz w:val="21"/>
          <w:szCs w:val="21"/>
          <w:highlight w:val="none"/>
        </w:rPr>
      </w:pPr>
      <w:bookmarkStart w:id="502" w:name="_Toc351203580"/>
      <w:bookmarkStart w:id="503" w:name="_Toc337558799"/>
      <w:bookmarkStart w:id="504" w:name="_Toc296346597"/>
      <w:bookmarkStart w:id="505" w:name="_Toc296503096"/>
      <w:r>
        <w:rPr>
          <w:rFonts w:hint="eastAsia" w:ascii="宋体" w:hAnsi="宋体" w:eastAsia="宋体" w:cs="宋体"/>
          <w:b w:val="0"/>
          <w:color w:val="auto"/>
          <w:sz w:val="21"/>
          <w:szCs w:val="21"/>
          <w:highlight w:val="none"/>
        </w:rPr>
        <w:t>12. 合同价格、计量与支付</w:t>
      </w:r>
      <w:bookmarkEnd w:id="502"/>
    </w:p>
    <w:bookmarkEnd w:id="503"/>
    <w:p w14:paraId="6A3904B4">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506" w:name="_Toc351203581"/>
      <w:bookmarkStart w:id="507" w:name="_Toc337558800"/>
      <w:r>
        <w:rPr>
          <w:rFonts w:hint="eastAsia" w:ascii="宋体" w:hAnsi="宋体" w:eastAsia="宋体" w:cs="宋体"/>
          <w:b w:val="0"/>
          <w:color w:val="auto"/>
          <w:sz w:val="21"/>
          <w:szCs w:val="21"/>
          <w:highlight w:val="none"/>
        </w:rPr>
        <w:t>12.1 合同价</w:t>
      </w:r>
      <w:bookmarkEnd w:id="504"/>
      <w:bookmarkEnd w:id="505"/>
      <w:r>
        <w:rPr>
          <w:rFonts w:hint="eastAsia" w:ascii="宋体" w:hAnsi="宋体" w:eastAsia="宋体" w:cs="宋体"/>
          <w:b w:val="0"/>
          <w:color w:val="auto"/>
          <w:sz w:val="21"/>
          <w:szCs w:val="21"/>
          <w:highlight w:val="none"/>
        </w:rPr>
        <w:t>格形式</w:t>
      </w:r>
      <w:bookmarkEnd w:id="506"/>
    </w:p>
    <w:bookmarkEnd w:id="507"/>
    <w:p w14:paraId="7C756E76">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发包人和承包人应在合同协议书中选择下列一种合同价格形式： </w:t>
      </w:r>
    </w:p>
    <w:p w14:paraId="0A963C74">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1.单价合同</w:t>
      </w:r>
    </w:p>
    <w:p w14:paraId="7F92CD45">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单价合同是指合同当事人约定以工程量清单及其综合单价进行合同价格计算、调整和确认的建设工程施工合同，</w:t>
      </w:r>
      <w:r>
        <w:rPr>
          <w:rFonts w:hint="eastAsia" w:ascii="宋体" w:hAnsi="宋体" w:eastAsia="宋体" w:cs="宋体"/>
          <w:color w:val="auto"/>
          <w:sz w:val="21"/>
          <w:szCs w:val="21"/>
          <w:highlight w:val="none"/>
        </w:rPr>
        <w:t>在约定的范围内合同单价不作调整</w:t>
      </w:r>
      <w:r>
        <w:rPr>
          <w:rFonts w:hint="eastAsia" w:ascii="宋体" w:hAnsi="宋体" w:eastAsia="宋体" w:cs="宋体"/>
          <w:color w:val="auto"/>
          <w:kern w:val="0"/>
          <w:sz w:val="21"/>
          <w:szCs w:val="21"/>
          <w:highlight w:val="none"/>
        </w:rPr>
        <w:t>。合同当事人应在专用合同条款中约定综合单价包含的风险范围和风险费用的计算方法</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rPr>
        <w:t>并约定风险范围以外的合同价格的调整方法，其中因市场价格波动引起的调整按第11.1款〔市场价格波动引起的调整〕约定执行。</w:t>
      </w:r>
    </w:p>
    <w:p w14:paraId="0BBC8EF3">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2.总价合同</w:t>
      </w:r>
    </w:p>
    <w:p w14:paraId="59E3EC30">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总价合同是指合同当事人约定以施工图、已标价工程量清单或预算书及有关条件进行合同价格计算、调整和确认的建设工程施工合同，</w:t>
      </w:r>
      <w:r>
        <w:rPr>
          <w:rFonts w:hint="eastAsia" w:ascii="宋体" w:hAnsi="宋体" w:eastAsia="宋体" w:cs="宋体"/>
          <w:color w:val="auto"/>
          <w:sz w:val="21"/>
          <w:szCs w:val="21"/>
          <w:highlight w:val="none"/>
        </w:rPr>
        <w:t>在约定的范围内合同总价不作调整</w:t>
      </w:r>
      <w:r>
        <w:rPr>
          <w:rFonts w:hint="eastAsia" w:ascii="宋体" w:hAnsi="宋体" w:eastAsia="宋体" w:cs="宋体"/>
          <w:color w:val="auto"/>
          <w:kern w:val="0"/>
          <w:sz w:val="21"/>
          <w:szCs w:val="21"/>
          <w:highlight w:val="none"/>
        </w:rPr>
        <w:t>。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1C5F6245">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3.其它价格形式</w:t>
      </w:r>
    </w:p>
    <w:p w14:paraId="72E9F931">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合同当事人可在专用合同条款中约定其他合同价格形式。</w:t>
      </w:r>
    </w:p>
    <w:p w14:paraId="57684328">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508" w:name="_Toc296503097"/>
      <w:bookmarkStart w:id="509" w:name="_Toc296346598"/>
      <w:bookmarkStart w:id="510" w:name="_Toc351203582"/>
      <w:bookmarkStart w:id="511" w:name="_Toc337558801"/>
      <w:r>
        <w:rPr>
          <w:rFonts w:hint="eastAsia" w:ascii="宋体" w:hAnsi="宋体" w:eastAsia="宋体" w:cs="宋体"/>
          <w:b w:val="0"/>
          <w:color w:val="auto"/>
          <w:sz w:val="21"/>
          <w:szCs w:val="21"/>
          <w:highlight w:val="none"/>
        </w:rPr>
        <w:t>12.2预</w:t>
      </w:r>
      <w:bookmarkEnd w:id="508"/>
      <w:bookmarkEnd w:id="509"/>
      <w:bookmarkStart w:id="512" w:name="_Toc296346601"/>
      <w:bookmarkStart w:id="513" w:name="_Toc296503100"/>
      <w:r>
        <w:rPr>
          <w:rFonts w:hint="eastAsia" w:ascii="宋体" w:hAnsi="宋体" w:eastAsia="宋体" w:cs="宋体"/>
          <w:b w:val="0"/>
          <w:color w:val="auto"/>
          <w:sz w:val="21"/>
          <w:szCs w:val="21"/>
          <w:highlight w:val="none"/>
        </w:rPr>
        <w:t>付款</w:t>
      </w:r>
      <w:bookmarkEnd w:id="510"/>
    </w:p>
    <w:bookmarkEnd w:id="511"/>
    <w:bookmarkEnd w:id="512"/>
    <w:bookmarkEnd w:id="513"/>
    <w:p w14:paraId="7F662E6F">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12.2.</w:t>
      </w:r>
      <w:r>
        <w:rPr>
          <w:rFonts w:hint="eastAsia" w:ascii="宋体" w:hAnsi="宋体" w:eastAsia="宋体" w:cs="宋体"/>
          <w:color w:val="auto"/>
          <w:kern w:val="0"/>
          <w:sz w:val="21"/>
          <w:szCs w:val="21"/>
          <w:highlight w:val="none"/>
        </w:rPr>
        <w:t>1预付款的支付</w:t>
      </w:r>
    </w:p>
    <w:p w14:paraId="0E2D7DC9">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预付款的支付按照专用合同条款约定执行，但至迟应在开工通知载明的开工日期7天前支付。预付款应当用于材料、工程设备、施工设备的采购及修建临时工程、组织施工队伍进场等。</w:t>
      </w:r>
    </w:p>
    <w:p w14:paraId="43B52F50">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除专用合同条款另有约定外，预付款在进度付款中同比例扣回。</w:t>
      </w:r>
      <w:bookmarkEnd w:id="497"/>
      <w:r>
        <w:rPr>
          <w:rFonts w:hint="eastAsia" w:ascii="宋体" w:hAnsi="宋体" w:eastAsia="宋体" w:cs="宋体"/>
          <w:color w:val="auto"/>
          <w:kern w:val="0"/>
          <w:sz w:val="21"/>
          <w:szCs w:val="21"/>
          <w:highlight w:val="none"/>
        </w:rPr>
        <w:t>在颁发工程接收证书前，提前解除合同的，尚未扣完的预付款应与合同价款一并结算。</w:t>
      </w:r>
    </w:p>
    <w:p w14:paraId="30BEB7DB">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发包人逾期支付预付款超过7天的，承包人有权向发包人发出要求预付的催告通知，发包人收到通知后7天内仍未支付的，承包人有权暂停施工，并按第16.1.1项〔发包人违约的情形〕执行。</w:t>
      </w:r>
    </w:p>
    <w:p w14:paraId="2D3CDD92">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12.2.2 预付款担保</w:t>
      </w:r>
    </w:p>
    <w:p w14:paraId="7E702287">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5A597271">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发包人在工程款中逐期扣回预付款后，预付款担保额度应相应减少，但剩余的预付款担保金额不得低于未被扣回的预付款金额。</w:t>
      </w:r>
    </w:p>
    <w:p w14:paraId="5F18AC9F">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514" w:name="_Toc351203583"/>
      <w:bookmarkStart w:id="515" w:name="_Toc337558802"/>
      <w:r>
        <w:rPr>
          <w:rFonts w:hint="eastAsia" w:ascii="宋体" w:hAnsi="宋体" w:eastAsia="宋体" w:cs="宋体"/>
          <w:b w:val="0"/>
          <w:color w:val="auto"/>
          <w:sz w:val="21"/>
          <w:szCs w:val="21"/>
          <w:highlight w:val="none"/>
        </w:rPr>
        <w:t>12.3计量</w:t>
      </w:r>
      <w:bookmarkEnd w:id="514"/>
    </w:p>
    <w:bookmarkEnd w:id="515"/>
    <w:p w14:paraId="4D787D8E">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12.3.1 计量原则</w:t>
      </w:r>
    </w:p>
    <w:p w14:paraId="2D51F2DC">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工程量计量按照合同约定的工程量计算规则、图纸及变更指示等进行计量。工程量计算规则应以相关的国家标准、行业标准等为依据，由合同当事人在专用合同条款中约定。</w:t>
      </w:r>
    </w:p>
    <w:p w14:paraId="4FE5AE66">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12.3.2 计量周期</w:t>
      </w:r>
    </w:p>
    <w:p w14:paraId="764100AC">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除专用合同条款另有约定外，工程量的计量按月进行。</w:t>
      </w:r>
    </w:p>
    <w:p w14:paraId="2E1B9C6D">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12.3.3 单价合同的计量</w:t>
      </w:r>
    </w:p>
    <w:p w14:paraId="6966D4FB">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除专用合同条款另有约定外，单价合同的计量按照本项约定执行：</w:t>
      </w:r>
    </w:p>
    <w:p w14:paraId="2824F396">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（1）承包人应于每月25日向监理人报送上月20日至当月19日已完成的工程量报告，并附具进度付款申请单、已完成工程量报表和有关资料。</w:t>
      </w:r>
    </w:p>
    <w:p w14:paraId="38E64985">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6AFF6F17">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（3）监理人未在收到承包人提交的工程量报表后的7天内完成审核的，承包人报送的工程量报告中的工程量视为承包人实际完成的工程量，据此计算工程价款。</w:t>
      </w:r>
    </w:p>
    <w:p w14:paraId="08619912">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12.3.4 总价合同的计量</w:t>
      </w:r>
    </w:p>
    <w:p w14:paraId="4AB70E8D">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除专用合同条款另有约定外，按月计量支付的总价合同，按照本项约定执行：</w:t>
      </w:r>
    </w:p>
    <w:p w14:paraId="0A51AEAA">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（1）承包人应于每月25日向监理人报送上月20日至当月19日已完成的工程量报告，并附具进度付款申请单、已完成工程量报表和有关资料。</w:t>
      </w:r>
    </w:p>
    <w:p w14:paraId="31897483">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085C3BC0">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（3）监理人未在收到承包人提交的工程量报表后的7天内完成复核的，承包人提交的工程量报告中的工程量视为承包人实际完成的工程量。</w:t>
      </w:r>
    </w:p>
    <w:p w14:paraId="0FA680D0">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12.3.5 总价合同采用支付分解表计量支付的，可以按照第12.3.4项〔总价合同的计量〕约定进行计量，但合同价款按照支付分解表进行支付。</w:t>
      </w:r>
    </w:p>
    <w:p w14:paraId="1B02F3E0">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12.3.6 其他价格形式合同的计量</w:t>
      </w:r>
    </w:p>
    <w:p w14:paraId="09C8F270">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合同当事人可在专用合同条款中约定其他价格形式合同的计量方式和程序。</w:t>
      </w:r>
    </w:p>
    <w:p w14:paraId="36885603">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516" w:name="_Toc296346602"/>
      <w:bookmarkStart w:id="517" w:name="_Toc296503101"/>
      <w:bookmarkStart w:id="518" w:name="_Toc351203584"/>
      <w:bookmarkStart w:id="519" w:name="_Toc337558803"/>
      <w:r>
        <w:rPr>
          <w:rFonts w:hint="eastAsia" w:ascii="宋体" w:hAnsi="宋体" w:eastAsia="宋体" w:cs="宋体"/>
          <w:b w:val="0"/>
          <w:color w:val="auto"/>
          <w:sz w:val="21"/>
          <w:szCs w:val="21"/>
          <w:highlight w:val="none"/>
        </w:rPr>
        <w:t>12.4工程进度款支</w:t>
      </w:r>
      <w:bookmarkEnd w:id="516"/>
      <w:bookmarkEnd w:id="517"/>
      <w:r>
        <w:rPr>
          <w:rFonts w:hint="eastAsia" w:ascii="宋体" w:hAnsi="宋体" w:eastAsia="宋体" w:cs="宋体"/>
          <w:b w:val="0"/>
          <w:color w:val="auto"/>
          <w:sz w:val="21"/>
          <w:szCs w:val="21"/>
          <w:highlight w:val="none"/>
        </w:rPr>
        <w:t>付</w:t>
      </w:r>
      <w:bookmarkEnd w:id="518"/>
    </w:p>
    <w:bookmarkEnd w:id="519"/>
    <w:p w14:paraId="0B89E6ED">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12.4</w:t>
      </w:r>
      <w:r>
        <w:rPr>
          <w:rFonts w:hint="eastAsia" w:ascii="宋体" w:hAnsi="宋体" w:eastAsia="宋体" w:cs="宋体"/>
          <w:color w:val="auto"/>
          <w:kern w:val="0"/>
          <w:sz w:val="21"/>
          <w:szCs w:val="21"/>
          <w:highlight w:val="none"/>
        </w:rPr>
        <w:t>.1 付款周期</w:t>
      </w:r>
    </w:p>
    <w:p w14:paraId="5FFD7327">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除专用合同条款另有约定外，付款周期应按照第12.3.2项〔计量周期〕的约定与计量周期保持一致。</w:t>
      </w:r>
    </w:p>
    <w:p w14:paraId="43013607">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12.4</w:t>
      </w:r>
      <w:r>
        <w:rPr>
          <w:rFonts w:hint="eastAsia" w:ascii="宋体" w:hAnsi="宋体" w:eastAsia="宋体" w:cs="宋体"/>
          <w:color w:val="auto"/>
          <w:kern w:val="0"/>
          <w:sz w:val="21"/>
          <w:szCs w:val="21"/>
          <w:highlight w:val="none"/>
        </w:rPr>
        <w:t>.2 进度付款申请单的编制</w:t>
      </w:r>
    </w:p>
    <w:p w14:paraId="36E98F1D">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除专用合同条款另有约定外，进度付款申请单应包括下列内容：</w:t>
      </w:r>
    </w:p>
    <w:p w14:paraId="49A78F42">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（1）截至本次付款周期已完成工作对应的金额；</w:t>
      </w:r>
    </w:p>
    <w:p w14:paraId="0BD2757D">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（2）根据第10条〔变更〕应增加和扣减的变更金额；</w:t>
      </w:r>
    </w:p>
    <w:p w14:paraId="0C61D1D9">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（3）根据第12.2款〔预付款〕约定应支付的预付款和扣减的返还预付款；</w:t>
      </w:r>
    </w:p>
    <w:p w14:paraId="6D681CDF">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（4）根据第15.3款〔质量保证金〕约定应扣减的质量保证金；</w:t>
      </w:r>
    </w:p>
    <w:p w14:paraId="0D2E4A08">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（5）根据第19条〔索赔〕应增加和扣减的索赔金额；</w:t>
      </w:r>
    </w:p>
    <w:p w14:paraId="19241EBD">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（6）对已签发的进度款支付证书中出现错误的修正，应在本次进度付款中支付或扣除的金额；</w:t>
      </w:r>
    </w:p>
    <w:p w14:paraId="198D63EF">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（7）根据合同约定应增加和扣减的其他金额。</w:t>
      </w:r>
    </w:p>
    <w:p w14:paraId="6285ED43">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12.4.3 进度付款申请单的提交</w:t>
      </w:r>
    </w:p>
    <w:p w14:paraId="7408A8E3">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（1）单价合同进度付款申请单的提交</w:t>
      </w:r>
    </w:p>
    <w:p w14:paraId="5DC042E6">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27274587">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（2）总价合同进度付款申请单的提交</w:t>
      </w:r>
    </w:p>
    <w:p w14:paraId="6016585E">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总价合同按月计量支付的，承包人按照第12.3.4项〔总价合同的计量〕约定的时间按月向监理人提交进度付款申请单，并附上已完成工程量报表和有关资料。</w:t>
      </w:r>
    </w:p>
    <w:p w14:paraId="40EE492D">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总价合同按支付分解表支付的，承包人应按照第12.4.6项〔支付分解表〕及第12.4.2项〔进度付款申请单的编制〕的约定向监理人提交进度付款申请单。</w:t>
      </w:r>
    </w:p>
    <w:p w14:paraId="311F6050">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（3）其他价格形式合同的进度付款申请单的提交</w:t>
      </w:r>
    </w:p>
    <w:p w14:paraId="2AF901C9">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合同当事人可在专用合同条款中约定其他价格形式合同的进度付款申请单的编制和提交程序。</w:t>
      </w:r>
    </w:p>
    <w:p w14:paraId="01ECBFA4">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12.4</w:t>
      </w:r>
      <w:r>
        <w:rPr>
          <w:rFonts w:hint="eastAsia" w:ascii="宋体" w:hAnsi="宋体" w:eastAsia="宋体" w:cs="宋体"/>
          <w:color w:val="auto"/>
          <w:kern w:val="0"/>
          <w:sz w:val="21"/>
          <w:szCs w:val="21"/>
          <w:highlight w:val="none"/>
        </w:rPr>
        <w:t>.4 进度款审核和支付</w:t>
      </w:r>
    </w:p>
    <w:p w14:paraId="57D485BC">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6DBACD7C">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3B853D19">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（2）除专用合同条款另有约定外，发包人应在进度款支付证书或临时进度款支付证书签发后14天内完成支付，发包人逾期支付进度款的，应按照中国人民银行发布的同期同类贷款基准利率支付违约金。</w:t>
      </w:r>
    </w:p>
    <w:p w14:paraId="3E8EAC62">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（3）发包人签发进度款支付证书或临时进度款支付证书，不表明发包人已同意、批准或接受了承包人完成的相应部分的工作。</w:t>
      </w:r>
    </w:p>
    <w:p w14:paraId="65A0BDE1">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12.4.5 进度付款的修正</w:t>
      </w:r>
    </w:p>
    <w:p w14:paraId="08AFDCB2">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在对已签发的进度款支付证书进行阶段汇总和复核中发现错误、遗漏或重复的，发包人和承包人均有权提出修正申请。经发包人和承包人同意的修正，应在下期进度付款中支付或扣除。</w:t>
      </w:r>
    </w:p>
    <w:p w14:paraId="44FDCD2C">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12.4.6 支付分解表</w:t>
      </w:r>
    </w:p>
    <w:p w14:paraId="1187850E">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1.支付分解表的编制要求</w:t>
      </w:r>
    </w:p>
    <w:p w14:paraId="32C43A59">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（1）支付分解表中所列的每期付款金额，应为第12.4.2项〔进度付款申请单的编制〕第（1）目的估算金额；</w:t>
      </w:r>
    </w:p>
    <w:p w14:paraId="3AC0FADF">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（2）实际进度与施工进度计划不一致的，合同当事人可按照第4.4款〔商定或确定〕修改支付分解表；</w:t>
      </w:r>
    </w:p>
    <w:p w14:paraId="4A0E3488">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（3）不采用支付分解表的，承包人应向发包人和监理人提交按季度编制的支付估算分解表，用于支付参考。</w:t>
      </w:r>
    </w:p>
    <w:p w14:paraId="1DC0F28A">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2.总价合同支付分解表的编制与审批</w:t>
      </w:r>
    </w:p>
    <w:p w14:paraId="63D0D28E">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1B5D17D7">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（2）监理人应在收到支付分解表后7天内完成审核并报送发包人。发包人应在收到经监理人审核的支付分解表后7天内完成审批，经发包人批准的支付分解表为有约束力的支付分解表。</w:t>
      </w:r>
    </w:p>
    <w:p w14:paraId="30252B6B">
      <w:pPr>
        <w:keepNext w:val="0"/>
        <w:keepLines w:val="0"/>
        <w:pageBreakBefore w:val="0"/>
        <w:widowControl w:val="0"/>
        <w:kinsoku/>
        <w:wordWrap/>
        <w:overflowPunct/>
        <w:topLinePunct w:val="0"/>
        <w:bidi w:val="0"/>
        <w:snapToGrid/>
        <w:spacing w:line="390" w:lineRule="exact"/>
        <w:ind w:left="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（3）发包人逾期未完成支付分解表审批的，也未及时要求承包人进行修正和提供补充资料的，则承包人提交的支付分解表视为已经获得发包人批准。</w:t>
      </w:r>
    </w:p>
    <w:p w14:paraId="5E57CEE5">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3.单价合同的总价项目支付分解表的编制与审批</w:t>
      </w:r>
    </w:p>
    <w:p w14:paraId="78406797">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3BA25901">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520" w:name="_Toc351203585"/>
      <w:r>
        <w:rPr>
          <w:rFonts w:hint="eastAsia" w:ascii="宋体" w:hAnsi="宋体" w:eastAsia="宋体" w:cs="宋体"/>
          <w:b w:val="0"/>
          <w:color w:val="auto"/>
          <w:sz w:val="21"/>
          <w:szCs w:val="21"/>
          <w:highlight w:val="none"/>
        </w:rPr>
        <w:t>12.5支付账户</w:t>
      </w:r>
      <w:bookmarkEnd w:id="520"/>
    </w:p>
    <w:p w14:paraId="48F2B284">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发包人应将合同价款支付至合同协议书中约定的承包人账户。</w:t>
      </w:r>
    </w:p>
    <w:p w14:paraId="1DD750CF">
      <w:pPr>
        <w:pStyle w:val="40"/>
        <w:keepNext w:val="0"/>
        <w:keepLines w:val="0"/>
        <w:pageBreakBefore w:val="0"/>
        <w:widowControl w:val="0"/>
        <w:wordWrap/>
        <w:topLinePunct w:val="0"/>
        <w:bidi w:val="0"/>
        <w:adjustRightInd w:val="0"/>
        <w:snapToGrid w:val="0"/>
        <w:spacing w:line="400" w:lineRule="exact"/>
        <w:ind w:left="0" w:leftChars="0" w:firstLine="0" w:firstLineChars="0"/>
        <w:outlineLvl w:val="2"/>
        <w:rPr>
          <w:rFonts w:hint="eastAsia" w:ascii="宋体" w:hAnsi="宋体" w:eastAsia="宋体" w:cs="宋体"/>
          <w:b w:val="0"/>
          <w:color w:val="auto"/>
          <w:sz w:val="21"/>
          <w:szCs w:val="21"/>
          <w:highlight w:val="none"/>
        </w:rPr>
      </w:pPr>
      <w:bookmarkStart w:id="521" w:name="_Toc351203586"/>
      <w:bookmarkStart w:id="522" w:name="_Toc322522574"/>
      <w:bookmarkStart w:id="523" w:name="_Toc296503106"/>
      <w:bookmarkStart w:id="524" w:name="_Toc296346607"/>
      <w:bookmarkStart w:id="525" w:name="_Toc337558804"/>
      <w:r>
        <w:rPr>
          <w:rFonts w:hint="eastAsia" w:ascii="宋体" w:hAnsi="宋体" w:eastAsia="宋体" w:cs="宋体"/>
          <w:b w:val="0"/>
          <w:color w:val="auto"/>
          <w:sz w:val="21"/>
          <w:szCs w:val="21"/>
          <w:highlight w:val="none"/>
        </w:rPr>
        <w:t>13. 验收和工程试车</w:t>
      </w:r>
      <w:bookmarkEnd w:id="521"/>
    </w:p>
    <w:bookmarkEnd w:id="522"/>
    <w:bookmarkEnd w:id="523"/>
    <w:bookmarkEnd w:id="524"/>
    <w:bookmarkEnd w:id="525"/>
    <w:p w14:paraId="672673C7">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526" w:name="_Toc351203587"/>
      <w:bookmarkStart w:id="527" w:name="_Toc337558805"/>
      <w:bookmarkStart w:id="528" w:name="_Toc296346611"/>
      <w:bookmarkStart w:id="529" w:name="_Toc296503110"/>
      <w:r>
        <w:rPr>
          <w:rFonts w:hint="eastAsia" w:ascii="宋体" w:hAnsi="宋体" w:eastAsia="宋体" w:cs="宋体"/>
          <w:b w:val="0"/>
          <w:color w:val="auto"/>
          <w:sz w:val="21"/>
          <w:szCs w:val="21"/>
          <w:highlight w:val="none"/>
        </w:rPr>
        <w:t>13.1分部分项工程验收</w:t>
      </w:r>
      <w:bookmarkEnd w:id="526"/>
    </w:p>
    <w:bookmarkEnd w:id="527"/>
    <w:p w14:paraId="4AE1422F">
      <w:pPr>
        <w:keepNext w:val="0"/>
        <w:keepLines w:val="0"/>
        <w:pageBreakBefore w:val="0"/>
        <w:widowControl w:val="0"/>
        <w:kinsoku/>
        <w:wordWrap/>
        <w:overflowPunct/>
        <w:topLinePunct w:val="0"/>
        <w:bidi w:val="0"/>
        <w:snapToGrid/>
        <w:spacing w:line="390" w:lineRule="exact"/>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13.1.1 分部分项工程质量应符合国家有关工程施工验收规范、标准及合同约定，承包人应按照施工组织设计的要求完成分部分项工程施工。</w:t>
      </w:r>
    </w:p>
    <w:p w14:paraId="29C3AEFC">
      <w:pPr>
        <w:keepNext w:val="0"/>
        <w:keepLines w:val="0"/>
        <w:pageBreakBefore w:val="0"/>
        <w:widowControl w:val="0"/>
        <w:kinsoku/>
        <w:wordWrap/>
        <w:overflowPunct/>
        <w:topLinePunct w:val="0"/>
        <w:bidi w:val="0"/>
        <w:snapToGrid/>
        <w:spacing w:line="390" w:lineRule="exact"/>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13.1.2 除专用合同条款另有约定外，分部分项工程经承包人自检合格并具备验收条件的，承包人应提前48小时通知监理人进行验收。</w:t>
      </w:r>
      <w:r>
        <w:rPr>
          <w:rFonts w:hint="eastAsia" w:ascii="宋体" w:hAnsi="宋体" w:eastAsia="宋体" w:cs="宋体"/>
          <w:color w:val="auto"/>
          <w:kern w:val="0"/>
          <w:sz w:val="21"/>
          <w:szCs w:val="21"/>
          <w:highlight w:val="none"/>
        </w:rPr>
        <w:t>监理人不能按时进行验收的，应在验收前24小时向承包人提交书面延期要求，但延期不能超过48小时。监理人未按时进行验收，也未提出延期要求的，承包人有权自行验收，监理人应认可验收结果。</w:t>
      </w:r>
      <w:r>
        <w:rPr>
          <w:rFonts w:hint="eastAsia" w:ascii="宋体" w:hAnsi="宋体" w:eastAsia="宋体" w:cs="宋体"/>
          <w:color w:val="auto"/>
          <w:sz w:val="21"/>
          <w:szCs w:val="21"/>
          <w:highlight w:val="none"/>
        </w:rPr>
        <w:t>分部分项工程未经验收的，不得进入下一道工序施工。</w:t>
      </w:r>
    </w:p>
    <w:p w14:paraId="4BA70068">
      <w:pPr>
        <w:keepNext w:val="0"/>
        <w:keepLines w:val="0"/>
        <w:pageBreakBefore w:val="0"/>
        <w:widowControl w:val="0"/>
        <w:kinsoku/>
        <w:wordWrap/>
        <w:overflowPunct/>
        <w:topLinePunct w:val="0"/>
        <w:bidi w:val="0"/>
        <w:snapToGrid/>
        <w:spacing w:line="390" w:lineRule="exact"/>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分部分项工程的验收资料应当作为竣工资料的组成部分。</w:t>
      </w:r>
    </w:p>
    <w:p w14:paraId="6109F647">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530" w:name="_Toc351203588"/>
      <w:bookmarkStart w:id="531" w:name="_Toc337558806"/>
      <w:r>
        <w:rPr>
          <w:rFonts w:hint="eastAsia" w:ascii="宋体" w:hAnsi="宋体" w:eastAsia="宋体" w:cs="宋体"/>
          <w:b w:val="0"/>
          <w:color w:val="auto"/>
          <w:sz w:val="21"/>
          <w:szCs w:val="21"/>
          <w:highlight w:val="none"/>
        </w:rPr>
        <w:t>13.2竣工验收</w:t>
      </w:r>
      <w:bookmarkEnd w:id="530"/>
    </w:p>
    <w:bookmarkEnd w:id="528"/>
    <w:bookmarkEnd w:id="529"/>
    <w:bookmarkEnd w:id="531"/>
    <w:p w14:paraId="181F6AF8">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13.2.1竣工验收条件</w:t>
      </w:r>
    </w:p>
    <w:p w14:paraId="187F8270">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工程具备以下条件的，承包人可以申请竣工验收：</w:t>
      </w:r>
    </w:p>
    <w:p w14:paraId="5C1B5270">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（1）除发包人同意的甩项工作和缺陷修补工作外，合同范围内的全部工程以及有关工作，包括合同要求的试验、试运行以及检验均已完成，并符合合同要求；</w:t>
      </w:r>
    </w:p>
    <w:p w14:paraId="1788FD1C">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（2）已按合同约定编制了甩项工作和缺陷修补工作清单以及相应的施工计划；</w:t>
      </w:r>
    </w:p>
    <w:p w14:paraId="5C750AF3">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（3）已按合同约定的内容和份数备齐竣工资料。</w:t>
      </w:r>
    </w:p>
    <w:p w14:paraId="4CD7E985">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13.2.2竣工验收程序</w:t>
      </w:r>
    </w:p>
    <w:p w14:paraId="18E33BDE">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除专用合同条款另有约定外，承包人申请竣工验收的，应当按照以下程序进行：</w:t>
      </w:r>
    </w:p>
    <w:p w14:paraId="0E365B09">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464163E6">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4DC2BF80">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（3）竣工验收合格的，发包人应在验收合格后14天内向承包人签发工程接收证书。发包人无正当理由逾期不颁发工程接收证书的，自验收合格后第15天起视为已颁发工程接收证书。</w:t>
      </w:r>
    </w:p>
    <w:p w14:paraId="29820575">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763699C5">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5827C44E">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除专用合同条款另有约定外，发包人不按照本项约定组织竣工验收、颁发工程接收证书的，每逾期一天，应以签约合同价为基数，按照中国人民银行发布的同期同类贷款基准利率支付违约金。</w:t>
      </w:r>
    </w:p>
    <w:p w14:paraId="3BD10C3D">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13.2.3竣工日期</w:t>
      </w:r>
    </w:p>
    <w:p w14:paraId="35F3C48F">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532" w:name="#go14"/>
      <w:bookmarkEnd w:id="532"/>
      <w:r>
        <w:rPr>
          <w:rFonts w:hint="eastAsia" w:ascii="宋体" w:hAnsi="宋体" w:eastAsia="宋体" w:cs="宋体"/>
          <w:color w:val="auto"/>
          <w:kern w:val="0"/>
          <w:sz w:val="21"/>
          <w:szCs w:val="21"/>
          <w:highlight w:val="none"/>
        </w:rPr>
        <w:t>收申请报告的日期为实际竣工日期；工程未经竣工验收，发包人擅自使用的，以转移占有工程之日为实际竣工日期。</w:t>
      </w:r>
    </w:p>
    <w:p w14:paraId="3224C79B">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13.2.4 拒绝接收全部或部分工程</w:t>
      </w:r>
    </w:p>
    <w:p w14:paraId="5148871C">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5E8BCC94">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13.2.5 移交、接收全部与部分工程</w:t>
      </w:r>
    </w:p>
    <w:p w14:paraId="79E137F0">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除专用合同条款另有约定外，合同当事人应当在颁发工程接收证书后7天内完成工程的移交。</w:t>
      </w:r>
    </w:p>
    <w:p w14:paraId="62159553">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发包人无正当理由不接收工程的，发包人自应当接收工程之日起，承担工程照管、成品保护、保管等与工程有关的各项费用，合同当事人可以在专用合同条款中另行约定发包人逾期接收工程的违约责任。</w:t>
      </w:r>
    </w:p>
    <w:p w14:paraId="7940A47A">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承包人无正当理由不移交工程的，承包人应承担工程照管、成品保护、保管等与工程有关的各项费用，合同当事人可以在专用合同条款中另行约定承包人无正当理由不移交工程的违约责任。</w:t>
      </w:r>
    </w:p>
    <w:p w14:paraId="505D1588">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533" w:name="_Toc351203589"/>
      <w:bookmarkStart w:id="534" w:name="_Toc296503111"/>
      <w:bookmarkStart w:id="535" w:name="_Toc337558807"/>
      <w:bookmarkStart w:id="536" w:name="_Toc296346612"/>
      <w:r>
        <w:rPr>
          <w:rFonts w:hint="eastAsia" w:ascii="宋体" w:hAnsi="宋体" w:eastAsia="宋体" w:cs="宋体"/>
          <w:b w:val="0"/>
          <w:color w:val="auto"/>
          <w:sz w:val="21"/>
          <w:szCs w:val="21"/>
          <w:highlight w:val="none"/>
        </w:rPr>
        <w:t>13.3工程试车</w:t>
      </w:r>
      <w:bookmarkEnd w:id="533"/>
    </w:p>
    <w:bookmarkEnd w:id="534"/>
    <w:bookmarkEnd w:id="535"/>
    <w:bookmarkEnd w:id="536"/>
    <w:p w14:paraId="2553C11A">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13.3.1试车程序</w:t>
      </w:r>
    </w:p>
    <w:p w14:paraId="2C0AE068">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工程需要试车的，除专用合同条款另有约定外，试车内容应与承包人承包范围相一致，试车费用由承包人承担。工程试车应按如下程序进行：</w:t>
      </w:r>
    </w:p>
    <w:p w14:paraId="25960FA5">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1B33BD72">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56A466E4">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23C990A6">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13.3.2 试车中的责任</w:t>
      </w:r>
    </w:p>
    <w:p w14:paraId="36095C8F">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69CDC676">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54FEFD3E">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13.3.3 投料试车</w:t>
      </w:r>
    </w:p>
    <w:p w14:paraId="6C2929EF">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如需进行投料试车的，发包人应在工程竣工验收后组织投料试车。发包人要求在工程竣工验收前进行或需要承包人配合时，应征得承包人同意，并在专用合同条款中约定有关事项。</w:t>
      </w:r>
    </w:p>
    <w:p w14:paraId="2390244F">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6FF61E4F">
      <w:pPr>
        <w:keepNext w:val="0"/>
        <w:keepLines w:val="0"/>
        <w:pageBreakBefore w:val="0"/>
        <w:widowControl w:val="0"/>
        <w:kinsoku/>
        <w:wordWrap/>
        <w:overflowPunct/>
        <w:topLinePunct w:val="0"/>
        <w:bidi w:val="0"/>
        <w:snapToGrid/>
        <w:spacing w:before="0" w:after="0" w:line="390" w:lineRule="exact"/>
        <w:ind w:left="0"/>
        <w:textAlignment w:val="auto"/>
        <w:outlineLvl w:val="9"/>
        <w:rPr>
          <w:rFonts w:hint="eastAsia" w:ascii="宋体" w:hAnsi="宋体" w:eastAsia="宋体" w:cs="宋体"/>
          <w:b w:val="0"/>
          <w:color w:val="auto"/>
          <w:sz w:val="21"/>
          <w:szCs w:val="21"/>
          <w:highlight w:val="none"/>
        </w:rPr>
      </w:pPr>
      <w:bookmarkStart w:id="537" w:name="_Toc337558808"/>
      <w:r>
        <w:rPr>
          <w:rFonts w:hint="eastAsia" w:ascii="宋体" w:hAnsi="宋体" w:eastAsia="宋体" w:cs="宋体"/>
          <w:b w:val="0"/>
          <w:color w:val="auto"/>
          <w:sz w:val="21"/>
          <w:szCs w:val="21"/>
          <w:highlight w:val="none"/>
        </w:rPr>
        <w:t xml:space="preserve">    </w:t>
      </w:r>
      <w:bookmarkStart w:id="538" w:name="_Toc351203590"/>
      <w:r>
        <w:rPr>
          <w:rFonts w:hint="eastAsia" w:ascii="宋体" w:hAnsi="宋体" w:eastAsia="宋体" w:cs="宋体"/>
          <w:b w:val="0"/>
          <w:color w:val="auto"/>
          <w:sz w:val="21"/>
          <w:szCs w:val="21"/>
          <w:highlight w:val="none"/>
        </w:rPr>
        <w:t>13.4提前交付单位工程的验收</w:t>
      </w:r>
      <w:bookmarkEnd w:id="538"/>
    </w:p>
    <w:bookmarkEnd w:id="537"/>
    <w:p w14:paraId="3F7E7468">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13.4.1 发包人需要在工程竣工前使用单位工程的，或承包人提出提前交付已经竣工的单位工程且经发包人同意的，可进行单位工程验收，验收的程序按照第13.2款〔竣工验收〕的约定进行。</w:t>
      </w:r>
    </w:p>
    <w:p w14:paraId="5F4560F1">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验收合格后，由监理人向承包人出具经发包人签认的单位工程接收证书。已签发单位工程接收证书的单位工程由发包人负责照管。单位工程的验收成果和结论作为整体工程竣工验收申请报告的附件。</w:t>
      </w:r>
    </w:p>
    <w:p w14:paraId="2731E968">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13.4.2 发包人要求在工程竣工前交付单位工程，由此导致承包人费用增加和（或）工期延误的，由发包人承担由此增加的费用和（或）延误的工期，并支付承包人合理的利润。</w:t>
      </w:r>
    </w:p>
    <w:p w14:paraId="2811DCB9">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539" w:name="_Toc351203591"/>
      <w:r>
        <w:rPr>
          <w:rFonts w:hint="eastAsia" w:ascii="宋体" w:hAnsi="宋体" w:eastAsia="宋体" w:cs="宋体"/>
          <w:b w:val="0"/>
          <w:color w:val="auto"/>
          <w:sz w:val="21"/>
          <w:szCs w:val="21"/>
          <w:highlight w:val="none"/>
        </w:rPr>
        <w:t>13.5 施工期运行</w:t>
      </w:r>
      <w:bookmarkEnd w:id="539"/>
    </w:p>
    <w:p w14:paraId="74D71349">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23B482DC">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13.5.2 在施工期运行中发现工程或工程设备损坏或存在缺陷的，由承包人按第15.2款〔缺陷责任期〕约定进行修复。</w:t>
      </w:r>
    </w:p>
    <w:p w14:paraId="5311317F">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540" w:name="_Toc296346613"/>
      <w:bookmarkStart w:id="541" w:name="_Toc296503112"/>
      <w:bookmarkStart w:id="542" w:name="_Toc351203592"/>
      <w:bookmarkStart w:id="543" w:name="_Toc337558809"/>
      <w:r>
        <w:rPr>
          <w:rFonts w:hint="eastAsia" w:ascii="宋体" w:hAnsi="宋体" w:eastAsia="宋体" w:cs="宋体"/>
          <w:b w:val="0"/>
          <w:color w:val="auto"/>
          <w:sz w:val="21"/>
          <w:szCs w:val="21"/>
          <w:highlight w:val="none"/>
        </w:rPr>
        <w:t>13.6 竣工退</w:t>
      </w:r>
      <w:bookmarkEnd w:id="540"/>
      <w:bookmarkEnd w:id="541"/>
      <w:r>
        <w:rPr>
          <w:rFonts w:hint="eastAsia" w:ascii="宋体" w:hAnsi="宋体" w:eastAsia="宋体" w:cs="宋体"/>
          <w:b w:val="0"/>
          <w:color w:val="auto"/>
          <w:sz w:val="21"/>
          <w:szCs w:val="21"/>
          <w:highlight w:val="none"/>
        </w:rPr>
        <w:t>场</w:t>
      </w:r>
      <w:bookmarkEnd w:id="542"/>
    </w:p>
    <w:bookmarkEnd w:id="543"/>
    <w:p w14:paraId="0305C3D2">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13.6.1 竣工退场</w:t>
      </w:r>
    </w:p>
    <w:p w14:paraId="377666F8">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颁发工程接收证书后，承包人应按以下要求对施工现场进行清理：</w:t>
      </w:r>
    </w:p>
    <w:p w14:paraId="449BDFA1">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（1）施工现场内残留的垃圾已全部清除出场；</w:t>
      </w:r>
    </w:p>
    <w:p w14:paraId="6B270239">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（2）临时工程已拆除，场地已进行清理、平整或复原；</w:t>
      </w:r>
    </w:p>
    <w:p w14:paraId="13AD61D1">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（3）按合同约定应撤离的人员、承包人施工设备和剩余的材料，包括废弃的施工设备和材料，已按计划撤离施工现场；</w:t>
      </w:r>
    </w:p>
    <w:p w14:paraId="67013F1F">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（4）施工现场周边及其附近道路、河道的施工堆积物，已全部清理；</w:t>
      </w:r>
    </w:p>
    <w:p w14:paraId="55F64E19">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（5）施工现场其他场地清理工作已全部完成。</w:t>
      </w:r>
    </w:p>
    <w:p w14:paraId="7D26E1F3">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380817FA">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13.6.2 地表还原</w:t>
      </w:r>
    </w:p>
    <w:p w14:paraId="4DF1C7BB">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承包人应按发包人要求恢复临时占地及清理场地，承包人未按发包人的要求恢复临时占地，或者场地清理未达到合同约定要求的，发包人有权委托其他人恢复或清理，所发生的费用由承包人承担。</w:t>
      </w:r>
    </w:p>
    <w:p w14:paraId="27BA69E6">
      <w:pPr>
        <w:pStyle w:val="40"/>
        <w:keepNext w:val="0"/>
        <w:keepLines w:val="0"/>
        <w:pageBreakBefore w:val="0"/>
        <w:widowControl w:val="0"/>
        <w:wordWrap/>
        <w:topLinePunct w:val="0"/>
        <w:bidi w:val="0"/>
        <w:adjustRightInd w:val="0"/>
        <w:snapToGrid w:val="0"/>
        <w:spacing w:line="400" w:lineRule="exact"/>
        <w:ind w:left="0" w:leftChars="0" w:firstLine="0" w:firstLineChars="0"/>
        <w:outlineLvl w:val="2"/>
        <w:rPr>
          <w:rFonts w:hint="eastAsia" w:ascii="宋体" w:hAnsi="宋体" w:eastAsia="宋体" w:cs="宋体"/>
          <w:b w:val="0"/>
          <w:color w:val="auto"/>
          <w:sz w:val="21"/>
          <w:szCs w:val="21"/>
          <w:highlight w:val="none"/>
        </w:rPr>
      </w:pPr>
      <w:bookmarkStart w:id="544" w:name="_Toc351203593"/>
      <w:bookmarkStart w:id="545" w:name="_Toc337558810"/>
      <w:bookmarkStart w:id="546" w:name="_Toc296346614"/>
      <w:bookmarkStart w:id="547" w:name="_Toc296503113"/>
      <w:r>
        <w:rPr>
          <w:rFonts w:hint="eastAsia" w:ascii="宋体" w:hAnsi="宋体" w:eastAsia="宋体" w:cs="宋体"/>
          <w:b w:val="0"/>
          <w:color w:val="auto"/>
          <w:sz w:val="21"/>
          <w:szCs w:val="21"/>
          <w:highlight w:val="none"/>
        </w:rPr>
        <w:t>14. 竣工结算</w:t>
      </w:r>
      <w:bookmarkEnd w:id="544"/>
    </w:p>
    <w:bookmarkEnd w:id="545"/>
    <w:p w14:paraId="47B367D9">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548" w:name="_Toc351203594"/>
      <w:bookmarkStart w:id="549" w:name="_Toc337558811"/>
      <w:r>
        <w:rPr>
          <w:rFonts w:hint="eastAsia" w:ascii="宋体" w:hAnsi="宋体" w:eastAsia="宋体" w:cs="宋体"/>
          <w:b w:val="0"/>
          <w:color w:val="auto"/>
          <w:sz w:val="21"/>
          <w:szCs w:val="21"/>
          <w:highlight w:val="none"/>
        </w:rPr>
        <w:t>14.1 竣工结算申请</w:t>
      </w:r>
      <w:bookmarkEnd w:id="548"/>
    </w:p>
    <w:bookmarkEnd w:id="549"/>
    <w:p w14:paraId="07142D41">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除专用合同条款另有约定外，</w:t>
      </w:r>
      <w:r>
        <w:rPr>
          <w:rFonts w:hint="eastAsia" w:ascii="宋体" w:hAnsi="宋体" w:eastAsia="宋体" w:cs="宋体"/>
          <w:color w:val="auto"/>
          <w:sz w:val="21"/>
          <w:szCs w:val="21"/>
          <w:highlight w:val="none"/>
        </w:rPr>
        <w:t>承包人应在工程竣工验收合格后28天内向发包人和监理人提交竣工结算申请单，并提交完整的结算资料，有关竣工结算申请单的资料清单和份数等要求由合同当事人在专用合同条款中约定。</w:t>
      </w:r>
    </w:p>
    <w:p w14:paraId="5BEDBD80">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除专用合同条款另有约定外，竣工结算申请单应包括以下内容：</w:t>
      </w:r>
    </w:p>
    <w:p w14:paraId="212AA40C">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（1）竣工结算合同价格；</w:t>
      </w:r>
    </w:p>
    <w:p w14:paraId="2F00A6C9">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（2）发包人已支付承包人的款项；</w:t>
      </w:r>
    </w:p>
    <w:p w14:paraId="6B669B96">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（3）应扣留的质量保证金。已缴纳履约保证金的或提供其他工程质量担保方式的除外； </w:t>
      </w:r>
    </w:p>
    <w:p w14:paraId="2F2E9699">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（4）发包人应支付承包人的合同价款。</w:t>
      </w:r>
    </w:p>
    <w:p w14:paraId="5594E797">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550" w:name="_Toc351203595"/>
      <w:bookmarkStart w:id="551" w:name="_Toc337558812"/>
      <w:r>
        <w:rPr>
          <w:rFonts w:hint="eastAsia" w:ascii="宋体" w:hAnsi="宋体" w:eastAsia="宋体" w:cs="宋体"/>
          <w:b w:val="0"/>
          <w:color w:val="auto"/>
          <w:sz w:val="21"/>
          <w:szCs w:val="21"/>
          <w:highlight w:val="none"/>
        </w:rPr>
        <w:t>14.2 竣工结算审核</w:t>
      </w:r>
      <w:bookmarkEnd w:id="550"/>
    </w:p>
    <w:bookmarkEnd w:id="551"/>
    <w:p w14:paraId="2EF06E96">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w:t>
      </w:r>
      <w:r>
        <w:rPr>
          <w:rFonts w:hint="eastAsia" w:ascii="宋体" w:hAnsi="宋体" w:eastAsia="宋体" w:cs="宋体"/>
          <w:color w:val="auto"/>
          <w:sz w:val="21"/>
          <w:szCs w:val="21"/>
          <w:highlight w:val="none"/>
        </w:rPr>
        <w:t>发包人对竣工</w:t>
      </w:r>
      <w:r>
        <w:rPr>
          <w:rFonts w:hint="eastAsia" w:ascii="宋体" w:hAnsi="宋体" w:eastAsia="宋体" w:cs="宋体"/>
          <w:color w:val="auto"/>
          <w:kern w:val="0"/>
          <w:sz w:val="21"/>
          <w:szCs w:val="21"/>
          <w:highlight w:val="none"/>
        </w:rPr>
        <w:t>结算</w:t>
      </w:r>
      <w:r>
        <w:rPr>
          <w:rFonts w:hint="eastAsia" w:ascii="宋体" w:hAnsi="宋体" w:eastAsia="宋体" w:cs="宋体"/>
          <w:color w:val="auto"/>
          <w:sz w:val="21"/>
          <w:szCs w:val="21"/>
          <w:highlight w:val="none"/>
        </w:rPr>
        <w:t>申请单有异议的，有权要求承包人进行修正和提供补充资料，承包人应提交修正后的竣工</w:t>
      </w:r>
      <w:r>
        <w:rPr>
          <w:rFonts w:hint="eastAsia" w:ascii="宋体" w:hAnsi="宋体" w:eastAsia="宋体" w:cs="宋体"/>
          <w:color w:val="auto"/>
          <w:kern w:val="0"/>
          <w:sz w:val="21"/>
          <w:szCs w:val="21"/>
          <w:highlight w:val="none"/>
        </w:rPr>
        <w:t>结算</w:t>
      </w:r>
      <w:r>
        <w:rPr>
          <w:rFonts w:hint="eastAsia" w:ascii="宋体" w:hAnsi="宋体" w:eastAsia="宋体" w:cs="宋体"/>
          <w:color w:val="auto"/>
          <w:sz w:val="21"/>
          <w:szCs w:val="21"/>
          <w:highlight w:val="none"/>
        </w:rPr>
        <w:t>申请单。</w:t>
      </w:r>
    </w:p>
    <w:p w14:paraId="7CF75DF0">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5EAD3363">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2D1130FF">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1D6A6C47">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552" w:name="_Toc351203596"/>
      <w:bookmarkStart w:id="553" w:name="_Toc337558813"/>
      <w:r>
        <w:rPr>
          <w:rFonts w:hint="eastAsia" w:ascii="宋体" w:hAnsi="宋体" w:eastAsia="宋体" w:cs="宋体"/>
          <w:b w:val="0"/>
          <w:color w:val="auto"/>
          <w:sz w:val="21"/>
          <w:szCs w:val="21"/>
          <w:highlight w:val="none"/>
        </w:rPr>
        <w:t>14.3 甩项竣工协议</w:t>
      </w:r>
      <w:bookmarkEnd w:id="552"/>
    </w:p>
    <w:bookmarkEnd w:id="553"/>
    <w:p w14:paraId="1D4FB4BE">
      <w:pPr>
        <w:keepNext w:val="0"/>
        <w:keepLines w:val="0"/>
        <w:pageBreakBefore w:val="0"/>
        <w:widowControl w:val="0"/>
        <w:kinsoku/>
        <w:wordWrap/>
        <w:overflowPunct/>
        <w:topLinePunct w:val="0"/>
        <w:autoSpaceDE w:val="0"/>
        <w:autoSpaceDN w:val="0"/>
        <w:bidi w:val="0"/>
        <w:adjustRightInd w:val="0"/>
        <w:snapToGrid/>
        <w:spacing w:line="390" w:lineRule="exact"/>
        <w:ind w:left="0" w:firstLine="411" w:firstLineChars="196"/>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发包人要求甩项竣工的，合同当事人应签订甩项竣工协议。在甩项竣工协议中应明确，合同当事人按照第14.1款〔竣工结算申请〕及14.2款〔竣工结算审核〕的约定，对已完合格工程进行结算，并支付相应合同价款。</w:t>
      </w:r>
    </w:p>
    <w:p w14:paraId="47219C51">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554" w:name="_Toc351203597"/>
      <w:bookmarkStart w:id="555" w:name="_Toc337558814"/>
      <w:r>
        <w:rPr>
          <w:rFonts w:hint="eastAsia" w:ascii="宋体" w:hAnsi="宋体" w:eastAsia="宋体" w:cs="宋体"/>
          <w:b w:val="0"/>
          <w:color w:val="auto"/>
          <w:sz w:val="21"/>
          <w:szCs w:val="21"/>
          <w:highlight w:val="none"/>
        </w:rPr>
        <w:t>14.4 最终结清</w:t>
      </w:r>
      <w:bookmarkEnd w:id="554"/>
    </w:p>
    <w:bookmarkEnd w:id="555"/>
    <w:p w14:paraId="520287CB">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14.4.1 最终结清申请单</w:t>
      </w:r>
    </w:p>
    <w:p w14:paraId="13702DCB">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（1）除专用合同条款另有约定外，承包人应在缺陷责任期终止证书颁发后7天内，按专用合同条款约定的份数向发包人提交最终结清申请单，并提供相关证明材料。</w:t>
      </w:r>
    </w:p>
    <w:p w14:paraId="0B5F7C9D">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w:t>
      </w:r>
      <w:r>
        <w:rPr>
          <w:rFonts w:hint="eastAsia" w:ascii="宋体" w:hAnsi="宋体" w:eastAsia="宋体" w:cs="宋体"/>
          <w:color w:val="auto"/>
          <w:kern w:val="0"/>
          <w:sz w:val="21"/>
          <w:szCs w:val="21"/>
          <w:highlight w:val="none"/>
        </w:rPr>
        <w:t>最终结清申请单</w:t>
      </w:r>
      <w:r>
        <w:rPr>
          <w:rFonts w:hint="eastAsia" w:ascii="宋体" w:hAnsi="宋体" w:eastAsia="宋体" w:cs="宋体"/>
          <w:color w:val="auto"/>
          <w:sz w:val="21"/>
          <w:szCs w:val="21"/>
          <w:highlight w:val="none"/>
        </w:rPr>
        <w:t>应列明质量保证金、应扣除的质量保证金、缺陷责任期内发生的增减费用。</w:t>
      </w:r>
    </w:p>
    <w:p w14:paraId="3C6BECD1">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（2）发包人对最终结清申请单内容有异议的，有权要求承包人进行修正和提供补充资料，承包人应向发包人提交修正后的最终结清申请单。</w:t>
      </w:r>
    </w:p>
    <w:p w14:paraId="6F5D63A3">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14.4.2 最终结清证书和支付</w:t>
      </w:r>
    </w:p>
    <w:p w14:paraId="7A2D755D">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3618D0DC">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322164A2">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（3）承包人对发包人颁发的最终结清证书有异议的，按第20条〔争议解决〕的约定办理。</w:t>
      </w:r>
    </w:p>
    <w:p w14:paraId="1A76DB82">
      <w:pPr>
        <w:pStyle w:val="40"/>
        <w:keepNext w:val="0"/>
        <w:keepLines w:val="0"/>
        <w:pageBreakBefore w:val="0"/>
        <w:widowControl w:val="0"/>
        <w:wordWrap/>
        <w:topLinePunct w:val="0"/>
        <w:bidi w:val="0"/>
        <w:adjustRightInd w:val="0"/>
        <w:snapToGrid w:val="0"/>
        <w:spacing w:line="400" w:lineRule="exact"/>
        <w:ind w:left="0" w:leftChars="0" w:firstLine="0" w:firstLineChars="0"/>
        <w:outlineLvl w:val="2"/>
        <w:rPr>
          <w:rFonts w:hint="eastAsia" w:ascii="宋体" w:hAnsi="宋体" w:eastAsia="宋体" w:cs="宋体"/>
          <w:b w:val="0"/>
          <w:color w:val="auto"/>
          <w:sz w:val="21"/>
          <w:szCs w:val="21"/>
          <w:highlight w:val="none"/>
        </w:rPr>
      </w:pPr>
      <w:bookmarkStart w:id="556" w:name="_Toc351203598"/>
      <w:bookmarkStart w:id="557" w:name="_Toc337558815"/>
      <w:r>
        <w:rPr>
          <w:rFonts w:hint="eastAsia" w:ascii="宋体" w:hAnsi="宋体" w:eastAsia="宋体" w:cs="宋体"/>
          <w:b w:val="0"/>
          <w:color w:val="auto"/>
          <w:sz w:val="21"/>
          <w:szCs w:val="21"/>
          <w:highlight w:val="none"/>
        </w:rPr>
        <w:t>15. 缺陷责任与保修</w:t>
      </w:r>
      <w:bookmarkEnd w:id="556"/>
    </w:p>
    <w:bookmarkEnd w:id="546"/>
    <w:bookmarkEnd w:id="547"/>
    <w:bookmarkEnd w:id="557"/>
    <w:p w14:paraId="778862A8">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558" w:name="_Toc351203599"/>
      <w:bookmarkStart w:id="559" w:name="_Toc337558816"/>
      <w:bookmarkStart w:id="560" w:name="_Toc296503114"/>
      <w:bookmarkStart w:id="561" w:name="_Toc296346615"/>
      <w:r>
        <w:rPr>
          <w:rFonts w:hint="eastAsia" w:ascii="宋体" w:hAnsi="宋体" w:eastAsia="宋体" w:cs="宋体"/>
          <w:b w:val="0"/>
          <w:color w:val="auto"/>
          <w:sz w:val="21"/>
          <w:szCs w:val="21"/>
          <w:highlight w:val="none"/>
        </w:rPr>
        <w:t>15.1 工程保修的原则</w:t>
      </w:r>
      <w:bookmarkEnd w:id="558"/>
    </w:p>
    <w:bookmarkEnd w:id="559"/>
    <w:p w14:paraId="191A7C06">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在工程移交发包人后，因承包人原因产生的质量缺陷，承包人应承担质量缺陷责任和保修义务。缺陷责任期届满，承包人仍应按合同约定的工程各部位保修年限承担保修义务。</w:t>
      </w:r>
    </w:p>
    <w:p w14:paraId="2DFEC450">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562" w:name="_Toc351203600"/>
      <w:bookmarkStart w:id="563" w:name="_Toc337558817"/>
      <w:r>
        <w:rPr>
          <w:rFonts w:hint="eastAsia" w:ascii="宋体" w:hAnsi="宋体" w:eastAsia="宋体" w:cs="宋体"/>
          <w:b w:val="0"/>
          <w:color w:val="auto"/>
          <w:sz w:val="21"/>
          <w:szCs w:val="21"/>
          <w:highlight w:val="none"/>
        </w:rPr>
        <w:t>15.2 缺陷责任期</w:t>
      </w:r>
      <w:bookmarkEnd w:id="560"/>
      <w:bookmarkEnd w:id="561"/>
      <w:bookmarkEnd w:id="562"/>
    </w:p>
    <w:bookmarkEnd w:id="563"/>
    <w:p w14:paraId="2449C431">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15.2.1 缺陷责任期从工程通过竣工验收之日起计算，合同当事人应在专用合同条款约定缺陷责任期的具体期限，但该期限最长不超过24个月。</w:t>
      </w:r>
    </w:p>
    <w:p w14:paraId="58258CB4">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14:paraId="102553DB">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w:t>
      </w:r>
      <w:r>
        <w:rPr>
          <w:rFonts w:hint="eastAsia" w:ascii="宋体" w:hAnsi="宋体" w:eastAsia="宋体" w:cs="宋体"/>
          <w:bCs/>
          <w:color w:val="auto"/>
          <w:sz w:val="21"/>
          <w:szCs w:val="21"/>
          <w:highlight w:val="none"/>
        </w:rPr>
        <w:t>包人延长缺陷责任期，</w:t>
      </w:r>
      <w:r>
        <w:rPr>
          <w:rFonts w:hint="eastAsia" w:ascii="宋体" w:hAnsi="宋体" w:eastAsia="宋体" w:cs="宋体"/>
          <w:color w:val="auto"/>
          <w:kern w:val="0"/>
          <w:sz w:val="21"/>
          <w:szCs w:val="21"/>
          <w:highlight w:val="none"/>
        </w:rPr>
        <w:t>并应在原缺陷责任期届满前发出延长通知。</w:t>
      </w:r>
      <w:r>
        <w:rPr>
          <w:rFonts w:hint="eastAsia" w:ascii="宋体" w:hAnsi="宋体" w:eastAsia="宋体" w:cs="宋体"/>
          <w:bCs/>
          <w:color w:val="auto"/>
          <w:sz w:val="21"/>
          <w:szCs w:val="21"/>
          <w:highlight w:val="none"/>
        </w:rPr>
        <w:t>但缺陷责任期（含延长部分）最长</w:t>
      </w:r>
      <w:r>
        <w:rPr>
          <w:rFonts w:hint="eastAsia" w:ascii="宋体" w:hAnsi="宋体" w:eastAsia="宋体" w:cs="宋体"/>
          <w:color w:val="auto"/>
          <w:kern w:val="0"/>
          <w:sz w:val="21"/>
          <w:szCs w:val="21"/>
          <w:highlight w:val="none"/>
        </w:rPr>
        <w:t>不能超过24个月。</w:t>
      </w:r>
    </w:p>
    <w:p w14:paraId="661F9EBB">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由他人原因造成的缺陷，发包人负责组织维修，承包人不承担费用，且发包人不得从保证金中扣除费用。</w:t>
      </w:r>
    </w:p>
    <w:p w14:paraId="6215FB64">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15.2.3 任何一项缺陷或损坏修复后，经检查证明其影响了工程或工程设备的使用性能，承包人应重新进行合同约定的试验和试运行，试验和试运行的全部费用应由责任方承担。</w:t>
      </w:r>
    </w:p>
    <w:p w14:paraId="7407295B">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56A2D3F8">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564" w:name="_Toc351203601"/>
      <w:bookmarkStart w:id="565" w:name="_Toc337558818"/>
      <w:bookmarkStart w:id="566" w:name="_Toc296346616"/>
      <w:bookmarkStart w:id="567" w:name="_Toc296503115"/>
      <w:r>
        <w:rPr>
          <w:rFonts w:hint="eastAsia" w:ascii="宋体" w:hAnsi="宋体" w:eastAsia="宋体" w:cs="宋体"/>
          <w:b w:val="0"/>
          <w:color w:val="auto"/>
          <w:sz w:val="21"/>
          <w:szCs w:val="21"/>
          <w:highlight w:val="none"/>
        </w:rPr>
        <w:t>15.3 质量保证金</w:t>
      </w:r>
      <w:bookmarkEnd w:id="564"/>
    </w:p>
    <w:bookmarkEnd w:id="565"/>
    <w:p w14:paraId="3BDF73BB">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经合同当事人协商一致扣留质量保证金的，应在专用合同条款中予以明确。</w:t>
      </w:r>
    </w:p>
    <w:p w14:paraId="6B1C1003">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在工程项目竣工前，承包人已经提供履约担保的，发包人不得同时预留工程质量保证金。</w:t>
      </w:r>
    </w:p>
    <w:p w14:paraId="45BFD315">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p>
    <w:p w14:paraId="4B5DBB4F">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15.3.1 承包人提供质量保证金的方式</w:t>
      </w:r>
    </w:p>
    <w:p w14:paraId="1FB558EE">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承包人提供质量保证金有以下三种方式：</w:t>
      </w:r>
    </w:p>
    <w:p w14:paraId="52DE4C25">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（1）质量保证金保函； </w:t>
      </w:r>
    </w:p>
    <w:p w14:paraId="0432763B">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（2）相应比例的工程款；</w:t>
      </w:r>
    </w:p>
    <w:p w14:paraId="319F8E24">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（3）双方约定的其他方式。</w:t>
      </w:r>
    </w:p>
    <w:p w14:paraId="4E6C5949">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除专用合同条款另有约定外，质量保证金原则上采用上述第（1）种方式。</w:t>
      </w:r>
    </w:p>
    <w:p w14:paraId="0DDBD478">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15.3.2 质量保证金的扣留</w:t>
      </w:r>
    </w:p>
    <w:p w14:paraId="0874567A">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质量保证金的扣留有以下三种方式：</w:t>
      </w:r>
    </w:p>
    <w:p w14:paraId="6A9C9487">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（1）在支付工程进度款时逐次扣留，在此情形下，质量保证金的计算基数不包括预付款的支付、扣回以及价格调整的金额；</w:t>
      </w:r>
    </w:p>
    <w:p w14:paraId="5D9D69AD">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（2）工</w:t>
      </w:r>
      <w:bookmarkStart w:id="568" w:name="#go6"/>
      <w:bookmarkEnd w:id="568"/>
      <w:r>
        <w:rPr>
          <w:rFonts w:hint="eastAsia" w:ascii="宋体" w:hAnsi="宋体" w:eastAsia="宋体" w:cs="宋体"/>
          <w:color w:val="auto"/>
          <w:kern w:val="0"/>
          <w:sz w:val="21"/>
          <w:szCs w:val="21"/>
          <w:highlight w:val="none"/>
        </w:rPr>
        <w:t>程竣工结算时一次性扣留质量保证金；</w:t>
      </w:r>
    </w:p>
    <w:p w14:paraId="62FB8CA2">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（3）双方约定的其他扣留方式。</w:t>
      </w:r>
    </w:p>
    <w:p w14:paraId="57A67EBC">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除专用合同条款另有约定外，质量保证金的扣留原则上采用上述第（1）种方式。</w:t>
      </w:r>
    </w:p>
    <w:p w14:paraId="5B4F7574">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w:t>
      </w:r>
      <w:bookmarkStart w:id="569" w:name="#go4"/>
      <w:bookmarkEnd w:id="569"/>
      <w:r>
        <w:rPr>
          <w:rFonts w:hint="eastAsia" w:ascii="宋体" w:hAnsi="宋体" w:eastAsia="宋体" w:cs="宋体"/>
          <w:color w:val="auto"/>
          <w:kern w:val="0"/>
          <w:sz w:val="21"/>
          <w:szCs w:val="21"/>
          <w:highlight w:val="none"/>
        </w:rPr>
        <w:t>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14:paraId="037BF707">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发包人在退还质量保证金的同时按照中国人民银行发布的同期同类贷款基准利率支付利息。</w:t>
      </w:r>
    </w:p>
    <w:p w14:paraId="15C00320">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15.3.3 </w:t>
      </w:r>
      <w:r>
        <w:rPr>
          <w:rFonts w:hint="eastAsia" w:ascii="宋体" w:hAnsi="宋体" w:eastAsia="宋体" w:cs="宋体"/>
          <w:color w:val="auto"/>
          <w:sz w:val="21"/>
          <w:szCs w:val="21"/>
          <w:highlight w:val="none"/>
        </w:rPr>
        <w:t>质量保证金</w:t>
      </w:r>
      <w:r>
        <w:rPr>
          <w:rFonts w:hint="eastAsia" w:ascii="宋体" w:hAnsi="宋体" w:eastAsia="宋体" w:cs="宋体"/>
          <w:color w:val="auto"/>
          <w:kern w:val="0"/>
          <w:sz w:val="21"/>
          <w:szCs w:val="21"/>
          <w:highlight w:val="none"/>
        </w:rPr>
        <w:t>的退还</w:t>
      </w:r>
    </w:p>
    <w:p w14:paraId="688EE713">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缺陷责任期内，承包人认真履行合同约定的责任，到期后，承包人可向发包人申请返还保证金。</w:t>
      </w:r>
    </w:p>
    <w:p w14:paraId="5AA3217B">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148D15A7">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发包人和承包人对保证金预留、返还以及工程维修质量、费用有争议的，按本合同第20条约定的争议和纠纷解决程序处理。</w:t>
      </w:r>
    </w:p>
    <w:p w14:paraId="7E9A84AB">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570" w:name="_Toc351203602"/>
      <w:bookmarkStart w:id="571" w:name="_Toc337558819"/>
      <w:r>
        <w:rPr>
          <w:rFonts w:hint="eastAsia" w:ascii="宋体" w:hAnsi="宋体" w:eastAsia="宋体" w:cs="宋体"/>
          <w:b w:val="0"/>
          <w:color w:val="auto"/>
          <w:sz w:val="21"/>
          <w:szCs w:val="21"/>
          <w:highlight w:val="none"/>
        </w:rPr>
        <w:t>15.4 保修</w:t>
      </w:r>
      <w:bookmarkEnd w:id="570"/>
    </w:p>
    <w:bookmarkEnd w:id="566"/>
    <w:bookmarkEnd w:id="567"/>
    <w:bookmarkEnd w:id="571"/>
    <w:p w14:paraId="0E74B5F4">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15.4.1保修责任</w:t>
      </w:r>
    </w:p>
    <w:p w14:paraId="2B9AA102">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6746273A">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发包人未经竣工验收擅自使用工程的，保修期自</w:t>
      </w:r>
      <w:r>
        <w:rPr>
          <w:rFonts w:hint="eastAsia" w:ascii="宋体" w:hAnsi="宋体" w:eastAsia="宋体" w:cs="宋体"/>
          <w:color w:val="auto"/>
          <w:kern w:val="0"/>
          <w:sz w:val="21"/>
          <w:szCs w:val="21"/>
          <w:highlight w:val="none"/>
        </w:rPr>
        <w:t>转移占有之日起算</w:t>
      </w:r>
      <w:r>
        <w:rPr>
          <w:rFonts w:hint="eastAsia" w:ascii="宋体" w:hAnsi="宋体" w:eastAsia="宋体" w:cs="宋体"/>
          <w:color w:val="auto"/>
          <w:sz w:val="21"/>
          <w:szCs w:val="21"/>
          <w:highlight w:val="none"/>
        </w:rPr>
        <w:t>。</w:t>
      </w:r>
    </w:p>
    <w:p w14:paraId="5AB34276">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15.4.2 修复费用</w:t>
      </w:r>
    </w:p>
    <w:p w14:paraId="771FDF2E">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保修期内，修复的费用按照以下约定处理：</w:t>
      </w:r>
    </w:p>
    <w:p w14:paraId="388C50DA">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（1）保修期内，因承包人原因造成工程的缺陷、损坏，承包人应负责修复，并承担修复的费用以及因工程的缺陷、损坏造成的人身伤害和财产损失；</w:t>
      </w:r>
    </w:p>
    <w:p w14:paraId="570CF230">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（2）保修期内，因发包人使用不当造成工程的缺陷、损坏，可以委托承包人修复，但发包人应承担修复的费用，并支付承包人合理利润；</w:t>
      </w:r>
    </w:p>
    <w:p w14:paraId="4CE39F14">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（3）因其他原因造成工程的缺陷、损坏，可以委托承包人修复，发包人应承担修复的费用，并支付承包人合理的利润，因工程的缺陷、损坏造成的人身伤害和财产损失由责任方承担。</w:t>
      </w:r>
    </w:p>
    <w:p w14:paraId="7640E11F">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15.4.3 修复通知</w:t>
      </w:r>
    </w:p>
    <w:p w14:paraId="0E704765">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5427777D">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15.4.4 未能修复</w:t>
      </w:r>
    </w:p>
    <w:p w14:paraId="3A3BB74E">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07720E62">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15.4.5 承包人出入权</w:t>
      </w:r>
    </w:p>
    <w:p w14:paraId="03089957">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157BDDFE">
      <w:pPr>
        <w:pStyle w:val="40"/>
        <w:keepNext w:val="0"/>
        <w:keepLines w:val="0"/>
        <w:pageBreakBefore w:val="0"/>
        <w:widowControl w:val="0"/>
        <w:wordWrap/>
        <w:topLinePunct w:val="0"/>
        <w:bidi w:val="0"/>
        <w:adjustRightInd w:val="0"/>
        <w:snapToGrid w:val="0"/>
        <w:spacing w:line="400" w:lineRule="exact"/>
        <w:ind w:left="0" w:leftChars="0" w:firstLine="0" w:firstLineChars="0"/>
        <w:outlineLvl w:val="2"/>
        <w:rPr>
          <w:rFonts w:hint="eastAsia" w:ascii="宋体" w:hAnsi="宋体" w:eastAsia="宋体" w:cs="宋体"/>
          <w:b w:val="0"/>
          <w:color w:val="auto"/>
          <w:sz w:val="21"/>
          <w:szCs w:val="21"/>
          <w:highlight w:val="none"/>
        </w:rPr>
      </w:pPr>
      <w:bookmarkStart w:id="572" w:name="_Toc351203603"/>
      <w:bookmarkStart w:id="573" w:name="_Toc337558820"/>
      <w:r>
        <w:rPr>
          <w:rFonts w:hint="eastAsia" w:ascii="宋体" w:hAnsi="宋体" w:eastAsia="宋体" w:cs="宋体"/>
          <w:b w:val="0"/>
          <w:color w:val="auto"/>
          <w:sz w:val="21"/>
          <w:szCs w:val="21"/>
          <w:highlight w:val="none"/>
        </w:rPr>
        <w:t>16. 违约</w:t>
      </w:r>
      <w:bookmarkEnd w:id="572"/>
    </w:p>
    <w:bookmarkEnd w:id="573"/>
    <w:p w14:paraId="78D94B95">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574" w:name="_Toc296503129"/>
      <w:bookmarkStart w:id="575" w:name="_Toc296346630"/>
      <w:bookmarkStart w:id="576" w:name="_Toc351203604"/>
      <w:bookmarkStart w:id="577" w:name="_Toc337558821"/>
      <w:r>
        <w:rPr>
          <w:rFonts w:hint="eastAsia" w:ascii="宋体" w:hAnsi="宋体" w:eastAsia="宋体" w:cs="宋体"/>
          <w:b w:val="0"/>
          <w:color w:val="auto"/>
          <w:sz w:val="21"/>
          <w:szCs w:val="21"/>
          <w:highlight w:val="none"/>
        </w:rPr>
        <w:t>16.1 发</w:t>
      </w:r>
      <w:bookmarkEnd w:id="574"/>
      <w:bookmarkEnd w:id="575"/>
      <w:r>
        <w:rPr>
          <w:rFonts w:hint="eastAsia" w:ascii="宋体" w:hAnsi="宋体" w:eastAsia="宋体" w:cs="宋体"/>
          <w:b w:val="0"/>
          <w:color w:val="auto"/>
          <w:sz w:val="21"/>
          <w:szCs w:val="21"/>
          <w:highlight w:val="none"/>
        </w:rPr>
        <w:t>包人违约</w:t>
      </w:r>
      <w:bookmarkEnd w:id="576"/>
    </w:p>
    <w:bookmarkEnd w:id="577"/>
    <w:p w14:paraId="1F5A5BDA">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16.1.1 发包人违约的情形</w:t>
      </w:r>
    </w:p>
    <w:p w14:paraId="2FD21B20">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在合同履行过程中发生的下列情形，属于发包人违约：</w:t>
      </w:r>
    </w:p>
    <w:p w14:paraId="18F22FCF">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（1）因发包人原因未能在计划开工日期前7天内下达开工通知的；</w:t>
      </w:r>
    </w:p>
    <w:p w14:paraId="2E4BFD3E">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（2）因发包人原因未能按合同约定支付合同价款的；</w:t>
      </w:r>
    </w:p>
    <w:p w14:paraId="1342A34B">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（3）发包人违反第10.1款〔变更的范围〕第（2）项约定，自行实施被取消的工作或转由他人实施的；</w:t>
      </w:r>
    </w:p>
    <w:p w14:paraId="5C6467C2">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（4）发包人提供的材料、工程设备的规格、数量或质量不符合合同约定，或因发包人原因导致交货日期延误或交货地点变更等情况的；</w:t>
      </w:r>
    </w:p>
    <w:p w14:paraId="610F1C31">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（5）因发包人违反合同约定造成暂停施工的；</w:t>
      </w:r>
    </w:p>
    <w:p w14:paraId="2977F39A">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（6）发包人无正当理由没有在约定期限内发出复工指示，导致承包人无法复工的；</w:t>
      </w:r>
    </w:p>
    <w:p w14:paraId="65E51E15">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（7）发包人明确表示或者以其行为表明不履行合同主要义务的；</w:t>
      </w:r>
    </w:p>
    <w:p w14:paraId="5FB68509">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（8）发包人未能按照合同约定履行其他义务的。</w:t>
      </w:r>
    </w:p>
    <w:p w14:paraId="6F44ED4C">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131D420B">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16.1.2 发包人违约的责任</w:t>
      </w:r>
    </w:p>
    <w:p w14:paraId="0123CC54">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发包人应承担因其违约给承包人增加的费用和（或）延误的工期，并支付承包人合理的利润。此外，合同当事人可在专用合同条款中另行约定发包人违约责任的承担方式和计算方法。</w:t>
      </w:r>
    </w:p>
    <w:p w14:paraId="372C54BB">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16.1.3 因发包人违约解除合同</w:t>
      </w:r>
    </w:p>
    <w:p w14:paraId="4944CE4C">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4CFBB3C5">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16.1.4 因发包人违约解除合同后的付款</w:t>
      </w:r>
    </w:p>
    <w:p w14:paraId="5817E958">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承包人按照本款约定解除合同的，发包人应在解除合同后28天内支付下列款项，并解除履约担保：</w:t>
      </w:r>
    </w:p>
    <w:p w14:paraId="30818102">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（1）合同解除前所完成工作的价款；</w:t>
      </w:r>
    </w:p>
    <w:p w14:paraId="3599422E">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（2）承包人为工程施工订购并已付款的材料、工程设备和其他物品的价款；</w:t>
      </w:r>
    </w:p>
    <w:p w14:paraId="17397A5B">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（3）承包人撤离施工现场以及遣散承包人人员的款项；</w:t>
      </w:r>
    </w:p>
    <w:p w14:paraId="35BAEA97">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（4）按照合同约定在合同解除前应支付的违约金；</w:t>
      </w:r>
    </w:p>
    <w:p w14:paraId="6910E95C">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（5）按照合同约定应当支付给承包人的其他款项；</w:t>
      </w:r>
    </w:p>
    <w:p w14:paraId="2608D7FA">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（6）按照合同约定应退还的质量保证金；</w:t>
      </w:r>
    </w:p>
    <w:p w14:paraId="790ACE5A">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（7）因解除合同给承包人造成的损失。</w:t>
      </w:r>
    </w:p>
    <w:p w14:paraId="4F8C4FED">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合同当事人未能就解除合同后的结清达成一致的，按照第20条〔争议解决〕的约定处理。</w:t>
      </w:r>
    </w:p>
    <w:p w14:paraId="60299665">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承包人应妥善做好已完工程和与工程有关的已购材料、工程设备的保护和移交工作，并将施工设备和人员撤出施工现场，发包人应为承包人撤出提供必要条件。</w:t>
      </w:r>
    </w:p>
    <w:p w14:paraId="239CC9F5">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578" w:name="_Toc351203605"/>
      <w:bookmarkStart w:id="579" w:name="_Toc296346632"/>
      <w:bookmarkStart w:id="580" w:name="_Toc296503131"/>
      <w:bookmarkStart w:id="581" w:name="_Toc337558822"/>
      <w:r>
        <w:rPr>
          <w:rFonts w:hint="eastAsia" w:ascii="宋体" w:hAnsi="宋体" w:eastAsia="宋体" w:cs="宋体"/>
          <w:b w:val="0"/>
          <w:color w:val="auto"/>
          <w:sz w:val="21"/>
          <w:szCs w:val="21"/>
          <w:highlight w:val="none"/>
        </w:rPr>
        <w:t>16.2 承包人违约</w:t>
      </w:r>
      <w:bookmarkEnd w:id="578"/>
    </w:p>
    <w:bookmarkEnd w:id="579"/>
    <w:bookmarkEnd w:id="580"/>
    <w:bookmarkEnd w:id="581"/>
    <w:p w14:paraId="10A0D58B">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16.2.1 承包人违约的情形</w:t>
      </w:r>
    </w:p>
    <w:p w14:paraId="4EC731A5">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在合同履行过程中发生的下列情形，属于承包人违约：</w:t>
      </w:r>
    </w:p>
    <w:p w14:paraId="7486D814">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（1）承包人违反合同约定进行转包或违法分包的；</w:t>
      </w:r>
    </w:p>
    <w:p w14:paraId="7759B145">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（2）承包人违反合同约定采购和使用不合格的材料和工程设备的；</w:t>
      </w:r>
    </w:p>
    <w:p w14:paraId="56D58B12">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（3）因承包人原因导致工程质量不符合合同要求的； </w:t>
      </w:r>
    </w:p>
    <w:p w14:paraId="40F59609">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（4）承包人违反第8.9款〔材料与设备专用要求〕的约定，未经批准，私自将已按照合同约定进入施工现场的材料或设备撤离施工现场的；</w:t>
      </w:r>
    </w:p>
    <w:p w14:paraId="6A6F7B66">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（5）承包人未能按施工进度计划及时完成合同约定的工作，造成工期延误的；</w:t>
      </w:r>
    </w:p>
    <w:p w14:paraId="4AF0361A">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（6）承包人在缺陷责任期及保修期内，未能在合理期限对工程缺陷进行修复，或拒绝按发包人要求进行修复的；</w:t>
      </w:r>
    </w:p>
    <w:p w14:paraId="0AEA2B72">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（7）承包人明确表示或者以其行为表明不履行合同主要义务的；</w:t>
      </w:r>
    </w:p>
    <w:p w14:paraId="02CE14FF">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（8）承包人未能按照合同约定履行其他义务的。</w:t>
      </w:r>
    </w:p>
    <w:p w14:paraId="4147DF58">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承包人发生除本项第（7）目约定以外的其他违约情况时，监理人可向承包人发出整改通知，要求其在指定的期限内改正。</w:t>
      </w:r>
    </w:p>
    <w:p w14:paraId="12C7B437">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16.2.2 承包人违约的责任</w:t>
      </w:r>
    </w:p>
    <w:p w14:paraId="3DE4C3C0">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承包人应承担因其违约行为而增加的费用和（或）延误的工期。此外，合同当事人可在专用合同条款中另行约定承包人违约责任的承担方式和计算方法。</w:t>
      </w:r>
    </w:p>
    <w:p w14:paraId="58FB1B75">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16.2.3 因承包人违约解除合同</w:t>
      </w:r>
    </w:p>
    <w:p w14:paraId="74360562">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0D63CEFD">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16.2.4因承包人违约解除合同后的处理</w:t>
      </w:r>
    </w:p>
    <w:p w14:paraId="366741F8">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因承包人原因导致合同解除的，则合同当事人应在合同解除后28天内完成估价、付款和清算，并按以下约定执行：</w:t>
      </w:r>
    </w:p>
    <w:p w14:paraId="62B85975">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（1）合同解除后，按第4.4款〔商定或确定〕商定或确定承包人实际完成工作对应的合同价款，以及承包人已提供的材料、工程设备、施工设备和临时工程等的价值；</w:t>
      </w:r>
    </w:p>
    <w:p w14:paraId="48AE776A">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（2）合同解除后，承包人应支付的违约金；</w:t>
      </w:r>
    </w:p>
    <w:p w14:paraId="175350C3">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（3）合同解除后，因解除合同给发包人造成的损失；</w:t>
      </w:r>
    </w:p>
    <w:p w14:paraId="50DE8E13">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（4）合同解除后，承包人应按照发包人要求和监理人的指示完成现场的清理和撤离；</w:t>
      </w:r>
    </w:p>
    <w:p w14:paraId="7C4BEE5E">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（5）发包人和承包人应在合同解除后进行清算，出具最终结清付款证书，结清全部款项。</w:t>
      </w:r>
    </w:p>
    <w:p w14:paraId="07AFFA08">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因承包人违约解除合同的，发包人有权暂停对承包人的付款，查清各项付款和已扣款项。发包人和承包人未能就合同解除后的清算和款项支付达成一致的，按照第20条〔争议解决〕的约定处理。</w:t>
      </w:r>
    </w:p>
    <w:p w14:paraId="39F4C40D">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16.2.5采购合同权益转让</w:t>
      </w:r>
    </w:p>
    <w:p w14:paraId="1C40906D">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65B404ED">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582" w:name="_Toc351203606"/>
      <w:r>
        <w:rPr>
          <w:rFonts w:hint="eastAsia" w:ascii="宋体" w:hAnsi="宋体" w:eastAsia="宋体" w:cs="宋体"/>
          <w:b w:val="0"/>
          <w:color w:val="auto"/>
          <w:sz w:val="21"/>
          <w:szCs w:val="21"/>
          <w:highlight w:val="none"/>
        </w:rPr>
        <w:t>16.3 第三人造成的违约</w:t>
      </w:r>
      <w:bookmarkEnd w:id="582"/>
    </w:p>
    <w:p w14:paraId="78AB9527">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在履行合同过程中，一方当事人因第三人的原因造成违约的，应当向对方当事人承担违约责任。一方当事人和第三人之间的纠纷，依照法律规定或者按照约定解决。</w:t>
      </w:r>
    </w:p>
    <w:p w14:paraId="1330FAD8">
      <w:pPr>
        <w:pStyle w:val="40"/>
        <w:keepNext w:val="0"/>
        <w:keepLines w:val="0"/>
        <w:pageBreakBefore w:val="0"/>
        <w:widowControl w:val="0"/>
        <w:wordWrap/>
        <w:topLinePunct w:val="0"/>
        <w:bidi w:val="0"/>
        <w:adjustRightInd w:val="0"/>
        <w:snapToGrid w:val="0"/>
        <w:spacing w:line="400" w:lineRule="exact"/>
        <w:ind w:left="0" w:leftChars="0" w:firstLine="0" w:firstLineChars="0"/>
        <w:outlineLvl w:val="2"/>
        <w:rPr>
          <w:rFonts w:hint="eastAsia" w:ascii="宋体" w:hAnsi="宋体" w:eastAsia="宋体" w:cs="宋体"/>
          <w:b w:val="0"/>
          <w:color w:val="auto"/>
          <w:sz w:val="21"/>
          <w:szCs w:val="21"/>
          <w:highlight w:val="none"/>
        </w:rPr>
      </w:pPr>
      <w:bookmarkStart w:id="583" w:name="_Toc351203607"/>
      <w:bookmarkStart w:id="584" w:name="_Toc337558823"/>
      <w:bookmarkStart w:id="585" w:name="_Toc296503116"/>
      <w:bookmarkStart w:id="586" w:name="_Toc296346617"/>
      <w:r>
        <w:rPr>
          <w:rFonts w:hint="eastAsia" w:ascii="宋体" w:hAnsi="宋体" w:eastAsia="宋体" w:cs="宋体"/>
          <w:b w:val="0"/>
          <w:color w:val="auto"/>
          <w:sz w:val="21"/>
          <w:szCs w:val="21"/>
          <w:highlight w:val="none"/>
        </w:rPr>
        <w:t>17. 不可抗力</w:t>
      </w:r>
      <w:bookmarkEnd w:id="583"/>
      <w:r>
        <w:rPr>
          <w:rFonts w:hint="eastAsia" w:ascii="宋体" w:hAnsi="宋体" w:eastAsia="宋体" w:cs="宋体"/>
          <w:b w:val="0"/>
          <w:color w:val="auto"/>
          <w:sz w:val="21"/>
          <w:szCs w:val="21"/>
          <w:highlight w:val="none"/>
        </w:rPr>
        <w:t xml:space="preserve"> </w:t>
      </w:r>
      <w:bookmarkEnd w:id="584"/>
      <w:bookmarkEnd w:id="585"/>
      <w:bookmarkEnd w:id="586"/>
    </w:p>
    <w:p w14:paraId="576009DF">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587" w:name="_Toc351203608"/>
      <w:bookmarkStart w:id="588" w:name="_Toc296346618"/>
      <w:bookmarkStart w:id="589" w:name="_Toc337558824"/>
      <w:bookmarkStart w:id="590" w:name="_Toc296503117"/>
      <w:r>
        <w:rPr>
          <w:rFonts w:hint="eastAsia" w:ascii="宋体" w:hAnsi="宋体" w:eastAsia="宋体" w:cs="宋体"/>
          <w:b w:val="0"/>
          <w:color w:val="auto"/>
          <w:sz w:val="21"/>
          <w:szCs w:val="21"/>
          <w:highlight w:val="none"/>
        </w:rPr>
        <w:t>17.1 不可抗力的确认</w:t>
      </w:r>
      <w:bookmarkEnd w:id="587"/>
    </w:p>
    <w:bookmarkEnd w:id="588"/>
    <w:bookmarkEnd w:id="589"/>
    <w:bookmarkEnd w:id="590"/>
    <w:p w14:paraId="1F2EA2C1">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14:paraId="557A965C">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34300ED5">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591" w:name="_Toc351203609"/>
      <w:bookmarkStart w:id="592" w:name="_Toc296503118"/>
      <w:bookmarkStart w:id="593" w:name="_Toc337558825"/>
      <w:bookmarkStart w:id="594" w:name="_Toc296346619"/>
      <w:r>
        <w:rPr>
          <w:rFonts w:hint="eastAsia" w:ascii="宋体" w:hAnsi="宋体" w:eastAsia="宋体" w:cs="宋体"/>
          <w:b w:val="0"/>
          <w:color w:val="auto"/>
          <w:sz w:val="21"/>
          <w:szCs w:val="21"/>
          <w:highlight w:val="none"/>
        </w:rPr>
        <w:t>17.2 不可抗力的通知</w:t>
      </w:r>
      <w:bookmarkEnd w:id="591"/>
    </w:p>
    <w:bookmarkEnd w:id="592"/>
    <w:bookmarkEnd w:id="593"/>
    <w:bookmarkEnd w:id="594"/>
    <w:p w14:paraId="74877CE2">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合同一方当事人遇到不可抗力事件，使其履行合同义务受到阻碍时，应立即通知合同另一方当事人和监理人，书面说明不可抗力和受阻碍的详细情况，并提供必要的证明。</w:t>
      </w:r>
    </w:p>
    <w:p w14:paraId="733BD913">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不可抗力持续发生的，合同一方当事人应及时向合同另一方当事人和监理人提交中间报告，说明不可抗力和履行合同受阻的情况，并于不可抗力事件结束后28天内提交最终报告及有关资料。</w:t>
      </w:r>
    </w:p>
    <w:p w14:paraId="76385233">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595" w:name="_Toc351203610"/>
      <w:bookmarkStart w:id="596" w:name="_Toc296503119"/>
      <w:bookmarkStart w:id="597" w:name="_Toc296346620"/>
      <w:bookmarkStart w:id="598" w:name="_Toc337558826"/>
      <w:r>
        <w:rPr>
          <w:rFonts w:hint="eastAsia" w:ascii="宋体" w:hAnsi="宋体" w:eastAsia="宋体" w:cs="宋体"/>
          <w:b w:val="0"/>
          <w:color w:val="auto"/>
          <w:sz w:val="21"/>
          <w:szCs w:val="21"/>
          <w:highlight w:val="none"/>
        </w:rPr>
        <w:t>17.3 不可抗力后果的承担</w:t>
      </w:r>
      <w:bookmarkEnd w:id="595"/>
    </w:p>
    <w:bookmarkEnd w:id="596"/>
    <w:bookmarkEnd w:id="597"/>
    <w:bookmarkEnd w:id="598"/>
    <w:p w14:paraId="0619CE38">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17.3.1 不可抗力引起的后果及造成的损失由合同当事人按照法律规定及合同约定各自承担。不可抗力发生前已完成的工程应当按照合同约定进行计量支付。</w:t>
      </w:r>
    </w:p>
    <w:p w14:paraId="2621B695">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17.3.2 不可抗力导致的人员伤亡、财产损失、费用增加和（或）工期延误等后果，由合同当事人按以下原则承担：</w:t>
      </w:r>
    </w:p>
    <w:p w14:paraId="65BAA194">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（1）永久工程、已运至施工现场的材料和工程设备的损坏，以及因工程损坏造成的第三人人员伤亡和财产损失由发包人承担；</w:t>
      </w:r>
    </w:p>
    <w:p w14:paraId="756477D9">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（2）承包人施工设备的损坏由承包人承担；</w:t>
      </w:r>
    </w:p>
    <w:p w14:paraId="6A66C06E">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（3）发包人和承包人承担各自人员伤亡和财产的损失；</w:t>
      </w:r>
    </w:p>
    <w:p w14:paraId="246D69DB">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（4）因不可抗力影响承包人履行合同约定的义务，已经引起或将引起工期延误的，应当顺延工期，由此导致承包人停工的费用损失由发包人和承包人合理分担，停工期间必须支付的工人工资由发包人承担；</w:t>
      </w:r>
    </w:p>
    <w:p w14:paraId="2E34E67C">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（5）因不可抗力引起或将引起工期延误，发包人要求赶工的，由此增加的赶工费用由发包人承担；</w:t>
      </w:r>
    </w:p>
    <w:p w14:paraId="30D4FBC7">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（6）承包人在停工期间按照发包人要求照管、清理和修复工程的费用由发包人承担。</w:t>
      </w:r>
    </w:p>
    <w:p w14:paraId="5DDC973D">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不可抗力发生后，合同当事人均应采取措施尽量避免和减少损失的扩大，任何一方当事人没有采取有效措施导致损失扩大的，应对扩大的损失承担责任。</w:t>
      </w:r>
    </w:p>
    <w:p w14:paraId="48C01F8A">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因合同一方迟延履行合同义务，在迟延履行期间遭遇不可抗力的，不免除其违约责任。</w:t>
      </w:r>
    </w:p>
    <w:p w14:paraId="614D4DF1">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599" w:name="_Toc351203611"/>
      <w:bookmarkStart w:id="600" w:name="_Toc337558827"/>
      <w:r>
        <w:rPr>
          <w:rFonts w:hint="eastAsia" w:ascii="宋体" w:hAnsi="宋体" w:eastAsia="宋体" w:cs="宋体"/>
          <w:b w:val="0"/>
          <w:color w:val="auto"/>
          <w:sz w:val="21"/>
          <w:szCs w:val="21"/>
          <w:highlight w:val="none"/>
        </w:rPr>
        <w:t>17.4 因不可抗力解除合同</w:t>
      </w:r>
      <w:bookmarkEnd w:id="599"/>
    </w:p>
    <w:bookmarkEnd w:id="600"/>
    <w:p w14:paraId="508C217C">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因不可抗力导致合同无法履行连续超过84天或累计超过140天的，发包人和承包人均有权解除合同。合同解除后，由双方当事人按照第4.4款〔商定或确定〕商定或确定发包人应支付的款项，该款项包括：</w:t>
      </w:r>
    </w:p>
    <w:p w14:paraId="3CA6DBCB">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（1）合同解除前承包人已完成工作的价款；</w:t>
      </w:r>
    </w:p>
    <w:p w14:paraId="6267E8D9">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（2）承包人为工程订购的并已交付给承包人，或承包人有责任接受交付的材料、工程设备和其他物品的价款；</w:t>
      </w:r>
    </w:p>
    <w:p w14:paraId="7BCF16DB">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（3）发包人要求承包人退货或解除订货合同而产生的费用，或因不能退货或解除合同而产生的损失；</w:t>
      </w:r>
    </w:p>
    <w:p w14:paraId="1F7342EE">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（4）承包人撤离施工现场以及遣散承包人人员的费用；</w:t>
      </w:r>
    </w:p>
    <w:p w14:paraId="4863DCF5">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（5）按照合同约定在合同解除前应支付给承包人的其他款项；</w:t>
      </w:r>
    </w:p>
    <w:p w14:paraId="30C657FB">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（6）扣减承包人按照合同约定应向发包人支付的款项；</w:t>
      </w:r>
    </w:p>
    <w:p w14:paraId="484FA45F">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（7）双方商定或确定的其他款项。</w:t>
      </w:r>
    </w:p>
    <w:p w14:paraId="632E58FC">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除专用合同条款另有约定外，合同解除后，发包人应在商定或确定上述款项后28天内完成上述款项的支付。</w:t>
      </w:r>
    </w:p>
    <w:p w14:paraId="4FF228E5">
      <w:pPr>
        <w:pStyle w:val="40"/>
        <w:keepNext w:val="0"/>
        <w:keepLines w:val="0"/>
        <w:pageBreakBefore w:val="0"/>
        <w:widowControl w:val="0"/>
        <w:wordWrap/>
        <w:topLinePunct w:val="0"/>
        <w:bidi w:val="0"/>
        <w:adjustRightInd w:val="0"/>
        <w:snapToGrid w:val="0"/>
        <w:spacing w:line="400" w:lineRule="exact"/>
        <w:ind w:left="0" w:leftChars="0" w:firstLine="0" w:firstLineChars="0"/>
        <w:outlineLvl w:val="2"/>
        <w:rPr>
          <w:rFonts w:hint="eastAsia" w:ascii="宋体" w:hAnsi="宋体" w:eastAsia="宋体" w:cs="宋体"/>
          <w:b w:val="0"/>
          <w:color w:val="auto"/>
          <w:sz w:val="21"/>
          <w:szCs w:val="21"/>
          <w:highlight w:val="none"/>
        </w:rPr>
      </w:pPr>
      <w:bookmarkStart w:id="601" w:name="_Toc351203612"/>
      <w:bookmarkStart w:id="602" w:name="_Toc337558828"/>
      <w:bookmarkStart w:id="603" w:name="_Toc296503120"/>
      <w:bookmarkStart w:id="604" w:name="_Toc296346621"/>
      <w:r>
        <w:rPr>
          <w:rFonts w:hint="eastAsia" w:ascii="宋体" w:hAnsi="宋体" w:eastAsia="宋体" w:cs="宋体"/>
          <w:b w:val="0"/>
          <w:color w:val="auto"/>
          <w:sz w:val="21"/>
          <w:szCs w:val="21"/>
          <w:highlight w:val="none"/>
        </w:rPr>
        <w:t>18. 保险</w:t>
      </w:r>
      <w:bookmarkEnd w:id="601"/>
    </w:p>
    <w:bookmarkEnd w:id="602"/>
    <w:bookmarkEnd w:id="603"/>
    <w:bookmarkEnd w:id="604"/>
    <w:p w14:paraId="5E82B320">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605" w:name="_Toc351203613"/>
      <w:bookmarkStart w:id="606" w:name="_Toc296346622"/>
      <w:bookmarkStart w:id="607" w:name="_Toc337558829"/>
      <w:bookmarkStart w:id="608" w:name="_Toc296503121"/>
      <w:r>
        <w:rPr>
          <w:rFonts w:hint="eastAsia" w:ascii="宋体" w:hAnsi="宋体" w:eastAsia="宋体" w:cs="宋体"/>
          <w:b w:val="0"/>
          <w:color w:val="auto"/>
          <w:sz w:val="21"/>
          <w:szCs w:val="21"/>
          <w:highlight w:val="none"/>
        </w:rPr>
        <w:t>18.1 工程保险</w:t>
      </w:r>
      <w:bookmarkEnd w:id="605"/>
    </w:p>
    <w:bookmarkEnd w:id="606"/>
    <w:bookmarkEnd w:id="607"/>
    <w:bookmarkEnd w:id="608"/>
    <w:p w14:paraId="0D9260C4">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除专用合同条款另有约定外，发包人应投保建筑工程一切险或安装工程一切险；发包人委托承包人投保的，因投保产生的保险费和其他相关费用由发包人承担。</w:t>
      </w:r>
    </w:p>
    <w:p w14:paraId="3CCC1C8A">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609" w:name="_Toc351203614"/>
      <w:bookmarkStart w:id="610" w:name="_Toc296503122"/>
      <w:bookmarkStart w:id="611" w:name="_Toc337558830"/>
      <w:bookmarkStart w:id="612" w:name="_Toc296346623"/>
      <w:r>
        <w:rPr>
          <w:rFonts w:hint="eastAsia" w:ascii="宋体" w:hAnsi="宋体" w:eastAsia="宋体" w:cs="宋体"/>
          <w:b w:val="0"/>
          <w:color w:val="auto"/>
          <w:sz w:val="21"/>
          <w:szCs w:val="21"/>
          <w:highlight w:val="none"/>
        </w:rPr>
        <w:t>18.2 工伤保险</w:t>
      </w:r>
      <w:bookmarkEnd w:id="609"/>
    </w:p>
    <w:bookmarkEnd w:id="610"/>
    <w:bookmarkEnd w:id="611"/>
    <w:bookmarkEnd w:id="612"/>
    <w:p w14:paraId="46D9B57A">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18.2.1 发包人应依照法律规定参加工伤保险，并为在施工现场的全部员工办理工伤保险，缴纳工伤保险费，并要求监理人及由发包人为履行合同聘请的第三方依法参加工伤保险。</w:t>
      </w:r>
    </w:p>
    <w:p w14:paraId="6A667512">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18.2.2 承包人应依照法律规定参加工伤保险，并为其履行合同的全部员工办理工伤保险，缴纳工伤保险费，并要求分包人及由承包人为履行合同聘请的第三方依法参加工伤保险。</w:t>
      </w:r>
    </w:p>
    <w:p w14:paraId="1631BD84">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613" w:name="_Toc351203615"/>
      <w:bookmarkStart w:id="614" w:name="_Toc296346626"/>
      <w:bookmarkStart w:id="615" w:name="_Toc337558831"/>
      <w:bookmarkStart w:id="616" w:name="_Toc296503125"/>
      <w:r>
        <w:rPr>
          <w:rFonts w:hint="eastAsia" w:ascii="宋体" w:hAnsi="宋体" w:eastAsia="宋体" w:cs="宋体"/>
          <w:b w:val="0"/>
          <w:color w:val="auto"/>
          <w:sz w:val="21"/>
          <w:szCs w:val="21"/>
          <w:highlight w:val="none"/>
        </w:rPr>
        <w:t>18.3其他保险</w:t>
      </w:r>
      <w:bookmarkEnd w:id="613"/>
    </w:p>
    <w:bookmarkEnd w:id="614"/>
    <w:bookmarkEnd w:id="615"/>
    <w:bookmarkEnd w:id="616"/>
    <w:p w14:paraId="5DA6B3D2">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发包人和承包人可以为其施工现场的全部人员办理意外伤害保险并支付保险费，包括其员工及为履行合同聘请的第三方的人员，具体事项由合同当事人在专用合同条款约定。</w:t>
      </w:r>
    </w:p>
    <w:p w14:paraId="7B4204AB">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除专用合同条款另有约定外，承包人应为其施工设备等办理财产保险。</w:t>
      </w:r>
    </w:p>
    <w:p w14:paraId="3E36274A">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617" w:name="_Toc351203616"/>
      <w:r>
        <w:rPr>
          <w:rFonts w:hint="eastAsia" w:ascii="宋体" w:hAnsi="宋体" w:eastAsia="宋体" w:cs="宋体"/>
          <w:b w:val="0"/>
          <w:color w:val="auto"/>
          <w:sz w:val="21"/>
          <w:szCs w:val="21"/>
          <w:highlight w:val="none"/>
        </w:rPr>
        <w:t>18.4持续保险</w:t>
      </w:r>
      <w:bookmarkEnd w:id="617"/>
    </w:p>
    <w:p w14:paraId="1E116F42">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合同当事人应与保险人保持联系，使保险人能够随时了解工程实施中的变动，并确保按保险合同条款要求持续保险。</w:t>
      </w:r>
    </w:p>
    <w:p w14:paraId="0F707AC6">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618" w:name="_Toc351203617"/>
      <w:bookmarkStart w:id="619" w:name="_Toc296346627"/>
      <w:bookmarkStart w:id="620" w:name="_Toc296503126"/>
      <w:bookmarkStart w:id="621" w:name="_Toc337558832"/>
      <w:r>
        <w:rPr>
          <w:rFonts w:hint="eastAsia" w:ascii="宋体" w:hAnsi="宋体" w:eastAsia="宋体" w:cs="宋体"/>
          <w:b w:val="0"/>
          <w:color w:val="auto"/>
          <w:sz w:val="21"/>
          <w:szCs w:val="21"/>
          <w:highlight w:val="none"/>
        </w:rPr>
        <w:t>18.5 保险凭证</w:t>
      </w:r>
      <w:bookmarkEnd w:id="618"/>
    </w:p>
    <w:bookmarkEnd w:id="619"/>
    <w:bookmarkEnd w:id="620"/>
    <w:bookmarkEnd w:id="621"/>
    <w:p w14:paraId="4134317C">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合同当事人应及时向另一方当事人提交其已投保的各项保险的凭证和保险单复印件。</w:t>
      </w:r>
    </w:p>
    <w:p w14:paraId="28AC2F54">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622" w:name="_Toc351203618"/>
      <w:bookmarkStart w:id="623" w:name="_Toc337558833"/>
      <w:bookmarkStart w:id="624" w:name="_Toc296503127"/>
      <w:bookmarkStart w:id="625" w:name="_Toc296346628"/>
      <w:r>
        <w:rPr>
          <w:rFonts w:hint="eastAsia" w:ascii="宋体" w:hAnsi="宋体" w:eastAsia="宋体" w:cs="宋体"/>
          <w:b w:val="0"/>
          <w:color w:val="auto"/>
          <w:sz w:val="21"/>
          <w:szCs w:val="21"/>
          <w:highlight w:val="none"/>
        </w:rPr>
        <w:t>18.6 未按约定投保的补救</w:t>
      </w:r>
      <w:bookmarkEnd w:id="622"/>
    </w:p>
    <w:bookmarkEnd w:id="623"/>
    <w:bookmarkEnd w:id="624"/>
    <w:bookmarkEnd w:id="625"/>
    <w:p w14:paraId="5DCD64F2">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18.6.1发包人未按合同约定办理保险，或未能使保险持续有效的，则承包人可代为办理，所需费用由发包人承担。发包人未按合同约定办理保险，导致未能得到足额赔偿的，由发包人负责补足。</w:t>
      </w:r>
    </w:p>
    <w:p w14:paraId="08ACB5C6">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18.6.2承包人未按合同约定办理保险，或未能使保险持续有效的，则发包人可代为办理，所需费用由承包人承担。承包人未按合同约定办理保险，导致未能得到足额赔偿的，由承包人负责补足。</w:t>
      </w:r>
    </w:p>
    <w:p w14:paraId="6C2AFC51">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626" w:name="_Toc351203619"/>
      <w:bookmarkStart w:id="627" w:name="_Toc337558834"/>
      <w:r>
        <w:rPr>
          <w:rFonts w:hint="eastAsia" w:ascii="宋体" w:hAnsi="宋体" w:eastAsia="宋体" w:cs="宋体"/>
          <w:b w:val="0"/>
          <w:color w:val="auto"/>
          <w:sz w:val="21"/>
          <w:szCs w:val="21"/>
          <w:highlight w:val="none"/>
        </w:rPr>
        <w:t>18.7 通知义务</w:t>
      </w:r>
      <w:bookmarkEnd w:id="626"/>
    </w:p>
    <w:bookmarkEnd w:id="627"/>
    <w:p w14:paraId="0CF161DF">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除专用合同条款另有约定外，发包人变更除工伤保险之外的保险合同时，应事先征得承包人同意，并通知监理人；承包人变更除工伤保险之外的保险合同时，应事先征得发包人同意，并通知监理人。</w:t>
      </w:r>
    </w:p>
    <w:p w14:paraId="41C1D78B">
      <w:pPr>
        <w:keepNext w:val="0"/>
        <w:keepLines w:val="0"/>
        <w:pageBreakBefore w:val="0"/>
        <w:widowControl w:val="0"/>
        <w:kinsoku/>
        <w:wordWrap/>
        <w:overflowPunct/>
        <w:topLinePunct w:val="0"/>
        <w:bidi w:val="0"/>
        <w:snapToGrid/>
        <w:spacing w:line="390" w:lineRule="exact"/>
        <w:ind w:lef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保险事故发生时，投保人应按照保险合同规定的条件和期限及时向保险人报告。发包人和承包人应当在知道保险事故发生后及时通知对方。</w:t>
      </w:r>
    </w:p>
    <w:p w14:paraId="0E6F063F">
      <w:pPr>
        <w:pStyle w:val="40"/>
        <w:keepNext w:val="0"/>
        <w:keepLines w:val="0"/>
        <w:pageBreakBefore w:val="0"/>
        <w:widowControl w:val="0"/>
        <w:wordWrap/>
        <w:topLinePunct w:val="0"/>
        <w:bidi w:val="0"/>
        <w:adjustRightInd w:val="0"/>
        <w:snapToGrid w:val="0"/>
        <w:spacing w:line="400" w:lineRule="exact"/>
        <w:ind w:left="0" w:leftChars="0" w:firstLine="0" w:firstLineChars="0"/>
        <w:outlineLvl w:val="2"/>
        <w:rPr>
          <w:rFonts w:hint="eastAsia" w:ascii="宋体" w:hAnsi="宋体" w:eastAsia="宋体" w:cs="宋体"/>
          <w:b w:val="0"/>
          <w:color w:val="auto"/>
          <w:sz w:val="21"/>
          <w:szCs w:val="21"/>
          <w:highlight w:val="none"/>
        </w:rPr>
      </w:pPr>
      <w:bookmarkStart w:id="628" w:name="_Toc351203620"/>
      <w:bookmarkStart w:id="629" w:name="_Toc337558835"/>
      <w:bookmarkStart w:id="630" w:name="_Toc296503140"/>
      <w:bookmarkStart w:id="631" w:name="_Toc296346641"/>
      <w:r>
        <w:rPr>
          <w:rFonts w:hint="eastAsia" w:ascii="宋体" w:hAnsi="宋体" w:eastAsia="宋体" w:cs="宋体"/>
          <w:b w:val="0"/>
          <w:color w:val="auto"/>
          <w:sz w:val="21"/>
          <w:szCs w:val="21"/>
          <w:highlight w:val="none"/>
        </w:rPr>
        <w:t>19. 索赔</w:t>
      </w:r>
      <w:bookmarkEnd w:id="628"/>
    </w:p>
    <w:bookmarkEnd w:id="629"/>
    <w:bookmarkEnd w:id="630"/>
    <w:bookmarkEnd w:id="631"/>
    <w:p w14:paraId="0DE58803">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632" w:name="_Toc351203621"/>
      <w:bookmarkStart w:id="633" w:name="_Toc337558836"/>
      <w:bookmarkStart w:id="634" w:name="_Toc296346642"/>
      <w:bookmarkStart w:id="635" w:name="_Toc296503141"/>
      <w:r>
        <w:rPr>
          <w:rFonts w:hint="eastAsia" w:ascii="宋体" w:hAnsi="宋体" w:eastAsia="宋体" w:cs="宋体"/>
          <w:b w:val="0"/>
          <w:color w:val="auto"/>
          <w:sz w:val="21"/>
          <w:szCs w:val="21"/>
          <w:highlight w:val="none"/>
        </w:rPr>
        <w:t>19.1承包人的索赔</w:t>
      </w:r>
      <w:bookmarkEnd w:id="632"/>
    </w:p>
    <w:bookmarkEnd w:id="633"/>
    <w:bookmarkEnd w:id="634"/>
    <w:bookmarkEnd w:id="635"/>
    <w:p w14:paraId="10D8251C">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根据合同约定，承包人认为有权得到追加付款和（或）延长工期的，应按以下程序向发包人提出索赔：</w:t>
      </w:r>
    </w:p>
    <w:p w14:paraId="2DB4020B">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7184AB40">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（2）承包人应在发出索赔意向通知书后28天内，向监理人正式递交索赔报告；索赔报告应详细说明索赔理由以及要求追加的付款金额和（或）延长的工期，并附必要的记录和证明材料；</w:t>
      </w:r>
    </w:p>
    <w:p w14:paraId="684AB79E">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（3）索赔事件具有持续影响的，承包人应按合理时间间隔继续递交延续索赔通知，说明持续影响的实际情况和记录，列出累计的追加付款金额和（或）工期延长天数；</w:t>
      </w:r>
    </w:p>
    <w:p w14:paraId="1B1BD145">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（4）在索赔事件影响结束后28天内，承包人应向监理人递交最终索赔报告，说明最终要求索赔的追加付款金额和（或）延长的工期，并附必要的记录和证明材料。</w:t>
      </w:r>
    </w:p>
    <w:p w14:paraId="25E12F6A">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636" w:name="_Toc351203622"/>
      <w:bookmarkStart w:id="637" w:name="_Toc296503142"/>
      <w:bookmarkStart w:id="638" w:name="_Toc296346643"/>
      <w:bookmarkStart w:id="639" w:name="_Toc337558837"/>
      <w:r>
        <w:rPr>
          <w:rFonts w:hint="eastAsia" w:ascii="宋体" w:hAnsi="宋体" w:eastAsia="宋体" w:cs="宋体"/>
          <w:b w:val="0"/>
          <w:color w:val="auto"/>
          <w:sz w:val="21"/>
          <w:szCs w:val="21"/>
          <w:highlight w:val="none"/>
        </w:rPr>
        <w:t>19.2 对承包人索赔的处理</w:t>
      </w:r>
      <w:bookmarkEnd w:id="636"/>
    </w:p>
    <w:bookmarkEnd w:id="637"/>
    <w:bookmarkEnd w:id="638"/>
    <w:bookmarkEnd w:id="639"/>
    <w:p w14:paraId="6D9A6B7B">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对承包人索赔的处理如下：</w:t>
      </w:r>
    </w:p>
    <w:p w14:paraId="6DD30D86">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（1）监理人应在收到索赔报告后14天内完成审查并报送发包人。监理人对索赔报告存在异议的，有权要求承包人提交全部原始记录副本；</w:t>
      </w:r>
    </w:p>
    <w:p w14:paraId="4FC51E7B">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（2）发包人应在监理人收到索赔报告或有关索赔的进一步证明材料后的28天内，由监理人向承包人出具经发包人签认的索赔处理结果。发包人逾期答复的，则视为认可承包人的索赔要求；</w:t>
      </w:r>
    </w:p>
    <w:p w14:paraId="7A639A69">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（3）承包人接受索赔处理结果的，索赔款项在当期进度款中进行支付；承包人不接受索赔处理结果的，按照第20条〔争议解决〕约定处理。</w:t>
      </w:r>
    </w:p>
    <w:p w14:paraId="5CB1945F">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640" w:name="_Toc351203623"/>
      <w:bookmarkStart w:id="641" w:name="_Toc296346644"/>
      <w:bookmarkStart w:id="642" w:name="_Toc337558838"/>
      <w:bookmarkStart w:id="643" w:name="_Toc296503143"/>
      <w:r>
        <w:rPr>
          <w:rFonts w:hint="eastAsia" w:ascii="宋体" w:hAnsi="宋体" w:eastAsia="宋体" w:cs="宋体"/>
          <w:b w:val="0"/>
          <w:color w:val="auto"/>
          <w:sz w:val="21"/>
          <w:szCs w:val="21"/>
          <w:highlight w:val="none"/>
        </w:rPr>
        <w:t>19.3发包人的索赔</w:t>
      </w:r>
      <w:bookmarkEnd w:id="640"/>
    </w:p>
    <w:bookmarkEnd w:id="641"/>
    <w:bookmarkEnd w:id="642"/>
    <w:bookmarkEnd w:id="643"/>
    <w:p w14:paraId="45D278C7">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根据合同约定，发包人认为有权得到赔付金额和（或）延长缺陷责任期的，监理人应向承包人发出通知并附有详细的证明。</w:t>
      </w:r>
    </w:p>
    <w:p w14:paraId="0CCA3146">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302D7FEA">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644" w:name="_Toc351203624"/>
      <w:bookmarkStart w:id="645" w:name="_Toc296346645"/>
      <w:bookmarkStart w:id="646" w:name="_Toc337558839"/>
      <w:bookmarkStart w:id="647" w:name="_Toc296503144"/>
      <w:r>
        <w:rPr>
          <w:rFonts w:hint="eastAsia" w:ascii="宋体" w:hAnsi="宋体" w:eastAsia="宋体" w:cs="宋体"/>
          <w:b w:val="0"/>
          <w:color w:val="auto"/>
          <w:sz w:val="21"/>
          <w:szCs w:val="21"/>
          <w:highlight w:val="none"/>
        </w:rPr>
        <w:t>19.4 对发包人索赔的处理</w:t>
      </w:r>
      <w:bookmarkEnd w:id="644"/>
    </w:p>
    <w:bookmarkEnd w:id="645"/>
    <w:bookmarkEnd w:id="646"/>
    <w:bookmarkEnd w:id="647"/>
    <w:p w14:paraId="5FEF9796">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对发包人索赔的处理如下：</w:t>
      </w:r>
    </w:p>
    <w:p w14:paraId="265BDC5C">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（1）承包人收到发包人提交的索赔报告后，应及时审查索赔报告的内容、查验发包人证明材料；</w:t>
      </w:r>
    </w:p>
    <w:p w14:paraId="2C337597">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（2）承包人应在收到索赔报告或有关索赔的进一步证明材料后28天内，将索赔处理结果答复发包人。如果承包人未在上述期限内作出答复的，则视为对发包人索赔要求的认可；</w:t>
      </w:r>
    </w:p>
    <w:p w14:paraId="504C5173">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（3）承包人接受索赔处理结果的，发包人可从应支付给承包人的合同价款中扣除赔付的金额或延长缺陷责任期；发包人不接受索赔处理结果的，按第20条〔争议解决〕约定处理。</w:t>
      </w:r>
    </w:p>
    <w:p w14:paraId="4DF13E27">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648" w:name="_Toc351203625"/>
      <w:r>
        <w:rPr>
          <w:rFonts w:hint="eastAsia" w:ascii="宋体" w:hAnsi="宋体" w:eastAsia="宋体" w:cs="宋体"/>
          <w:b w:val="0"/>
          <w:color w:val="auto"/>
          <w:sz w:val="21"/>
          <w:szCs w:val="21"/>
          <w:highlight w:val="none"/>
        </w:rPr>
        <w:t>19.5 提出索赔的期限</w:t>
      </w:r>
      <w:bookmarkEnd w:id="648"/>
    </w:p>
    <w:p w14:paraId="2C6658E7">
      <w:pPr>
        <w:keepNext w:val="0"/>
        <w:keepLines w:val="0"/>
        <w:pageBreakBefore w:val="0"/>
        <w:widowControl w:val="0"/>
        <w:kinsoku/>
        <w:wordWrap/>
        <w:overflowPunct/>
        <w:topLinePunct w:val="0"/>
        <w:bidi w:val="0"/>
        <w:snapToGrid/>
        <w:spacing w:line="390" w:lineRule="exact"/>
        <w:ind w:left="0" w:firstLine="420" w:firstLineChars="20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（1）承包人按第14.2款〔竣工结算审核〕约定接收竣工付款证书后，应被视为已无权再提出在工程接收证书颁发前所发生的任何索赔。</w:t>
      </w:r>
    </w:p>
    <w:p w14:paraId="7AB92A31">
      <w:pPr>
        <w:keepNext w:val="0"/>
        <w:keepLines w:val="0"/>
        <w:pageBreakBefore w:val="0"/>
        <w:widowControl w:val="0"/>
        <w:kinsoku/>
        <w:wordWrap/>
        <w:overflowPunct/>
        <w:topLinePunct w:val="0"/>
        <w:bidi w:val="0"/>
        <w:snapToGrid/>
        <w:spacing w:line="390" w:lineRule="exact"/>
        <w:ind w:left="0" w:firstLine="420" w:firstLineChars="20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（2）承包人按第14.4款〔最终结清〕提交的最终结清申请单中，只限于提出工程接收证书颁发后发生的索赔。提出索赔的期限自接受最终结清证书时终止。</w:t>
      </w:r>
    </w:p>
    <w:p w14:paraId="3D45AAEA">
      <w:pPr>
        <w:pStyle w:val="40"/>
        <w:keepNext w:val="0"/>
        <w:keepLines w:val="0"/>
        <w:pageBreakBefore w:val="0"/>
        <w:widowControl w:val="0"/>
        <w:wordWrap/>
        <w:topLinePunct w:val="0"/>
        <w:bidi w:val="0"/>
        <w:adjustRightInd w:val="0"/>
        <w:snapToGrid w:val="0"/>
        <w:spacing w:line="400" w:lineRule="exact"/>
        <w:ind w:left="0" w:leftChars="0" w:firstLine="0" w:firstLineChars="0"/>
        <w:outlineLvl w:val="2"/>
        <w:rPr>
          <w:rFonts w:hint="eastAsia" w:ascii="宋体" w:hAnsi="宋体" w:eastAsia="宋体" w:cs="宋体"/>
          <w:b w:val="0"/>
          <w:color w:val="auto"/>
          <w:sz w:val="21"/>
          <w:szCs w:val="21"/>
          <w:highlight w:val="none"/>
        </w:rPr>
      </w:pPr>
      <w:bookmarkStart w:id="649" w:name="_Toc351203626"/>
      <w:r>
        <w:rPr>
          <w:rFonts w:hint="eastAsia" w:ascii="宋体" w:hAnsi="宋体" w:eastAsia="宋体" w:cs="宋体"/>
          <w:b w:val="0"/>
          <w:color w:val="auto"/>
          <w:sz w:val="21"/>
          <w:szCs w:val="21"/>
          <w:highlight w:val="none"/>
        </w:rPr>
        <w:t>20</w:t>
      </w:r>
      <w:bookmarkStart w:id="650" w:name="_Toc296503146"/>
      <w:bookmarkStart w:id="651" w:name="_Toc337558840"/>
      <w:bookmarkStart w:id="652" w:name="_Toc296346647"/>
      <w:r>
        <w:rPr>
          <w:rFonts w:hint="eastAsia" w:ascii="宋体" w:hAnsi="宋体" w:eastAsia="宋体" w:cs="宋体"/>
          <w:b w:val="0"/>
          <w:color w:val="auto"/>
          <w:sz w:val="21"/>
          <w:szCs w:val="21"/>
          <w:highlight w:val="none"/>
        </w:rPr>
        <w:t>. 争议解决</w:t>
      </w:r>
      <w:bookmarkEnd w:id="649"/>
    </w:p>
    <w:bookmarkEnd w:id="650"/>
    <w:bookmarkEnd w:id="651"/>
    <w:bookmarkEnd w:id="652"/>
    <w:p w14:paraId="02C01B11">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653" w:name="_Toc351203627"/>
      <w:bookmarkStart w:id="654" w:name="_Toc337558841"/>
      <w:bookmarkStart w:id="655" w:name="_Toc296346648"/>
      <w:bookmarkStart w:id="656" w:name="_Toc296503147"/>
      <w:r>
        <w:rPr>
          <w:rFonts w:hint="eastAsia" w:ascii="宋体" w:hAnsi="宋体" w:eastAsia="宋体" w:cs="宋体"/>
          <w:b w:val="0"/>
          <w:color w:val="auto"/>
          <w:sz w:val="21"/>
          <w:szCs w:val="21"/>
          <w:highlight w:val="none"/>
        </w:rPr>
        <w:t>20.1和解</w:t>
      </w:r>
      <w:bookmarkEnd w:id="653"/>
    </w:p>
    <w:bookmarkEnd w:id="654"/>
    <w:bookmarkEnd w:id="655"/>
    <w:bookmarkEnd w:id="656"/>
    <w:p w14:paraId="64D110B1">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合同当事人可以就争议自行和解，自行和解达成协议的经双方签字并盖章后作为合同补充文件，双方均应遵照执行。</w:t>
      </w:r>
    </w:p>
    <w:p w14:paraId="239CFED2">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657" w:name="_Toc351203628"/>
      <w:r>
        <w:rPr>
          <w:rFonts w:hint="eastAsia" w:ascii="宋体" w:hAnsi="宋体" w:eastAsia="宋体" w:cs="宋体"/>
          <w:b w:val="0"/>
          <w:color w:val="auto"/>
          <w:sz w:val="21"/>
          <w:szCs w:val="21"/>
          <w:highlight w:val="none"/>
        </w:rPr>
        <w:t>20</w:t>
      </w:r>
      <w:bookmarkStart w:id="658" w:name="_Toc296346649"/>
      <w:bookmarkStart w:id="659" w:name="_Toc337558842"/>
      <w:bookmarkStart w:id="660" w:name="_Toc296503148"/>
      <w:r>
        <w:rPr>
          <w:rFonts w:hint="eastAsia" w:ascii="宋体" w:hAnsi="宋体" w:eastAsia="宋体" w:cs="宋体"/>
          <w:b w:val="0"/>
          <w:color w:val="auto"/>
          <w:sz w:val="21"/>
          <w:szCs w:val="21"/>
          <w:highlight w:val="none"/>
        </w:rPr>
        <w:t>.2调解</w:t>
      </w:r>
      <w:bookmarkEnd w:id="657"/>
    </w:p>
    <w:bookmarkEnd w:id="658"/>
    <w:bookmarkEnd w:id="659"/>
    <w:bookmarkEnd w:id="660"/>
    <w:p w14:paraId="1C1433C2">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合同当事人可以就争议请求建设行政主管部门、行业协会或其他第三方进行调解，调解达成协议的，经双方签字并盖章后作为合同补充文件，双方均应遵照执行。</w:t>
      </w:r>
    </w:p>
    <w:p w14:paraId="09A21BAA">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661" w:name="_Toc351203629"/>
      <w:bookmarkStart w:id="662" w:name="_Toc296503149"/>
      <w:bookmarkStart w:id="663" w:name="_Toc337558843"/>
      <w:bookmarkStart w:id="664" w:name="_Toc296346650"/>
      <w:r>
        <w:rPr>
          <w:rFonts w:hint="eastAsia" w:ascii="宋体" w:hAnsi="宋体" w:eastAsia="宋体" w:cs="宋体"/>
          <w:b w:val="0"/>
          <w:color w:val="auto"/>
          <w:sz w:val="21"/>
          <w:szCs w:val="21"/>
          <w:highlight w:val="none"/>
        </w:rPr>
        <w:t>20.3争议评审</w:t>
      </w:r>
      <w:bookmarkEnd w:id="661"/>
    </w:p>
    <w:bookmarkEnd w:id="662"/>
    <w:bookmarkEnd w:id="663"/>
    <w:bookmarkEnd w:id="664"/>
    <w:p w14:paraId="52CDD061">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合同当事人在专用合同条款中约定采取争议评审方式解决争议以及评审规则，并按下列约定执行： </w:t>
      </w:r>
    </w:p>
    <w:p w14:paraId="6997B258">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20.3.1 争议评审小组的确定</w:t>
      </w:r>
    </w:p>
    <w:p w14:paraId="59A8AB91">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合同当事人可以共同选择一名或三名争议评审员，组成争议评审小组。除专用合同条款另有约定外，合同当事人应当自合同签订后28天内，或者争议发生后14天内，选定争议评审员。</w:t>
      </w:r>
    </w:p>
    <w:p w14:paraId="4E85089E">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4455FA63">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除专用合同条款另有约定外，评审员报酬由发包人和承包人各承担一半。</w:t>
      </w:r>
    </w:p>
    <w:p w14:paraId="63CD6BB8">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20.3.2 争议评审小组的决定</w:t>
      </w:r>
    </w:p>
    <w:p w14:paraId="12F80340">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165926B9">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20.3.3 争议评审小组决定的效力</w:t>
      </w:r>
    </w:p>
    <w:p w14:paraId="2D1C4147">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争议评审小组作出的书面决定经合同当事人签字确认后，对双方具有约束力，双方应遵照执行。</w:t>
      </w:r>
    </w:p>
    <w:p w14:paraId="6657A333">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任何一方当事人不接受争议评审小组决定或不履行争议评审小组决定的，双方可选择采用其他争议解决方式。</w:t>
      </w:r>
    </w:p>
    <w:p w14:paraId="7FBFC7B8">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665" w:name="_Toc351203630"/>
      <w:bookmarkStart w:id="666" w:name="_Toc296503150"/>
      <w:bookmarkStart w:id="667" w:name="_Toc337558844"/>
      <w:bookmarkStart w:id="668" w:name="_Toc296346651"/>
      <w:r>
        <w:rPr>
          <w:rFonts w:hint="eastAsia" w:ascii="宋体" w:hAnsi="宋体" w:eastAsia="宋体" w:cs="宋体"/>
          <w:b w:val="0"/>
          <w:color w:val="auto"/>
          <w:sz w:val="21"/>
          <w:szCs w:val="21"/>
          <w:highlight w:val="none"/>
        </w:rPr>
        <w:t>20.4仲裁或诉讼</w:t>
      </w:r>
      <w:bookmarkEnd w:id="665"/>
    </w:p>
    <w:bookmarkEnd w:id="666"/>
    <w:bookmarkEnd w:id="667"/>
    <w:bookmarkEnd w:id="668"/>
    <w:p w14:paraId="6CF8CF7A">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因合同及合同有关事项产生的争议，合同当事人可以在专用合同条款中约定以下一种方式解决争议：</w:t>
      </w:r>
    </w:p>
    <w:p w14:paraId="7DCD3474">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（1）向约定的仲裁委员会申请仲裁；</w:t>
      </w:r>
    </w:p>
    <w:p w14:paraId="56455C84">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（2）向有管辖权的人民法院起诉。</w:t>
      </w:r>
    </w:p>
    <w:p w14:paraId="16E02A16">
      <w:pPr>
        <w:keepNext w:val="0"/>
        <w:keepLines w:val="0"/>
        <w:pageBreakBefore w:val="0"/>
        <w:widowControl w:val="0"/>
        <w:kinsoku/>
        <w:wordWrap/>
        <w:overflowPunct/>
        <w:topLinePunct w:val="0"/>
        <w:bidi w:val="0"/>
        <w:snapToGrid/>
        <w:spacing w:before="0" w:after="0" w:line="390" w:lineRule="exact"/>
        <w:ind w:left="0" w:firstLine="420" w:firstLineChars="200"/>
        <w:textAlignment w:val="auto"/>
        <w:outlineLvl w:val="9"/>
        <w:rPr>
          <w:rFonts w:hint="eastAsia" w:ascii="宋体" w:hAnsi="宋体" w:eastAsia="宋体" w:cs="宋体"/>
          <w:b w:val="0"/>
          <w:color w:val="auto"/>
          <w:sz w:val="21"/>
          <w:szCs w:val="21"/>
          <w:highlight w:val="none"/>
        </w:rPr>
      </w:pPr>
      <w:bookmarkStart w:id="669" w:name="_Toc351203631"/>
      <w:bookmarkStart w:id="670" w:name="_Toc296346653"/>
      <w:bookmarkStart w:id="671" w:name="_Toc296503152"/>
      <w:bookmarkStart w:id="672" w:name="_Toc337558845"/>
      <w:r>
        <w:rPr>
          <w:rFonts w:hint="eastAsia" w:ascii="宋体" w:hAnsi="宋体" w:eastAsia="宋体" w:cs="宋体"/>
          <w:b w:val="0"/>
          <w:color w:val="auto"/>
          <w:sz w:val="21"/>
          <w:szCs w:val="21"/>
          <w:highlight w:val="none"/>
        </w:rPr>
        <w:t>20.5争议解决条款效力</w:t>
      </w:r>
      <w:bookmarkEnd w:id="669"/>
    </w:p>
    <w:bookmarkEnd w:id="670"/>
    <w:bookmarkEnd w:id="671"/>
    <w:bookmarkEnd w:id="672"/>
    <w:p w14:paraId="792B9DEB">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合同有关争议解决的条款独立存在，合同的变更、解除、终止、无效或者被撤销均不影响其效力。 </w:t>
      </w:r>
    </w:p>
    <w:p w14:paraId="4D305858">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outlineLvl w:val="9"/>
        <w:rPr>
          <w:rFonts w:hint="eastAsia" w:ascii="宋体" w:hAnsi="宋体" w:eastAsia="宋体" w:cs="宋体"/>
          <w:color w:val="auto"/>
          <w:kern w:val="0"/>
          <w:sz w:val="21"/>
          <w:szCs w:val="21"/>
          <w:highlight w:val="none"/>
        </w:rPr>
      </w:pPr>
    </w:p>
    <w:p w14:paraId="5B9491E1">
      <w:pPr>
        <w:keepNext w:val="0"/>
        <w:keepLines w:val="0"/>
        <w:pageBreakBefore w:val="0"/>
        <w:widowControl w:val="0"/>
        <w:kinsoku/>
        <w:wordWrap/>
        <w:overflowPunct/>
        <w:topLinePunct w:val="0"/>
        <w:autoSpaceDE w:val="0"/>
        <w:autoSpaceDN w:val="0"/>
        <w:bidi w:val="0"/>
        <w:adjustRightInd w:val="0"/>
        <w:snapToGrid/>
        <w:spacing w:line="390" w:lineRule="exact"/>
        <w:ind w:left="0" w:firstLine="420" w:firstLineChars="200"/>
        <w:jc w:val="left"/>
        <w:textAlignment w:val="auto"/>
        <w:rPr>
          <w:rFonts w:hint="eastAsia" w:ascii="宋体" w:hAnsi="宋体" w:eastAsia="宋体" w:cs="宋体"/>
          <w:color w:val="auto"/>
          <w:kern w:val="0"/>
          <w:sz w:val="21"/>
          <w:szCs w:val="21"/>
          <w:highlight w:val="none"/>
        </w:rPr>
      </w:pPr>
    </w:p>
    <w:bookmarkEnd w:id="244"/>
    <w:p w14:paraId="230B3DF0">
      <w:pPr>
        <w:pStyle w:val="20"/>
        <w:keepNext w:val="0"/>
        <w:keepLines w:val="0"/>
        <w:pageBreakBefore w:val="0"/>
        <w:widowControl w:val="0"/>
        <w:wordWrap/>
        <w:topLinePunct w:val="0"/>
        <w:bidi w:val="0"/>
        <w:ind w:left="63" w:right="63"/>
        <w:rPr>
          <w:color w:val="auto"/>
          <w:highlight w:val="none"/>
        </w:rPr>
        <w:sectPr>
          <w:footerReference r:id="rId7" w:type="default"/>
          <w:pgSz w:w="11906" w:h="16838"/>
          <w:pgMar w:top="1304" w:right="1134" w:bottom="1191" w:left="1247" w:header="851" w:footer="992" w:gutter="0"/>
          <w:pgNumType w:fmt="decimal"/>
          <w:cols w:space="720" w:num="1"/>
          <w:docGrid w:type="lines" w:linePitch="312" w:charSpace="0"/>
        </w:sectPr>
      </w:pPr>
    </w:p>
    <w:p w14:paraId="448376F2">
      <w:pPr>
        <w:pStyle w:val="37"/>
        <w:keepNext w:val="0"/>
        <w:keepLines w:val="0"/>
        <w:pageBreakBefore w:val="0"/>
        <w:widowControl w:val="0"/>
        <w:wordWrap/>
        <w:topLinePunct w:val="0"/>
        <w:bidi w:val="0"/>
        <w:jc w:val="center"/>
        <w:outlineLvl w:val="1"/>
        <w:rPr>
          <w:color w:val="auto"/>
          <w:highlight w:val="none"/>
        </w:rPr>
      </w:pPr>
      <w:bookmarkStart w:id="673" w:name="_Toc6905"/>
      <w:bookmarkStart w:id="674" w:name="_Toc256000171"/>
      <w:bookmarkStart w:id="675" w:name="_Toc25460"/>
      <w:r>
        <w:rPr>
          <w:rFonts w:ascii="宋体"/>
          <w:color w:val="auto"/>
          <w:sz w:val="32"/>
          <w:highlight w:val="none"/>
        </w:rPr>
        <w:t>第</w:t>
      </w:r>
      <w:r>
        <w:rPr>
          <w:rFonts w:hint="eastAsia" w:ascii="宋体"/>
          <w:color w:val="auto"/>
          <w:sz w:val="32"/>
          <w:highlight w:val="none"/>
        </w:rPr>
        <w:t>三</w:t>
      </w:r>
      <w:r>
        <w:rPr>
          <w:rFonts w:ascii="宋体"/>
          <w:color w:val="auto"/>
          <w:sz w:val="32"/>
          <w:highlight w:val="none"/>
        </w:rPr>
        <w:t>部分 专用合同条款</w:t>
      </w:r>
      <w:bookmarkEnd w:id="673"/>
      <w:bookmarkEnd w:id="674"/>
      <w:bookmarkEnd w:id="675"/>
    </w:p>
    <w:p w14:paraId="1F8B7FE1">
      <w:pPr>
        <w:pStyle w:val="37"/>
        <w:keepNext w:val="0"/>
        <w:keepLines w:val="0"/>
        <w:pageBreakBefore w:val="0"/>
        <w:widowControl w:val="0"/>
        <w:wordWrap/>
        <w:topLinePunct w:val="0"/>
        <w:bidi w:val="0"/>
        <w:spacing w:line="380" w:lineRule="exact"/>
        <w:outlineLvl w:val="2"/>
        <w:rPr>
          <w:rFonts w:ascii="宋体" w:cs="宋体"/>
          <w:color w:val="auto"/>
          <w:highlight w:val="none"/>
        </w:rPr>
      </w:pPr>
      <w:bookmarkStart w:id="676" w:name="_Toc418752235"/>
      <w:bookmarkStart w:id="677" w:name="_Toc406522213"/>
      <w:bookmarkStart w:id="678" w:name="_Toc256000172"/>
      <w:bookmarkStart w:id="679" w:name="_Toc522201723"/>
      <w:bookmarkStart w:id="680" w:name="_Toc418751789"/>
      <w:bookmarkStart w:id="681" w:name="_Toc497747171"/>
      <w:bookmarkStart w:id="682" w:name="_Toc497746774"/>
      <w:bookmarkStart w:id="683" w:name="_Toc19640"/>
      <w:bookmarkStart w:id="684" w:name="_Toc351203633"/>
      <w:bookmarkStart w:id="685" w:name="_Toc484024116"/>
      <w:r>
        <w:rPr>
          <w:rFonts w:hint="eastAsia" w:ascii="宋体" w:cs="宋体"/>
          <w:color w:val="auto"/>
          <w:highlight w:val="none"/>
        </w:rPr>
        <w:t>1</w:t>
      </w:r>
      <w:bookmarkStart w:id="686" w:name="_Toc292559361"/>
      <w:bookmarkStart w:id="687" w:name="_Toc296346657"/>
      <w:bookmarkStart w:id="688" w:name="_Toc296503156"/>
      <w:bookmarkStart w:id="689" w:name="_Toc292559866"/>
      <w:bookmarkStart w:id="690" w:name="_Toc297120456"/>
      <w:bookmarkStart w:id="691" w:name="_Toc296944495"/>
      <w:bookmarkStart w:id="692" w:name="_Toc296890984"/>
      <w:bookmarkStart w:id="693" w:name="_Toc296891196"/>
      <w:bookmarkStart w:id="694" w:name="_Toc297048342"/>
      <w:bookmarkStart w:id="695" w:name="_Toc296347155"/>
      <w:r>
        <w:rPr>
          <w:rFonts w:hint="eastAsia" w:ascii="宋体" w:cs="宋体"/>
          <w:color w:val="auto"/>
          <w:highlight w:val="none"/>
        </w:rPr>
        <w:t>. 一般约定</w:t>
      </w:r>
      <w:bookmarkEnd w:id="676"/>
      <w:bookmarkEnd w:id="677"/>
      <w:bookmarkEnd w:id="678"/>
      <w:bookmarkEnd w:id="679"/>
      <w:bookmarkEnd w:id="680"/>
      <w:bookmarkEnd w:id="681"/>
      <w:bookmarkEnd w:id="682"/>
      <w:bookmarkEnd w:id="683"/>
      <w:bookmarkEnd w:id="684"/>
    </w:p>
    <w:bookmarkEnd w:id="686"/>
    <w:bookmarkEnd w:id="687"/>
    <w:bookmarkEnd w:id="688"/>
    <w:bookmarkEnd w:id="689"/>
    <w:bookmarkEnd w:id="690"/>
    <w:bookmarkEnd w:id="691"/>
    <w:bookmarkEnd w:id="692"/>
    <w:bookmarkEnd w:id="693"/>
    <w:bookmarkEnd w:id="694"/>
    <w:bookmarkEnd w:id="695"/>
    <w:p w14:paraId="5E4E7FD9">
      <w:pPr>
        <w:pStyle w:val="37"/>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696" w:name="_Toc256000173"/>
      <w:bookmarkStart w:id="697" w:name="_Toc23204"/>
      <w:bookmarkStart w:id="698" w:name="_Toc522201724"/>
      <w:bookmarkStart w:id="699" w:name="_Toc497746775"/>
      <w:bookmarkStart w:id="700" w:name="_Toc418751790"/>
      <w:bookmarkStart w:id="701" w:name="_Toc497747172"/>
      <w:bookmarkStart w:id="702" w:name="_Toc418752236"/>
      <w:bookmarkStart w:id="703" w:name="_Toc406522214"/>
      <w:r>
        <w:rPr>
          <w:rFonts w:hint="eastAsia" w:ascii="宋体" w:cs="宋体"/>
          <w:color w:val="auto"/>
          <w:highlight w:val="none"/>
        </w:rPr>
        <w:t>1.1 词语定义</w:t>
      </w:r>
      <w:bookmarkEnd w:id="696"/>
      <w:bookmarkEnd w:id="697"/>
      <w:bookmarkEnd w:id="698"/>
      <w:bookmarkEnd w:id="699"/>
      <w:bookmarkEnd w:id="700"/>
      <w:bookmarkEnd w:id="701"/>
      <w:bookmarkEnd w:id="702"/>
      <w:bookmarkEnd w:id="703"/>
    </w:p>
    <w:p w14:paraId="778CE4BD">
      <w:pPr>
        <w:pStyle w:val="42"/>
        <w:keepNext w:val="0"/>
        <w:keepLines w:val="0"/>
        <w:pageBreakBefore w:val="0"/>
        <w:widowControl w:val="0"/>
        <w:wordWrap/>
        <w:topLinePunct w:val="0"/>
        <w:bidi w:val="0"/>
        <w:spacing w:line="380" w:lineRule="exact"/>
        <w:rPr>
          <w:rFonts w:ascii="宋体" w:hAnsi="宋体" w:cs="宋体"/>
          <w:color w:val="auto"/>
          <w:highlight w:val="none"/>
        </w:rPr>
      </w:pPr>
      <w:r>
        <w:rPr>
          <w:rFonts w:hint="eastAsia" w:ascii="宋体" w:hAnsi="宋体" w:cs="宋体"/>
          <w:color w:val="auto"/>
          <w:highlight w:val="none"/>
        </w:rPr>
        <w:t>1.1.1合同</w:t>
      </w:r>
    </w:p>
    <w:p w14:paraId="3C75BEA5">
      <w:pPr>
        <w:pStyle w:val="42"/>
        <w:keepNext w:val="0"/>
        <w:keepLines w:val="0"/>
        <w:pageBreakBefore w:val="0"/>
        <w:widowControl w:val="0"/>
        <w:wordWrap/>
        <w:topLinePunct w:val="0"/>
        <w:bidi w:val="0"/>
        <w:spacing w:line="380" w:lineRule="exact"/>
        <w:rPr>
          <w:rFonts w:ascii="宋体" w:hAnsi="宋体" w:cs="宋体"/>
          <w:color w:val="auto"/>
          <w:highlight w:val="none"/>
          <w:u w:val="single"/>
        </w:rPr>
      </w:pPr>
      <w:r>
        <w:rPr>
          <w:rFonts w:hint="eastAsia" w:ascii="宋体" w:hAnsi="宋体" w:cs="宋体"/>
          <w:color w:val="auto"/>
          <w:highlight w:val="none"/>
        </w:rPr>
        <w:t>1.1.1.10其他合同文件包括：</w:t>
      </w:r>
      <w:r>
        <w:rPr>
          <w:rFonts w:hint="eastAsia" w:ascii="宋体" w:hAnsi="宋体" w:cs="宋体"/>
          <w:color w:val="auto"/>
          <w:highlight w:val="none"/>
          <w:u w:val="single"/>
        </w:rPr>
        <w:t>（1）本合同协议书；（2）中标（成交）通知书；（3）</w:t>
      </w:r>
      <w:r>
        <w:rPr>
          <w:rFonts w:hint="eastAsia" w:ascii="宋体" w:hAnsi="宋体" w:cs="宋体"/>
          <w:color w:val="auto"/>
          <w:highlight w:val="none"/>
          <w:u w:val="single"/>
          <w:lang w:eastAsia="zh-CN"/>
        </w:rPr>
        <w:t>投标书（响应文件）</w:t>
      </w:r>
      <w:r>
        <w:rPr>
          <w:rFonts w:hint="eastAsia" w:ascii="宋体" w:hAnsi="宋体" w:cs="宋体"/>
          <w:color w:val="auto"/>
          <w:highlight w:val="none"/>
          <w:u w:val="single"/>
        </w:rPr>
        <w:t>及其附件；（4）本合同专用条款及补充条款；（5）本合同通用条款；（6）标准、规范及有关技术文件；（7）图纸（含图纸修改通知单及图纸设计变更文件）；（8）工程量清单；（9）本工程预算控制价造价成果文件及其他合同文件</w:t>
      </w:r>
      <w:r>
        <w:rPr>
          <w:rFonts w:hint="eastAsia" w:ascii="宋体" w:hAnsi="宋体" w:cs="宋体"/>
          <w:color w:val="auto"/>
          <w:highlight w:val="none"/>
        </w:rPr>
        <w:t>。</w:t>
      </w:r>
    </w:p>
    <w:p w14:paraId="4AC11DD4">
      <w:pPr>
        <w:pStyle w:val="42"/>
        <w:keepNext w:val="0"/>
        <w:keepLines w:val="0"/>
        <w:pageBreakBefore w:val="0"/>
        <w:widowControl w:val="0"/>
        <w:wordWrap/>
        <w:topLinePunct w:val="0"/>
        <w:bidi w:val="0"/>
        <w:spacing w:line="380" w:lineRule="exact"/>
        <w:rPr>
          <w:rFonts w:ascii="宋体" w:hAnsi="宋体" w:cs="宋体"/>
          <w:color w:val="auto"/>
          <w:highlight w:val="none"/>
        </w:rPr>
      </w:pPr>
      <w:r>
        <w:rPr>
          <w:rFonts w:hint="eastAsia" w:ascii="宋体" w:hAnsi="宋体" w:cs="宋体"/>
          <w:color w:val="auto"/>
          <w:highlight w:val="none"/>
        </w:rPr>
        <w:t>1.1.2 合同当事人及其他相关方</w:t>
      </w:r>
    </w:p>
    <w:p w14:paraId="1F7263CA">
      <w:pPr>
        <w:pStyle w:val="42"/>
        <w:keepNext w:val="0"/>
        <w:keepLines w:val="0"/>
        <w:pageBreakBefore w:val="0"/>
        <w:widowControl w:val="0"/>
        <w:wordWrap/>
        <w:topLinePunct w:val="0"/>
        <w:bidi w:val="0"/>
        <w:spacing w:line="380" w:lineRule="exact"/>
        <w:rPr>
          <w:rFonts w:ascii="宋体" w:hAnsi="宋体" w:cs="宋体"/>
          <w:color w:val="auto"/>
          <w:highlight w:val="none"/>
        </w:rPr>
      </w:pPr>
      <w:r>
        <w:rPr>
          <w:rFonts w:hint="eastAsia" w:ascii="宋体" w:hAnsi="宋体" w:cs="宋体"/>
          <w:color w:val="auto"/>
          <w:highlight w:val="none"/>
        </w:rPr>
        <w:t>1.1.2.4监理人：</w:t>
      </w:r>
    </w:p>
    <w:p w14:paraId="54944117">
      <w:pPr>
        <w:pStyle w:val="42"/>
        <w:keepNext w:val="0"/>
        <w:keepLines w:val="0"/>
        <w:pageBreakBefore w:val="0"/>
        <w:widowControl w:val="0"/>
        <w:wordWrap/>
        <w:topLinePunct w:val="0"/>
        <w:bidi w:val="0"/>
        <w:spacing w:line="380" w:lineRule="exact"/>
        <w:rPr>
          <w:rFonts w:ascii="宋体" w:hAnsi="宋体" w:cs="宋体"/>
          <w:color w:val="auto"/>
          <w:highlight w:val="none"/>
        </w:rPr>
      </w:pPr>
      <w:r>
        <w:rPr>
          <w:rFonts w:hint="eastAsia" w:ascii="宋体" w:hAnsi="宋体" w:cs="宋体"/>
          <w:color w:val="auto"/>
          <w:highlight w:val="none"/>
        </w:rPr>
        <w:t>名    称：</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23984FE2">
      <w:pPr>
        <w:pStyle w:val="42"/>
        <w:keepNext w:val="0"/>
        <w:keepLines w:val="0"/>
        <w:pageBreakBefore w:val="0"/>
        <w:widowControl w:val="0"/>
        <w:wordWrap/>
        <w:topLinePunct w:val="0"/>
        <w:bidi w:val="0"/>
        <w:spacing w:line="380" w:lineRule="exact"/>
        <w:rPr>
          <w:rFonts w:hint="eastAsia" w:ascii="宋体" w:hAnsi="宋体" w:cs="宋体"/>
          <w:color w:val="auto"/>
          <w:highlight w:val="none"/>
        </w:rPr>
      </w:pPr>
      <w:r>
        <w:rPr>
          <w:rFonts w:hint="eastAsia" w:ascii="宋体" w:hAnsi="宋体" w:cs="宋体"/>
          <w:color w:val="auto"/>
          <w:highlight w:val="none"/>
        </w:rPr>
        <w:t>资质类别和等级：</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7D64743F">
      <w:pPr>
        <w:pStyle w:val="42"/>
        <w:keepNext w:val="0"/>
        <w:keepLines w:val="0"/>
        <w:pageBreakBefore w:val="0"/>
        <w:widowControl w:val="0"/>
        <w:wordWrap/>
        <w:topLinePunct w:val="0"/>
        <w:bidi w:val="0"/>
        <w:spacing w:line="380" w:lineRule="exact"/>
        <w:rPr>
          <w:rFonts w:hint="eastAsia" w:ascii="宋体" w:hAnsi="宋体" w:cs="宋体"/>
          <w:color w:val="auto"/>
          <w:highlight w:val="none"/>
        </w:rPr>
      </w:pPr>
      <w:r>
        <w:rPr>
          <w:rFonts w:hint="eastAsia" w:ascii="宋体" w:hAnsi="宋体" w:cs="宋体"/>
          <w:color w:val="auto"/>
          <w:highlight w:val="none"/>
        </w:rPr>
        <w:t>联系电话：</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5D105331">
      <w:pPr>
        <w:pStyle w:val="42"/>
        <w:keepNext w:val="0"/>
        <w:keepLines w:val="0"/>
        <w:pageBreakBefore w:val="0"/>
        <w:widowControl w:val="0"/>
        <w:wordWrap/>
        <w:topLinePunct w:val="0"/>
        <w:bidi w:val="0"/>
        <w:spacing w:line="380" w:lineRule="exact"/>
        <w:rPr>
          <w:rFonts w:hint="eastAsia" w:ascii="宋体" w:hAnsi="宋体" w:cs="宋体"/>
          <w:color w:val="auto"/>
          <w:highlight w:val="none"/>
        </w:rPr>
      </w:pPr>
      <w:r>
        <w:rPr>
          <w:rFonts w:hint="eastAsia" w:ascii="宋体" w:hAnsi="宋体" w:cs="宋体"/>
          <w:color w:val="auto"/>
          <w:highlight w:val="none"/>
        </w:rPr>
        <w:t>电子信箱：</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w:t>
      </w:r>
    </w:p>
    <w:p w14:paraId="7B34AF1D">
      <w:pPr>
        <w:pStyle w:val="42"/>
        <w:keepNext w:val="0"/>
        <w:keepLines w:val="0"/>
        <w:pageBreakBefore w:val="0"/>
        <w:widowControl w:val="0"/>
        <w:wordWrap/>
        <w:topLinePunct w:val="0"/>
        <w:bidi w:val="0"/>
        <w:spacing w:line="380" w:lineRule="exact"/>
        <w:rPr>
          <w:rFonts w:hint="eastAsia" w:ascii="宋体" w:hAnsi="宋体" w:cs="宋体"/>
          <w:color w:val="auto"/>
          <w:highlight w:val="none"/>
        </w:rPr>
      </w:pPr>
      <w:r>
        <w:rPr>
          <w:rFonts w:hint="eastAsia" w:ascii="宋体" w:hAnsi="宋体" w:cs="宋体"/>
          <w:color w:val="auto"/>
          <w:highlight w:val="none"/>
        </w:rPr>
        <w:t>通信地址：</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w:t>
      </w:r>
    </w:p>
    <w:p w14:paraId="4F8B8B77">
      <w:pPr>
        <w:pStyle w:val="42"/>
        <w:keepNext w:val="0"/>
        <w:keepLines w:val="0"/>
        <w:pageBreakBefore w:val="0"/>
        <w:widowControl w:val="0"/>
        <w:wordWrap/>
        <w:topLinePunct w:val="0"/>
        <w:bidi w:val="0"/>
        <w:spacing w:line="380" w:lineRule="exact"/>
        <w:rPr>
          <w:rFonts w:ascii="宋体" w:hAnsi="宋体" w:cs="宋体"/>
          <w:color w:val="auto"/>
          <w:highlight w:val="none"/>
        </w:rPr>
      </w:pPr>
      <w:r>
        <w:rPr>
          <w:rFonts w:hint="eastAsia" w:ascii="宋体" w:hAnsi="宋体" w:cs="宋体"/>
          <w:color w:val="auto"/>
          <w:highlight w:val="none"/>
        </w:rPr>
        <w:t>1.1.2.5 设计人：</w:t>
      </w:r>
    </w:p>
    <w:p w14:paraId="344182F2">
      <w:pPr>
        <w:pStyle w:val="42"/>
        <w:keepNext w:val="0"/>
        <w:keepLines w:val="0"/>
        <w:pageBreakBefore w:val="0"/>
        <w:widowControl w:val="0"/>
        <w:wordWrap/>
        <w:topLinePunct w:val="0"/>
        <w:bidi w:val="0"/>
        <w:spacing w:line="380" w:lineRule="exact"/>
        <w:rPr>
          <w:rFonts w:ascii="宋体" w:hAnsi="宋体" w:cs="宋体"/>
          <w:color w:val="auto"/>
          <w:highlight w:val="none"/>
        </w:rPr>
      </w:pPr>
      <w:r>
        <w:rPr>
          <w:rFonts w:hint="eastAsia" w:ascii="宋体" w:hAnsi="宋体" w:cs="宋体"/>
          <w:color w:val="auto"/>
          <w:highlight w:val="none"/>
        </w:rPr>
        <w:t>名    称：</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3427C2C1">
      <w:pPr>
        <w:pStyle w:val="42"/>
        <w:keepNext w:val="0"/>
        <w:keepLines w:val="0"/>
        <w:pageBreakBefore w:val="0"/>
        <w:widowControl w:val="0"/>
        <w:wordWrap/>
        <w:topLinePunct w:val="0"/>
        <w:bidi w:val="0"/>
        <w:spacing w:line="380" w:lineRule="exact"/>
        <w:rPr>
          <w:rFonts w:ascii="宋体" w:hAnsi="宋体" w:cs="宋体"/>
          <w:color w:val="auto"/>
          <w:highlight w:val="none"/>
        </w:rPr>
      </w:pPr>
      <w:r>
        <w:rPr>
          <w:rFonts w:hint="eastAsia" w:ascii="宋体" w:hAnsi="宋体" w:cs="宋体"/>
          <w:color w:val="auto"/>
          <w:highlight w:val="none"/>
        </w:rPr>
        <w:t>资质类别和等级：</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68671185">
      <w:pPr>
        <w:pStyle w:val="42"/>
        <w:keepNext w:val="0"/>
        <w:keepLines w:val="0"/>
        <w:pageBreakBefore w:val="0"/>
        <w:widowControl w:val="0"/>
        <w:wordWrap/>
        <w:topLinePunct w:val="0"/>
        <w:bidi w:val="0"/>
        <w:spacing w:line="380" w:lineRule="exact"/>
        <w:rPr>
          <w:rFonts w:ascii="宋体" w:hAnsi="宋体" w:cs="宋体"/>
          <w:color w:val="auto"/>
          <w:highlight w:val="none"/>
        </w:rPr>
      </w:pPr>
      <w:r>
        <w:rPr>
          <w:rFonts w:hint="eastAsia" w:ascii="宋体" w:hAnsi="宋体" w:cs="宋体"/>
          <w:color w:val="auto"/>
          <w:highlight w:val="none"/>
        </w:rPr>
        <w:t>联系电话：</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1D38AAFD">
      <w:pPr>
        <w:pStyle w:val="42"/>
        <w:keepNext w:val="0"/>
        <w:keepLines w:val="0"/>
        <w:pageBreakBefore w:val="0"/>
        <w:widowControl w:val="0"/>
        <w:wordWrap/>
        <w:topLinePunct w:val="0"/>
        <w:bidi w:val="0"/>
        <w:spacing w:line="380" w:lineRule="exact"/>
        <w:rPr>
          <w:rFonts w:ascii="宋体" w:hAnsi="宋体" w:cs="宋体"/>
          <w:color w:val="auto"/>
          <w:highlight w:val="none"/>
        </w:rPr>
      </w:pPr>
      <w:r>
        <w:rPr>
          <w:rFonts w:hint="eastAsia" w:ascii="宋体" w:hAnsi="宋体" w:cs="宋体"/>
          <w:color w:val="auto"/>
          <w:highlight w:val="none"/>
        </w:rPr>
        <w:t>电子信箱：</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003554AB">
      <w:pPr>
        <w:pStyle w:val="42"/>
        <w:keepNext w:val="0"/>
        <w:keepLines w:val="0"/>
        <w:pageBreakBefore w:val="0"/>
        <w:widowControl w:val="0"/>
        <w:wordWrap/>
        <w:topLinePunct w:val="0"/>
        <w:bidi w:val="0"/>
        <w:spacing w:line="380" w:lineRule="exact"/>
        <w:rPr>
          <w:rFonts w:ascii="宋体" w:hAnsi="宋体" w:cs="宋体"/>
          <w:color w:val="auto"/>
          <w:highlight w:val="none"/>
        </w:rPr>
      </w:pPr>
      <w:r>
        <w:rPr>
          <w:rFonts w:hint="eastAsia" w:ascii="宋体" w:hAnsi="宋体" w:cs="宋体"/>
          <w:color w:val="auto"/>
          <w:highlight w:val="none"/>
        </w:rPr>
        <w:t>通信地址：</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2F8EF39E">
      <w:pPr>
        <w:pStyle w:val="42"/>
        <w:keepNext w:val="0"/>
        <w:keepLines w:val="0"/>
        <w:pageBreakBefore w:val="0"/>
        <w:widowControl w:val="0"/>
        <w:wordWrap/>
        <w:topLinePunct w:val="0"/>
        <w:bidi w:val="0"/>
        <w:spacing w:line="380" w:lineRule="exact"/>
        <w:rPr>
          <w:rFonts w:ascii="宋体" w:hAnsi="宋体" w:cs="宋体"/>
          <w:color w:val="auto"/>
          <w:highlight w:val="none"/>
        </w:rPr>
      </w:pPr>
      <w:r>
        <w:rPr>
          <w:rFonts w:hint="eastAsia" w:ascii="宋体" w:hAnsi="宋体" w:cs="宋体"/>
          <w:color w:val="auto"/>
          <w:highlight w:val="none"/>
        </w:rPr>
        <w:t>1.1.3 工程和设备</w:t>
      </w:r>
    </w:p>
    <w:p w14:paraId="60D09D32">
      <w:pPr>
        <w:pStyle w:val="42"/>
        <w:keepNext w:val="0"/>
        <w:keepLines w:val="0"/>
        <w:pageBreakBefore w:val="0"/>
        <w:widowControl w:val="0"/>
        <w:wordWrap/>
        <w:topLinePunct w:val="0"/>
        <w:bidi w:val="0"/>
        <w:spacing w:line="380" w:lineRule="exact"/>
        <w:rPr>
          <w:rFonts w:ascii="宋体" w:hAnsi="宋体" w:cs="宋体"/>
          <w:color w:val="auto"/>
          <w:highlight w:val="none"/>
        </w:rPr>
      </w:pPr>
      <w:r>
        <w:rPr>
          <w:rFonts w:hint="eastAsia" w:ascii="宋体" w:hAnsi="宋体" w:cs="宋体"/>
          <w:color w:val="auto"/>
          <w:highlight w:val="none"/>
        </w:rPr>
        <w:t>1.1.3.7 作为施工现场组成部分的其他场所包括：</w:t>
      </w:r>
      <w:r>
        <w:rPr>
          <w:rFonts w:hint="eastAsia" w:ascii="宋体" w:hAnsi="宋体" w:cs="宋体"/>
          <w:color w:val="auto"/>
          <w:highlight w:val="none"/>
          <w:u w:val="single"/>
        </w:rPr>
        <w:t xml:space="preserve">  按通用条款执行</w:t>
      </w:r>
      <w:r>
        <w:rPr>
          <w:rFonts w:hint="eastAsia" w:ascii="宋体" w:hAnsi="宋体" w:cs="宋体"/>
          <w:color w:val="auto"/>
          <w:highlight w:val="none"/>
        </w:rPr>
        <w:t>。</w:t>
      </w:r>
    </w:p>
    <w:p w14:paraId="4F1BA877">
      <w:pPr>
        <w:pStyle w:val="42"/>
        <w:keepNext w:val="0"/>
        <w:keepLines w:val="0"/>
        <w:pageBreakBefore w:val="0"/>
        <w:widowControl w:val="0"/>
        <w:wordWrap/>
        <w:topLinePunct w:val="0"/>
        <w:bidi w:val="0"/>
        <w:spacing w:line="380" w:lineRule="exact"/>
        <w:rPr>
          <w:rFonts w:ascii="宋体" w:hAnsi="宋体" w:cs="宋体"/>
          <w:color w:val="auto"/>
          <w:highlight w:val="none"/>
        </w:rPr>
      </w:pPr>
      <w:r>
        <w:rPr>
          <w:rFonts w:hint="eastAsia" w:ascii="宋体" w:hAnsi="宋体" w:cs="宋体"/>
          <w:color w:val="auto"/>
          <w:highlight w:val="none"/>
        </w:rPr>
        <w:t>1.1.3.9 永久占地包括：</w:t>
      </w:r>
      <w:r>
        <w:rPr>
          <w:rFonts w:hint="eastAsia" w:ascii="宋体" w:hAnsi="宋体" w:cs="宋体"/>
          <w:color w:val="auto"/>
          <w:highlight w:val="none"/>
          <w:u w:val="single"/>
        </w:rPr>
        <w:t xml:space="preserve">  为实施工程需永久占用的土地</w:t>
      </w:r>
      <w:r>
        <w:rPr>
          <w:rFonts w:ascii="宋体" w:hAnsi="宋体" w:cs="宋体"/>
          <w:color w:val="auto"/>
          <w:highlight w:val="none"/>
          <w:u w:val="single"/>
        </w:rPr>
        <w:t></w:t>
      </w:r>
      <w:r>
        <w:rPr>
          <w:rFonts w:hint="eastAsia" w:ascii="宋体" w:hAnsi="宋体" w:cs="宋体"/>
          <w:color w:val="auto"/>
          <w:highlight w:val="none"/>
        </w:rPr>
        <w:t>。</w:t>
      </w:r>
    </w:p>
    <w:p w14:paraId="5387156F">
      <w:pPr>
        <w:pStyle w:val="42"/>
        <w:keepNext w:val="0"/>
        <w:keepLines w:val="0"/>
        <w:pageBreakBefore w:val="0"/>
        <w:widowControl w:val="0"/>
        <w:wordWrap/>
        <w:topLinePunct w:val="0"/>
        <w:bidi w:val="0"/>
        <w:spacing w:line="380" w:lineRule="exact"/>
        <w:rPr>
          <w:rFonts w:ascii="宋体" w:hAnsi="宋体" w:cs="宋体"/>
          <w:color w:val="auto"/>
          <w:highlight w:val="none"/>
        </w:rPr>
      </w:pPr>
      <w:r>
        <w:rPr>
          <w:rFonts w:hint="eastAsia" w:ascii="宋体" w:hAnsi="宋体" w:cs="宋体"/>
          <w:color w:val="auto"/>
          <w:highlight w:val="none"/>
        </w:rPr>
        <w:t>1.1.3.10 临时占地包括：</w:t>
      </w:r>
      <w:r>
        <w:rPr>
          <w:rFonts w:hint="eastAsia" w:ascii="宋体" w:hAnsi="宋体" w:cs="宋体"/>
          <w:color w:val="auto"/>
          <w:highlight w:val="none"/>
          <w:u w:val="single"/>
        </w:rPr>
        <w:t xml:space="preserve"> 为实施工程需临时占用的土地 </w:t>
      </w:r>
      <w:r>
        <w:rPr>
          <w:rFonts w:hint="eastAsia" w:ascii="宋体" w:hAnsi="宋体" w:cs="宋体"/>
          <w:color w:val="auto"/>
          <w:highlight w:val="none"/>
        </w:rPr>
        <w:t>。</w:t>
      </w:r>
    </w:p>
    <w:p w14:paraId="5E61409F">
      <w:pPr>
        <w:pStyle w:val="37"/>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704" w:name="_Toc418751791"/>
      <w:bookmarkStart w:id="705" w:name="_Toc256000174"/>
      <w:bookmarkStart w:id="706" w:name="_Toc1749"/>
      <w:bookmarkStart w:id="707" w:name="_Toc418752237"/>
      <w:bookmarkStart w:id="708" w:name="_Toc522201725"/>
      <w:bookmarkStart w:id="709" w:name="_Toc497747173"/>
      <w:bookmarkStart w:id="710" w:name="_Toc406522215"/>
      <w:bookmarkStart w:id="711" w:name="_Toc497746776"/>
      <w:r>
        <w:rPr>
          <w:rFonts w:hint="eastAsia" w:ascii="宋体" w:cs="宋体"/>
          <w:color w:val="auto"/>
          <w:highlight w:val="none"/>
        </w:rPr>
        <w:t>1.3法律</w:t>
      </w:r>
      <w:bookmarkEnd w:id="704"/>
      <w:bookmarkEnd w:id="705"/>
      <w:bookmarkEnd w:id="706"/>
      <w:bookmarkEnd w:id="707"/>
      <w:bookmarkEnd w:id="708"/>
      <w:bookmarkEnd w:id="709"/>
      <w:bookmarkEnd w:id="710"/>
      <w:bookmarkEnd w:id="711"/>
      <w:r>
        <w:rPr>
          <w:rFonts w:hint="eastAsia" w:ascii="宋体" w:cs="宋体"/>
          <w:color w:val="auto"/>
          <w:highlight w:val="none"/>
        </w:rPr>
        <w:t xml:space="preserve"> </w:t>
      </w:r>
    </w:p>
    <w:p w14:paraId="3A983780">
      <w:pPr>
        <w:pStyle w:val="42"/>
        <w:keepNext w:val="0"/>
        <w:keepLines w:val="0"/>
        <w:pageBreakBefore w:val="0"/>
        <w:widowControl w:val="0"/>
        <w:wordWrap/>
        <w:topLinePunct w:val="0"/>
        <w:bidi w:val="0"/>
        <w:spacing w:line="380" w:lineRule="exact"/>
        <w:rPr>
          <w:rFonts w:ascii="宋体" w:hAnsi="宋体" w:cs="宋体"/>
          <w:color w:val="auto"/>
          <w:highlight w:val="none"/>
        </w:rPr>
      </w:pPr>
      <w:r>
        <w:rPr>
          <w:rFonts w:hint="eastAsia" w:ascii="宋体" w:hAnsi="宋体" w:cs="宋体"/>
          <w:color w:val="auto"/>
          <w:highlight w:val="none"/>
        </w:rPr>
        <w:t>适用于合同的其他规范性文件：</w:t>
      </w:r>
      <w:r>
        <w:rPr>
          <w:rFonts w:hint="eastAsia" w:ascii="宋体" w:hAnsi="宋体" w:cs="宋体"/>
          <w:color w:val="auto"/>
          <w:highlight w:val="none"/>
          <w:u w:val="single"/>
        </w:rPr>
        <w:t>同通用条款</w:t>
      </w:r>
      <w:r>
        <w:rPr>
          <w:rFonts w:hint="eastAsia" w:ascii="宋体" w:hAnsi="宋体" w:cs="宋体"/>
          <w:color w:val="auto"/>
          <w:highlight w:val="none"/>
        </w:rPr>
        <w:t>。</w:t>
      </w:r>
    </w:p>
    <w:p w14:paraId="60A5ECC5">
      <w:pPr>
        <w:pStyle w:val="37"/>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712" w:name="_Toc497746777"/>
      <w:bookmarkStart w:id="713" w:name="_Toc522201726"/>
      <w:bookmarkStart w:id="714" w:name="_Toc497747174"/>
      <w:bookmarkStart w:id="715" w:name="_Toc418752238"/>
      <w:bookmarkStart w:id="716" w:name="_Toc256000175"/>
      <w:bookmarkStart w:id="717" w:name="_Toc406522216"/>
      <w:bookmarkStart w:id="718" w:name="_Toc531"/>
      <w:bookmarkStart w:id="719" w:name="_Toc418751792"/>
      <w:r>
        <w:rPr>
          <w:rFonts w:hint="eastAsia" w:ascii="宋体" w:cs="宋体"/>
          <w:color w:val="auto"/>
          <w:highlight w:val="none"/>
        </w:rPr>
        <w:t>1.4 标准和规范</w:t>
      </w:r>
      <w:bookmarkEnd w:id="712"/>
      <w:bookmarkEnd w:id="713"/>
      <w:bookmarkEnd w:id="714"/>
      <w:bookmarkEnd w:id="715"/>
      <w:bookmarkEnd w:id="716"/>
      <w:bookmarkEnd w:id="717"/>
      <w:bookmarkEnd w:id="718"/>
      <w:bookmarkEnd w:id="719"/>
    </w:p>
    <w:p w14:paraId="1EBC8C7D">
      <w:pPr>
        <w:pStyle w:val="42"/>
        <w:keepNext w:val="0"/>
        <w:keepLines w:val="0"/>
        <w:pageBreakBefore w:val="0"/>
        <w:widowControl w:val="0"/>
        <w:wordWrap/>
        <w:topLinePunct w:val="0"/>
        <w:bidi w:val="0"/>
        <w:spacing w:line="380" w:lineRule="exact"/>
        <w:rPr>
          <w:rFonts w:ascii="宋体" w:hAnsi="宋体" w:cs="宋体"/>
          <w:color w:val="auto"/>
          <w:highlight w:val="none"/>
        </w:rPr>
      </w:pPr>
      <w:r>
        <w:rPr>
          <w:rFonts w:hint="eastAsia" w:ascii="宋体" w:hAnsi="宋体" w:cs="宋体"/>
          <w:color w:val="auto"/>
          <w:highlight w:val="none"/>
        </w:rPr>
        <w:t>1.4.1适用于工程的标准规范包括：</w:t>
      </w:r>
      <w:r>
        <w:rPr>
          <w:rFonts w:hint="eastAsia" w:ascii="宋体" w:hAnsi="宋体" w:cs="宋体"/>
          <w:color w:val="auto"/>
          <w:highlight w:val="none"/>
          <w:u w:val="single"/>
        </w:rPr>
        <w:t>现行国家、地方、部门有关标准规范</w:t>
      </w:r>
      <w:r>
        <w:rPr>
          <w:rFonts w:hint="eastAsia" w:ascii="宋体" w:hAnsi="宋体" w:cs="宋体"/>
          <w:color w:val="auto"/>
          <w:highlight w:val="none"/>
        </w:rPr>
        <w:t>。</w:t>
      </w:r>
    </w:p>
    <w:p w14:paraId="4E310766">
      <w:pPr>
        <w:pStyle w:val="42"/>
        <w:keepNext w:val="0"/>
        <w:keepLines w:val="0"/>
        <w:pageBreakBefore w:val="0"/>
        <w:widowControl w:val="0"/>
        <w:wordWrap/>
        <w:topLinePunct w:val="0"/>
        <w:bidi w:val="0"/>
        <w:spacing w:line="380" w:lineRule="exact"/>
        <w:rPr>
          <w:rFonts w:ascii="宋体" w:hAnsi="宋体" w:cs="宋体"/>
          <w:color w:val="auto"/>
          <w:highlight w:val="none"/>
        </w:rPr>
      </w:pPr>
      <w:r>
        <w:rPr>
          <w:rFonts w:hint="eastAsia" w:ascii="宋体" w:hAnsi="宋体" w:cs="宋体"/>
          <w:color w:val="auto"/>
          <w:highlight w:val="none"/>
        </w:rPr>
        <w:t>1.4.2 发包人提供国外标准、规范的名称：</w:t>
      </w:r>
      <w:r>
        <w:rPr>
          <w:rFonts w:hint="eastAsia" w:ascii="宋体" w:hAnsi="宋体" w:cs="宋体"/>
          <w:color w:val="auto"/>
          <w:highlight w:val="none"/>
          <w:u w:val="single"/>
        </w:rPr>
        <w:t xml:space="preserve"> 无 </w:t>
      </w:r>
      <w:r>
        <w:rPr>
          <w:rFonts w:hint="eastAsia" w:ascii="宋体" w:hAnsi="宋体" w:cs="宋体"/>
          <w:color w:val="auto"/>
          <w:highlight w:val="none"/>
        </w:rPr>
        <w:t>；</w:t>
      </w:r>
    </w:p>
    <w:p w14:paraId="0B83A500">
      <w:pPr>
        <w:pStyle w:val="42"/>
        <w:keepNext w:val="0"/>
        <w:keepLines w:val="0"/>
        <w:pageBreakBefore w:val="0"/>
        <w:widowControl w:val="0"/>
        <w:wordWrap/>
        <w:topLinePunct w:val="0"/>
        <w:bidi w:val="0"/>
        <w:spacing w:line="380" w:lineRule="exact"/>
        <w:rPr>
          <w:rFonts w:ascii="宋体" w:hAnsi="宋体" w:cs="宋体"/>
          <w:color w:val="auto"/>
          <w:highlight w:val="none"/>
        </w:rPr>
      </w:pPr>
      <w:r>
        <w:rPr>
          <w:rFonts w:hint="eastAsia" w:ascii="宋体" w:hAnsi="宋体" w:cs="宋体"/>
          <w:color w:val="auto"/>
          <w:highlight w:val="none"/>
        </w:rPr>
        <w:t>发包人提供国外标准、规范的份数：</w:t>
      </w:r>
      <w:r>
        <w:rPr>
          <w:rFonts w:hint="eastAsia" w:ascii="宋体" w:hAnsi="宋体" w:cs="宋体"/>
          <w:color w:val="auto"/>
          <w:highlight w:val="none"/>
          <w:u w:val="single"/>
        </w:rPr>
        <w:t xml:space="preserve">  无 </w:t>
      </w:r>
      <w:r>
        <w:rPr>
          <w:rFonts w:hint="eastAsia" w:ascii="宋体" w:hAnsi="宋体" w:cs="宋体"/>
          <w:color w:val="auto"/>
          <w:highlight w:val="none"/>
        </w:rPr>
        <w:t>；</w:t>
      </w:r>
    </w:p>
    <w:p w14:paraId="02EB8579">
      <w:pPr>
        <w:pStyle w:val="42"/>
        <w:keepNext w:val="0"/>
        <w:keepLines w:val="0"/>
        <w:pageBreakBefore w:val="0"/>
        <w:widowControl w:val="0"/>
        <w:wordWrap/>
        <w:topLinePunct w:val="0"/>
        <w:bidi w:val="0"/>
        <w:spacing w:line="380" w:lineRule="exact"/>
        <w:rPr>
          <w:rFonts w:ascii="宋体" w:hAnsi="宋体" w:cs="宋体"/>
          <w:color w:val="auto"/>
          <w:highlight w:val="none"/>
        </w:rPr>
      </w:pPr>
      <w:r>
        <w:rPr>
          <w:rFonts w:hint="eastAsia" w:ascii="宋体" w:hAnsi="宋体" w:cs="宋体"/>
          <w:color w:val="auto"/>
          <w:highlight w:val="none"/>
        </w:rPr>
        <w:t>发包人提供国外标准、规范的名称：</w:t>
      </w:r>
      <w:r>
        <w:rPr>
          <w:rFonts w:hint="eastAsia" w:ascii="宋体" w:hAnsi="宋体" w:cs="宋体"/>
          <w:color w:val="auto"/>
          <w:highlight w:val="none"/>
          <w:u w:val="single"/>
        </w:rPr>
        <w:t xml:space="preserve"> 无 </w:t>
      </w:r>
      <w:r>
        <w:rPr>
          <w:rFonts w:hint="eastAsia" w:ascii="宋体" w:hAnsi="宋体" w:cs="宋体"/>
          <w:color w:val="auto"/>
          <w:highlight w:val="none"/>
        </w:rPr>
        <w:t>。</w:t>
      </w:r>
    </w:p>
    <w:p w14:paraId="7AA8837B">
      <w:pPr>
        <w:pStyle w:val="42"/>
        <w:keepNext w:val="0"/>
        <w:keepLines w:val="0"/>
        <w:pageBreakBefore w:val="0"/>
        <w:widowControl w:val="0"/>
        <w:wordWrap/>
        <w:topLinePunct w:val="0"/>
        <w:bidi w:val="0"/>
        <w:spacing w:line="380" w:lineRule="exact"/>
        <w:rPr>
          <w:rFonts w:ascii="宋体" w:hAnsi="宋体" w:cs="宋体"/>
          <w:color w:val="auto"/>
          <w:highlight w:val="none"/>
        </w:rPr>
      </w:pPr>
      <w:r>
        <w:rPr>
          <w:rFonts w:hint="eastAsia" w:ascii="宋体" w:hAnsi="宋体" w:cs="宋体"/>
          <w:color w:val="auto"/>
          <w:highlight w:val="none"/>
        </w:rPr>
        <w:t>1.4.3发包人对工程的技术标准和功能要求的特殊要求：</w:t>
      </w:r>
      <w:r>
        <w:rPr>
          <w:rFonts w:hint="eastAsia" w:ascii="宋体" w:hAnsi="宋体" w:cs="宋体"/>
          <w:color w:val="auto"/>
          <w:highlight w:val="none"/>
          <w:u w:val="single"/>
        </w:rPr>
        <w:t xml:space="preserve">无 </w:t>
      </w:r>
      <w:r>
        <w:rPr>
          <w:rFonts w:hint="eastAsia" w:ascii="宋体" w:hAnsi="宋体" w:cs="宋体"/>
          <w:color w:val="auto"/>
          <w:highlight w:val="none"/>
        </w:rPr>
        <w:t>。</w:t>
      </w:r>
    </w:p>
    <w:p w14:paraId="510AC833">
      <w:pPr>
        <w:pStyle w:val="37"/>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720" w:name="_Toc406522217"/>
      <w:bookmarkStart w:id="721" w:name="_Toc522201727"/>
      <w:bookmarkStart w:id="722" w:name="_Toc418751793"/>
      <w:bookmarkStart w:id="723" w:name="_Toc418752239"/>
      <w:bookmarkStart w:id="724" w:name="_Toc497746778"/>
      <w:bookmarkStart w:id="725" w:name="_Toc497747175"/>
      <w:bookmarkStart w:id="726" w:name="_Toc19412"/>
      <w:bookmarkStart w:id="727" w:name="_Toc256000176"/>
      <w:r>
        <w:rPr>
          <w:rFonts w:hint="eastAsia" w:ascii="宋体" w:cs="宋体"/>
          <w:color w:val="auto"/>
          <w:highlight w:val="none"/>
        </w:rPr>
        <w:t>1.5 合同文件的优先顺序</w:t>
      </w:r>
      <w:bookmarkEnd w:id="720"/>
      <w:bookmarkEnd w:id="721"/>
      <w:bookmarkEnd w:id="722"/>
      <w:bookmarkEnd w:id="723"/>
      <w:bookmarkEnd w:id="724"/>
      <w:bookmarkEnd w:id="725"/>
      <w:bookmarkEnd w:id="726"/>
      <w:bookmarkEnd w:id="727"/>
    </w:p>
    <w:p w14:paraId="2E80A411">
      <w:pPr>
        <w:pStyle w:val="21"/>
        <w:keepNext w:val="0"/>
        <w:keepLines w:val="0"/>
        <w:pageBreakBefore w:val="0"/>
        <w:widowControl w:val="0"/>
        <w:wordWrap/>
        <w:topLinePunct w:val="0"/>
        <w:bidi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合同文件组成及优先顺序为：</w:t>
      </w:r>
    </w:p>
    <w:p w14:paraId="4E64DD8F">
      <w:pPr>
        <w:pStyle w:val="21"/>
        <w:keepNext w:val="0"/>
        <w:keepLines w:val="0"/>
        <w:pageBreakBefore w:val="0"/>
        <w:widowControl w:val="0"/>
        <w:wordWrap/>
        <w:topLinePunct w:val="0"/>
        <w:bidi w:val="0"/>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（1）合同协议书；</w:t>
      </w:r>
    </w:p>
    <w:p w14:paraId="092BF91E">
      <w:pPr>
        <w:pStyle w:val="21"/>
        <w:keepNext w:val="0"/>
        <w:keepLines w:val="0"/>
        <w:pageBreakBefore w:val="0"/>
        <w:widowControl w:val="0"/>
        <w:wordWrap/>
        <w:topLinePunct w:val="0"/>
        <w:bidi w:val="0"/>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（2）中标</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成交</w:t>
      </w:r>
      <w:r>
        <w:rPr>
          <w:rFonts w:hint="eastAsia" w:ascii="宋体" w:hAnsi="宋体" w:cs="宋体"/>
          <w:color w:val="auto"/>
          <w:kern w:val="0"/>
          <w:sz w:val="21"/>
          <w:szCs w:val="21"/>
          <w:highlight w:val="none"/>
          <w:lang w:eastAsia="zh-CN"/>
        </w:rPr>
        <w:t>）</w:t>
      </w:r>
      <w:r>
        <w:rPr>
          <w:rFonts w:hint="eastAsia" w:ascii="宋体" w:hAnsi="宋体" w:cs="宋体"/>
          <w:color w:val="auto"/>
          <w:kern w:val="0"/>
          <w:szCs w:val="21"/>
          <w:highlight w:val="none"/>
        </w:rPr>
        <w:t>通知书（如果有）；</w:t>
      </w:r>
    </w:p>
    <w:p w14:paraId="1BC84E69">
      <w:pPr>
        <w:pStyle w:val="21"/>
        <w:keepNext w:val="0"/>
        <w:keepLines w:val="0"/>
        <w:pageBreakBefore w:val="0"/>
        <w:widowControl w:val="0"/>
        <w:wordWrap/>
        <w:topLinePunct w:val="0"/>
        <w:bidi w:val="0"/>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eastAsia="zh-CN"/>
        </w:rPr>
        <w:t>投标（响应）函</w:t>
      </w:r>
      <w:r>
        <w:rPr>
          <w:rFonts w:hint="eastAsia" w:ascii="宋体" w:hAnsi="宋体" w:cs="宋体"/>
          <w:color w:val="auto"/>
          <w:kern w:val="0"/>
          <w:szCs w:val="21"/>
          <w:highlight w:val="none"/>
        </w:rPr>
        <w:t>及其附录（如果有）；</w:t>
      </w:r>
    </w:p>
    <w:p w14:paraId="5D1B8418">
      <w:pPr>
        <w:pStyle w:val="21"/>
        <w:keepNext w:val="0"/>
        <w:keepLines w:val="0"/>
        <w:pageBreakBefore w:val="0"/>
        <w:widowControl w:val="0"/>
        <w:wordWrap/>
        <w:topLinePunct w:val="0"/>
        <w:bidi w:val="0"/>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（4）专用合同条款及其附件；</w:t>
      </w:r>
    </w:p>
    <w:p w14:paraId="63D958E9">
      <w:pPr>
        <w:pStyle w:val="21"/>
        <w:keepNext w:val="0"/>
        <w:keepLines w:val="0"/>
        <w:pageBreakBefore w:val="0"/>
        <w:widowControl w:val="0"/>
        <w:wordWrap/>
        <w:topLinePunct w:val="0"/>
        <w:bidi w:val="0"/>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（5）通用合同条款；</w:t>
      </w:r>
    </w:p>
    <w:p w14:paraId="31E2E90B">
      <w:pPr>
        <w:pStyle w:val="21"/>
        <w:keepNext w:val="0"/>
        <w:keepLines w:val="0"/>
        <w:pageBreakBefore w:val="0"/>
        <w:widowControl w:val="0"/>
        <w:wordWrap/>
        <w:topLinePunct w:val="0"/>
        <w:bidi w:val="0"/>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（6）技术标准和要求 ；</w:t>
      </w:r>
    </w:p>
    <w:p w14:paraId="73D514A8">
      <w:pPr>
        <w:pStyle w:val="21"/>
        <w:keepNext w:val="0"/>
        <w:keepLines w:val="0"/>
        <w:pageBreakBefore w:val="0"/>
        <w:widowControl w:val="0"/>
        <w:wordWrap/>
        <w:topLinePunct w:val="0"/>
        <w:bidi w:val="0"/>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（7）图纸（含图纸修改通知单及图纸设计变更文件） ；</w:t>
      </w:r>
    </w:p>
    <w:p w14:paraId="4EF09921">
      <w:pPr>
        <w:pStyle w:val="21"/>
        <w:keepNext w:val="0"/>
        <w:keepLines w:val="0"/>
        <w:pageBreakBefore w:val="0"/>
        <w:widowControl w:val="0"/>
        <w:wordWrap/>
        <w:topLinePunct w:val="0"/>
        <w:bidi w:val="0"/>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（8）已标价工程量清单 ；</w:t>
      </w:r>
    </w:p>
    <w:p w14:paraId="28534679">
      <w:pPr>
        <w:pStyle w:val="21"/>
        <w:keepNext w:val="0"/>
        <w:keepLines w:val="0"/>
        <w:pageBreakBefore w:val="0"/>
        <w:widowControl w:val="0"/>
        <w:wordWrap/>
        <w:topLinePunct w:val="0"/>
        <w:bidi w:val="0"/>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（9）其他合同文件（包括本工程预算控制价造价成果文件、招标文件等文件）；</w:t>
      </w:r>
    </w:p>
    <w:p w14:paraId="20FAB01C">
      <w:pPr>
        <w:pStyle w:val="21"/>
        <w:keepNext w:val="0"/>
        <w:keepLines w:val="0"/>
        <w:pageBreakBefore w:val="0"/>
        <w:widowControl w:val="0"/>
        <w:wordWrap/>
        <w:topLinePunct w:val="0"/>
        <w:bidi w:val="0"/>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10）《建设工程工程量清单计价规范（GB5050-2013）》及其广西实施细则及《关于建筑业实施营业税改征增值税后广西壮族自治区建设工程计价依据调整的通知》（桂建标〔2016〕17号）、《建设工程工程量清单计算规范（</w:t>
      </w:r>
      <w:r>
        <w:rPr>
          <w:rFonts w:hint="eastAsia" w:ascii="宋体" w:hAnsi="宋体" w:cs="宋体"/>
          <w:color w:val="auto"/>
          <w:kern w:val="0"/>
          <w:szCs w:val="21"/>
          <w:highlight w:val="none"/>
          <w:lang w:eastAsia="zh-CN"/>
        </w:rPr>
        <w:t>GB50854</w:t>
      </w:r>
      <w:r>
        <w:rPr>
          <w:rFonts w:hint="eastAsia" w:ascii="宋体" w:hAnsi="宋体" w:cs="宋体"/>
          <w:color w:val="auto"/>
          <w:kern w:val="0"/>
          <w:szCs w:val="21"/>
          <w:highlight w:val="none"/>
        </w:rPr>
        <w:t>～50862-2013）》及其广西实施细则（修订本）。</w:t>
      </w:r>
    </w:p>
    <w:p w14:paraId="58CBCC1B">
      <w:pPr>
        <w:pStyle w:val="37"/>
        <w:keepNext w:val="0"/>
        <w:keepLines w:val="0"/>
        <w:pageBreakBefore w:val="0"/>
        <w:widowControl w:val="0"/>
        <w:wordWrap/>
        <w:topLinePunct w:val="0"/>
        <w:bidi w:val="0"/>
        <w:spacing w:line="380" w:lineRule="exact"/>
        <w:ind w:firstLine="422" w:firstLineChars="200"/>
        <w:outlineLvl w:val="9"/>
        <w:rPr>
          <w:rFonts w:ascii="宋体" w:cs="宋体"/>
          <w:color w:val="auto"/>
          <w:kern w:val="0"/>
          <w:highlight w:val="none"/>
        </w:rPr>
      </w:pPr>
      <w:bookmarkStart w:id="728" w:name="_Toc19283"/>
      <w:bookmarkStart w:id="729" w:name="_Toc256000177"/>
      <w:bookmarkStart w:id="730" w:name="_Toc418752240"/>
      <w:bookmarkStart w:id="731" w:name="_Toc406522218"/>
      <w:bookmarkStart w:id="732" w:name="_Toc418751794"/>
      <w:bookmarkStart w:id="733" w:name="_Toc497746779"/>
      <w:bookmarkStart w:id="734" w:name="_Toc497747176"/>
      <w:bookmarkStart w:id="735" w:name="_Toc522201728"/>
      <w:r>
        <w:rPr>
          <w:rFonts w:hint="eastAsia" w:ascii="宋体" w:cs="宋体"/>
          <w:color w:val="auto"/>
          <w:kern w:val="0"/>
          <w:highlight w:val="none"/>
        </w:rPr>
        <w:t>说明：（6）、（7）、（8）、（9）填空内容分别限于技术标准和要求、图纸、已标价工程量清单或预算书、其他合同文件四者之一，其优先顺序可根据采取的不同合同方式由双方约定。</w:t>
      </w:r>
      <w:bookmarkEnd w:id="728"/>
      <w:bookmarkEnd w:id="729"/>
    </w:p>
    <w:p w14:paraId="706AAF7A">
      <w:pPr>
        <w:pStyle w:val="37"/>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736" w:name="_Toc256000178"/>
      <w:bookmarkStart w:id="737" w:name="_Toc18690"/>
      <w:r>
        <w:rPr>
          <w:rFonts w:hint="eastAsia" w:ascii="宋体" w:cs="宋体"/>
          <w:color w:val="auto"/>
          <w:highlight w:val="none"/>
        </w:rPr>
        <w:t>1.6 图纸和承包人文件</w:t>
      </w:r>
      <w:bookmarkEnd w:id="730"/>
      <w:bookmarkEnd w:id="731"/>
      <w:bookmarkEnd w:id="732"/>
      <w:bookmarkEnd w:id="733"/>
      <w:bookmarkEnd w:id="734"/>
      <w:bookmarkEnd w:id="735"/>
      <w:bookmarkEnd w:id="736"/>
      <w:bookmarkEnd w:id="737"/>
      <w:r>
        <w:rPr>
          <w:rFonts w:hint="eastAsia" w:ascii="宋体" w:cs="宋体"/>
          <w:color w:val="auto"/>
          <w:highlight w:val="none"/>
        </w:rPr>
        <w:tab/>
      </w:r>
    </w:p>
    <w:p w14:paraId="0BC865E7">
      <w:pPr>
        <w:pStyle w:val="42"/>
        <w:keepNext w:val="0"/>
        <w:keepLines w:val="0"/>
        <w:pageBreakBefore w:val="0"/>
        <w:widowControl w:val="0"/>
        <w:wordWrap/>
        <w:topLinePunct w:val="0"/>
        <w:bidi w:val="0"/>
        <w:spacing w:line="380" w:lineRule="exact"/>
        <w:rPr>
          <w:rFonts w:ascii="宋体" w:hAnsi="宋体" w:cs="宋体"/>
          <w:color w:val="auto"/>
          <w:highlight w:val="none"/>
        </w:rPr>
      </w:pPr>
      <w:r>
        <w:rPr>
          <w:rFonts w:hint="eastAsia" w:ascii="宋体" w:hAnsi="宋体" w:cs="宋体"/>
          <w:color w:val="auto"/>
          <w:highlight w:val="none"/>
        </w:rPr>
        <w:t>1.6.1 图纸的提供</w:t>
      </w:r>
    </w:p>
    <w:p w14:paraId="66A97358">
      <w:pPr>
        <w:pStyle w:val="21"/>
        <w:keepNext w:val="0"/>
        <w:keepLines w:val="0"/>
        <w:pageBreakBefore w:val="0"/>
        <w:widowControl w:val="0"/>
        <w:wordWrap/>
        <w:topLinePunct w:val="0"/>
        <w:bidi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发包人向承包人提供图纸的期限：</w:t>
      </w:r>
      <w:r>
        <w:rPr>
          <w:rFonts w:hint="eastAsia" w:ascii="宋体" w:hAnsi="宋体" w:cs="宋体"/>
          <w:color w:val="auto"/>
          <w:szCs w:val="21"/>
          <w:highlight w:val="none"/>
          <w:u w:val="single"/>
        </w:rPr>
        <w:t>合同签订生效后7天内</w:t>
      </w:r>
      <w:r>
        <w:rPr>
          <w:rFonts w:hint="eastAsia" w:ascii="宋体" w:hAnsi="宋体" w:cs="宋体"/>
          <w:color w:val="auto"/>
          <w:szCs w:val="21"/>
          <w:highlight w:val="none"/>
        </w:rPr>
        <w:t>；</w:t>
      </w:r>
    </w:p>
    <w:p w14:paraId="7595CDD9">
      <w:pPr>
        <w:pStyle w:val="21"/>
        <w:keepNext w:val="0"/>
        <w:keepLines w:val="0"/>
        <w:pageBreakBefore w:val="0"/>
        <w:widowControl w:val="0"/>
        <w:wordWrap/>
        <w:topLinePunct w:val="0"/>
        <w:bidi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发包人向承包人提供图纸的数量：</w:t>
      </w:r>
      <w:r>
        <w:rPr>
          <w:rFonts w:hint="eastAsia" w:ascii="宋体" w:hAnsi="宋体" w:cs="宋体"/>
          <w:color w:val="auto"/>
          <w:szCs w:val="21"/>
          <w:highlight w:val="none"/>
          <w:u w:val="single"/>
        </w:rPr>
        <w:t>贰份，上述图纸及技术资料，未经监理工程师和发包人同意，承包人不得提供给与本工程无关的第三方。承包人需要增加图纸套数的，承包人自行复制，复制费用由承包人承担。</w:t>
      </w:r>
    </w:p>
    <w:p w14:paraId="3D04DE36">
      <w:pPr>
        <w:pStyle w:val="21"/>
        <w:keepNext w:val="0"/>
        <w:keepLines w:val="0"/>
        <w:pageBreakBefore w:val="0"/>
        <w:widowControl w:val="0"/>
        <w:wordWrap/>
        <w:topLinePunct w:val="0"/>
        <w:bidi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发包人向承包人提供图纸的内容：</w:t>
      </w:r>
      <w:r>
        <w:rPr>
          <w:rFonts w:hint="eastAsia" w:ascii="宋体" w:hAnsi="宋体" w:cs="宋体"/>
          <w:color w:val="auto"/>
          <w:kern w:val="0"/>
          <w:szCs w:val="21"/>
          <w:highlight w:val="none"/>
          <w:u w:val="single"/>
        </w:rPr>
        <w:t>经备案的全套施工图纸和其他技术资料</w:t>
      </w:r>
      <w:r>
        <w:rPr>
          <w:rFonts w:hint="eastAsia" w:ascii="宋体" w:hAnsi="宋体" w:cs="宋体"/>
          <w:color w:val="auto"/>
          <w:szCs w:val="21"/>
          <w:highlight w:val="none"/>
        </w:rPr>
        <w:t>。</w:t>
      </w:r>
    </w:p>
    <w:p w14:paraId="7FBE35D2">
      <w:pPr>
        <w:pStyle w:val="21"/>
        <w:keepNext w:val="0"/>
        <w:keepLines w:val="0"/>
        <w:pageBreakBefore w:val="0"/>
        <w:widowControl w:val="0"/>
        <w:wordWrap/>
        <w:topLinePunct w:val="0"/>
        <w:bidi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1.6.4 承包人文件</w:t>
      </w:r>
    </w:p>
    <w:p w14:paraId="2EA2525A">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需要由承包人提供的文件，包括：</w:t>
      </w:r>
      <w:r>
        <w:rPr>
          <w:rFonts w:hint="eastAsia" w:ascii="宋体" w:hAnsi="宋体" w:cs="宋体"/>
          <w:color w:val="auto"/>
          <w:szCs w:val="21"/>
          <w:highlight w:val="none"/>
          <w:u w:val="single"/>
        </w:rPr>
        <w:t>1、施工组织设计；2、工程进度计划；3、管理人员名单、职称、职务、上岗证等；4、安全文明施工措施；5、质量保证体系；6、每月25日前提供当月施工统计报表和下月进度计划各一份交监理工程师及发包人；7</w:t>
      </w:r>
      <w:r>
        <w:rPr>
          <w:rFonts w:hint="eastAsia" w:ascii="宋体" w:hAnsi="宋体" w:cs="宋体"/>
          <w:color w:val="auto"/>
          <w:szCs w:val="21"/>
          <w:highlight w:val="none"/>
          <w:u w:val="single"/>
          <w:lang w:val="zh-CN"/>
        </w:rPr>
        <w:t>、</w:t>
      </w:r>
      <w:r>
        <w:rPr>
          <w:rFonts w:hint="eastAsia" w:ascii="宋体" w:hAnsi="宋体" w:cs="宋体"/>
          <w:color w:val="auto"/>
          <w:szCs w:val="21"/>
          <w:highlight w:val="none"/>
          <w:u w:val="single"/>
        </w:rPr>
        <w:t>施工图以外的大样图、加工图、标准图、以及建筑装饰深化设计图纸设计优化建议等。但设计成果文件需经原设计单位审核及认可。最终设计成果归发包人所有。</w:t>
      </w:r>
    </w:p>
    <w:p w14:paraId="5015B026">
      <w:pPr>
        <w:pStyle w:val="21"/>
        <w:keepNext w:val="0"/>
        <w:keepLines w:val="0"/>
        <w:pageBreakBefore w:val="0"/>
        <w:widowControl w:val="0"/>
        <w:wordWrap/>
        <w:topLinePunct w:val="0"/>
        <w:bidi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承包人提供的文件的期限为：</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u w:val="single"/>
        </w:rPr>
        <w:t xml:space="preserve">开始施工前7天内  </w:t>
      </w:r>
      <w:r>
        <w:rPr>
          <w:rFonts w:hint="eastAsia" w:ascii="宋体" w:hAnsi="宋体" w:cs="宋体"/>
          <w:color w:val="auto"/>
          <w:szCs w:val="21"/>
          <w:highlight w:val="none"/>
        </w:rPr>
        <w:t>；</w:t>
      </w:r>
    </w:p>
    <w:p w14:paraId="0A9F6120">
      <w:pPr>
        <w:pStyle w:val="21"/>
        <w:keepNext w:val="0"/>
        <w:keepLines w:val="0"/>
        <w:pageBreakBefore w:val="0"/>
        <w:widowControl w:val="0"/>
        <w:wordWrap/>
        <w:topLinePunct w:val="0"/>
        <w:bidi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承包人提供的文件的数量为：</w:t>
      </w:r>
      <w:r>
        <w:rPr>
          <w:rFonts w:hint="eastAsia" w:ascii="宋体" w:hAnsi="宋体" w:cs="宋体"/>
          <w:color w:val="auto"/>
          <w:szCs w:val="21"/>
          <w:highlight w:val="none"/>
          <w:u w:val="single"/>
        </w:rPr>
        <w:t xml:space="preserve">  6</w:t>
      </w:r>
      <w:r>
        <w:rPr>
          <w:rFonts w:hint="eastAsia" w:ascii="宋体" w:hAnsi="宋体" w:cs="宋体"/>
          <w:color w:val="auto"/>
          <w:kern w:val="0"/>
          <w:szCs w:val="21"/>
          <w:highlight w:val="none"/>
          <w:u w:val="single"/>
        </w:rPr>
        <w:t>份</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209AC42">
      <w:pPr>
        <w:pStyle w:val="21"/>
        <w:keepNext w:val="0"/>
        <w:keepLines w:val="0"/>
        <w:pageBreakBefore w:val="0"/>
        <w:widowControl w:val="0"/>
        <w:wordWrap/>
        <w:topLinePunct w:val="0"/>
        <w:bidi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承包人提供的文件的形式为：</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u w:val="single"/>
        </w:rPr>
        <w:t>纸质版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9B46B0D">
      <w:pPr>
        <w:pStyle w:val="42"/>
        <w:keepNext w:val="0"/>
        <w:keepLines w:val="0"/>
        <w:pageBreakBefore w:val="0"/>
        <w:widowControl w:val="0"/>
        <w:wordWrap/>
        <w:topLinePunct w:val="0"/>
        <w:bidi w:val="0"/>
        <w:spacing w:line="380" w:lineRule="exact"/>
        <w:rPr>
          <w:rFonts w:ascii="宋体" w:hAnsi="宋体" w:cs="宋体"/>
          <w:color w:val="auto"/>
          <w:highlight w:val="none"/>
        </w:rPr>
      </w:pPr>
      <w:r>
        <w:rPr>
          <w:rFonts w:hint="eastAsia" w:ascii="宋体" w:hAnsi="宋体" w:cs="宋体"/>
          <w:color w:val="auto"/>
          <w:highlight w:val="none"/>
        </w:rPr>
        <w:t>发包人审批承包人文件的期限：</w:t>
      </w:r>
      <w:r>
        <w:rPr>
          <w:rFonts w:hint="eastAsia" w:ascii="宋体" w:hAnsi="宋体" w:cs="宋体"/>
          <w:color w:val="auto"/>
          <w:highlight w:val="none"/>
          <w:u w:val="single"/>
        </w:rPr>
        <w:t xml:space="preserve"> 收到承包人提供的文件后七天内 </w:t>
      </w:r>
      <w:r>
        <w:rPr>
          <w:rFonts w:hint="eastAsia" w:ascii="宋体" w:hAnsi="宋体" w:cs="宋体"/>
          <w:color w:val="auto"/>
          <w:highlight w:val="none"/>
        </w:rPr>
        <w:t>。</w:t>
      </w:r>
    </w:p>
    <w:p w14:paraId="7D48ED40">
      <w:pPr>
        <w:pStyle w:val="42"/>
        <w:keepNext w:val="0"/>
        <w:keepLines w:val="0"/>
        <w:pageBreakBefore w:val="0"/>
        <w:widowControl w:val="0"/>
        <w:wordWrap/>
        <w:topLinePunct w:val="0"/>
        <w:bidi w:val="0"/>
        <w:spacing w:line="380" w:lineRule="exact"/>
        <w:rPr>
          <w:rFonts w:ascii="宋体" w:hAnsi="宋体" w:cs="宋体"/>
          <w:color w:val="auto"/>
          <w:highlight w:val="none"/>
        </w:rPr>
      </w:pPr>
      <w:r>
        <w:rPr>
          <w:rFonts w:hint="eastAsia" w:ascii="宋体" w:hAnsi="宋体" w:cs="宋体"/>
          <w:color w:val="auto"/>
          <w:highlight w:val="none"/>
        </w:rPr>
        <w:t>1.6.5 现场图纸准备</w:t>
      </w:r>
    </w:p>
    <w:p w14:paraId="018FB1D3">
      <w:pPr>
        <w:pStyle w:val="42"/>
        <w:keepNext w:val="0"/>
        <w:keepLines w:val="0"/>
        <w:pageBreakBefore w:val="0"/>
        <w:widowControl w:val="0"/>
        <w:wordWrap/>
        <w:topLinePunct w:val="0"/>
        <w:bidi w:val="0"/>
        <w:spacing w:line="380" w:lineRule="exact"/>
        <w:rPr>
          <w:rFonts w:ascii="宋体" w:hAnsi="宋体" w:cs="宋体"/>
          <w:color w:val="auto"/>
          <w:highlight w:val="none"/>
        </w:rPr>
      </w:pPr>
      <w:r>
        <w:rPr>
          <w:rFonts w:hint="eastAsia" w:ascii="宋体" w:hAnsi="宋体" w:cs="宋体"/>
          <w:color w:val="auto"/>
          <w:highlight w:val="none"/>
        </w:rPr>
        <w:t>关于现场图纸准备的约定：</w:t>
      </w:r>
      <w:r>
        <w:rPr>
          <w:rFonts w:hint="eastAsia" w:ascii="宋体" w:hAnsi="宋体" w:cs="宋体"/>
          <w:color w:val="auto"/>
          <w:highlight w:val="none"/>
          <w:u w:val="single"/>
        </w:rPr>
        <w:t xml:space="preserve">  按通用条款执行</w:t>
      </w:r>
      <w:r>
        <w:rPr>
          <w:rFonts w:hint="eastAsia" w:ascii="宋体" w:hAnsi="宋体" w:cs="宋体"/>
          <w:color w:val="auto"/>
          <w:highlight w:val="none"/>
        </w:rPr>
        <w:t>。</w:t>
      </w:r>
    </w:p>
    <w:p w14:paraId="1BD383CE">
      <w:pPr>
        <w:pStyle w:val="37"/>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738" w:name="_Toc497747177"/>
      <w:bookmarkStart w:id="739" w:name="_Toc418752241"/>
      <w:bookmarkStart w:id="740" w:name="_Toc418751795"/>
      <w:bookmarkStart w:id="741" w:name="_Toc256000179"/>
      <w:bookmarkStart w:id="742" w:name="_Toc25636"/>
      <w:bookmarkStart w:id="743" w:name="_Toc522201729"/>
      <w:bookmarkStart w:id="744" w:name="_Toc406522219"/>
      <w:bookmarkStart w:id="745" w:name="_Toc497746780"/>
      <w:r>
        <w:rPr>
          <w:rFonts w:hint="eastAsia" w:ascii="宋体" w:cs="宋体"/>
          <w:color w:val="auto"/>
          <w:highlight w:val="none"/>
        </w:rPr>
        <w:t>1.7 联络</w:t>
      </w:r>
      <w:bookmarkEnd w:id="738"/>
      <w:bookmarkEnd w:id="739"/>
      <w:bookmarkEnd w:id="740"/>
      <w:bookmarkEnd w:id="741"/>
      <w:bookmarkEnd w:id="742"/>
      <w:bookmarkEnd w:id="743"/>
      <w:bookmarkEnd w:id="744"/>
      <w:bookmarkEnd w:id="745"/>
    </w:p>
    <w:p w14:paraId="21293A3F">
      <w:pPr>
        <w:pStyle w:val="42"/>
        <w:keepNext w:val="0"/>
        <w:keepLines w:val="0"/>
        <w:pageBreakBefore w:val="0"/>
        <w:widowControl w:val="0"/>
        <w:wordWrap/>
        <w:topLinePunct w:val="0"/>
        <w:bidi w:val="0"/>
        <w:spacing w:line="380" w:lineRule="exact"/>
        <w:rPr>
          <w:rFonts w:ascii="宋体" w:hAnsi="宋体" w:cs="宋体"/>
          <w:color w:val="auto"/>
          <w:highlight w:val="none"/>
        </w:rPr>
      </w:pPr>
      <w:r>
        <w:rPr>
          <w:rFonts w:hint="eastAsia" w:ascii="宋体" w:hAnsi="宋体" w:cs="宋体"/>
          <w:color w:val="auto"/>
          <w:highlight w:val="none"/>
        </w:rPr>
        <w:t>1.7.1发包人和承包人应当在</w:t>
      </w:r>
      <w:r>
        <w:rPr>
          <w:rFonts w:hint="eastAsia" w:ascii="宋体" w:hAnsi="宋体" w:cs="宋体"/>
          <w:color w:val="auto"/>
          <w:highlight w:val="none"/>
          <w:u w:val="single"/>
        </w:rPr>
        <w:t xml:space="preserve">  7 </w:t>
      </w:r>
      <w:r>
        <w:rPr>
          <w:rFonts w:hint="eastAsia" w:ascii="宋体" w:hAnsi="宋体" w:cs="宋体"/>
          <w:color w:val="auto"/>
          <w:highlight w:val="none"/>
        </w:rPr>
        <w:t>天内将与合同有关的通知、批准、证明、证书、指示、指令、要求、请求、同意、意见、确定和决定等书面函件送达对方当事人。</w:t>
      </w:r>
    </w:p>
    <w:p w14:paraId="734FC771">
      <w:pPr>
        <w:pStyle w:val="21"/>
        <w:keepNext w:val="0"/>
        <w:keepLines w:val="0"/>
        <w:pageBreakBefore w:val="0"/>
        <w:widowControl w:val="0"/>
        <w:wordWrap/>
        <w:topLinePunct w:val="0"/>
        <w:bidi w:val="0"/>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1.7.2发包人接收文件的地点：</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w:t>
      </w:r>
    </w:p>
    <w:p w14:paraId="49F21640">
      <w:pPr>
        <w:pStyle w:val="21"/>
        <w:keepNext w:val="0"/>
        <w:keepLines w:val="0"/>
        <w:pageBreakBefore w:val="0"/>
        <w:widowControl w:val="0"/>
        <w:wordWrap/>
        <w:topLinePunct w:val="0"/>
        <w:bidi w:val="0"/>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发包人指定的接收人为：</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0C824236">
      <w:pPr>
        <w:pStyle w:val="21"/>
        <w:keepNext w:val="0"/>
        <w:keepLines w:val="0"/>
        <w:pageBreakBefore w:val="0"/>
        <w:widowControl w:val="0"/>
        <w:wordWrap/>
        <w:topLinePunct w:val="0"/>
        <w:bidi w:val="0"/>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承包人接收文件的地点：</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u w:val="single"/>
        </w:rPr>
        <w:t>施工现场项目部</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w:t>
      </w:r>
    </w:p>
    <w:p w14:paraId="2F2E49D4">
      <w:pPr>
        <w:pStyle w:val="21"/>
        <w:keepNext w:val="0"/>
        <w:keepLines w:val="0"/>
        <w:pageBreakBefore w:val="0"/>
        <w:widowControl w:val="0"/>
        <w:wordWrap/>
        <w:topLinePunct w:val="0"/>
        <w:bidi w:val="0"/>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承包人指定的接收人为：</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w:t>
      </w:r>
    </w:p>
    <w:p w14:paraId="18B2EC06">
      <w:pPr>
        <w:pStyle w:val="21"/>
        <w:keepNext w:val="0"/>
        <w:keepLines w:val="0"/>
        <w:pageBreakBefore w:val="0"/>
        <w:widowControl w:val="0"/>
        <w:wordWrap/>
        <w:topLinePunct w:val="0"/>
        <w:bidi w:val="0"/>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监理人接收文件的地点：</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w:t>
      </w:r>
    </w:p>
    <w:p w14:paraId="347657A5">
      <w:pPr>
        <w:pStyle w:val="42"/>
        <w:keepNext w:val="0"/>
        <w:keepLines w:val="0"/>
        <w:pageBreakBefore w:val="0"/>
        <w:widowControl w:val="0"/>
        <w:wordWrap/>
        <w:topLinePunct w:val="0"/>
        <w:bidi w:val="0"/>
        <w:spacing w:line="380" w:lineRule="exact"/>
        <w:rPr>
          <w:rFonts w:ascii="宋体" w:hAnsi="宋体" w:cs="宋体"/>
          <w:color w:val="auto"/>
          <w:highlight w:val="none"/>
        </w:rPr>
      </w:pPr>
      <w:r>
        <w:rPr>
          <w:rFonts w:hint="eastAsia" w:ascii="宋体" w:hAnsi="宋体" w:cs="宋体"/>
          <w:color w:val="auto"/>
          <w:highlight w:val="none"/>
        </w:rPr>
        <w:t>监理人指定的接收人为：</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74F7F9CC">
      <w:pPr>
        <w:pStyle w:val="37"/>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746" w:name="_Toc406522220"/>
      <w:bookmarkStart w:id="747" w:name="_Toc522201730"/>
      <w:bookmarkStart w:id="748" w:name="_Toc31771"/>
      <w:bookmarkStart w:id="749" w:name="_Toc418752242"/>
      <w:bookmarkStart w:id="750" w:name="_Toc497746781"/>
      <w:bookmarkStart w:id="751" w:name="_Toc256000180"/>
      <w:bookmarkStart w:id="752" w:name="_Toc497747178"/>
      <w:bookmarkStart w:id="753" w:name="_Toc418751796"/>
      <w:r>
        <w:rPr>
          <w:rFonts w:hint="eastAsia" w:ascii="宋体" w:cs="宋体"/>
          <w:color w:val="auto"/>
          <w:highlight w:val="none"/>
        </w:rPr>
        <w:t>1.10 交通运输</w:t>
      </w:r>
      <w:bookmarkEnd w:id="746"/>
      <w:bookmarkEnd w:id="747"/>
      <w:bookmarkEnd w:id="748"/>
      <w:bookmarkEnd w:id="749"/>
      <w:bookmarkEnd w:id="750"/>
      <w:bookmarkEnd w:id="751"/>
      <w:bookmarkEnd w:id="752"/>
      <w:bookmarkEnd w:id="753"/>
    </w:p>
    <w:p w14:paraId="0A926211">
      <w:pPr>
        <w:pStyle w:val="42"/>
        <w:keepNext w:val="0"/>
        <w:keepLines w:val="0"/>
        <w:pageBreakBefore w:val="0"/>
        <w:widowControl w:val="0"/>
        <w:wordWrap/>
        <w:topLinePunct w:val="0"/>
        <w:bidi w:val="0"/>
        <w:spacing w:line="380" w:lineRule="exact"/>
        <w:rPr>
          <w:rFonts w:ascii="宋体" w:hAnsi="宋体" w:cs="宋体"/>
          <w:color w:val="auto"/>
          <w:highlight w:val="none"/>
        </w:rPr>
      </w:pPr>
      <w:r>
        <w:rPr>
          <w:rFonts w:hint="eastAsia" w:ascii="宋体" w:hAnsi="宋体" w:cs="宋体"/>
          <w:color w:val="auto"/>
          <w:highlight w:val="none"/>
        </w:rPr>
        <w:t>1</w:t>
      </w:r>
      <w:bookmarkStart w:id="754" w:name="_Toc318581155"/>
      <w:bookmarkStart w:id="755" w:name="_Toc304295521"/>
      <w:bookmarkStart w:id="756" w:name="_Toc303539100"/>
      <w:bookmarkStart w:id="757" w:name="_Toc312677986"/>
      <w:bookmarkStart w:id="758" w:name="_Toc300934943"/>
      <w:r>
        <w:rPr>
          <w:rFonts w:hint="eastAsia" w:ascii="宋体" w:hAnsi="宋体" w:cs="宋体"/>
          <w:color w:val="auto"/>
          <w:highlight w:val="none"/>
        </w:rPr>
        <w:t>.10.1 出入现场的权利</w:t>
      </w:r>
    </w:p>
    <w:p w14:paraId="3B573D41">
      <w:pPr>
        <w:pStyle w:val="42"/>
        <w:keepNext w:val="0"/>
        <w:keepLines w:val="0"/>
        <w:pageBreakBefore w:val="0"/>
        <w:widowControl w:val="0"/>
        <w:wordWrap/>
        <w:topLinePunct w:val="0"/>
        <w:bidi w:val="0"/>
        <w:spacing w:line="380" w:lineRule="exact"/>
        <w:rPr>
          <w:rFonts w:ascii="宋体" w:hAnsi="宋体" w:cs="宋体"/>
          <w:color w:val="auto"/>
          <w:highlight w:val="none"/>
        </w:rPr>
      </w:pPr>
      <w:r>
        <w:rPr>
          <w:rFonts w:hint="eastAsia" w:ascii="宋体" w:hAnsi="宋体" w:cs="宋体"/>
          <w:color w:val="auto"/>
          <w:highlight w:val="none"/>
        </w:rPr>
        <w:t>关于出入现场的权利的约定：</w:t>
      </w:r>
      <w:r>
        <w:rPr>
          <w:rFonts w:hint="eastAsia" w:ascii="宋体" w:hAnsi="宋体" w:cs="宋体"/>
          <w:color w:val="auto"/>
          <w:highlight w:val="none"/>
          <w:u w:val="single"/>
        </w:rPr>
        <w:t xml:space="preserve"> 除正常施工涉及的人员及车辆外，其他人员及车辆进出场内须经过发包人同意，且由承包人进行管理登记 </w:t>
      </w:r>
      <w:r>
        <w:rPr>
          <w:rFonts w:hint="eastAsia" w:ascii="宋体" w:hAnsi="宋体" w:cs="宋体"/>
          <w:color w:val="auto"/>
          <w:highlight w:val="none"/>
        </w:rPr>
        <w:t>。</w:t>
      </w:r>
    </w:p>
    <w:bookmarkEnd w:id="754"/>
    <w:bookmarkEnd w:id="755"/>
    <w:bookmarkEnd w:id="756"/>
    <w:bookmarkEnd w:id="757"/>
    <w:bookmarkEnd w:id="758"/>
    <w:p w14:paraId="24271B99">
      <w:pPr>
        <w:pStyle w:val="42"/>
        <w:keepNext w:val="0"/>
        <w:keepLines w:val="0"/>
        <w:pageBreakBefore w:val="0"/>
        <w:widowControl w:val="0"/>
        <w:wordWrap/>
        <w:topLinePunct w:val="0"/>
        <w:bidi w:val="0"/>
        <w:spacing w:line="380" w:lineRule="exact"/>
        <w:rPr>
          <w:rFonts w:ascii="宋体" w:hAnsi="宋体" w:cs="宋体"/>
          <w:color w:val="auto"/>
          <w:highlight w:val="none"/>
        </w:rPr>
      </w:pPr>
      <w:r>
        <w:rPr>
          <w:rFonts w:hint="eastAsia" w:ascii="宋体" w:hAnsi="宋体" w:cs="宋体"/>
          <w:color w:val="auto"/>
          <w:highlight w:val="none"/>
        </w:rPr>
        <w:t>1</w:t>
      </w:r>
      <w:bookmarkStart w:id="759" w:name="_Toc318581156"/>
      <w:bookmarkStart w:id="760" w:name="_Toc303539101"/>
      <w:bookmarkStart w:id="761" w:name="_Toc300934944"/>
      <w:bookmarkStart w:id="762" w:name="_Toc312677987"/>
      <w:bookmarkStart w:id="763" w:name="_Toc304295522"/>
      <w:r>
        <w:rPr>
          <w:rFonts w:hint="eastAsia" w:ascii="宋体" w:hAnsi="宋体" w:cs="宋体"/>
          <w:color w:val="auto"/>
          <w:highlight w:val="none"/>
        </w:rPr>
        <w:t>.10.3 场内交通</w:t>
      </w:r>
    </w:p>
    <w:p w14:paraId="00DCFE5B">
      <w:pPr>
        <w:pStyle w:val="42"/>
        <w:keepNext w:val="0"/>
        <w:keepLines w:val="0"/>
        <w:pageBreakBefore w:val="0"/>
        <w:widowControl w:val="0"/>
        <w:wordWrap/>
        <w:topLinePunct w:val="0"/>
        <w:bidi w:val="0"/>
        <w:spacing w:line="380" w:lineRule="exact"/>
        <w:rPr>
          <w:rFonts w:ascii="宋体" w:hAnsi="宋体" w:cs="宋体"/>
          <w:color w:val="auto"/>
          <w:highlight w:val="none"/>
        </w:rPr>
      </w:pPr>
      <w:r>
        <w:rPr>
          <w:rFonts w:hint="eastAsia" w:ascii="宋体" w:hAnsi="宋体" w:cs="宋体"/>
          <w:color w:val="auto"/>
          <w:highlight w:val="none"/>
        </w:rPr>
        <w:t>关于场外交通和场内交通的边界的约定：</w:t>
      </w:r>
      <w:r>
        <w:rPr>
          <w:rFonts w:hint="eastAsia" w:ascii="宋体" w:hAnsi="宋体" w:cs="宋体"/>
          <w:color w:val="auto"/>
          <w:highlight w:val="none"/>
          <w:u w:val="single"/>
        </w:rPr>
        <w:t xml:space="preserve">  规划批复总平用地红线  </w:t>
      </w:r>
      <w:r>
        <w:rPr>
          <w:rFonts w:hint="eastAsia" w:ascii="宋体" w:hAnsi="宋体" w:cs="宋体"/>
          <w:color w:val="auto"/>
          <w:highlight w:val="none"/>
        </w:rPr>
        <w:t>。</w:t>
      </w:r>
    </w:p>
    <w:p w14:paraId="59145111">
      <w:pPr>
        <w:pStyle w:val="42"/>
        <w:keepNext w:val="0"/>
        <w:keepLines w:val="0"/>
        <w:pageBreakBefore w:val="0"/>
        <w:widowControl w:val="0"/>
        <w:wordWrap/>
        <w:topLinePunct w:val="0"/>
        <w:bidi w:val="0"/>
        <w:spacing w:line="380" w:lineRule="exact"/>
        <w:rPr>
          <w:rFonts w:ascii="宋体" w:hAnsi="宋体" w:cs="宋体"/>
          <w:color w:val="auto"/>
          <w:highlight w:val="none"/>
        </w:rPr>
      </w:pPr>
      <w:r>
        <w:rPr>
          <w:rFonts w:hint="eastAsia" w:ascii="宋体" w:hAnsi="宋体" w:cs="宋体"/>
          <w:color w:val="auto"/>
          <w:highlight w:val="none"/>
        </w:rPr>
        <w:t>关于发包人向承包人免费提供满足工程施工需要的场内道路和交通设施的约定：</w:t>
      </w:r>
      <w:r>
        <w:rPr>
          <w:rFonts w:hint="eastAsia" w:ascii="宋体" w:hAnsi="宋体" w:cs="宋体"/>
          <w:color w:val="auto"/>
          <w:highlight w:val="none"/>
          <w:u w:val="single"/>
        </w:rPr>
        <w:t>承包人负责场内道路和交通设施的修建并承担相应费用</w:t>
      </w:r>
      <w:r>
        <w:rPr>
          <w:rFonts w:hint="eastAsia" w:ascii="宋体" w:hAnsi="宋体" w:cs="宋体"/>
          <w:color w:val="auto"/>
          <w:highlight w:val="none"/>
        </w:rPr>
        <w:t>。</w:t>
      </w:r>
      <w:bookmarkEnd w:id="759"/>
      <w:bookmarkEnd w:id="760"/>
      <w:bookmarkEnd w:id="761"/>
      <w:bookmarkEnd w:id="762"/>
      <w:bookmarkEnd w:id="763"/>
      <w:r>
        <w:rPr>
          <w:rFonts w:hint="eastAsia" w:ascii="宋体" w:hAnsi="宋体" w:cs="宋体"/>
          <w:color w:val="auto"/>
          <w:highlight w:val="none"/>
        </w:rPr>
        <w:t xml:space="preserve">  </w:t>
      </w:r>
      <w:bookmarkStart w:id="764" w:name="_Toc318581157"/>
    </w:p>
    <w:p w14:paraId="3F16037F">
      <w:pPr>
        <w:pStyle w:val="42"/>
        <w:keepNext w:val="0"/>
        <w:keepLines w:val="0"/>
        <w:pageBreakBefore w:val="0"/>
        <w:widowControl w:val="0"/>
        <w:wordWrap/>
        <w:topLinePunct w:val="0"/>
        <w:bidi w:val="0"/>
        <w:spacing w:line="380" w:lineRule="exact"/>
        <w:rPr>
          <w:rFonts w:ascii="宋体" w:hAnsi="宋体" w:cs="宋体"/>
          <w:color w:val="auto"/>
          <w:highlight w:val="none"/>
        </w:rPr>
      </w:pPr>
      <w:r>
        <w:rPr>
          <w:rFonts w:hint="eastAsia" w:ascii="宋体" w:hAnsi="宋体" w:cs="宋体"/>
          <w:color w:val="auto"/>
          <w:highlight w:val="none"/>
        </w:rPr>
        <w:t>1.10.4超大件和超重件的运输</w:t>
      </w:r>
    </w:p>
    <w:p w14:paraId="24D5B76C">
      <w:pPr>
        <w:pStyle w:val="42"/>
        <w:keepNext w:val="0"/>
        <w:keepLines w:val="0"/>
        <w:pageBreakBefore w:val="0"/>
        <w:widowControl w:val="0"/>
        <w:wordWrap/>
        <w:topLinePunct w:val="0"/>
        <w:bidi w:val="0"/>
        <w:spacing w:line="380" w:lineRule="exact"/>
        <w:rPr>
          <w:rFonts w:ascii="宋体" w:hAnsi="宋体" w:cs="宋体"/>
          <w:color w:val="auto"/>
          <w:highlight w:val="none"/>
        </w:rPr>
      </w:pPr>
      <w:r>
        <w:rPr>
          <w:rFonts w:hint="eastAsia" w:ascii="宋体" w:hAnsi="宋体" w:cs="宋体"/>
          <w:color w:val="auto"/>
          <w:highlight w:val="none"/>
        </w:rPr>
        <w:t>运输超大件或超重件所需的道路和桥梁临时加固改造费用和其他有关费用由</w:t>
      </w:r>
      <w:r>
        <w:rPr>
          <w:rFonts w:hint="eastAsia" w:ascii="宋体" w:hAnsi="宋体" w:cs="宋体"/>
          <w:color w:val="auto"/>
          <w:highlight w:val="none"/>
          <w:u w:val="single"/>
        </w:rPr>
        <w:t>承包人</w:t>
      </w:r>
      <w:r>
        <w:rPr>
          <w:rFonts w:hint="eastAsia" w:ascii="宋体" w:hAnsi="宋体" w:cs="宋体"/>
          <w:color w:val="auto"/>
          <w:highlight w:val="none"/>
        </w:rPr>
        <w:t>承担。</w:t>
      </w:r>
    </w:p>
    <w:bookmarkEnd w:id="764"/>
    <w:p w14:paraId="0114CFF0">
      <w:pPr>
        <w:pStyle w:val="37"/>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765" w:name="_Toc522201731"/>
      <w:bookmarkStart w:id="766" w:name="_Toc497747179"/>
      <w:bookmarkStart w:id="767" w:name="_Toc406522221"/>
      <w:bookmarkStart w:id="768" w:name="_Toc17997"/>
      <w:bookmarkStart w:id="769" w:name="_Toc497746782"/>
      <w:bookmarkStart w:id="770" w:name="_Toc418751797"/>
      <w:bookmarkStart w:id="771" w:name="_Toc256000181"/>
      <w:bookmarkStart w:id="772" w:name="_Toc418752243"/>
      <w:r>
        <w:rPr>
          <w:rFonts w:hint="eastAsia" w:ascii="宋体" w:cs="宋体"/>
          <w:color w:val="auto"/>
          <w:highlight w:val="none"/>
        </w:rPr>
        <w:t>1.11 知识产权</w:t>
      </w:r>
      <w:bookmarkEnd w:id="765"/>
      <w:bookmarkEnd w:id="766"/>
      <w:bookmarkEnd w:id="767"/>
      <w:bookmarkEnd w:id="768"/>
      <w:bookmarkEnd w:id="769"/>
      <w:bookmarkEnd w:id="770"/>
      <w:bookmarkEnd w:id="771"/>
      <w:bookmarkEnd w:id="772"/>
    </w:p>
    <w:p w14:paraId="258A5848">
      <w:pPr>
        <w:pStyle w:val="42"/>
        <w:keepNext w:val="0"/>
        <w:keepLines w:val="0"/>
        <w:pageBreakBefore w:val="0"/>
        <w:widowControl w:val="0"/>
        <w:wordWrap/>
        <w:topLinePunct w:val="0"/>
        <w:bidi w:val="0"/>
        <w:spacing w:line="380" w:lineRule="exact"/>
        <w:rPr>
          <w:rFonts w:ascii="宋体" w:hAnsi="宋体" w:cs="宋体"/>
          <w:color w:val="auto"/>
          <w:highlight w:val="none"/>
        </w:rPr>
      </w:pPr>
      <w:r>
        <w:rPr>
          <w:rFonts w:hint="eastAsia" w:ascii="宋体" w:hAnsi="宋体" w:cs="宋体"/>
          <w:color w:val="auto"/>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cs="宋体"/>
          <w:color w:val="auto"/>
          <w:highlight w:val="none"/>
          <w:u w:val="single"/>
        </w:rPr>
        <w:t>著作权属于发包人</w:t>
      </w:r>
      <w:r>
        <w:rPr>
          <w:rFonts w:hint="eastAsia" w:ascii="宋体" w:hAnsi="宋体" w:cs="宋体"/>
          <w:color w:val="auto"/>
          <w:highlight w:val="none"/>
        </w:rPr>
        <w:t>。</w:t>
      </w:r>
    </w:p>
    <w:p w14:paraId="08F11D4A">
      <w:pPr>
        <w:pStyle w:val="42"/>
        <w:keepNext w:val="0"/>
        <w:keepLines w:val="0"/>
        <w:pageBreakBefore w:val="0"/>
        <w:widowControl w:val="0"/>
        <w:wordWrap/>
        <w:topLinePunct w:val="0"/>
        <w:bidi w:val="0"/>
        <w:spacing w:line="380" w:lineRule="exact"/>
        <w:rPr>
          <w:rFonts w:ascii="宋体" w:hAnsi="宋体" w:cs="宋体"/>
          <w:color w:val="auto"/>
          <w:highlight w:val="none"/>
        </w:rPr>
      </w:pPr>
      <w:r>
        <w:rPr>
          <w:rFonts w:hint="eastAsia" w:ascii="宋体" w:hAnsi="宋体" w:cs="宋体"/>
          <w:color w:val="auto"/>
          <w:highlight w:val="none"/>
        </w:rPr>
        <w:t>关于发包人提供的上述文件的使用限制的要求：</w:t>
      </w:r>
      <w:r>
        <w:rPr>
          <w:rFonts w:hint="eastAsia" w:ascii="宋体" w:hAnsi="宋体" w:cs="宋体"/>
          <w:color w:val="auto"/>
          <w:highlight w:val="none"/>
          <w:u w:val="single"/>
        </w:rPr>
        <w:t>未经发包人同意，承包人不得为了合同以外的目的而复制、使用上述文件或将之提供给任何第三方</w:t>
      </w:r>
      <w:r>
        <w:rPr>
          <w:rFonts w:hint="eastAsia" w:ascii="宋体" w:hAnsi="宋体" w:cs="宋体"/>
          <w:color w:val="auto"/>
          <w:highlight w:val="none"/>
        </w:rPr>
        <w:t>。</w:t>
      </w:r>
    </w:p>
    <w:p w14:paraId="6FA5F199">
      <w:pPr>
        <w:pStyle w:val="42"/>
        <w:keepNext w:val="0"/>
        <w:keepLines w:val="0"/>
        <w:pageBreakBefore w:val="0"/>
        <w:widowControl w:val="0"/>
        <w:wordWrap/>
        <w:topLinePunct w:val="0"/>
        <w:bidi w:val="0"/>
        <w:spacing w:line="380" w:lineRule="exact"/>
        <w:rPr>
          <w:rFonts w:ascii="宋体" w:hAnsi="宋体" w:cs="宋体"/>
          <w:color w:val="auto"/>
          <w:highlight w:val="none"/>
        </w:rPr>
      </w:pPr>
      <w:r>
        <w:rPr>
          <w:rFonts w:hint="eastAsia" w:ascii="宋体" w:hAnsi="宋体" w:cs="宋体"/>
          <w:color w:val="auto"/>
          <w:highlight w:val="none"/>
        </w:rPr>
        <w:t>1.11.2 关于承包人为实施工程所编制文件的著作权的归属：</w:t>
      </w:r>
      <w:r>
        <w:rPr>
          <w:rFonts w:hint="eastAsia" w:ascii="宋体" w:hAnsi="宋体" w:cs="宋体"/>
          <w:color w:val="auto"/>
          <w:highlight w:val="none"/>
          <w:u w:val="single"/>
        </w:rPr>
        <w:t>除署名以外著作权属于发包人</w:t>
      </w:r>
      <w:r>
        <w:rPr>
          <w:rFonts w:hint="eastAsia" w:ascii="宋体" w:hAnsi="宋体" w:cs="宋体"/>
          <w:color w:val="auto"/>
          <w:highlight w:val="none"/>
        </w:rPr>
        <w:t>。</w:t>
      </w:r>
    </w:p>
    <w:p w14:paraId="28DB8DAF">
      <w:pPr>
        <w:pStyle w:val="42"/>
        <w:keepNext w:val="0"/>
        <w:keepLines w:val="0"/>
        <w:pageBreakBefore w:val="0"/>
        <w:widowControl w:val="0"/>
        <w:wordWrap/>
        <w:topLinePunct w:val="0"/>
        <w:bidi w:val="0"/>
        <w:spacing w:line="380" w:lineRule="exact"/>
        <w:rPr>
          <w:rFonts w:ascii="宋体" w:hAnsi="宋体" w:cs="宋体"/>
          <w:color w:val="auto"/>
          <w:highlight w:val="none"/>
        </w:rPr>
      </w:pPr>
      <w:r>
        <w:rPr>
          <w:rFonts w:hint="eastAsia" w:ascii="宋体" w:hAnsi="宋体" w:cs="宋体"/>
          <w:color w:val="auto"/>
          <w:highlight w:val="none"/>
        </w:rPr>
        <w:t>关于承包人提供的上述文件的使用限制的要求：</w:t>
      </w:r>
      <w:r>
        <w:rPr>
          <w:rFonts w:hint="eastAsia" w:ascii="宋体" w:hAnsi="宋体" w:cs="宋体"/>
          <w:color w:val="auto"/>
          <w:highlight w:val="none"/>
          <w:u w:val="single"/>
        </w:rPr>
        <w:t>未经发包人同意，承包人不得为了合同以外的目的而复制、使用上述文件或将之提供给任何第三方</w:t>
      </w:r>
      <w:r>
        <w:rPr>
          <w:rFonts w:hint="eastAsia" w:ascii="宋体" w:hAnsi="宋体" w:cs="宋体"/>
          <w:color w:val="auto"/>
          <w:highlight w:val="none"/>
        </w:rPr>
        <w:t>。</w:t>
      </w:r>
    </w:p>
    <w:p w14:paraId="3356688A">
      <w:pPr>
        <w:pStyle w:val="42"/>
        <w:keepNext w:val="0"/>
        <w:keepLines w:val="0"/>
        <w:pageBreakBefore w:val="0"/>
        <w:widowControl w:val="0"/>
        <w:wordWrap/>
        <w:topLinePunct w:val="0"/>
        <w:bidi w:val="0"/>
        <w:spacing w:line="380" w:lineRule="exact"/>
        <w:rPr>
          <w:rFonts w:ascii="宋体" w:hAnsi="宋体" w:cs="宋体"/>
          <w:color w:val="auto"/>
          <w:highlight w:val="none"/>
          <w:u w:val="single"/>
        </w:rPr>
      </w:pPr>
      <w:r>
        <w:rPr>
          <w:rFonts w:hint="eastAsia" w:ascii="宋体" w:hAnsi="宋体" w:cs="宋体"/>
          <w:color w:val="auto"/>
          <w:highlight w:val="none"/>
        </w:rPr>
        <w:t>1.11.4 承包人在施工过程中所采用的专利、专有技术、技术秘密的使用费的承担方式：</w:t>
      </w:r>
      <w:r>
        <w:rPr>
          <w:rFonts w:hint="eastAsia" w:ascii="宋体" w:hAnsi="宋体" w:cs="宋体"/>
          <w:color w:val="auto"/>
          <w:highlight w:val="none"/>
          <w:u w:val="single"/>
        </w:rPr>
        <w:t>由承包人承担</w:t>
      </w:r>
      <w:r>
        <w:rPr>
          <w:rFonts w:hint="eastAsia" w:ascii="宋体" w:hAnsi="宋体" w:cs="宋体"/>
          <w:color w:val="auto"/>
          <w:highlight w:val="none"/>
        </w:rPr>
        <w:t>。</w:t>
      </w:r>
    </w:p>
    <w:p w14:paraId="495B8EBA">
      <w:pPr>
        <w:pStyle w:val="42"/>
        <w:keepNext w:val="0"/>
        <w:keepLines w:val="0"/>
        <w:pageBreakBefore w:val="0"/>
        <w:widowControl w:val="0"/>
        <w:wordWrap/>
        <w:topLinePunct w:val="0"/>
        <w:bidi w:val="0"/>
        <w:spacing w:line="380" w:lineRule="exact"/>
        <w:rPr>
          <w:rFonts w:ascii="宋体" w:hAnsi="宋体" w:cs="宋体"/>
          <w:color w:val="auto"/>
          <w:highlight w:val="none"/>
        </w:rPr>
      </w:pPr>
      <w:r>
        <w:rPr>
          <w:rFonts w:hint="eastAsia" w:ascii="宋体" w:hAnsi="宋体" w:cs="宋体"/>
          <w:color w:val="auto"/>
          <w:highlight w:val="none"/>
        </w:rPr>
        <w:t>1.13工程量清单错误的修正</w:t>
      </w:r>
    </w:p>
    <w:p w14:paraId="18848206">
      <w:pPr>
        <w:pStyle w:val="42"/>
        <w:keepNext w:val="0"/>
        <w:keepLines w:val="0"/>
        <w:pageBreakBefore w:val="0"/>
        <w:widowControl w:val="0"/>
        <w:wordWrap/>
        <w:topLinePunct w:val="0"/>
        <w:bidi w:val="0"/>
        <w:spacing w:line="380" w:lineRule="exact"/>
        <w:rPr>
          <w:rFonts w:ascii="宋体" w:hAnsi="宋体" w:cs="宋体"/>
          <w:color w:val="auto"/>
          <w:highlight w:val="none"/>
          <w:u w:val="single"/>
        </w:rPr>
      </w:pPr>
      <w:r>
        <w:rPr>
          <w:rFonts w:hint="eastAsia" w:ascii="宋体" w:hAnsi="宋体" w:cs="宋体"/>
          <w:color w:val="auto"/>
          <w:highlight w:val="none"/>
        </w:rPr>
        <w:t>出现工程量清单错误时，是否调整合同价格：</w:t>
      </w:r>
      <w:r>
        <w:rPr>
          <w:rFonts w:hint="eastAsia" w:ascii="宋体" w:hAnsi="宋体" w:cs="宋体"/>
          <w:color w:val="auto"/>
          <w:highlight w:val="none"/>
          <w:u w:val="single"/>
        </w:rPr>
        <w:t>按《建设工程工程量清单计价规范（GB5050-2013）》及其广西实施细则、《建设工程工程量清单计算规范（</w:t>
      </w:r>
      <w:r>
        <w:rPr>
          <w:rFonts w:hint="eastAsia" w:ascii="宋体" w:hAnsi="宋体" w:cs="宋体"/>
          <w:color w:val="auto"/>
          <w:highlight w:val="none"/>
          <w:u w:val="single"/>
          <w:lang w:eastAsia="zh-CN"/>
        </w:rPr>
        <w:t>GB50854</w:t>
      </w:r>
      <w:r>
        <w:rPr>
          <w:rFonts w:hint="eastAsia" w:ascii="宋体" w:hAnsi="宋体" w:cs="宋体"/>
          <w:color w:val="auto"/>
          <w:highlight w:val="none"/>
          <w:u w:val="single"/>
        </w:rPr>
        <w:t>～50862-2013）》及其广西实施细则（修订本）等规定。</w:t>
      </w:r>
    </w:p>
    <w:p w14:paraId="7BCD9957">
      <w:pPr>
        <w:pStyle w:val="42"/>
        <w:keepNext w:val="0"/>
        <w:keepLines w:val="0"/>
        <w:pageBreakBefore w:val="0"/>
        <w:widowControl w:val="0"/>
        <w:wordWrap/>
        <w:topLinePunct w:val="0"/>
        <w:bidi w:val="0"/>
        <w:spacing w:line="380" w:lineRule="exact"/>
        <w:rPr>
          <w:rFonts w:ascii="宋体" w:hAnsi="宋体" w:cs="宋体"/>
          <w:color w:val="auto"/>
          <w:highlight w:val="none"/>
        </w:rPr>
      </w:pPr>
      <w:r>
        <w:rPr>
          <w:rFonts w:hint="eastAsia" w:ascii="宋体" w:hAnsi="宋体" w:cs="宋体"/>
          <w:color w:val="auto"/>
          <w:highlight w:val="none"/>
        </w:rPr>
        <w:t xml:space="preserve">允许调整合同价格的工程量偏差范围： </w:t>
      </w:r>
      <w:r>
        <w:rPr>
          <w:rFonts w:hint="eastAsia" w:ascii="宋体" w:hAnsi="宋体" w:cs="宋体"/>
          <w:color w:val="auto"/>
          <w:highlight w:val="none"/>
          <w:u w:val="single"/>
        </w:rPr>
        <w:t>按《建设工程工程量清单计价规范（GB5050-2013）》及其广西实施细则、《建设工程工程量清单计算规范（</w:t>
      </w:r>
      <w:r>
        <w:rPr>
          <w:rFonts w:hint="eastAsia" w:ascii="宋体" w:hAnsi="宋体" w:cs="宋体"/>
          <w:color w:val="auto"/>
          <w:highlight w:val="none"/>
          <w:u w:val="single"/>
          <w:lang w:eastAsia="zh-CN"/>
        </w:rPr>
        <w:t>GB50854</w:t>
      </w:r>
      <w:r>
        <w:rPr>
          <w:rFonts w:hint="eastAsia" w:ascii="宋体" w:hAnsi="宋体" w:cs="宋体"/>
          <w:color w:val="auto"/>
          <w:highlight w:val="none"/>
          <w:u w:val="single"/>
        </w:rPr>
        <w:t>～50862-2013）》及其广西实施细则（修订本）等规定</w:t>
      </w:r>
      <w:r>
        <w:rPr>
          <w:rFonts w:hint="eastAsia" w:ascii="宋体" w:hAnsi="宋体" w:cs="宋体"/>
          <w:color w:val="auto"/>
          <w:highlight w:val="none"/>
        </w:rPr>
        <w:t>。</w:t>
      </w:r>
    </w:p>
    <w:p w14:paraId="4390F8CC">
      <w:pPr>
        <w:pStyle w:val="37"/>
        <w:keepNext w:val="0"/>
        <w:keepLines w:val="0"/>
        <w:pageBreakBefore w:val="0"/>
        <w:widowControl w:val="0"/>
        <w:wordWrap/>
        <w:topLinePunct w:val="0"/>
        <w:bidi w:val="0"/>
        <w:spacing w:line="380" w:lineRule="exact"/>
        <w:outlineLvl w:val="2"/>
        <w:rPr>
          <w:rFonts w:ascii="宋体" w:cs="宋体"/>
          <w:color w:val="auto"/>
          <w:highlight w:val="none"/>
        </w:rPr>
      </w:pPr>
      <w:bookmarkStart w:id="773" w:name="_Toc351203634"/>
      <w:bookmarkStart w:id="774" w:name="_Toc418751798"/>
      <w:bookmarkStart w:id="775" w:name="_Toc522201732"/>
      <w:bookmarkStart w:id="776" w:name="_Toc1764"/>
      <w:bookmarkStart w:id="777" w:name="_Toc497747180"/>
      <w:bookmarkStart w:id="778" w:name="_Toc256000182"/>
      <w:bookmarkStart w:id="779" w:name="_Toc497746783"/>
      <w:bookmarkStart w:id="780" w:name="_Toc418752244"/>
      <w:bookmarkStart w:id="781" w:name="_Toc406522222"/>
      <w:r>
        <w:rPr>
          <w:rFonts w:hint="eastAsia" w:ascii="宋体" w:cs="宋体"/>
          <w:color w:val="auto"/>
          <w:highlight w:val="none"/>
        </w:rPr>
        <w:t>2</w:t>
      </w:r>
      <w:bookmarkStart w:id="782" w:name="_Toc297048343"/>
      <w:bookmarkStart w:id="783" w:name="_Toc292559362"/>
      <w:bookmarkStart w:id="784" w:name="_Toc296944496"/>
      <w:bookmarkStart w:id="785" w:name="_Toc296503157"/>
      <w:bookmarkStart w:id="786" w:name="_Toc296891197"/>
      <w:bookmarkStart w:id="787" w:name="_Toc297120457"/>
      <w:bookmarkStart w:id="788" w:name="_Toc296346658"/>
      <w:bookmarkStart w:id="789" w:name="_Toc292559867"/>
      <w:bookmarkStart w:id="790" w:name="_Toc296347156"/>
      <w:bookmarkStart w:id="791" w:name="_Toc296890985"/>
      <w:r>
        <w:rPr>
          <w:rFonts w:hint="eastAsia" w:ascii="宋体" w:cs="宋体"/>
          <w:color w:val="auto"/>
          <w:highlight w:val="none"/>
        </w:rPr>
        <w:t>. 发包人</w:t>
      </w:r>
      <w:bookmarkEnd w:id="773"/>
      <w:bookmarkEnd w:id="774"/>
      <w:bookmarkEnd w:id="775"/>
      <w:bookmarkEnd w:id="776"/>
      <w:bookmarkEnd w:id="777"/>
      <w:bookmarkEnd w:id="778"/>
      <w:bookmarkEnd w:id="779"/>
      <w:bookmarkEnd w:id="780"/>
      <w:bookmarkEnd w:id="781"/>
    </w:p>
    <w:bookmarkEnd w:id="782"/>
    <w:bookmarkEnd w:id="783"/>
    <w:bookmarkEnd w:id="784"/>
    <w:bookmarkEnd w:id="785"/>
    <w:bookmarkEnd w:id="786"/>
    <w:bookmarkEnd w:id="787"/>
    <w:bookmarkEnd w:id="788"/>
    <w:bookmarkEnd w:id="789"/>
    <w:bookmarkEnd w:id="790"/>
    <w:bookmarkEnd w:id="791"/>
    <w:p w14:paraId="632F27CD">
      <w:pPr>
        <w:pStyle w:val="37"/>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792" w:name="_Toc256000183"/>
      <w:bookmarkStart w:id="793" w:name="_Toc522201733"/>
      <w:bookmarkStart w:id="794" w:name="_Toc497746784"/>
      <w:bookmarkStart w:id="795" w:name="_Toc418751799"/>
      <w:bookmarkStart w:id="796" w:name="_Toc406522223"/>
      <w:bookmarkStart w:id="797" w:name="_Toc418752245"/>
      <w:bookmarkStart w:id="798" w:name="_Toc497747181"/>
      <w:bookmarkStart w:id="799" w:name="_Toc10058"/>
      <w:r>
        <w:rPr>
          <w:rFonts w:hint="eastAsia" w:ascii="宋体" w:cs="宋体"/>
          <w:color w:val="auto"/>
          <w:highlight w:val="none"/>
        </w:rPr>
        <w:t>2.2 发包人代表</w:t>
      </w:r>
      <w:bookmarkEnd w:id="792"/>
      <w:bookmarkEnd w:id="793"/>
      <w:bookmarkEnd w:id="794"/>
      <w:bookmarkEnd w:id="795"/>
      <w:bookmarkEnd w:id="796"/>
      <w:bookmarkEnd w:id="797"/>
      <w:bookmarkEnd w:id="798"/>
      <w:bookmarkEnd w:id="799"/>
    </w:p>
    <w:p w14:paraId="4D7C9E15">
      <w:pPr>
        <w:pStyle w:val="42"/>
        <w:keepNext w:val="0"/>
        <w:keepLines w:val="0"/>
        <w:pageBreakBefore w:val="0"/>
        <w:widowControl w:val="0"/>
        <w:wordWrap/>
        <w:topLinePunct w:val="0"/>
        <w:bidi w:val="0"/>
        <w:spacing w:line="380" w:lineRule="exact"/>
        <w:rPr>
          <w:rFonts w:ascii="宋体" w:hAnsi="宋体" w:cs="宋体"/>
          <w:color w:val="auto"/>
          <w:highlight w:val="none"/>
        </w:rPr>
      </w:pPr>
      <w:r>
        <w:rPr>
          <w:rFonts w:hint="eastAsia" w:ascii="宋体" w:hAnsi="宋体" w:cs="宋体"/>
          <w:color w:val="auto"/>
          <w:highlight w:val="none"/>
        </w:rPr>
        <w:t>发包人代表：</w:t>
      </w:r>
    </w:p>
    <w:p w14:paraId="1D995EFC">
      <w:pPr>
        <w:pStyle w:val="42"/>
        <w:keepNext w:val="0"/>
        <w:keepLines w:val="0"/>
        <w:pageBreakBefore w:val="0"/>
        <w:widowControl w:val="0"/>
        <w:wordWrap/>
        <w:topLinePunct w:val="0"/>
        <w:bidi w:val="0"/>
        <w:spacing w:line="380" w:lineRule="exact"/>
        <w:rPr>
          <w:rFonts w:ascii="宋体" w:hAnsi="宋体" w:cs="宋体"/>
          <w:color w:val="auto"/>
          <w:highlight w:val="none"/>
        </w:rPr>
      </w:pPr>
      <w:r>
        <w:rPr>
          <w:rFonts w:hint="eastAsia" w:ascii="宋体" w:hAnsi="宋体" w:cs="宋体"/>
          <w:color w:val="auto"/>
          <w:highlight w:val="none"/>
        </w:rPr>
        <w:t>姓    名：</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2A155200">
      <w:pPr>
        <w:pStyle w:val="42"/>
        <w:keepNext w:val="0"/>
        <w:keepLines w:val="0"/>
        <w:pageBreakBefore w:val="0"/>
        <w:widowControl w:val="0"/>
        <w:wordWrap/>
        <w:topLinePunct w:val="0"/>
        <w:bidi w:val="0"/>
        <w:spacing w:line="380" w:lineRule="exact"/>
        <w:rPr>
          <w:rFonts w:ascii="宋体" w:hAnsi="宋体" w:cs="宋体"/>
          <w:color w:val="auto"/>
          <w:highlight w:val="none"/>
        </w:rPr>
      </w:pPr>
      <w:r>
        <w:rPr>
          <w:rFonts w:hint="eastAsia" w:ascii="宋体" w:hAnsi="宋体" w:cs="宋体"/>
          <w:color w:val="auto"/>
          <w:highlight w:val="none"/>
        </w:rPr>
        <w:t>职    务：</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01700B90">
      <w:pPr>
        <w:pStyle w:val="42"/>
        <w:keepNext w:val="0"/>
        <w:keepLines w:val="0"/>
        <w:pageBreakBefore w:val="0"/>
        <w:widowControl w:val="0"/>
        <w:wordWrap/>
        <w:topLinePunct w:val="0"/>
        <w:bidi w:val="0"/>
        <w:spacing w:line="380" w:lineRule="exact"/>
        <w:rPr>
          <w:rFonts w:ascii="宋体" w:hAnsi="宋体" w:cs="宋体"/>
          <w:color w:val="auto"/>
          <w:highlight w:val="none"/>
        </w:rPr>
      </w:pPr>
      <w:r>
        <w:rPr>
          <w:rFonts w:hint="eastAsia" w:ascii="宋体" w:hAnsi="宋体" w:cs="宋体"/>
          <w:color w:val="auto"/>
          <w:highlight w:val="none"/>
        </w:rPr>
        <w:t>联系电话：</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0DED813D">
      <w:pPr>
        <w:pStyle w:val="42"/>
        <w:keepNext w:val="0"/>
        <w:keepLines w:val="0"/>
        <w:pageBreakBefore w:val="0"/>
        <w:widowControl w:val="0"/>
        <w:wordWrap/>
        <w:topLinePunct w:val="0"/>
        <w:bidi w:val="0"/>
        <w:spacing w:line="380" w:lineRule="exact"/>
        <w:rPr>
          <w:rFonts w:ascii="宋体" w:hAnsi="宋体" w:cs="宋体"/>
          <w:color w:val="auto"/>
          <w:highlight w:val="none"/>
        </w:rPr>
      </w:pPr>
      <w:r>
        <w:rPr>
          <w:rFonts w:hint="eastAsia" w:ascii="宋体" w:hAnsi="宋体" w:cs="宋体"/>
          <w:color w:val="auto"/>
          <w:highlight w:val="none"/>
        </w:rPr>
        <w:t>电子信箱：</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5DFA5C65">
      <w:pPr>
        <w:pStyle w:val="42"/>
        <w:keepNext w:val="0"/>
        <w:keepLines w:val="0"/>
        <w:pageBreakBefore w:val="0"/>
        <w:widowControl w:val="0"/>
        <w:wordWrap/>
        <w:topLinePunct w:val="0"/>
        <w:bidi w:val="0"/>
        <w:spacing w:line="380" w:lineRule="exact"/>
        <w:rPr>
          <w:rFonts w:ascii="宋体" w:hAnsi="宋体" w:cs="宋体"/>
          <w:color w:val="auto"/>
          <w:highlight w:val="none"/>
        </w:rPr>
      </w:pPr>
      <w:r>
        <w:rPr>
          <w:rFonts w:hint="eastAsia" w:ascii="宋体" w:hAnsi="宋体" w:cs="宋体"/>
          <w:color w:val="auto"/>
          <w:highlight w:val="none"/>
        </w:rPr>
        <w:t>通信地址：</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w:t>
      </w:r>
    </w:p>
    <w:p w14:paraId="49B54CCA">
      <w:pPr>
        <w:pStyle w:val="42"/>
        <w:keepNext w:val="0"/>
        <w:keepLines w:val="0"/>
        <w:pageBreakBefore w:val="0"/>
        <w:widowControl w:val="0"/>
        <w:wordWrap/>
        <w:topLinePunct w:val="0"/>
        <w:bidi w:val="0"/>
        <w:spacing w:line="380" w:lineRule="exact"/>
        <w:rPr>
          <w:rFonts w:ascii="宋体" w:hAnsi="宋体" w:cs="宋体"/>
          <w:b/>
          <w:color w:val="auto"/>
          <w:highlight w:val="none"/>
        </w:rPr>
      </w:pPr>
      <w:r>
        <w:rPr>
          <w:rFonts w:hint="eastAsia" w:ascii="宋体" w:hAnsi="宋体" w:cs="宋体"/>
          <w:color w:val="auto"/>
          <w:highlight w:val="none"/>
        </w:rPr>
        <w:t>发包人对发包人代表的授权范围如下：</w:t>
      </w:r>
      <w:r>
        <w:rPr>
          <w:rFonts w:hint="eastAsia" w:ascii="宋体" w:hAnsi="宋体" w:cs="宋体"/>
          <w:color w:val="auto"/>
          <w:highlight w:val="none"/>
          <w:u w:val="single"/>
        </w:rPr>
        <w:t>对工程进度、质量进行监督、办理中间交工工程验收手续，负责现场签证，解决由发包人授权处理的事宜</w:t>
      </w:r>
      <w:r>
        <w:rPr>
          <w:rFonts w:hint="eastAsia" w:ascii="宋体" w:hAnsi="宋体" w:cs="宋体"/>
          <w:color w:val="auto"/>
          <w:highlight w:val="none"/>
        </w:rPr>
        <w:t>。</w:t>
      </w:r>
    </w:p>
    <w:p w14:paraId="1A0C3DCE">
      <w:pPr>
        <w:pStyle w:val="37"/>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800" w:name="_Toc497747182"/>
      <w:bookmarkStart w:id="801" w:name="_Toc256000184"/>
      <w:bookmarkStart w:id="802" w:name="_Toc418751800"/>
      <w:bookmarkStart w:id="803" w:name="_Toc522201734"/>
      <w:bookmarkStart w:id="804" w:name="_Toc497746785"/>
      <w:bookmarkStart w:id="805" w:name="_Toc406522224"/>
      <w:bookmarkStart w:id="806" w:name="_Toc8326"/>
      <w:bookmarkStart w:id="807" w:name="_Toc418752246"/>
      <w:r>
        <w:rPr>
          <w:rFonts w:hint="eastAsia" w:ascii="宋体" w:cs="宋体"/>
          <w:color w:val="auto"/>
          <w:highlight w:val="none"/>
        </w:rPr>
        <w:t>2.4 施工现场、施工条件和基础资料的提供</w:t>
      </w:r>
      <w:bookmarkEnd w:id="800"/>
      <w:bookmarkEnd w:id="801"/>
      <w:bookmarkEnd w:id="802"/>
      <w:bookmarkEnd w:id="803"/>
      <w:bookmarkEnd w:id="804"/>
      <w:bookmarkEnd w:id="805"/>
      <w:bookmarkEnd w:id="806"/>
      <w:bookmarkEnd w:id="807"/>
    </w:p>
    <w:p w14:paraId="17C2E317">
      <w:pPr>
        <w:pStyle w:val="42"/>
        <w:keepNext w:val="0"/>
        <w:keepLines w:val="0"/>
        <w:pageBreakBefore w:val="0"/>
        <w:widowControl w:val="0"/>
        <w:wordWrap/>
        <w:topLinePunct w:val="0"/>
        <w:bidi w:val="0"/>
        <w:spacing w:line="380" w:lineRule="exact"/>
        <w:rPr>
          <w:rFonts w:ascii="宋体" w:hAnsi="宋体" w:cs="宋体"/>
          <w:color w:val="auto"/>
          <w:highlight w:val="none"/>
        </w:rPr>
      </w:pPr>
      <w:r>
        <w:rPr>
          <w:rFonts w:hint="eastAsia" w:ascii="宋体" w:hAnsi="宋体" w:cs="宋体"/>
          <w:color w:val="auto"/>
          <w:highlight w:val="none"/>
        </w:rPr>
        <w:t>2.4.1 提供施工现场</w:t>
      </w:r>
    </w:p>
    <w:p w14:paraId="09ADACA4">
      <w:pPr>
        <w:pStyle w:val="42"/>
        <w:keepNext w:val="0"/>
        <w:keepLines w:val="0"/>
        <w:pageBreakBefore w:val="0"/>
        <w:widowControl w:val="0"/>
        <w:wordWrap/>
        <w:topLinePunct w:val="0"/>
        <w:bidi w:val="0"/>
        <w:spacing w:line="380" w:lineRule="exact"/>
        <w:rPr>
          <w:rFonts w:ascii="宋体" w:hAnsi="宋体" w:cs="宋体"/>
          <w:color w:val="auto"/>
          <w:highlight w:val="none"/>
        </w:rPr>
      </w:pPr>
      <w:r>
        <w:rPr>
          <w:rFonts w:hint="eastAsia" w:ascii="宋体" w:hAnsi="宋体" w:cs="宋体"/>
          <w:color w:val="auto"/>
          <w:highlight w:val="none"/>
        </w:rPr>
        <w:t>关于发包人移交施工现场的期限要求：</w:t>
      </w:r>
      <w:r>
        <w:rPr>
          <w:rFonts w:hint="eastAsia" w:ascii="宋体" w:hAnsi="宋体" w:cs="宋体"/>
          <w:color w:val="auto"/>
          <w:highlight w:val="none"/>
          <w:u w:val="single"/>
        </w:rPr>
        <w:t xml:space="preserve"> 施工场地应当在监理人发出的开工通知中载明的开工日期前七天具备施工条件并移交给承包人，具体施工条件在施工合同中约定。发包人最迟应当在移交施工场地的同时向承包人提供施工场地内地下管线和地下设施等有关资料，并保证资料的真实、准确和完整</w:t>
      </w:r>
      <w:r>
        <w:rPr>
          <w:rFonts w:hint="eastAsia" w:ascii="宋体" w:hAnsi="宋体" w:cs="宋体"/>
          <w:color w:val="auto"/>
          <w:highlight w:val="none"/>
        </w:rPr>
        <w:t>。</w:t>
      </w:r>
    </w:p>
    <w:p w14:paraId="1962BBE3">
      <w:pPr>
        <w:pStyle w:val="42"/>
        <w:keepNext w:val="0"/>
        <w:keepLines w:val="0"/>
        <w:pageBreakBefore w:val="0"/>
        <w:widowControl w:val="0"/>
        <w:wordWrap/>
        <w:topLinePunct w:val="0"/>
        <w:bidi w:val="0"/>
        <w:spacing w:line="380" w:lineRule="exact"/>
        <w:rPr>
          <w:rFonts w:ascii="宋体" w:hAnsi="宋体" w:cs="宋体"/>
          <w:color w:val="auto"/>
          <w:highlight w:val="none"/>
        </w:rPr>
      </w:pPr>
      <w:r>
        <w:rPr>
          <w:rFonts w:hint="eastAsia" w:ascii="宋体" w:hAnsi="宋体" w:cs="宋体"/>
          <w:color w:val="auto"/>
          <w:highlight w:val="none"/>
        </w:rPr>
        <w:t>2.4.2 提供施工条件</w:t>
      </w:r>
    </w:p>
    <w:p w14:paraId="725111AF">
      <w:pPr>
        <w:pStyle w:val="42"/>
        <w:keepNext w:val="0"/>
        <w:keepLines w:val="0"/>
        <w:pageBreakBefore w:val="0"/>
        <w:widowControl w:val="0"/>
        <w:wordWrap/>
        <w:topLinePunct w:val="0"/>
        <w:bidi w:val="0"/>
        <w:spacing w:line="380" w:lineRule="exact"/>
        <w:rPr>
          <w:rFonts w:ascii="宋体" w:hAnsi="宋体" w:cs="宋体"/>
          <w:color w:val="auto"/>
          <w:highlight w:val="none"/>
          <w:u w:val="single"/>
        </w:rPr>
      </w:pPr>
      <w:r>
        <w:rPr>
          <w:rFonts w:hint="eastAsia" w:ascii="宋体" w:hAnsi="宋体" w:cs="宋体"/>
          <w:color w:val="auto"/>
          <w:highlight w:val="none"/>
        </w:rPr>
        <w:t>关于发包人应负责提供施工所需要的条件，包括：</w:t>
      </w:r>
      <w:r>
        <w:rPr>
          <w:rFonts w:hint="eastAsia" w:ascii="宋体" w:hAnsi="宋体" w:cs="宋体"/>
          <w:color w:val="auto"/>
          <w:highlight w:val="none"/>
          <w:u w:val="single"/>
        </w:rPr>
        <w:t>发包人可配合承包人办理开工所需手续及相关申请，费用由承包人自行解决，施工场地与公共道路的通道，由承包人负责实施，费用已包含在合同价中</w:t>
      </w:r>
      <w:r>
        <w:rPr>
          <w:rFonts w:hint="eastAsia" w:ascii="宋体" w:hAnsi="宋体" w:cs="宋体"/>
          <w:color w:val="auto"/>
          <w:highlight w:val="none"/>
        </w:rPr>
        <w:t>。</w:t>
      </w:r>
    </w:p>
    <w:p w14:paraId="5658780B">
      <w:pPr>
        <w:pStyle w:val="37"/>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808" w:name="_Toc25273"/>
      <w:bookmarkStart w:id="809" w:name="_Toc418751801"/>
      <w:bookmarkStart w:id="810" w:name="_Toc497746786"/>
      <w:bookmarkStart w:id="811" w:name="_Toc418752247"/>
      <w:bookmarkStart w:id="812" w:name="_Toc256000185"/>
      <w:bookmarkStart w:id="813" w:name="_Toc522201735"/>
      <w:bookmarkStart w:id="814" w:name="_Toc406522225"/>
      <w:bookmarkStart w:id="815" w:name="_Toc497747183"/>
      <w:r>
        <w:rPr>
          <w:rFonts w:hint="eastAsia" w:ascii="宋体" w:cs="宋体"/>
          <w:color w:val="auto"/>
          <w:highlight w:val="none"/>
        </w:rPr>
        <w:t>2.5 资金来源证明及支付担保</w:t>
      </w:r>
      <w:bookmarkEnd w:id="808"/>
      <w:bookmarkEnd w:id="809"/>
      <w:bookmarkEnd w:id="810"/>
      <w:bookmarkEnd w:id="811"/>
      <w:bookmarkEnd w:id="812"/>
      <w:bookmarkEnd w:id="813"/>
      <w:bookmarkEnd w:id="814"/>
      <w:bookmarkEnd w:id="815"/>
    </w:p>
    <w:p w14:paraId="67DB2662">
      <w:pPr>
        <w:pStyle w:val="42"/>
        <w:keepNext w:val="0"/>
        <w:keepLines w:val="0"/>
        <w:pageBreakBefore w:val="0"/>
        <w:widowControl w:val="0"/>
        <w:wordWrap/>
        <w:topLinePunct w:val="0"/>
        <w:bidi w:val="0"/>
        <w:spacing w:line="380" w:lineRule="exact"/>
        <w:rPr>
          <w:rFonts w:ascii="宋体" w:hAnsi="宋体" w:cs="宋体"/>
          <w:color w:val="auto"/>
          <w:highlight w:val="none"/>
        </w:rPr>
      </w:pPr>
      <w:r>
        <w:rPr>
          <w:rFonts w:hint="eastAsia" w:ascii="宋体" w:hAnsi="宋体" w:cs="宋体"/>
          <w:color w:val="auto"/>
          <w:highlight w:val="none"/>
        </w:rPr>
        <w:t>发包人提供资金来源证明的期限要求：</w:t>
      </w:r>
      <w:r>
        <w:rPr>
          <w:rFonts w:hint="eastAsia" w:ascii="宋体" w:hAnsi="宋体" w:cs="宋体"/>
          <w:color w:val="auto"/>
          <w:highlight w:val="none"/>
          <w:u w:val="single"/>
        </w:rPr>
        <w:t xml:space="preserve"> 无 </w:t>
      </w:r>
      <w:r>
        <w:rPr>
          <w:rFonts w:hint="eastAsia" w:ascii="宋体" w:hAnsi="宋体" w:cs="宋体"/>
          <w:color w:val="auto"/>
          <w:highlight w:val="none"/>
        </w:rPr>
        <w:t>。</w:t>
      </w:r>
    </w:p>
    <w:p w14:paraId="52895F64">
      <w:pPr>
        <w:pStyle w:val="42"/>
        <w:keepNext w:val="0"/>
        <w:keepLines w:val="0"/>
        <w:pageBreakBefore w:val="0"/>
        <w:widowControl w:val="0"/>
        <w:wordWrap/>
        <w:topLinePunct w:val="0"/>
        <w:bidi w:val="0"/>
        <w:spacing w:line="380" w:lineRule="exact"/>
        <w:rPr>
          <w:rFonts w:ascii="宋体" w:hAnsi="宋体" w:cs="宋体"/>
          <w:color w:val="auto"/>
          <w:highlight w:val="none"/>
        </w:rPr>
      </w:pPr>
      <w:r>
        <w:rPr>
          <w:rFonts w:hint="eastAsia" w:ascii="宋体" w:hAnsi="宋体" w:cs="宋体"/>
          <w:color w:val="auto"/>
          <w:highlight w:val="none"/>
        </w:rPr>
        <w:t>发包人是否提供支付担保：</w:t>
      </w:r>
      <w:r>
        <w:rPr>
          <w:rFonts w:hint="eastAsia" w:ascii="宋体" w:hAnsi="宋体" w:cs="宋体"/>
          <w:color w:val="auto"/>
          <w:highlight w:val="none"/>
          <w:u w:val="single"/>
        </w:rPr>
        <w:t xml:space="preserve">    否　　　   </w:t>
      </w:r>
      <w:r>
        <w:rPr>
          <w:rFonts w:hint="eastAsia" w:ascii="宋体" w:hAnsi="宋体" w:cs="宋体"/>
          <w:color w:val="auto"/>
          <w:highlight w:val="none"/>
        </w:rPr>
        <w:t>。</w:t>
      </w:r>
    </w:p>
    <w:p w14:paraId="49CEDCE2">
      <w:pPr>
        <w:pStyle w:val="42"/>
        <w:keepNext w:val="0"/>
        <w:keepLines w:val="0"/>
        <w:pageBreakBefore w:val="0"/>
        <w:widowControl w:val="0"/>
        <w:wordWrap/>
        <w:topLinePunct w:val="0"/>
        <w:bidi w:val="0"/>
        <w:spacing w:line="380" w:lineRule="exact"/>
        <w:rPr>
          <w:rFonts w:ascii="宋体" w:hAnsi="宋体" w:cs="宋体"/>
          <w:color w:val="auto"/>
          <w:highlight w:val="none"/>
          <w:u w:val="single"/>
        </w:rPr>
      </w:pPr>
      <w:r>
        <w:rPr>
          <w:rFonts w:hint="eastAsia" w:ascii="宋体" w:hAnsi="宋体" w:cs="宋体"/>
          <w:color w:val="auto"/>
          <w:highlight w:val="none"/>
        </w:rPr>
        <w:t>发包人提供支付担保的形式：</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7DB61268">
      <w:pPr>
        <w:pStyle w:val="37"/>
        <w:keepNext w:val="0"/>
        <w:keepLines w:val="0"/>
        <w:pageBreakBefore w:val="0"/>
        <w:widowControl w:val="0"/>
        <w:wordWrap/>
        <w:topLinePunct w:val="0"/>
        <w:bidi w:val="0"/>
        <w:spacing w:line="380" w:lineRule="exact"/>
        <w:outlineLvl w:val="2"/>
        <w:rPr>
          <w:rFonts w:ascii="宋体" w:cs="宋体"/>
          <w:color w:val="auto"/>
          <w:highlight w:val="none"/>
        </w:rPr>
      </w:pPr>
      <w:bookmarkStart w:id="816" w:name="_Toc497746787"/>
      <w:bookmarkStart w:id="817" w:name="_Toc406522226"/>
      <w:bookmarkStart w:id="818" w:name="_Toc6875"/>
      <w:bookmarkStart w:id="819" w:name="_Toc351203635"/>
      <w:bookmarkStart w:id="820" w:name="_Toc497747184"/>
      <w:bookmarkStart w:id="821" w:name="_Toc418752248"/>
      <w:bookmarkStart w:id="822" w:name="_Toc522201736"/>
      <w:bookmarkStart w:id="823" w:name="_Toc256000186"/>
      <w:bookmarkStart w:id="824" w:name="_Toc418751802"/>
      <w:r>
        <w:rPr>
          <w:rFonts w:hint="eastAsia" w:ascii="宋体" w:cs="宋体"/>
          <w:color w:val="auto"/>
          <w:highlight w:val="none"/>
        </w:rPr>
        <w:t>3</w:t>
      </w:r>
      <w:bookmarkStart w:id="825" w:name="_Toc292559868"/>
      <w:bookmarkStart w:id="826" w:name="_Toc296347157"/>
      <w:bookmarkStart w:id="827" w:name="_Toc296944497"/>
      <w:bookmarkStart w:id="828" w:name="_Toc296891198"/>
      <w:bookmarkStart w:id="829" w:name="_Toc296346659"/>
      <w:bookmarkStart w:id="830" w:name="_Toc297048344"/>
      <w:bookmarkStart w:id="831" w:name="_Toc292559363"/>
      <w:bookmarkStart w:id="832" w:name="_Toc296503158"/>
      <w:bookmarkStart w:id="833" w:name="_Toc296890986"/>
      <w:bookmarkStart w:id="834" w:name="_Toc297120458"/>
      <w:r>
        <w:rPr>
          <w:rFonts w:hint="eastAsia" w:ascii="宋体" w:cs="宋体"/>
          <w:color w:val="auto"/>
          <w:highlight w:val="none"/>
        </w:rPr>
        <w:t>. 承包人</w:t>
      </w:r>
      <w:bookmarkEnd w:id="816"/>
      <w:bookmarkEnd w:id="817"/>
      <w:bookmarkEnd w:id="818"/>
      <w:bookmarkEnd w:id="819"/>
      <w:bookmarkEnd w:id="820"/>
      <w:bookmarkEnd w:id="821"/>
      <w:bookmarkEnd w:id="822"/>
      <w:bookmarkEnd w:id="823"/>
      <w:bookmarkEnd w:id="824"/>
    </w:p>
    <w:bookmarkEnd w:id="825"/>
    <w:bookmarkEnd w:id="826"/>
    <w:bookmarkEnd w:id="827"/>
    <w:bookmarkEnd w:id="828"/>
    <w:bookmarkEnd w:id="829"/>
    <w:bookmarkEnd w:id="830"/>
    <w:bookmarkEnd w:id="831"/>
    <w:bookmarkEnd w:id="832"/>
    <w:bookmarkEnd w:id="833"/>
    <w:bookmarkEnd w:id="834"/>
    <w:p w14:paraId="1F9F507E">
      <w:pPr>
        <w:pStyle w:val="37"/>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835" w:name="_Toc497746788"/>
      <w:bookmarkStart w:id="836" w:name="_Toc418751803"/>
      <w:bookmarkStart w:id="837" w:name="_Toc7415"/>
      <w:bookmarkStart w:id="838" w:name="_Toc522201737"/>
      <w:bookmarkStart w:id="839" w:name="_Toc256000187"/>
      <w:bookmarkStart w:id="840" w:name="_Toc406522227"/>
      <w:bookmarkStart w:id="841" w:name="_Toc418752249"/>
      <w:bookmarkStart w:id="842" w:name="_Toc497747185"/>
      <w:r>
        <w:rPr>
          <w:rFonts w:hint="eastAsia" w:ascii="宋体" w:cs="宋体"/>
          <w:color w:val="auto"/>
          <w:highlight w:val="none"/>
        </w:rPr>
        <w:t>3.1 承包人的一般义务</w:t>
      </w:r>
      <w:bookmarkEnd w:id="835"/>
      <w:bookmarkEnd w:id="836"/>
      <w:bookmarkEnd w:id="837"/>
      <w:bookmarkEnd w:id="838"/>
      <w:bookmarkEnd w:id="839"/>
      <w:bookmarkEnd w:id="840"/>
      <w:bookmarkEnd w:id="841"/>
      <w:bookmarkEnd w:id="842"/>
    </w:p>
    <w:p w14:paraId="616E2DB3">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（9）</w:t>
      </w:r>
      <w:r>
        <w:rPr>
          <w:rFonts w:hint="eastAsia" w:ascii="宋体" w:hAnsi="宋体" w:cs="宋体"/>
          <w:color w:val="auto"/>
          <w:szCs w:val="21"/>
          <w:highlight w:val="none"/>
        </w:rPr>
        <w:t>承包人提交的竣工资料的内容：</w:t>
      </w:r>
      <w:r>
        <w:rPr>
          <w:rFonts w:hint="eastAsia" w:ascii="宋体" w:hAnsi="宋体" w:cs="宋体"/>
          <w:color w:val="auto"/>
          <w:szCs w:val="21"/>
          <w:highlight w:val="none"/>
          <w:u w:val="single"/>
        </w:rPr>
        <w:t>工程具备竣工验收条件，承包人按工程竣工验收有关规定，向发包人提交符合《建设工程文件归档整理规范》内容装订成册的完整竣工资料及竣工验收报告、工程竣工图</w:t>
      </w:r>
      <w:r>
        <w:rPr>
          <w:rFonts w:hint="eastAsia" w:ascii="宋体" w:hAnsi="宋体" w:cs="宋体"/>
          <w:color w:val="auto"/>
          <w:szCs w:val="21"/>
          <w:highlight w:val="none"/>
        </w:rPr>
        <w:t>。</w:t>
      </w:r>
    </w:p>
    <w:p w14:paraId="77795D8F">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承包人需要提交的竣工资料套数：</w:t>
      </w:r>
      <w:r>
        <w:rPr>
          <w:rFonts w:hint="eastAsia" w:ascii="宋体" w:hAnsi="宋体" w:cs="宋体"/>
          <w:color w:val="auto"/>
          <w:szCs w:val="21"/>
          <w:highlight w:val="none"/>
          <w:u w:val="single"/>
        </w:rPr>
        <w:t xml:space="preserve">  承包人向发包人提交竣工档案份数为一式四份；备案资料一式两份；建设工程质量监督档案一式两份  </w:t>
      </w:r>
      <w:r>
        <w:rPr>
          <w:rFonts w:hint="eastAsia" w:ascii="宋体" w:hAnsi="宋体" w:cs="宋体"/>
          <w:color w:val="auto"/>
          <w:szCs w:val="21"/>
          <w:highlight w:val="none"/>
        </w:rPr>
        <w:t>。</w:t>
      </w:r>
    </w:p>
    <w:p w14:paraId="689AD9F0">
      <w:pPr>
        <w:pStyle w:val="21"/>
        <w:keepNext w:val="0"/>
        <w:keepLines w:val="0"/>
        <w:pageBreakBefore w:val="0"/>
        <w:widowControl w:val="0"/>
        <w:wordWrap/>
        <w:topLinePunct w:val="0"/>
        <w:bidi w:val="0"/>
        <w:spacing w:line="380" w:lineRule="exact"/>
        <w:jc w:val="left"/>
        <w:rPr>
          <w:rFonts w:ascii="宋体" w:hAnsi="宋体" w:cs="宋体"/>
          <w:color w:val="auto"/>
          <w:szCs w:val="21"/>
          <w:highlight w:val="none"/>
        </w:rPr>
      </w:pPr>
      <w:r>
        <w:rPr>
          <w:rFonts w:hint="eastAsia" w:ascii="宋体" w:hAnsi="宋体" w:cs="宋体"/>
          <w:color w:val="auto"/>
          <w:szCs w:val="21"/>
          <w:highlight w:val="none"/>
        </w:rPr>
        <w:t xml:space="preserve">    承包人提交的竣工资料的费用承担：</w:t>
      </w:r>
      <w:r>
        <w:rPr>
          <w:rFonts w:hint="eastAsia" w:ascii="宋体" w:hAnsi="宋体" w:cs="宋体"/>
          <w:color w:val="auto"/>
          <w:szCs w:val="21"/>
          <w:highlight w:val="none"/>
          <w:u w:val="single"/>
        </w:rPr>
        <w:t xml:space="preserve">  由承包人承担相关费用 </w:t>
      </w:r>
      <w:r>
        <w:rPr>
          <w:rFonts w:hint="eastAsia" w:ascii="宋体" w:hAnsi="宋体" w:cs="宋体"/>
          <w:color w:val="auto"/>
          <w:szCs w:val="21"/>
          <w:highlight w:val="none"/>
        </w:rPr>
        <w:t>。</w:t>
      </w:r>
    </w:p>
    <w:p w14:paraId="2C75C6B3">
      <w:pPr>
        <w:pStyle w:val="21"/>
        <w:keepNext w:val="0"/>
        <w:keepLines w:val="0"/>
        <w:pageBreakBefore w:val="0"/>
        <w:widowControl w:val="0"/>
        <w:wordWrap/>
        <w:topLinePunct w:val="0"/>
        <w:bidi w:val="0"/>
        <w:spacing w:line="380" w:lineRule="exact"/>
        <w:jc w:val="left"/>
        <w:rPr>
          <w:rFonts w:ascii="宋体" w:hAnsi="宋体" w:cs="宋体"/>
          <w:color w:val="auto"/>
          <w:szCs w:val="21"/>
          <w:highlight w:val="none"/>
        </w:rPr>
      </w:pPr>
      <w:r>
        <w:rPr>
          <w:rFonts w:hint="eastAsia" w:ascii="宋体" w:hAnsi="宋体" w:cs="宋体"/>
          <w:color w:val="auto"/>
          <w:szCs w:val="21"/>
          <w:highlight w:val="none"/>
        </w:rPr>
        <w:t xml:space="preserve">    承包人提交的竣工资料移交时间：</w:t>
      </w:r>
      <w:r>
        <w:rPr>
          <w:rFonts w:hint="eastAsia" w:ascii="宋体" w:hAnsi="宋体" w:cs="宋体"/>
          <w:color w:val="auto"/>
          <w:szCs w:val="21"/>
          <w:highlight w:val="none"/>
          <w:u w:val="single"/>
        </w:rPr>
        <w:t xml:space="preserve">  工程竣工验收合格后30天内  </w:t>
      </w:r>
      <w:r>
        <w:rPr>
          <w:rFonts w:hint="eastAsia" w:ascii="宋体" w:hAnsi="宋体" w:cs="宋体"/>
          <w:color w:val="auto"/>
          <w:szCs w:val="21"/>
          <w:highlight w:val="none"/>
        </w:rPr>
        <w:t>。</w:t>
      </w:r>
    </w:p>
    <w:p w14:paraId="64048431">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承包人提交的竣工资料形式要求：</w:t>
      </w:r>
      <w:r>
        <w:rPr>
          <w:rFonts w:hint="eastAsia" w:ascii="宋体" w:hAnsi="宋体" w:cs="宋体"/>
          <w:color w:val="auto"/>
          <w:szCs w:val="21"/>
          <w:highlight w:val="none"/>
          <w:u w:val="single"/>
        </w:rPr>
        <w:t>竣工档案（竣工档案的内容：施工单位竣工验收文件、施工文件、竣工图（按城市建设档案馆要求整理，相关费用由承包人承担）、备案资料（应由承包人提供的部分按</w:t>
      </w:r>
      <w:r>
        <w:rPr>
          <w:rFonts w:hint="eastAsia" w:ascii="宋体" w:hAnsi="宋体" w:cs="宋体"/>
          <w:color w:val="auto"/>
          <w:szCs w:val="21"/>
          <w:highlight w:val="none"/>
          <w:u w:val="single"/>
          <w:lang w:val="en-US" w:eastAsia="zh-CN"/>
        </w:rPr>
        <w:t>资源县</w:t>
      </w:r>
      <w:r>
        <w:rPr>
          <w:rFonts w:hint="eastAsia" w:ascii="宋体" w:hAnsi="宋体" w:cs="宋体"/>
          <w:color w:val="auto"/>
          <w:szCs w:val="21"/>
          <w:highlight w:val="none"/>
          <w:u w:val="single"/>
        </w:rPr>
        <w:t>住建局要求整理）、建设工程质量监督档案（应由承包人提供的部分按</w:t>
      </w:r>
      <w:r>
        <w:rPr>
          <w:rFonts w:hint="eastAsia" w:ascii="宋体" w:hAnsi="宋体" w:cs="宋体"/>
          <w:color w:val="auto"/>
          <w:szCs w:val="21"/>
          <w:highlight w:val="none"/>
          <w:u w:val="single"/>
          <w:lang w:val="en-US" w:eastAsia="zh-CN"/>
        </w:rPr>
        <w:t>资源县</w:t>
      </w:r>
      <w:r>
        <w:rPr>
          <w:rFonts w:hint="eastAsia" w:ascii="宋体" w:hAnsi="宋体" w:cs="宋体"/>
          <w:color w:val="auto"/>
          <w:szCs w:val="21"/>
          <w:highlight w:val="none"/>
          <w:u w:val="single"/>
        </w:rPr>
        <w:t>建设工程质量监督管理站要求整理）</w:t>
      </w:r>
      <w:r>
        <w:rPr>
          <w:rFonts w:hint="eastAsia" w:ascii="宋体" w:hAnsi="宋体" w:cs="宋体"/>
          <w:color w:val="auto"/>
          <w:szCs w:val="21"/>
          <w:highlight w:val="none"/>
        </w:rPr>
        <w:t>。</w:t>
      </w:r>
    </w:p>
    <w:p w14:paraId="45CFC551">
      <w:pPr>
        <w:pStyle w:val="21"/>
        <w:keepNext w:val="0"/>
        <w:keepLines w:val="0"/>
        <w:pageBreakBefore w:val="0"/>
        <w:widowControl w:val="0"/>
        <w:wordWrap/>
        <w:topLinePunct w:val="0"/>
        <w:bidi w:val="0"/>
        <w:spacing w:line="380" w:lineRule="exact"/>
        <w:ind w:firstLine="420" w:firstLineChars="200"/>
        <w:rPr>
          <w:rFonts w:ascii="宋体" w:hAnsi="宋体" w:cs="宋体"/>
          <w:color w:val="auto"/>
          <w:szCs w:val="21"/>
          <w:highlight w:val="none"/>
          <w:u w:val="single"/>
        </w:rPr>
      </w:pPr>
      <w:r>
        <w:rPr>
          <w:rFonts w:hint="eastAsia" w:ascii="宋体" w:hAnsi="宋体" w:cs="宋体"/>
          <w:color w:val="auto"/>
          <w:kern w:val="0"/>
          <w:szCs w:val="21"/>
          <w:highlight w:val="none"/>
        </w:rPr>
        <w:t>（10）承包人应履行的其他义务：</w:t>
      </w:r>
      <w:r>
        <w:rPr>
          <w:rFonts w:hint="eastAsia" w:ascii="宋体" w:hAnsi="宋体" w:cs="宋体"/>
          <w:color w:val="auto"/>
          <w:szCs w:val="21"/>
          <w:highlight w:val="none"/>
          <w:u w:val="single"/>
        </w:rPr>
        <w:t>①施工用水、用电按表计量，费用由承包人承担，由承包人指派专人配合发包人的计量工作，水费及电费按发包人要求进行交付；单位工程内其他单位用水、用电由承包人与相关用水、用电单位协商解决。②本工程在施工过程中如存在多个施工单位同时作业时，承包人必须顾全大局、相互协作、密切配合，严格服从发包人和监理单位的协调指挥；承包人须积极协调解决施工过程中存在的各类问题，处理好与相邻施工单位的施工接口关系，否则，发包人有权要求承包人整改或另行指定其他单位来完成相关配合工作，其发生的费用从承包人的工程进度款中扣除，且并不需要承包人同意。承包人应始终采取各种合理的预防措施，对于存在的问题及时反映，对于需要发包人协调解决的问题，要提前提出，否则，由此所造成的损失由承包人承担 。③承包人负责办理施工有关的交通特别通告证、有害污水、环卫、环保和噪音等审批手续，并承担费用，如因承包人未交纳相关费用，发包人有权从工程款中扣除用于支付相关费用并计入结算。承包人负责对施工场地内的化石、文物具有保护责任，并承担相应费用。承包人负责满足施工期间政府职能部门对工地消防设施有关要求，并承担相关费用。④承包人应负责协调解决本项目当地居民对工程施工的人为干扰，施工机械进出、材料运输如需通过村道及村民土地；承包人应当协调与施工现场周边农村及村民的关系，并承担相关费用，确保项目施工顺利进行。⑤承包人应始终采取各种合理的预防措施，防止承包人员或其内部发生任何非法的、骚动的或无序的行为，以保持安定，保护现场及第三人的财产和人身安全。⑥为发包人依法发包的专业工程承包商提供总承包管理与协调服务，并为专业工程承包商提供一切施工方便。为发包人和监理人在施工现场提供必要的办公室和办公桌椅等设备。⑦按建设行政主管部门有关规定配合发包人其他工程的施工等。⑧施工期间和施工完毕后，均应及时对施工场地和为其施工提供的公共道路进行保洁、维护以及维修，产生的垃圾和被破坏的场地，必须遵照监理人和发包人的指示进行清理、修复，并根据实际情况将场地恢复到原有状态，费用自理。⑨由于本工程施工现场为居民区，承包人应合理安排施工时间，确保做到不影响周边居民的正常生活，对居民的合理意见应积极整改，确保工程顺利进行。⑩配合发包人做好安全文明工程、领导检查、宣传等工作。以上相关费用均由承包人承担，并在</w:t>
      </w:r>
      <w:r>
        <w:rPr>
          <w:rFonts w:hint="eastAsia" w:ascii="宋体" w:hAnsi="宋体" w:cs="宋体"/>
          <w:color w:val="auto"/>
          <w:szCs w:val="21"/>
          <w:highlight w:val="none"/>
          <w:u w:val="single"/>
          <w:lang w:eastAsia="zh-CN"/>
        </w:rPr>
        <w:t>投标报价（磋商报价）</w:t>
      </w:r>
      <w:r>
        <w:rPr>
          <w:rFonts w:hint="eastAsia" w:ascii="宋体" w:hAnsi="宋体" w:cs="宋体"/>
          <w:color w:val="auto"/>
          <w:szCs w:val="21"/>
          <w:highlight w:val="none"/>
          <w:u w:val="single"/>
        </w:rPr>
        <w:t>清单中综合考虑，不再另计。</w:t>
      </w:r>
      <w:r>
        <w:rPr>
          <w:rFonts w:ascii="Cambria Math" w:hAnsi="Cambria Math" w:cs="Cambria Math"/>
          <w:color w:val="auto"/>
          <w:szCs w:val="21"/>
          <w:highlight w:val="none"/>
          <w:u w:val="single"/>
        </w:rPr>
        <w:t>⑪</w:t>
      </w:r>
      <w:r>
        <w:rPr>
          <w:rFonts w:hint="eastAsia" w:ascii="宋体" w:hAnsi="宋体" w:cs="宋体"/>
          <w:color w:val="auto"/>
          <w:szCs w:val="21"/>
          <w:highlight w:val="none"/>
          <w:u w:val="single"/>
        </w:rPr>
        <w:t>承包人在工程施工期间由于承包人原因引起的责任事故，全部由承包人承担经济责任和法律责任。</w:t>
      </w:r>
      <w:r>
        <w:rPr>
          <w:rFonts w:ascii="Cambria Math" w:hAnsi="Cambria Math" w:cs="Cambria Math"/>
          <w:color w:val="auto"/>
          <w:szCs w:val="21"/>
          <w:highlight w:val="none"/>
          <w:u w:val="single"/>
        </w:rPr>
        <w:t>⑫</w:t>
      </w:r>
      <w:r>
        <w:rPr>
          <w:rFonts w:hint="eastAsia" w:ascii="宋体" w:hAnsi="宋体" w:cs="宋体"/>
          <w:color w:val="auto"/>
          <w:szCs w:val="21"/>
          <w:highlight w:val="none"/>
          <w:u w:val="single"/>
        </w:rPr>
        <w:t>满足国家、行业、控制标准和验收规范，在质量管理过程中达到或超过质量标准，杜绝重大设备一般及以上质量事故，确保工程无永久性缺陷。</w:t>
      </w:r>
    </w:p>
    <w:p w14:paraId="3C22731E">
      <w:pPr>
        <w:pStyle w:val="37"/>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843" w:name="_Toc522201738"/>
      <w:bookmarkStart w:id="844" w:name="_Toc497747186"/>
      <w:bookmarkStart w:id="845" w:name="_Toc497746789"/>
      <w:bookmarkStart w:id="846" w:name="_Toc418518118"/>
      <w:bookmarkStart w:id="847" w:name="_Toc418518354"/>
      <w:bookmarkStart w:id="848" w:name="_Toc389065274"/>
      <w:bookmarkStart w:id="849" w:name="_Toc403578942"/>
      <w:bookmarkStart w:id="850" w:name="_Toc418751804"/>
      <w:bookmarkStart w:id="851" w:name="_Toc418061319"/>
      <w:bookmarkStart w:id="852" w:name="_Toc25355"/>
      <w:bookmarkStart w:id="853" w:name="_Toc256000188"/>
      <w:bookmarkStart w:id="854" w:name="_Toc373478355"/>
      <w:bookmarkStart w:id="855" w:name="_Toc373227708"/>
      <w:bookmarkStart w:id="856" w:name="_Toc418752250"/>
      <w:r>
        <w:rPr>
          <w:rFonts w:hint="eastAsia" w:ascii="宋体" w:cs="宋体"/>
          <w:color w:val="auto"/>
          <w:highlight w:val="none"/>
        </w:rPr>
        <w:t>3.2 项目经理</w:t>
      </w:r>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p>
    <w:p w14:paraId="59FE9473">
      <w:pPr>
        <w:pStyle w:val="21"/>
        <w:keepNext w:val="0"/>
        <w:keepLines w:val="0"/>
        <w:pageBreakBefore w:val="0"/>
        <w:widowControl w:val="0"/>
        <w:wordWrap/>
        <w:topLinePunct w:val="0"/>
        <w:bidi w:val="0"/>
        <w:spacing w:line="380" w:lineRule="exact"/>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 xml:space="preserve">3.2.1 </w:t>
      </w:r>
      <w:r>
        <w:rPr>
          <w:rFonts w:hint="eastAsia" w:ascii="宋体" w:hAnsi="宋体" w:cs="宋体"/>
          <w:color w:val="auto"/>
          <w:szCs w:val="21"/>
          <w:highlight w:val="none"/>
        </w:rPr>
        <w:t>项目经理：</w:t>
      </w:r>
    </w:p>
    <w:p w14:paraId="3D817EEE">
      <w:pPr>
        <w:pStyle w:val="21"/>
        <w:keepNext w:val="0"/>
        <w:keepLines w:val="0"/>
        <w:pageBreakBefore w:val="0"/>
        <w:widowControl w:val="0"/>
        <w:wordWrap/>
        <w:topLinePunct w:val="0"/>
        <w:bidi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89B2748">
      <w:pPr>
        <w:pStyle w:val="21"/>
        <w:keepNext w:val="0"/>
        <w:keepLines w:val="0"/>
        <w:pageBreakBefore w:val="0"/>
        <w:widowControl w:val="0"/>
        <w:wordWrap/>
        <w:topLinePunct w:val="0"/>
        <w:bidi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身份证号：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86465C8">
      <w:pPr>
        <w:pStyle w:val="21"/>
        <w:keepNext w:val="0"/>
        <w:keepLines w:val="0"/>
        <w:pageBreakBefore w:val="0"/>
        <w:widowControl w:val="0"/>
        <w:wordWrap/>
        <w:topLinePunct w:val="0"/>
        <w:bidi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建造师执业资格等级：</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2C8AA79">
      <w:pPr>
        <w:pStyle w:val="21"/>
        <w:keepNext w:val="0"/>
        <w:keepLines w:val="0"/>
        <w:pageBreakBefore w:val="0"/>
        <w:widowControl w:val="0"/>
        <w:wordWrap/>
        <w:topLinePunct w:val="0"/>
        <w:bidi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建造师注册证书号：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0418F18">
      <w:pPr>
        <w:pStyle w:val="21"/>
        <w:keepNext w:val="0"/>
        <w:keepLines w:val="0"/>
        <w:pageBreakBefore w:val="0"/>
        <w:widowControl w:val="0"/>
        <w:wordWrap/>
        <w:topLinePunct w:val="0"/>
        <w:bidi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建造师执业印章号：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3564702">
      <w:pPr>
        <w:pStyle w:val="21"/>
        <w:keepNext w:val="0"/>
        <w:keepLines w:val="0"/>
        <w:pageBreakBefore w:val="0"/>
        <w:widowControl w:val="0"/>
        <w:wordWrap/>
        <w:topLinePunct w:val="0"/>
        <w:bidi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安全生产考核合格证书号：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5DD1613">
      <w:pPr>
        <w:pStyle w:val="21"/>
        <w:keepNext w:val="0"/>
        <w:keepLines w:val="0"/>
        <w:pageBreakBefore w:val="0"/>
        <w:widowControl w:val="0"/>
        <w:wordWrap/>
        <w:topLinePunct w:val="0"/>
        <w:bidi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229BF95">
      <w:pPr>
        <w:pStyle w:val="21"/>
        <w:keepNext w:val="0"/>
        <w:keepLines w:val="0"/>
        <w:pageBreakBefore w:val="0"/>
        <w:widowControl w:val="0"/>
        <w:wordWrap/>
        <w:topLinePunct w:val="0"/>
        <w:bidi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83A2341">
      <w:pPr>
        <w:pStyle w:val="21"/>
        <w:keepNext w:val="0"/>
        <w:keepLines w:val="0"/>
        <w:pageBreakBefore w:val="0"/>
        <w:widowControl w:val="0"/>
        <w:wordWrap/>
        <w:topLinePunct w:val="0"/>
        <w:bidi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通信地址：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FC883EE">
      <w:pPr>
        <w:pStyle w:val="21"/>
        <w:keepNext w:val="0"/>
        <w:keepLines w:val="0"/>
        <w:pageBreakBefore w:val="0"/>
        <w:widowControl w:val="0"/>
        <w:wordWrap/>
        <w:topLinePunct w:val="0"/>
        <w:bidi w:val="0"/>
        <w:spacing w:line="38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 xml:space="preserve">承包人对项目经理的授权范围如下： </w:t>
      </w:r>
      <w:r>
        <w:rPr>
          <w:rFonts w:hint="eastAsia" w:ascii="宋体" w:hAnsi="宋体" w:cs="宋体"/>
          <w:color w:val="auto"/>
          <w:szCs w:val="21"/>
          <w:highlight w:val="none"/>
          <w:u w:val="single"/>
        </w:rPr>
        <w:t>（1）对本工程的建设进行全面管理，行使合同约定的权利，履行合同约定的义务；（2）负责本工程的施工组织方案制定和施工组织设计；（3）负责本工程的劳动力组织和机械设备组织；（4）经发包人同意分包的专业工程，项目经理参与选择并使用具有相应资质的分包人； （5）合同约定由承包人采购的材料、工程设备，项目经理参与选择物资供应单位；（6）在授权范围内协调与项目有关的内、外部关系；（7）负责与发包人、监理人办理设计变更、现场签证等手续，及时办理本工程相关索赔；（8）负责签收发包人、监理人往来函件，承包人的要求、通知均应以书面形式由承包人项目经理签字并加盖承包人公司公章后递交发包人；（9）代表承包人接受监理工程师或发包人现场代表发出的指示和指令。但未经承包人盖章同意不得以承包人名义向外融资、 采购材料设备、 租用建筑周转材料、 雇佣劳动力、签订分包合同等从事一切为承包人设立义务或责任的行为</w:t>
      </w:r>
      <w:r>
        <w:rPr>
          <w:rFonts w:hint="eastAsia" w:ascii="宋体" w:hAnsi="宋体" w:cs="宋体"/>
          <w:color w:val="auto"/>
          <w:szCs w:val="21"/>
          <w:highlight w:val="none"/>
        </w:rPr>
        <w:t>。</w:t>
      </w:r>
    </w:p>
    <w:p w14:paraId="08BFCD44">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关于项目经理每月在施工现场的时间要求：</w:t>
      </w:r>
      <w:r>
        <w:rPr>
          <w:rFonts w:hint="eastAsia" w:ascii="宋体" w:hAnsi="宋体" w:cs="宋体"/>
          <w:color w:val="auto"/>
          <w:szCs w:val="21"/>
          <w:highlight w:val="none"/>
          <w:u w:val="single"/>
        </w:rPr>
        <w:t xml:space="preserve">  不少于22个工作日,若项目经理每月在岗时间少于22个工作日，发包人有权更换项目经理，由此造成的一切损失由承包人承担</w:t>
      </w:r>
      <w:r>
        <w:rPr>
          <w:rFonts w:hint="eastAsia" w:ascii="宋体" w:hAnsi="宋体" w:cs="宋体"/>
          <w:color w:val="auto"/>
          <w:szCs w:val="21"/>
          <w:highlight w:val="none"/>
        </w:rPr>
        <w:t>。</w:t>
      </w:r>
    </w:p>
    <w:p w14:paraId="4336713D">
      <w:pPr>
        <w:pStyle w:val="21"/>
        <w:keepNext w:val="0"/>
        <w:keepLines w:val="0"/>
        <w:pageBreakBefore w:val="0"/>
        <w:widowControl w:val="0"/>
        <w:wordWrap/>
        <w:topLinePunct w:val="0"/>
        <w:bidi w:val="0"/>
        <w:spacing w:line="380" w:lineRule="exact"/>
        <w:ind w:firstLine="420" w:firstLineChars="200"/>
        <w:rPr>
          <w:rFonts w:ascii="宋体" w:hAnsi="宋体" w:cs="宋体"/>
          <w:color w:val="auto"/>
          <w:szCs w:val="21"/>
          <w:highlight w:val="none"/>
          <w:u w:val="single"/>
        </w:rPr>
      </w:pPr>
      <w:r>
        <w:rPr>
          <w:rFonts w:hint="eastAsia" w:ascii="宋体" w:hAnsi="宋体" w:cs="宋体"/>
          <w:color w:val="auto"/>
          <w:kern w:val="0"/>
          <w:szCs w:val="21"/>
          <w:highlight w:val="none"/>
        </w:rPr>
        <w:t>承包人未提交劳动合同，以及没有为项目经理缴纳社会保险证明的违约责任：</w:t>
      </w:r>
      <w:r>
        <w:rPr>
          <w:rFonts w:hint="eastAsia" w:ascii="宋体" w:hAnsi="宋体" w:cs="宋体"/>
          <w:color w:val="auto"/>
          <w:szCs w:val="21"/>
          <w:highlight w:val="none"/>
          <w:u w:val="single"/>
        </w:rPr>
        <w:t>承包人不提交上述文件的，项目经理无权履行职责，发包人有权要求更换项目经理，由此增加的费用和延误的工期由承包人承担</w:t>
      </w:r>
      <w:r>
        <w:rPr>
          <w:rFonts w:hint="eastAsia" w:ascii="宋体" w:hAnsi="宋体" w:cs="宋体"/>
          <w:color w:val="auto"/>
          <w:szCs w:val="21"/>
          <w:highlight w:val="none"/>
        </w:rPr>
        <w:t>。</w:t>
      </w:r>
    </w:p>
    <w:p w14:paraId="1C577A9F">
      <w:pPr>
        <w:pStyle w:val="21"/>
        <w:keepNext w:val="0"/>
        <w:keepLines w:val="0"/>
        <w:pageBreakBefore w:val="0"/>
        <w:widowControl w:val="0"/>
        <w:wordWrap/>
        <w:topLinePunct w:val="0"/>
        <w:bidi w:val="0"/>
        <w:spacing w:line="380" w:lineRule="exact"/>
        <w:ind w:firstLine="420" w:firstLineChars="200"/>
        <w:rPr>
          <w:rFonts w:ascii="宋体" w:hAnsi="宋体" w:cs="宋体"/>
          <w:color w:val="auto"/>
          <w:szCs w:val="21"/>
          <w:highlight w:val="none"/>
          <w:u w:val="single"/>
        </w:rPr>
      </w:pPr>
      <w:r>
        <w:rPr>
          <w:rFonts w:hint="eastAsia" w:ascii="宋体" w:hAnsi="宋体" w:cs="宋体"/>
          <w:color w:val="auto"/>
          <w:kern w:val="0"/>
          <w:szCs w:val="21"/>
          <w:highlight w:val="none"/>
        </w:rPr>
        <w:t>项目经理未经批准，擅自离开施工现场的违约责任：</w:t>
      </w:r>
      <w:r>
        <w:rPr>
          <w:rFonts w:hint="eastAsia" w:ascii="宋体" w:hAnsi="宋体" w:cs="宋体"/>
          <w:color w:val="auto"/>
          <w:szCs w:val="21"/>
          <w:highlight w:val="none"/>
          <w:u w:val="single"/>
        </w:rPr>
        <w:t>项目经理每月在岗带班时间不得少于22天。未经发包人同意或正当理由，项目经理每月在岗带班时间少于22天的，少在岗带班一天，发包人有权处违约金 500元/日（人民币）</w:t>
      </w:r>
      <w:r>
        <w:rPr>
          <w:rFonts w:hint="eastAsia" w:ascii="宋体" w:hAnsi="宋体" w:cs="宋体"/>
          <w:color w:val="auto"/>
          <w:szCs w:val="21"/>
          <w:highlight w:val="none"/>
        </w:rPr>
        <w:t>。</w:t>
      </w:r>
    </w:p>
    <w:p w14:paraId="21E87A33">
      <w:pPr>
        <w:pStyle w:val="21"/>
        <w:keepNext w:val="0"/>
        <w:keepLines w:val="0"/>
        <w:pageBreakBefore w:val="0"/>
        <w:widowControl w:val="0"/>
        <w:wordWrap/>
        <w:topLinePunct w:val="0"/>
        <w:bidi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3.2.3 承包人擅自更换项目经理的违约责任：</w:t>
      </w:r>
      <w:r>
        <w:rPr>
          <w:rFonts w:hint="eastAsia" w:ascii="宋体" w:hAnsi="宋体" w:cs="宋体"/>
          <w:color w:val="auto"/>
          <w:szCs w:val="21"/>
          <w:highlight w:val="none"/>
          <w:u w:val="single"/>
        </w:rPr>
        <w:t>承包人项目经理必须与承包人投标</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响应文件中</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时所承诺的人员一致，并在（开工日期）前到任。在监理人向承包人颁发（竣工证明材料名称）前，项目经理不得同时兼任其他任何项目的项目经理（符合桂建管﹝2013﹞17号和桂建管﹝2014﹞25号文除外）。未经发包人书面同意，承包人擅自更换项目经理的视为违约，违约金处10000元/人•次（人民币）</w:t>
      </w:r>
      <w:r>
        <w:rPr>
          <w:rFonts w:hint="eastAsia" w:ascii="宋体" w:hAnsi="宋体" w:cs="宋体"/>
          <w:color w:val="auto"/>
          <w:szCs w:val="21"/>
          <w:highlight w:val="none"/>
        </w:rPr>
        <w:t>。</w:t>
      </w:r>
    </w:p>
    <w:p w14:paraId="0134FFDE">
      <w:pPr>
        <w:pStyle w:val="21"/>
        <w:keepNext w:val="0"/>
        <w:keepLines w:val="0"/>
        <w:pageBreakBefore w:val="0"/>
        <w:widowControl w:val="0"/>
        <w:wordWrap/>
        <w:topLinePunct w:val="0"/>
        <w:bidi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3.2.4 承包人无正当理由拒绝更换项目经理的违约责任：</w:t>
      </w:r>
      <w:r>
        <w:rPr>
          <w:rFonts w:hint="eastAsia" w:ascii="宋体" w:hAnsi="宋体" w:cs="宋体"/>
          <w:color w:val="auto"/>
          <w:szCs w:val="21"/>
          <w:highlight w:val="none"/>
          <w:u w:val="single"/>
        </w:rPr>
        <w:t>因承包人项目经理不称职，发包人要求调换而未及时调换的，视为承包人违约，必须向发包人交纳处罚金5000元/人•次（人民币）</w:t>
      </w:r>
      <w:r>
        <w:rPr>
          <w:rFonts w:hint="eastAsia" w:ascii="宋体" w:hAnsi="宋体" w:cs="宋体"/>
          <w:color w:val="auto"/>
          <w:szCs w:val="21"/>
          <w:highlight w:val="none"/>
        </w:rPr>
        <w:t>。</w:t>
      </w:r>
    </w:p>
    <w:p w14:paraId="4B9F1016">
      <w:pPr>
        <w:pStyle w:val="37"/>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857" w:name="_Toc418752251"/>
      <w:bookmarkStart w:id="858" w:name="_Toc403578943"/>
      <w:bookmarkStart w:id="859" w:name="_Toc418061320"/>
      <w:bookmarkStart w:id="860" w:name="_Toc522201739"/>
      <w:bookmarkStart w:id="861" w:name="_Toc497746790"/>
      <w:bookmarkStart w:id="862" w:name="_Toc497747187"/>
      <w:bookmarkStart w:id="863" w:name="_Toc373227709"/>
      <w:bookmarkStart w:id="864" w:name="_Toc373478356"/>
      <w:bookmarkStart w:id="865" w:name="_Toc418751805"/>
      <w:bookmarkStart w:id="866" w:name="_Toc389065275"/>
      <w:bookmarkStart w:id="867" w:name="_Toc418518119"/>
      <w:bookmarkStart w:id="868" w:name="_Toc256000189"/>
      <w:bookmarkStart w:id="869" w:name="_Toc418518355"/>
      <w:bookmarkStart w:id="870" w:name="_Toc1988"/>
      <w:r>
        <w:rPr>
          <w:rFonts w:hint="eastAsia" w:ascii="宋体" w:cs="宋体"/>
          <w:color w:val="auto"/>
          <w:highlight w:val="none"/>
        </w:rPr>
        <w:t>3.3 承包人人员</w:t>
      </w:r>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p>
    <w:p w14:paraId="4F1C28D5">
      <w:pPr>
        <w:pStyle w:val="21"/>
        <w:keepNext w:val="0"/>
        <w:keepLines w:val="0"/>
        <w:pageBreakBefore w:val="0"/>
        <w:widowControl w:val="0"/>
        <w:wordWrap/>
        <w:topLinePunct w:val="0"/>
        <w:bidi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3.3.1 承包人提交项目管理机构及施工现场管理人员安排报告（格式见合同附件6）的期限：</w:t>
      </w:r>
      <w:r>
        <w:rPr>
          <w:rFonts w:hint="eastAsia" w:ascii="宋体" w:hAnsi="宋体" w:cs="宋体"/>
          <w:color w:val="auto"/>
          <w:szCs w:val="21"/>
          <w:highlight w:val="none"/>
          <w:u w:val="single"/>
        </w:rPr>
        <w:t>开工前7日内</w:t>
      </w:r>
      <w:r>
        <w:rPr>
          <w:rFonts w:hint="eastAsia" w:ascii="宋体" w:hAnsi="宋体" w:cs="宋体"/>
          <w:color w:val="auto"/>
          <w:szCs w:val="21"/>
          <w:highlight w:val="none"/>
        </w:rPr>
        <w:t>。</w:t>
      </w:r>
    </w:p>
    <w:p w14:paraId="6D0DAF9A">
      <w:pPr>
        <w:pStyle w:val="21"/>
        <w:keepNext w:val="0"/>
        <w:keepLines w:val="0"/>
        <w:pageBreakBefore w:val="0"/>
        <w:widowControl w:val="0"/>
        <w:wordWrap/>
        <w:topLinePunct w:val="0"/>
        <w:bidi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3.3.3 承包人无正当理由拒绝撤换主要施工管理人员的违约责任：</w:t>
      </w:r>
      <w:r>
        <w:rPr>
          <w:rFonts w:hint="eastAsia" w:ascii="宋体" w:hAnsi="宋体" w:cs="宋体"/>
          <w:color w:val="auto"/>
          <w:szCs w:val="21"/>
          <w:highlight w:val="none"/>
          <w:u w:val="single"/>
        </w:rPr>
        <w:t>因承包人主要施工管理人员不称职，发包人要求调换而无正当理由拒绝撤换或未及时调换的，视为承包人违约，必须向发包人交纳处罚金，处罚标准：技术负责人3000元/人•次（人民币）；专业工程师1000元/人•次（人民币）</w:t>
      </w:r>
      <w:r>
        <w:rPr>
          <w:rFonts w:hint="eastAsia" w:ascii="宋体" w:hAnsi="宋体" w:cs="宋体"/>
          <w:color w:val="auto"/>
          <w:szCs w:val="21"/>
          <w:highlight w:val="none"/>
        </w:rPr>
        <w:t>。</w:t>
      </w:r>
    </w:p>
    <w:p w14:paraId="6683EE8D">
      <w:pPr>
        <w:pStyle w:val="21"/>
        <w:keepNext w:val="0"/>
        <w:keepLines w:val="0"/>
        <w:pageBreakBefore w:val="0"/>
        <w:widowControl w:val="0"/>
        <w:wordWrap/>
        <w:topLinePunct w:val="0"/>
        <w:bidi w:val="0"/>
        <w:spacing w:line="38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3.3.4 承包人主要施工管理人员离开施工现场的批准要求：</w:t>
      </w:r>
      <w:r>
        <w:rPr>
          <w:rFonts w:hint="eastAsia" w:ascii="宋体" w:hAnsi="宋体" w:cs="宋体"/>
          <w:color w:val="auto"/>
          <w:szCs w:val="21"/>
          <w:highlight w:val="none"/>
          <w:u w:val="single"/>
        </w:rPr>
        <w:t>经建设单位及监理单位批准同意后</w:t>
      </w:r>
      <w:r>
        <w:rPr>
          <w:rFonts w:hint="eastAsia" w:ascii="宋体" w:hAnsi="宋体" w:cs="宋体"/>
          <w:color w:val="auto"/>
          <w:szCs w:val="21"/>
          <w:highlight w:val="none"/>
        </w:rPr>
        <w:t>。</w:t>
      </w:r>
    </w:p>
    <w:p w14:paraId="134E7633">
      <w:pPr>
        <w:pStyle w:val="21"/>
        <w:keepNext w:val="0"/>
        <w:keepLines w:val="0"/>
        <w:pageBreakBefore w:val="0"/>
        <w:widowControl w:val="0"/>
        <w:wordWrap/>
        <w:topLinePunct w:val="0"/>
        <w:bidi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3.3.5 承包人擅自更换主要施工管理人员的违约责任：</w:t>
      </w:r>
      <w:r>
        <w:rPr>
          <w:rFonts w:hint="eastAsia" w:ascii="宋体" w:hAnsi="宋体" w:cs="宋体"/>
          <w:color w:val="auto"/>
          <w:szCs w:val="21"/>
          <w:highlight w:val="none"/>
          <w:u w:val="single"/>
        </w:rPr>
        <w:t>项目技术负责人、专职安全员及其承诺的其它在场管理人员未经发包人书面同意不准擅自更换，擅自更换项目技术负责人处 3000元/人•次（人民币）违约金；擅自更换专职安全员处1000元/人•次（人民币）违约金；擅自更换其它在场管理人员处500元/人•次（人民币）违约金</w:t>
      </w:r>
      <w:r>
        <w:rPr>
          <w:rFonts w:hint="eastAsia" w:ascii="宋体" w:hAnsi="宋体" w:cs="宋体"/>
          <w:color w:val="auto"/>
          <w:szCs w:val="21"/>
          <w:highlight w:val="none"/>
        </w:rPr>
        <w:t>。</w:t>
      </w:r>
    </w:p>
    <w:p w14:paraId="4D07A82F">
      <w:pPr>
        <w:pStyle w:val="21"/>
        <w:keepNext w:val="0"/>
        <w:keepLines w:val="0"/>
        <w:pageBreakBefore w:val="0"/>
        <w:widowControl w:val="0"/>
        <w:wordWrap/>
        <w:topLinePunct w:val="0"/>
        <w:bidi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承包人主要施工管理人员擅自离开施工现场的违约责任：</w:t>
      </w:r>
      <w:r>
        <w:rPr>
          <w:rFonts w:hint="eastAsia" w:ascii="宋体" w:hAnsi="宋体" w:cs="宋体"/>
          <w:color w:val="auto"/>
          <w:szCs w:val="21"/>
          <w:highlight w:val="none"/>
          <w:u w:val="single"/>
        </w:rPr>
        <w:t>未经发包人同意，项目技术负责人擅自离岗的，视为承包人违约，发包人有权处违约金500元/人•次（人民币）；未经发包人同意，专职安全员擅自离岗的，视为承包人违约，发包人有权处违约金500元/人•次（人民币）；其它在场管理人员擅自离岗的，视为承包人违约，发包人有权处违约金300元/人•次（人民币）</w:t>
      </w:r>
      <w:r>
        <w:rPr>
          <w:rFonts w:hint="eastAsia" w:ascii="宋体" w:hAnsi="宋体" w:cs="宋体"/>
          <w:color w:val="auto"/>
          <w:szCs w:val="21"/>
          <w:highlight w:val="none"/>
        </w:rPr>
        <w:t>。</w:t>
      </w:r>
    </w:p>
    <w:p w14:paraId="2176D4CB">
      <w:pPr>
        <w:pStyle w:val="37"/>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871" w:name="_Toc418061321"/>
      <w:bookmarkStart w:id="872" w:name="_Toc418518120"/>
      <w:bookmarkStart w:id="873" w:name="_Toc24620"/>
      <w:bookmarkStart w:id="874" w:name="_Toc418751806"/>
      <w:bookmarkStart w:id="875" w:name="_Toc256000190"/>
      <w:bookmarkStart w:id="876" w:name="_Toc522201740"/>
      <w:bookmarkStart w:id="877" w:name="_Toc403578944"/>
      <w:bookmarkStart w:id="878" w:name="_Toc389065276"/>
      <w:bookmarkStart w:id="879" w:name="_Toc373227710"/>
      <w:bookmarkStart w:id="880" w:name="_Toc373478357"/>
      <w:bookmarkStart w:id="881" w:name="_Toc497747188"/>
      <w:bookmarkStart w:id="882" w:name="_Toc418752252"/>
      <w:bookmarkStart w:id="883" w:name="_Toc418518356"/>
      <w:bookmarkStart w:id="884" w:name="_Toc497746791"/>
      <w:r>
        <w:rPr>
          <w:rFonts w:hint="eastAsia" w:ascii="宋体" w:cs="宋体"/>
          <w:color w:val="auto"/>
          <w:highlight w:val="none"/>
        </w:rPr>
        <w:t>3</w:t>
      </w:r>
      <w:bookmarkStart w:id="885" w:name="_Toc312677988"/>
      <w:bookmarkStart w:id="886" w:name="_Toc296346660"/>
      <w:bookmarkStart w:id="887" w:name="_Toc297120459"/>
      <w:bookmarkStart w:id="888" w:name="_Toc300934945"/>
      <w:bookmarkStart w:id="889" w:name="_Toc303539102"/>
      <w:bookmarkStart w:id="890" w:name="_Toc297216151"/>
      <w:bookmarkStart w:id="891" w:name="_Toc296503159"/>
      <w:bookmarkStart w:id="892" w:name="_Toc296891199"/>
      <w:bookmarkStart w:id="893" w:name="_Toc297048345"/>
      <w:bookmarkStart w:id="894" w:name="_Toc297123492"/>
      <w:bookmarkStart w:id="895" w:name="_Toc296347158"/>
      <w:bookmarkStart w:id="896" w:name="_Toc292559364"/>
      <w:bookmarkStart w:id="897" w:name="_Toc296944498"/>
      <w:bookmarkStart w:id="898" w:name="_Toc304295523"/>
      <w:bookmarkStart w:id="899" w:name="_Toc296890987"/>
      <w:bookmarkStart w:id="900" w:name="_Toc292559869"/>
      <w:r>
        <w:rPr>
          <w:rFonts w:hint="eastAsia" w:ascii="宋体" w:cs="宋体"/>
          <w:color w:val="auto"/>
          <w:highlight w:val="none"/>
        </w:rPr>
        <w:t>.5 分包</w:t>
      </w:r>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p>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p w14:paraId="26185252">
      <w:pPr>
        <w:pStyle w:val="21"/>
        <w:keepNext w:val="0"/>
        <w:keepLines w:val="0"/>
        <w:pageBreakBefore w:val="0"/>
        <w:widowControl w:val="0"/>
        <w:wordWrap/>
        <w:topLinePunct w:val="0"/>
        <w:bidi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w:t>
      </w:r>
      <w:bookmarkStart w:id="901" w:name="_Toc297120460"/>
      <w:bookmarkStart w:id="902" w:name="_Toc312677989"/>
      <w:bookmarkStart w:id="903" w:name="_Toc296346661"/>
      <w:bookmarkStart w:id="904" w:name="_Toc296944499"/>
      <w:bookmarkStart w:id="905" w:name="_Toc303539103"/>
      <w:bookmarkStart w:id="906" w:name="_Toc304295524"/>
      <w:bookmarkStart w:id="907" w:name="_Toc292559365"/>
      <w:bookmarkStart w:id="908" w:name="_Toc297216152"/>
      <w:bookmarkStart w:id="909" w:name="_Toc296347159"/>
      <w:bookmarkStart w:id="910" w:name="_Toc300934946"/>
      <w:bookmarkStart w:id="911" w:name="_Toc296891200"/>
      <w:bookmarkStart w:id="912" w:name="_Toc297123493"/>
      <w:bookmarkStart w:id="913" w:name="_Toc297048346"/>
      <w:bookmarkStart w:id="914" w:name="_Toc292559870"/>
      <w:bookmarkStart w:id="915" w:name="_Toc296890988"/>
      <w:bookmarkStart w:id="916" w:name="_Toc296503160"/>
      <w:bookmarkStart w:id="917" w:name="_Toc318581158"/>
      <w:r>
        <w:rPr>
          <w:rFonts w:hint="eastAsia" w:ascii="宋体" w:hAnsi="宋体" w:cs="宋体"/>
          <w:color w:val="auto"/>
          <w:szCs w:val="21"/>
          <w:highlight w:val="none"/>
        </w:rPr>
        <w:t>.5.1 分包的一般约定</w:t>
      </w:r>
    </w:p>
    <w:p w14:paraId="175AFD9F">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禁止分包的工程包括：</w:t>
      </w:r>
      <w:r>
        <w:rPr>
          <w:rFonts w:ascii="宋体" w:hAnsi="宋体" w:cs="宋体"/>
          <w:color w:val="auto"/>
          <w:szCs w:val="21"/>
          <w:highlight w:val="none"/>
          <w:u w:val="single"/>
        </w:rPr>
        <w:t></w:t>
      </w:r>
      <w:r>
        <w:rPr>
          <w:rFonts w:hint="eastAsia" w:ascii="宋体" w:hAnsi="宋体" w:cs="宋体"/>
          <w:color w:val="auto"/>
          <w:szCs w:val="21"/>
          <w:highlight w:val="none"/>
          <w:u w:val="single"/>
        </w:rPr>
        <w:t xml:space="preserve">除劳务工程外 </w:t>
      </w:r>
      <w:r>
        <w:rPr>
          <w:rFonts w:hint="eastAsia" w:ascii="宋体" w:hAnsi="宋体" w:cs="宋体"/>
          <w:color w:val="auto"/>
          <w:szCs w:val="21"/>
          <w:highlight w:val="none"/>
        </w:rPr>
        <w:t>。</w:t>
      </w:r>
    </w:p>
    <w:p w14:paraId="536FFC2C">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主体结构、关键性工作的范围：</w:t>
      </w:r>
      <w:r>
        <w:rPr>
          <w:rFonts w:ascii="宋体" w:hAnsi="宋体" w:cs="宋体"/>
          <w:color w:val="auto"/>
          <w:szCs w:val="21"/>
          <w:highlight w:val="none"/>
          <w:u w:val="single"/>
        </w:rPr>
        <w:t></w:t>
      </w:r>
      <w:r>
        <w:rPr>
          <w:rFonts w:hint="eastAsia" w:ascii="宋体" w:hAnsi="宋体" w:cs="宋体"/>
          <w:color w:val="auto"/>
          <w:szCs w:val="21"/>
          <w:highlight w:val="none"/>
          <w:u w:val="single"/>
        </w:rPr>
        <w:t xml:space="preserve">禁止分包  </w:t>
      </w:r>
      <w:r>
        <w:rPr>
          <w:rFonts w:hint="eastAsia" w:ascii="宋体" w:hAnsi="宋体" w:cs="宋体"/>
          <w:color w:val="auto"/>
          <w:szCs w:val="21"/>
          <w:highlight w:val="none"/>
        </w:rPr>
        <w:t>。</w:t>
      </w:r>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p>
    <w:p w14:paraId="52E38DE5">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w:t>
      </w:r>
      <w:bookmarkStart w:id="918" w:name="_Toc318581159"/>
      <w:bookmarkStart w:id="919" w:name="_Toc312677990"/>
      <w:r>
        <w:rPr>
          <w:rFonts w:hint="eastAsia" w:ascii="宋体" w:hAnsi="宋体" w:cs="宋体"/>
          <w:color w:val="auto"/>
          <w:szCs w:val="21"/>
          <w:highlight w:val="none"/>
        </w:rPr>
        <w:t>.5.2 分包的确定</w:t>
      </w:r>
    </w:p>
    <w:p w14:paraId="31247902">
      <w:pPr>
        <w:pStyle w:val="21"/>
        <w:keepNext w:val="0"/>
        <w:keepLines w:val="0"/>
        <w:pageBreakBefore w:val="0"/>
        <w:widowControl w:val="0"/>
        <w:wordWrap/>
        <w:topLinePunct w:val="0"/>
        <w:bidi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允许分包的专业工程包括：</w:t>
      </w:r>
      <w:r>
        <w:rPr>
          <w:rFonts w:hint="eastAsia" w:ascii="宋体" w:hAnsi="宋体" w:cs="宋体"/>
          <w:color w:val="auto"/>
          <w:szCs w:val="21"/>
          <w:highlight w:val="none"/>
          <w:u w:val="single"/>
        </w:rPr>
        <w:t xml:space="preserve">劳务工程  </w:t>
      </w:r>
      <w:r>
        <w:rPr>
          <w:rFonts w:hint="eastAsia" w:ascii="宋体" w:hAnsi="宋体" w:cs="宋体"/>
          <w:color w:val="auto"/>
          <w:szCs w:val="21"/>
          <w:highlight w:val="none"/>
        </w:rPr>
        <w:t>。</w:t>
      </w:r>
    </w:p>
    <w:p w14:paraId="41ADA6FA">
      <w:pPr>
        <w:pStyle w:val="21"/>
        <w:keepNext w:val="0"/>
        <w:keepLines w:val="0"/>
        <w:pageBreakBefore w:val="0"/>
        <w:widowControl w:val="0"/>
        <w:wordWrap/>
        <w:topLinePunct w:val="0"/>
        <w:bidi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其他关于分包的约定：</w:t>
      </w:r>
    </w:p>
    <w:p w14:paraId="74FC7DE5">
      <w:pPr>
        <w:pStyle w:val="21"/>
        <w:keepNext w:val="0"/>
        <w:keepLines w:val="0"/>
        <w:pageBreakBefore w:val="0"/>
        <w:widowControl w:val="0"/>
        <w:wordWrap/>
        <w:topLinePunct w:val="0"/>
        <w:bidi w:val="0"/>
        <w:spacing w:line="38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7。</w:t>
      </w:r>
    </w:p>
    <w:p w14:paraId="28FD2ECC">
      <w:pPr>
        <w:pStyle w:val="21"/>
        <w:keepNext w:val="0"/>
        <w:keepLines w:val="0"/>
        <w:pageBreakBefore w:val="0"/>
        <w:widowControl w:val="0"/>
        <w:wordWrap/>
        <w:topLinePunct w:val="0"/>
        <w:bidi w:val="0"/>
        <w:spacing w:line="38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（2）在相关分包合同签订并报送有关建设行政主管部门备案后7天内，承包人应当将一份副本提交给监理人，承包人应保障分包工作不得再次分包。</w:t>
      </w:r>
    </w:p>
    <w:p w14:paraId="13AFC2D4">
      <w:pPr>
        <w:pStyle w:val="21"/>
        <w:keepNext w:val="0"/>
        <w:keepLines w:val="0"/>
        <w:pageBreakBefore w:val="0"/>
        <w:widowControl w:val="0"/>
        <w:wordWrap/>
        <w:topLinePunct w:val="0"/>
        <w:bidi w:val="0"/>
        <w:spacing w:line="38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（3）未经承包人和监理人审批同意的分包工程和分包人，承包人有权拒绝验收分包工程和支付相应款项，由此引起的发包人费用增加和(或)延误的工期由发包人承担。</w:t>
      </w:r>
    </w:p>
    <w:p w14:paraId="4729B393">
      <w:pPr>
        <w:pStyle w:val="21"/>
        <w:keepNext w:val="0"/>
        <w:keepLines w:val="0"/>
        <w:pageBreakBefore w:val="0"/>
        <w:widowControl w:val="0"/>
        <w:wordWrap/>
        <w:topLinePunct w:val="0"/>
        <w:bidi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3.5.4 分包合同价款 </w:t>
      </w:r>
    </w:p>
    <w:p w14:paraId="0BB8EF5D">
      <w:pPr>
        <w:pStyle w:val="21"/>
        <w:keepNext w:val="0"/>
        <w:keepLines w:val="0"/>
        <w:pageBreakBefore w:val="0"/>
        <w:widowControl w:val="0"/>
        <w:wordWrap/>
        <w:topLinePunct w:val="0"/>
        <w:bidi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关于分包合同价款支付的约定：</w:t>
      </w:r>
      <w:r>
        <w:rPr>
          <w:rFonts w:hint="eastAsia" w:ascii="宋体" w:hAnsi="宋体" w:cs="宋体"/>
          <w:color w:val="auto"/>
          <w:szCs w:val="21"/>
          <w:highlight w:val="none"/>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bookmarkEnd w:id="918"/>
    <w:bookmarkEnd w:id="919"/>
    <w:p w14:paraId="49853439">
      <w:pPr>
        <w:pStyle w:val="37"/>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920" w:name="_Toc373227711"/>
      <w:bookmarkStart w:id="921" w:name="_Toc373478358"/>
      <w:bookmarkStart w:id="922" w:name="_Toc418752253"/>
      <w:bookmarkStart w:id="923" w:name="_Toc497746792"/>
      <w:bookmarkStart w:id="924" w:name="_Toc256000191"/>
      <w:bookmarkStart w:id="925" w:name="_Toc418518357"/>
      <w:bookmarkStart w:id="926" w:name="_Toc522201741"/>
      <w:bookmarkStart w:id="927" w:name="_Toc418061322"/>
      <w:bookmarkStart w:id="928" w:name="_Toc16618"/>
      <w:bookmarkStart w:id="929" w:name="_Toc403578945"/>
      <w:bookmarkStart w:id="930" w:name="_Toc418518121"/>
      <w:bookmarkStart w:id="931" w:name="_Toc418751807"/>
      <w:bookmarkStart w:id="932" w:name="_Toc389065277"/>
      <w:bookmarkStart w:id="933" w:name="_Toc497747189"/>
      <w:r>
        <w:rPr>
          <w:rFonts w:hint="eastAsia" w:ascii="宋体" w:cs="宋体"/>
          <w:color w:val="auto"/>
          <w:highlight w:val="none"/>
        </w:rPr>
        <w:t>3.6 工程照管与成品、半成品保护</w:t>
      </w:r>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p>
    <w:p w14:paraId="64317CAC">
      <w:pPr>
        <w:pStyle w:val="21"/>
        <w:keepNext w:val="0"/>
        <w:keepLines w:val="0"/>
        <w:pageBreakBefore w:val="0"/>
        <w:widowControl w:val="0"/>
        <w:wordWrap/>
        <w:topLinePunct w:val="0"/>
        <w:bidi w:val="0"/>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承包人负责照管工程及工程相关的材料、工程设备的起始时间：</w:t>
      </w:r>
      <w:r>
        <w:rPr>
          <w:rFonts w:hint="eastAsia" w:ascii="宋体" w:hAnsi="宋体" w:cs="宋体"/>
          <w:color w:val="auto"/>
          <w:szCs w:val="21"/>
          <w:highlight w:val="none"/>
          <w:u w:val="single"/>
        </w:rPr>
        <w:t>自发包人向承包人移交施工现场之日起，到颁发工程接收证书之日止</w:t>
      </w:r>
      <w:r>
        <w:rPr>
          <w:rFonts w:hint="eastAsia" w:ascii="宋体" w:hAnsi="宋体" w:cs="宋体"/>
          <w:color w:val="auto"/>
          <w:kern w:val="0"/>
          <w:szCs w:val="21"/>
          <w:highlight w:val="none"/>
        </w:rPr>
        <w:t>。</w:t>
      </w:r>
    </w:p>
    <w:p w14:paraId="28532E86">
      <w:pPr>
        <w:pStyle w:val="42"/>
        <w:keepNext w:val="0"/>
        <w:keepLines w:val="0"/>
        <w:pageBreakBefore w:val="0"/>
        <w:widowControl w:val="0"/>
        <w:wordWrap/>
        <w:topLinePunct w:val="0"/>
        <w:bidi w:val="0"/>
        <w:spacing w:line="380" w:lineRule="exact"/>
        <w:rPr>
          <w:rFonts w:ascii="宋体" w:hAnsi="宋体" w:cs="宋体"/>
          <w:color w:val="auto"/>
          <w:highlight w:val="none"/>
        </w:rPr>
      </w:pPr>
      <w:r>
        <w:rPr>
          <w:rFonts w:hint="eastAsia" w:ascii="宋体" w:hAnsi="宋体" w:cs="宋体"/>
          <w:color w:val="auto"/>
          <w:highlight w:val="none"/>
        </w:rPr>
        <w:t>承包人负责照管工程及工程相关的材料、工程设备的范围：</w:t>
      </w:r>
      <w:r>
        <w:rPr>
          <w:rFonts w:hint="eastAsia" w:ascii="宋体" w:hAnsi="宋体" w:cs="宋体"/>
          <w:color w:val="auto"/>
          <w:highlight w:val="none"/>
          <w:u w:val="single"/>
        </w:rPr>
        <w:t>除承包人自身承包范围内的材料、工程设备外，也有义务照管与本项目相关的由发包人另行发包的其他专业工程设备。并有义务避免因自身的原因造成对其他承包人的成品、半成品的损坏、污染</w:t>
      </w:r>
      <w:r>
        <w:rPr>
          <w:rFonts w:hint="eastAsia" w:ascii="宋体" w:hAnsi="宋体" w:cs="宋体"/>
          <w:color w:val="auto"/>
          <w:highlight w:val="none"/>
        </w:rPr>
        <w:t>。</w:t>
      </w:r>
    </w:p>
    <w:p w14:paraId="630A6155">
      <w:pPr>
        <w:pStyle w:val="37"/>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934" w:name="_Toc418518122"/>
      <w:bookmarkStart w:id="935" w:name="_Toc373227712"/>
      <w:bookmarkStart w:id="936" w:name="_Toc497746793"/>
      <w:bookmarkStart w:id="937" w:name="_Toc522201742"/>
      <w:bookmarkStart w:id="938" w:name="_Toc418518358"/>
      <w:bookmarkStart w:id="939" w:name="_Toc418752254"/>
      <w:bookmarkStart w:id="940" w:name="_Toc497747190"/>
      <w:bookmarkStart w:id="941" w:name="_Toc389065278"/>
      <w:bookmarkStart w:id="942" w:name="_Toc418751808"/>
      <w:bookmarkStart w:id="943" w:name="_Toc418061323"/>
      <w:bookmarkStart w:id="944" w:name="_Toc403578946"/>
      <w:bookmarkStart w:id="945" w:name="_Toc373478359"/>
      <w:bookmarkStart w:id="946" w:name="_Toc256000192"/>
      <w:bookmarkStart w:id="947" w:name="_Toc26561"/>
      <w:r>
        <w:rPr>
          <w:rFonts w:hint="eastAsia" w:ascii="宋体" w:cs="宋体"/>
          <w:color w:val="auto"/>
          <w:highlight w:val="none"/>
        </w:rPr>
        <w:t>3.7 履约</w:t>
      </w:r>
      <w:bookmarkEnd w:id="934"/>
      <w:bookmarkEnd w:id="935"/>
      <w:bookmarkEnd w:id="936"/>
      <w:bookmarkEnd w:id="937"/>
      <w:bookmarkEnd w:id="938"/>
      <w:bookmarkEnd w:id="939"/>
      <w:bookmarkEnd w:id="940"/>
      <w:bookmarkEnd w:id="941"/>
      <w:bookmarkEnd w:id="942"/>
      <w:bookmarkEnd w:id="943"/>
      <w:bookmarkEnd w:id="944"/>
      <w:bookmarkEnd w:id="945"/>
      <w:r>
        <w:rPr>
          <w:rFonts w:hint="eastAsia" w:ascii="宋体" w:cs="宋体"/>
          <w:color w:val="auto"/>
          <w:highlight w:val="none"/>
        </w:rPr>
        <w:t>担保</w:t>
      </w:r>
      <w:bookmarkEnd w:id="946"/>
      <w:bookmarkEnd w:id="947"/>
    </w:p>
    <w:p w14:paraId="5503E746">
      <w:pPr>
        <w:pStyle w:val="42"/>
        <w:keepNext w:val="0"/>
        <w:keepLines w:val="0"/>
        <w:pageBreakBefore w:val="0"/>
        <w:widowControl w:val="0"/>
        <w:wordWrap/>
        <w:topLinePunct w:val="0"/>
        <w:bidi w:val="0"/>
        <w:spacing w:line="380" w:lineRule="exact"/>
        <w:rPr>
          <w:rFonts w:ascii="宋体" w:hAnsi="宋体" w:cs="宋体"/>
          <w:color w:val="auto"/>
          <w:highlight w:val="none"/>
        </w:rPr>
      </w:pPr>
      <w:bookmarkStart w:id="948" w:name="_Toc389065279"/>
      <w:bookmarkStart w:id="949" w:name="_Toc418061324"/>
      <w:bookmarkStart w:id="950" w:name="_Toc373227713"/>
      <w:bookmarkStart w:id="951" w:name="_Toc418518123"/>
      <w:bookmarkStart w:id="952" w:name="_Toc418518359"/>
      <w:bookmarkStart w:id="953" w:name="_Toc418751809"/>
      <w:bookmarkStart w:id="954" w:name="_Toc351203636"/>
      <w:bookmarkStart w:id="955" w:name="_Toc418752255"/>
      <w:bookmarkStart w:id="956" w:name="_Toc373478360"/>
      <w:bookmarkStart w:id="957" w:name="_Toc403578947"/>
      <w:r>
        <w:rPr>
          <w:rFonts w:hint="eastAsia" w:ascii="宋体" w:hAnsi="宋体" w:cs="宋体"/>
          <w:color w:val="auto"/>
          <w:highlight w:val="none"/>
        </w:rPr>
        <w:t>承包人是否提供履约担保：</w:t>
      </w:r>
      <w:r>
        <w:rPr>
          <w:rFonts w:hint="eastAsia" w:ascii="宋体" w:hAnsi="宋体" w:cs="宋体"/>
          <w:color w:val="auto"/>
          <w:highlight w:val="none"/>
          <w:u w:val="single"/>
        </w:rPr>
        <w:t xml:space="preserve">     </w:t>
      </w:r>
      <w:r>
        <w:rPr>
          <w:rFonts w:hint="eastAsia" w:ascii="宋体" w:hAnsi="宋体" w:cs="宋体"/>
          <w:color w:val="auto"/>
          <w:highlight w:val="none"/>
          <w:u w:val="single"/>
          <w:lang w:eastAsia="zh-CN"/>
        </w:rPr>
        <w:t>否</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34718A05">
      <w:pPr>
        <w:pStyle w:val="21"/>
        <w:keepNext w:val="0"/>
        <w:keepLines w:val="0"/>
        <w:pageBreakBefore w:val="0"/>
        <w:widowControl w:val="0"/>
        <w:wordWrap/>
        <w:topLinePunct w:val="0"/>
        <w:bidi w:val="0"/>
        <w:spacing w:line="380" w:lineRule="exact"/>
        <w:ind w:firstLine="420" w:firstLineChars="200"/>
        <w:rPr>
          <w:rFonts w:ascii="宋体" w:hAnsi="宋体" w:cs="宋体"/>
          <w:color w:val="auto"/>
          <w:kern w:val="0"/>
          <w:szCs w:val="21"/>
          <w:highlight w:val="none"/>
          <w:u w:val="single"/>
        </w:rPr>
      </w:pPr>
      <w:r>
        <w:rPr>
          <w:rFonts w:hint="eastAsia" w:ascii="宋体" w:hAnsi="宋体" w:cs="宋体"/>
          <w:color w:val="auto"/>
          <w:kern w:val="0"/>
          <w:szCs w:val="21"/>
          <w:highlight w:val="none"/>
        </w:rPr>
        <w:t>承包人提供履约担保的形式、金额及期限的：</w:t>
      </w:r>
      <w:r>
        <w:rPr>
          <w:rFonts w:hint="eastAsia" w:ascii="宋体" w:hAnsi="宋体" w:cs="宋体"/>
          <w:color w:val="auto"/>
          <w:kern w:val="0"/>
          <w:szCs w:val="21"/>
          <w:highlight w:val="none"/>
          <w:lang w:val="en-US" w:eastAsia="zh-CN"/>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w:t>
      </w:r>
    </w:p>
    <w:p w14:paraId="5EC82193">
      <w:pPr>
        <w:pStyle w:val="21"/>
        <w:keepNext w:val="0"/>
        <w:keepLines w:val="0"/>
        <w:pageBreakBefore w:val="0"/>
        <w:widowControl w:val="0"/>
        <w:wordWrap/>
        <w:topLinePunct w:val="0"/>
        <w:bidi w:val="0"/>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工程竣工验收合格并对验收发现的问题完成整改后的7个日历天内，</w:t>
      </w:r>
      <w:r>
        <w:rPr>
          <w:rFonts w:hint="eastAsia" w:ascii="宋体" w:hAnsi="宋体" w:cs="宋体"/>
          <w:color w:val="auto"/>
          <w:szCs w:val="21"/>
          <w:highlight w:val="none"/>
        </w:rPr>
        <w:t>承包人可向发包人申请退还履约保证金。发包人应在收到申请之日起28个日历天内</w:t>
      </w:r>
      <w:r>
        <w:rPr>
          <w:rFonts w:hint="eastAsia" w:ascii="宋体" w:hAnsi="宋体" w:cs="宋体"/>
          <w:color w:val="auto"/>
          <w:kern w:val="0"/>
          <w:szCs w:val="21"/>
          <w:highlight w:val="none"/>
        </w:rPr>
        <w:t>扣减承包人赔偿金和其他应从承包人扣回的款项后，</w:t>
      </w:r>
      <w:r>
        <w:rPr>
          <w:rFonts w:hint="eastAsia" w:ascii="宋体" w:hAnsi="宋体" w:cs="宋体"/>
          <w:color w:val="auto"/>
          <w:szCs w:val="21"/>
          <w:highlight w:val="none"/>
        </w:rPr>
        <w:t>将履约保证金退还给承包人（无息）。</w:t>
      </w:r>
    </w:p>
    <w:p w14:paraId="2C0999D1">
      <w:pPr>
        <w:pStyle w:val="21"/>
        <w:keepNext w:val="0"/>
        <w:keepLines w:val="0"/>
        <w:pageBreakBefore w:val="0"/>
        <w:widowControl w:val="0"/>
        <w:wordWrap/>
        <w:topLinePunct w:val="0"/>
        <w:bidi w:val="0"/>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签订合同前承包人必须按市财建（2018）73号文规定将农民工工资保障金存入帐户。工程竣工验收结算经审定后，按照规定程序，将农民工工资保障金没有使用或剩余的金额退还给承包人。</w:t>
      </w:r>
    </w:p>
    <w:p w14:paraId="698326E5">
      <w:pPr>
        <w:pStyle w:val="37"/>
        <w:keepNext w:val="0"/>
        <w:keepLines w:val="0"/>
        <w:pageBreakBefore w:val="0"/>
        <w:widowControl w:val="0"/>
        <w:wordWrap/>
        <w:topLinePunct w:val="0"/>
        <w:bidi w:val="0"/>
        <w:spacing w:line="380" w:lineRule="exact"/>
        <w:outlineLvl w:val="2"/>
        <w:rPr>
          <w:rFonts w:ascii="宋体" w:cs="宋体"/>
          <w:color w:val="auto"/>
          <w:highlight w:val="none"/>
        </w:rPr>
      </w:pPr>
      <w:bookmarkStart w:id="958" w:name="_Toc17209"/>
      <w:bookmarkStart w:id="959" w:name="_Toc522201743"/>
      <w:bookmarkStart w:id="960" w:name="_Toc497746794"/>
      <w:bookmarkStart w:id="961" w:name="_Toc256000193"/>
      <w:bookmarkStart w:id="962" w:name="_Toc497747191"/>
      <w:r>
        <w:rPr>
          <w:rFonts w:hint="eastAsia" w:ascii="宋体" w:cs="宋体"/>
          <w:color w:val="auto"/>
          <w:highlight w:val="none"/>
        </w:rPr>
        <w:t>4</w:t>
      </w:r>
      <w:bookmarkStart w:id="963" w:name="_Toc297048348"/>
      <w:bookmarkStart w:id="964" w:name="_Toc267251413"/>
      <w:bookmarkStart w:id="965" w:name="_Toc296503162"/>
      <w:bookmarkStart w:id="966" w:name="_Toc296890990"/>
      <w:bookmarkStart w:id="967" w:name="_Toc296346663"/>
      <w:bookmarkStart w:id="968" w:name="_Toc296891202"/>
      <w:bookmarkStart w:id="969" w:name="_Toc292559366"/>
      <w:bookmarkStart w:id="970" w:name="_Toc297120462"/>
      <w:bookmarkStart w:id="971" w:name="_Toc296347161"/>
      <w:bookmarkStart w:id="972" w:name="_Toc296944501"/>
      <w:bookmarkStart w:id="973" w:name="_Toc292559871"/>
      <w:r>
        <w:rPr>
          <w:rFonts w:hint="eastAsia" w:ascii="宋体" w:cs="宋体"/>
          <w:color w:val="auto"/>
          <w:highlight w:val="none"/>
        </w:rPr>
        <w:t>. 监</w:t>
      </w:r>
      <w:bookmarkEnd w:id="963"/>
      <w:bookmarkEnd w:id="964"/>
      <w:bookmarkEnd w:id="965"/>
      <w:bookmarkEnd w:id="966"/>
      <w:bookmarkEnd w:id="967"/>
      <w:bookmarkEnd w:id="968"/>
      <w:bookmarkEnd w:id="969"/>
      <w:bookmarkEnd w:id="970"/>
      <w:bookmarkEnd w:id="971"/>
      <w:bookmarkEnd w:id="972"/>
      <w:bookmarkEnd w:id="973"/>
      <w:r>
        <w:rPr>
          <w:rFonts w:hint="eastAsia" w:ascii="宋体" w:cs="宋体"/>
          <w:color w:val="auto"/>
          <w:highlight w:val="none"/>
        </w:rPr>
        <w:t>理人</w:t>
      </w:r>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p>
    <w:p w14:paraId="1837F757">
      <w:pPr>
        <w:pStyle w:val="37"/>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974" w:name="_Toc418751810"/>
      <w:bookmarkStart w:id="975" w:name="_Toc373227714"/>
      <w:bookmarkStart w:id="976" w:name="_Toc497747192"/>
      <w:bookmarkStart w:id="977" w:name="_Toc418752256"/>
      <w:bookmarkStart w:id="978" w:name="_Toc32585"/>
      <w:bookmarkStart w:id="979" w:name="_Toc256000194"/>
      <w:bookmarkStart w:id="980" w:name="_Toc389065280"/>
      <w:bookmarkStart w:id="981" w:name="_Toc418061325"/>
      <w:bookmarkStart w:id="982" w:name="_Toc373478361"/>
      <w:bookmarkStart w:id="983" w:name="_Toc418518124"/>
      <w:bookmarkStart w:id="984" w:name="_Toc522201744"/>
      <w:bookmarkStart w:id="985" w:name="_Toc497746795"/>
      <w:bookmarkStart w:id="986" w:name="_Toc418518360"/>
      <w:bookmarkStart w:id="987" w:name="_Toc403578948"/>
      <w:r>
        <w:rPr>
          <w:rFonts w:hint="eastAsia" w:ascii="宋体" w:cs="宋体"/>
          <w:color w:val="auto"/>
          <w:highlight w:val="none"/>
        </w:rPr>
        <w:t>4.1 监理人的一般规定</w:t>
      </w:r>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p>
    <w:p w14:paraId="0C694DB3">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关于监理人的监理内容：</w:t>
      </w:r>
      <w:r>
        <w:rPr>
          <w:rFonts w:hint="eastAsia" w:ascii="宋体" w:hAnsi="宋体" w:cs="宋体"/>
          <w:color w:val="auto"/>
          <w:szCs w:val="21"/>
          <w:highlight w:val="none"/>
          <w:u w:val="single"/>
        </w:rPr>
        <w:t xml:space="preserve"> 检查施工承包人工程质量，安全生产管理制度及组织机构人员资格；审查施工承包人员提交的施工进度计划及工程施工范围内所有内容。</w:t>
      </w:r>
    </w:p>
    <w:p w14:paraId="5795D189">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关于监理人的监理权限：</w:t>
      </w:r>
      <w:r>
        <w:rPr>
          <w:rFonts w:hint="eastAsia" w:ascii="宋体" w:hAnsi="宋体" w:cs="宋体"/>
          <w:color w:val="auto"/>
          <w:szCs w:val="21"/>
          <w:highlight w:val="none"/>
          <w:u w:val="single"/>
        </w:rPr>
        <w:t>代表发包人对工程施工相关事项进行检查、查验、审核、验收，并签发相关指示，但监理人无权修改合同，且无权减轻或免除合同约定的承包人的任何责任与义务</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 xml:space="preserve"> 1、在发出施工进度计划和施工方案说明以及有关能引起工程费用实际增加（减少）或延长工期的指令前，应得到发包人的书面批准。2、监理工程师在向承包人发出有关技术规范的重大变更或有关变更合同条款的任何指令前均应获得发包人书面批准。3、工程实际竣工日期提前或超过工程承包合同规定的竣工期限的签证之前应得到发包人的书面批准。4、签证单监理只有证明权，无确认权。5、工程内容和材料变更确认应得到发包人的书面批准。不管通用合同条款如何约定，监理人履行须经发包人批准行使的权利时，应当向承包人出示其行使该权利已经取得发包人批准的文件或者其他合法有效的证明 。</w:t>
      </w:r>
      <w:r>
        <w:rPr>
          <w:rFonts w:hint="eastAsia" w:ascii="宋体" w:hAnsi="宋体" w:cs="宋体"/>
          <w:color w:val="auto"/>
          <w:szCs w:val="21"/>
          <w:highlight w:val="none"/>
        </w:rPr>
        <w:t xml:space="preserve">  </w:t>
      </w:r>
    </w:p>
    <w:p w14:paraId="4DA47D93">
      <w:pPr>
        <w:pStyle w:val="21"/>
        <w:keepNext w:val="0"/>
        <w:keepLines w:val="0"/>
        <w:pageBreakBefore w:val="0"/>
        <w:widowControl w:val="0"/>
        <w:wordWrap/>
        <w:topLinePunct w:val="0"/>
        <w:bidi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关于监理人在施工现场的办公场所、生活场所的提供和费用承担的约定：</w:t>
      </w:r>
      <w:r>
        <w:rPr>
          <w:rFonts w:hint="eastAsia" w:ascii="宋体" w:hAnsi="宋体" w:cs="宋体"/>
          <w:color w:val="auto"/>
          <w:szCs w:val="21"/>
          <w:highlight w:val="none"/>
          <w:u w:val="single"/>
        </w:rPr>
        <w:t>由承包人为发包人、监理单位免费提供三间办公室</w:t>
      </w:r>
      <w:r>
        <w:rPr>
          <w:rFonts w:hint="eastAsia" w:ascii="宋体" w:hAnsi="宋体"/>
          <w:color w:val="auto"/>
          <w:szCs w:val="21"/>
          <w:highlight w:val="none"/>
          <w:u w:val="single"/>
        </w:rPr>
        <w:t>并承担相关费用</w:t>
      </w:r>
      <w:r>
        <w:rPr>
          <w:rFonts w:hint="eastAsia" w:ascii="宋体" w:hAnsi="宋体" w:cs="宋体"/>
          <w:color w:val="auto"/>
          <w:szCs w:val="21"/>
          <w:highlight w:val="none"/>
        </w:rPr>
        <w:t>。</w:t>
      </w:r>
    </w:p>
    <w:p w14:paraId="34C25B87">
      <w:pPr>
        <w:pStyle w:val="37"/>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988" w:name="_Toc25694"/>
      <w:bookmarkStart w:id="989" w:name="_Toc418752257"/>
      <w:bookmarkStart w:id="990" w:name="_Toc522201745"/>
      <w:bookmarkStart w:id="991" w:name="_Toc497746796"/>
      <w:bookmarkStart w:id="992" w:name="_Toc256000195"/>
      <w:bookmarkStart w:id="993" w:name="_Toc418518361"/>
      <w:bookmarkStart w:id="994" w:name="_Toc418061326"/>
      <w:bookmarkStart w:id="995" w:name="_Toc418518125"/>
      <w:bookmarkStart w:id="996" w:name="_Toc403578949"/>
      <w:bookmarkStart w:id="997" w:name="_Toc418751811"/>
      <w:bookmarkStart w:id="998" w:name="_Toc373478362"/>
      <w:bookmarkStart w:id="999" w:name="_Toc389065281"/>
      <w:bookmarkStart w:id="1000" w:name="_Toc373227715"/>
      <w:bookmarkStart w:id="1001" w:name="_Toc497747193"/>
      <w:r>
        <w:rPr>
          <w:rFonts w:hint="eastAsia" w:ascii="宋体" w:cs="宋体"/>
          <w:color w:val="auto"/>
          <w:highlight w:val="none"/>
        </w:rPr>
        <w:t>4.2 监理人员</w:t>
      </w:r>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p>
    <w:p w14:paraId="6A7706B2">
      <w:pPr>
        <w:pStyle w:val="21"/>
        <w:keepNext w:val="0"/>
        <w:keepLines w:val="0"/>
        <w:pageBreakBefore w:val="0"/>
        <w:widowControl w:val="0"/>
        <w:wordWrap/>
        <w:topLinePunct w:val="0"/>
        <w:bidi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总监理工程师：</w:t>
      </w:r>
    </w:p>
    <w:p w14:paraId="05767A8D">
      <w:pPr>
        <w:pStyle w:val="21"/>
        <w:keepNext w:val="0"/>
        <w:keepLines w:val="0"/>
        <w:pageBreakBefore w:val="0"/>
        <w:widowControl w:val="0"/>
        <w:wordWrap/>
        <w:topLinePunct w:val="0"/>
        <w:bidi w:val="0"/>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14:paraId="3143F740">
      <w:pPr>
        <w:pStyle w:val="21"/>
        <w:keepNext w:val="0"/>
        <w:keepLines w:val="0"/>
        <w:pageBreakBefore w:val="0"/>
        <w:widowControl w:val="0"/>
        <w:wordWrap/>
        <w:topLinePunct w:val="0"/>
        <w:bidi w:val="0"/>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职    务：</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F4B1939">
      <w:pPr>
        <w:pStyle w:val="21"/>
        <w:keepNext w:val="0"/>
        <w:keepLines w:val="0"/>
        <w:pageBreakBefore w:val="0"/>
        <w:widowControl w:val="0"/>
        <w:wordWrap/>
        <w:topLinePunct w:val="0"/>
        <w:bidi w:val="0"/>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监理工程师执业资格证书号：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818FBAE">
      <w:pPr>
        <w:pStyle w:val="21"/>
        <w:keepNext w:val="0"/>
        <w:keepLines w:val="0"/>
        <w:pageBreakBefore w:val="0"/>
        <w:widowControl w:val="0"/>
        <w:wordWrap/>
        <w:topLinePunct w:val="0"/>
        <w:bidi w:val="0"/>
        <w:spacing w:line="38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rPr>
        <w:t>；</w:t>
      </w:r>
    </w:p>
    <w:p w14:paraId="267645E7">
      <w:pPr>
        <w:pStyle w:val="21"/>
        <w:keepNext w:val="0"/>
        <w:keepLines w:val="0"/>
        <w:pageBreakBefore w:val="0"/>
        <w:widowControl w:val="0"/>
        <w:wordWrap/>
        <w:topLinePunct w:val="0"/>
        <w:bidi w:val="0"/>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rPr>
        <w:t>；</w:t>
      </w:r>
    </w:p>
    <w:p w14:paraId="17FF630B">
      <w:pPr>
        <w:pStyle w:val="21"/>
        <w:keepNext w:val="0"/>
        <w:keepLines w:val="0"/>
        <w:pageBreakBefore w:val="0"/>
        <w:widowControl w:val="0"/>
        <w:wordWrap/>
        <w:topLinePunct w:val="0"/>
        <w:bidi w:val="0"/>
        <w:spacing w:line="380" w:lineRule="exact"/>
        <w:ind w:firstLine="420" w:firstLineChars="200"/>
        <w:rPr>
          <w:rFonts w:hint="eastAsia" w:ascii="宋体" w:hAnsi="宋体" w:cs="宋体"/>
          <w:color w:val="auto"/>
          <w:szCs w:val="21"/>
          <w:highlight w:val="none"/>
          <w:u w:val="none"/>
        </w:rPr>
      </w:pPr>
      <w:r>
        <w:rPr>
          <w:rFonts w:hint="eastAsia" w:ascii="宋体" w:hAnsi="宋体" w:cs="宋体"/>
          <w:color w:val="auto"/>
          <w:szCs w:val="21"/>
          <w:highlight w:val="none"/>
        </w:rPr>
        <w:t>通信地址：</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rPr>
        <w:t>；</w:t>
      </w:r>
    </w:p>
    <w:p w14:paraId="3AECF9EA">
      <w:pPr>
        <w:pStyle w:val="21"/>
        <w:keepNext w:val="0"/>
        <w:keepLines w:val="0"/>
        <w:pageBreakBefore w:val="0"/>
        <w:widowControl w:val="0"/>
        <w:wordWrap/>
        <w:topLinePunct w:val="0"/>
        <w:bidi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关于监理人的其他约定：</w:t>
      </w:r>
      <w:r>
        <w:rPr>
          <w:rFonts w:hint="eastAsia" w:ascii="宋体" w:hAnsi="宋体" w:cs="宋体"/>
          <w:color w:val="auto"/>
          <w:szCs w:val="21"/>
          <w:highlight w:val="none"/>
          <w:u w:val="single"/>
        </w:rPr>
        <w:t xml:space="preserve"> 见监理合同</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rPr>
        <w:t>。</w:t>
      </w:r>
    </w:p>
    <w:p w14:paraId="4F3E134F">
      <w:pPr>
        <w:pStyle w:val="37"/>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1002" w:name="_Toc418518362"/>
      <w:bookmarkStart w:id="1003" w:name="_Toc497747194"/>
      <w:bookmarkStart w:id="1004" w:name="_Toc389065282"/>
      <w:bookmarkStart w:id="1005" w:name="_Toc497746797"/>
      <w:bookmarkStart w:id="1006" w:name="_Toc6980"/>
      <w:bookmarkStart w:id="1007" w:name="_Toc403578950"/>
      <w:bookmarkStart w:id="1008" w:name="_Toc418061327"/>
      <w:bookmarkStart w:id="1009" w:name="_Toc418752258"/>
      <w:bookmarkStart w:id="1010" w:name="_Toc373478363"/>
      <w:bookmarkStart w:id="1011" w:name="_Toc256000196"/>
      <w:bookmarkStart w:id="1012" w:name="_Toc373227716"/>
      <w:bookmarkStart w:id="1013" w:name="_Toc418751812"/>
      <w:bookmarkStart w:id="1014" w:name="_Toc418518126"/>
      <w:bookmarkStart w:id="1015" w:name="_Toc522201746"/>
      <w:r>
        <w:rPr>
          <w:rFonts w:hint="eastAsia" w:ascii="宋体" w:cs="宋体"/>
          <w:color w:val="auto"/>
          <w:highlight w:val="none"/>
        </w:rPr>
        <w:t>4.4 商定或确定</w:t>
      </w:r>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p>
    <w:p w14:paraId="0F90A0B7">
      <w:pPr>
        <w:pStyle w:val="21"/>
        <w:keepNext w:val="0"/>
        <w:keepLines w:val="0"/>
        <w:pageBreakBefore w:val="0"/>
        <w:widowControl w:val="0"/>
        <w:wordWrap/>
        <w:topLinePunct w:val="0"/>
        <w:bidi w:val="0"/>
        <w:spacing w:line="380" w:lineRule="exact"/>
        <w:ind w:firstLine="420" w:firstLineChars="200"/>
        <w:rPr>
          <w:rFonts w:ascii="宋体" w:hAnsi="宋体" w:cs="宋体"/>
          <w:color w:val="auto"/>
          <w:szCs w:val="21"/>
          <w:highlight w:val="none"/>
        </w:rPr>
      </w:pPr>
      <w:bookmarkStart w:id="1016" w:name="_Toc267251418"/>
      <w:r>
        <w:rPr>
          <w:rFonts w:hint="eastAsia" w:ascii="宋体" w:hAnsi="宋体" w:cs="宋体"/>
          <w:color w:val="auto"/>
          <w:szCs w:val="21"/>
          <w:highlight w:val="none"/>
        </w:rPr>
        <w:t>在发包人和承包人不能通过协商达成一致意见时，发包人授权监理人对以下事项进行确定：</w:t>
      </w:r>
      <w:r>
        <w:rPr>
          <w:rFonts w:hint="eastAsia" w:ascii="宋体" w:hAnsi="宋体" w:cs="宋体"/>
          <w:color w:val="auto"/>
          <w:kern w:val="0"/>
          <w:szCs w:val="21"/>
          <w:highlight w:val="none"/>
          <w:u w:val="single"/>
        </w:rPr>
        <w:t>无</w:t>
      </w:r>
      <w:r>
        <w:rPr>
          <w:rFonts w:hint="eastAsia" w:ascii="宋体" w:hAnsi="宋体" w:cs="宋体"/>
          <w:color w:val="auto"/>
          <w:szCs w:val="21"/>
          <w:highlight w:val="none"/>
        </w:rPr>
        <w:t>；</w:t>
      </w:r>
    </w:p>
    <w:p w14:paraId="4E9B1F9A">
      <w:pPr>
        <w:pStyle w:val="37"/>
        <w:keepNext w:val="0"/>
        <w:keepLines w:val="0"/>
        <w:pageBreakBefore w:val="0"/>
        <w:widowControl w:val="0"/>
        <w:wordWrap/>
        <w:topLinePunct w:val="0"/>
        <w:bidi w:val="0"/>
        <w:spacing w:line="380" w:lineRule="exact"/>
        <w:outlineLvl w:val="2"/>
        <w:rPr>
          <w:rFonts w:ascii="宋体" w:cs="宋体"/>
          <w:color w:val="auto"/>
          <w:highlight w:val="none"/>
        </w:rPr>
      </w:pPr>
      <w:bookmarkStart w:id="1017" w:name="_Toc418518127"/>
      <w:bookmarkStart w:id="1018" w:name="_Toc418061328"/>
      <w:bookmarkStart w:id="1019" w:name="_Toc389065283"/>
      <w:bookmarkStart w:id="1020" w:name="_Toc418751813"/>
      <w:bookmarkStart w:id="1021" w:name="_Toc403578951"/>
      <w:bookmarkStart w:id="1022" w:name="_Toc497746798"/>
      <w:bookmarkStart w:id="1023" w:name="_Toc373478364"/>
      <w:bookmarkStart w:id="1024" w:name="_Toc522201747"/>
      <w:bookmarkStart w:id="1025" w:name="_Toc28243"/>
      <w:bookmarkStart w:id="1026" w:name="_Toc418752259"/>
      <w:bookmarkStart w:id="1027" w:name="_Toc373227717"/>
      <w:bookmarkStart w:id="1028" w:name="_Toc497747195"/>
      <w:bookmarkStart w:id="1029" w:name="_Toc256000197"/>
      <w:bookmarkStart w:id="1030" w:name="_Toc418518363"/>
      <w:bookmarkStart w:id="1031" w:name="_Toc351203637"/>
      <w:r>
        <w:rPr>
          <w:rFonts w:hint="eastAsia" w:ascii="宋体" w:cs="宋体"/>
          <w:color w:val="auto"/>
          <w:highlight w:val="none"/>
        </w:rPr>
        <w:t>5</w:t>
      </w:r>
      <w:bookmarkEnd w:id="1016"/>
      <w:bookmarkStart w:id="1032" w:name="_Toc296890991"/>
      <w:bookmarkStart w:id="1033" w:name="_Toc296944502"/>
      <w:bookmarkStart w:id="1034" w:name="_Toc296347162"/>
      <w:bookmarkStart w:id="1035" w:name="_Toc292559367"/>
      <w:bookmarkStart w:id="1036" w:name="_Toc296503163"/>
      <w:bookmarkStart w:id="1037" w:name="_Toc297120463"/>
      <w:bookmarkStart w:id="1038" w:name="_Toc292559872"/>
      <w:bookmarkStart w:id="1039" w:name="_Toc296346664"/>
      <w:bookmarkStart w:id="1040" w:name="_Toc297048349"/>
      <w:bookmarkStart w:id="1041" w:name="_Toc296891203"/>
      <w:r>
        <w:rPr>
          <w:rFonts w:hint="eastAsia" w:ascii="宋体" w:hAnsi="宋体" w:eastAsia="宋体" w:cs="宋体"/>
          <w:color w:val="auto"/>
          <w:highlight w:val="none"/>
        </w:rPr>
        <w:t xml:space="preserve">. </w:t>
      </w:r>
      <w:r>
        <w:rPr>
          <w:rFonts w:hint="eastAsia" w:ascii="宋体" w:cs="宋体"/>
          <w:color w:val="auto"/>
          <w:highlight w:val="none"/>
        </w:rPr>
        <w:t>工程质量</w:t>
      </w:r>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p>
    <w:p w14:paraId="507FAC31">
      <w:pPr>
        <w:pStyle w:val="37"/>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1042" w:name="_Toc389065284"/>
      <w:bookmarkStart w:id="1043" w:name="_Toc373227718"/>
      <w:bookmarkStart w:id="1044" w:name="_Toc403578952"/>
      <w:bookmarkStart w:id="1045" w:name="_Toc373478365"/>
      <w:bookmarkStart w:id="1046" w:name="_Toc256000198"/>
      <w:bookmarkStart w:id="1047" w:name="_Toc418752260"/>
      <w:bookmarkStart w:id="1048" w:name="_Toc497746799"/>
      <w:bookmarkStart w:id="1049" w:name="_Toc418518364"/>
      <w:bookmarkStart w:id="1050" w:name="_Toc20307"/>
      <w:bookmarkStart w:id="1051" w:name="_Toc418518128"/>
      <w:bookmarkStart w:id="1052" w:name="_Toc418751814"/>
      <w:bookmarkStart w:id="1053" w:name="_Toc418061329"/>
      <w:bookmarkStart w:id="1054" w:name="_Toc497747196"/>
      <w:bookmarkStart w:id="1055" w:name="_Toc522201748"/>
      <w:r>
        <w:rPr>
          <w:rFonts w:hint="eastAsia" w:ascii="宋体" w:cs="宋体"/>
          <w:color w:val="auto"/>
          <w:highlight w:val="none"/>
        </w:rPr>
        <w:t>5.1 质量要求</w:t>
      </w:r>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p>
    <w:p w14:paraId="57D93301">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5</w:t>
      </w:r>
      <w:bookmarkStart w:id="1056" w:name="_Toc297123496"/>
      <w:bookmarkStart w:id="1057" w:name="_Toc304295527"/>
      <w:bookmarkStart w:id="1058" w:name="_Toc297216155"/>
      <w:bookmarkStart w:id="1059" w:name="_Toc312677997"/>
      <w:bookmarkStart w:id="1060" w:name="_Toc303539106"/>
      <w:bookmarkStart w:id="1061" w:name="_Toc318581164"/>
      <w:bookmarkStart w:id="1062" w:name="_Toc300934949"/>
      <w:r>
        <w:rPr>
          <w:rFonts w:hint="eastAsia" w:ascii="宋体" w:hAnsi="宋体" w:cs="宋体"/>
          <w:color w:val="auto"/>
          <w:szCs w:val="21"/>
          <w:highlight w:val="none"/>
        </w:rPr>
        <w:t>.1.1 特殊质量标准和要求：</w:t>
      </w:r>
      <w:r>
        <w:rPr>
          <w:rFonts w:hint="eastAsia" w:ascii="宋体" w:hAnsi="宋体" w:cs="宋体"/>
          <w:color w:val="auto"/>
          <w:szCs w:val="21"/>
          <w:highlight w:val="none"/>
          <w:u w:val="single"/>
        </w:rPr>
        <w:t xml:space="preserve"> 工程质量达到国家验收合格标准 </w:t>
      </w:r>
      <w:r>
        <w:rPr>
          <w:rFonts w:hint="eastAsia" w:ascii="宋体" w:hAnsi="宋体" w:cs="宋体"/>
          <w:color w:val="auto"/>
          <w:szCs w:val="21"/>
          <w:highlight w:val="none"/>
        </w:rPr>
        <w:t>。</w:t>
      </w:r>
    </w:p>
    <w:p w14:paraId="58EEF132">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关于工程奖项的约定：</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0B2F314D">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5.3 隐蔽工程检查</w:t>
      </w:r>
    </w:p>
    <w:p w14:paraId="717F15E7">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szCs w:val="21"/>
          <w:highlight w:val="none"/>
        </w:rPr>
        <w:t>5.3.2承包人提前通知监理人隐蔽工程检查的期限的约定：</w:t>
      </w:r>
      <w:r>
        <w:rPr>
          <w:rFonts w:hint="eastAsia" w:ascii="宋体" w:hAnsi="宋体" w:cs="宋体"/>
          <w:color w:val="auto"/>
          <w:kern w:val="0"/>
          <w:szCs w:val="21"/>
          <w:highlight w:val="none"/>
          <w:u w:val="single"/>
        </w:rPr>
        <w:t>任何部位的隐蔽工程需要覆盖或隐蔽前，承包人均应提前 48 小时通知发包人、监理工程师和质量监督站进行中间验收并拍照，没有发包人、监理工程师和质量监督站的批准，均不得隐蔽或验收。对相关单位所提出涉及工程质量、安全管理等存在问题时，必须进行整改，承包人应在监理人及相关人员指示的时间内修正返工后，由监理人及相关人员重新检查。否则发包人按规定有权进行经济处罚</w:t>
      </w:r>
      <w:r>
        <w:rPr>
          <w:rFonts w:hint="eastAsia" w:ascii="宋体" w:hAnsi="宋体" w:cs="宋体"/>
          <w:bCs/>
          <w:color w:val="auto"/>
          <w:szCs w:val="21"/>
          <w:highlight w:val="none"/>
          <w:u w:val="single"/>
        </w:rPr>
        <w:t>。</w:t>
      </w:r>
    </w:p>
    <w:p w14:paraId="47DF2473">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监理人不能按时进行检查时，应提前</w:t>
      </w:r>
      <w:r>
        <w:rPr>
          <w:rFonts w:hint="eastAsia" w:ascii="宋体" w:hAnsi="宋体" w:cs="宋体"/>
          <w:color w:val="auto"/>
          <w:szCs w:val="21"/>
          <w:highlight w:val="none"/>
          <w:u w:val="single"/>
        </w:rPr>
        <w:t xml:space="preserve"> 24 </w:t>
      </w:r>
      <w:r>
        <w:rPr>
          <w:rFonts w:hint="eastAsia" w:ascii="宋体" w:hAnsi="宋体" w:cs="宋体"/>
          <w:color w:val="auto"/>
          <w:szCs w:val="21"/>
          <w:highlight w:val="none"/>
        </w:rPr>
        <w:t>小时提交书面延期要求。</w:t>
      </w:r>
    </w:p>
    <w:p w14:paraId="38248722">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关于延期最长不得超过：</w:t>
      </w:r>
      <w:r>
        <w:rPr>
          <w:rFonts w:hint="eastAsia" w:ascii="宋体" w:hAnsi="宋体" w:cs="宋体"/>
          <w:color w:val="auto"/>
          <w:szCs w:val="21"/>
          <w:highlight w:val="none"/>
          <w:u w:val="single"/>
        </w:rPr>
        <w:t xml:space="preserve"> 48 </w:t>
      </w:r>
      <w:r>
        <w:rPr>
          <w:rFonts w:hint="eastAsia" w:ascii="宋体" w:hAnsi="宋体" w:cs="宋体"/>
          <w:color w:val="auto"/>
          <w:szCs w:val="21"/>
          <w:highlight w:val="none"/>
        </w:rPr>
        <w:t>小时。</w:t>
      </w:r>
    </w:p>
    <w:p w14:paraId="6B0E1F68">
      <w:pPr>
        <w:pStyle w:val="37"/>
        <w:keepNext w:val="0"/>
        <w:keepLines w:val="0"/>
        <w:pageBreakBefore w:val="0"/>
        <w:widowControl w:val="0"/>
        <w:wordWrap/>
        <w:topLinePunct w:val="0"/>
        <w:bidi w:val="0"/>
        <w:spacing w:line="380" w:lineRule="exact"/>
        <w:outlineLvl w:val="2"/>
        <w:rPr>
          <w:rFonts w:ascii="宋体" w:cs="宋体"/>
          <w:color w:val="auto"/>
          <w:highlight w:val="none"/>
        </w:rPr>
      </w:pPr>
      <w:bookmarkStart w:id="1063" w:name="_Toc351203638"/>
      <w:bookmarkStart w:id="1064" w:name="_Toc497746800"/>
      <w:bookmarkStart w:id="1065" w:name="_Toc6529"/>
      <w:bookmarkStart w:id="1066" w:name="_Toc373478366"/>
      <w:bookmarkStart w:id="1067" w:name="_Toc373227719"/>
      <w:bookmarkStart w:id="1068" w:name="_Toc256000199"/>
      <w:bookmarkStart w:id="1069" w:name="_Toc418518129"/>
      <w:bookmarkStart w:id="1070" w:name="_Toc497747197"/>
      <w:bookmarkStart w:id="1071" w:name="_Toc418752261"/>
      <w:bookmarkStart w:id="1072" w:name="_Toc418518365"/>
      <w:bookmarkStart w:id="1073" w:name="_Toc389065285"/>
      <w:bookmarkStart w:id="1074" w:name="_Toc403578953"/>
      <w:bookmarkStart w:id="1075" w:name="_Toc418751815"/>
      <w:bookmarkStart w:id="1076" w:name="_Toc522201749"/>
      <w:bookmarkStart w:id="1077" w:name="_Toc418061330"/>
      <w:r>
        <w:rPr>
          <w:rFonts w:hint="eastAsia" w:ascii="宋体" w:cs="宋体"/>
          <w:color w:val="auto"/>
          <w:highlight w:val="none"/>
        </w:rPr>
        <w:t>6. 安全文明施工与环境保护</w:t>
      </w:r>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p>
    <w:p w14:paraId="39F36A6A">
      <w:pPr>
        <w:pStyle w:val="37"/>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1078" w:name="_Toc16475"/>
      <w:bookmarkStart w:id="1079" w:name="_Toc522201750"/>
      <w:bookmarkStart w:id="1080" w:name="_Toc418751816"/>
      <w:bookmarkStart w:id="1081" w:name="_Toc497746801"/>
      <w:bookmarkStart w:id="1082" w:name="_Toc256000200"/>
      <w:bookmarkStart w:id="1083" w:name="_Toc373478367"/>
      <w:bookmarkStart w:id="1084" w:name="_Toc389065286"/>
      <w:bookmarkStart w:id="1085" w:name="_Toc497747198"/>
      <w:bookmarkStart w:id="1086" w:name="_Toc403578954"/>
      <w:bookmarkStart w:id="1087" w:name="_Toc373227720"/>
      <w:bookmarkStart w:id="1088" w:name="_Toc418061331"/>
      <w:bookmarkStart w:id="1089" w:name="_Toc418752262"/>
      <w:bookmarkStart w:id="1090" w:name="_Toc418518130"/>
      <w:bookmarkStart w:id="1091" w:name="_Toc418518366"/>
      <w:r>
        <w:rPr>
          <w:rFonts w:hint="eastAsia" w:ascii="宋体" w:cs="宋体"/>
          <w:color w:val="auto"/>
          <w:highlight w:val="none"/>
        </w:rPr>
        <w:t>6.1 安全文明施工</w:t>
      </w:r>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p>
    <w:p w14:paraId="7841EB4B">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6.1.1 项目安全生产的达标目标及相应事项的约定：</w:t>
      </w:r>
      <w:r>
        <w:rPr>
          <w:rFonts w:hint="eastAsia" w:ascii="宋体" w:hAnsi="宋体" w:cs="宋体"/>
          <w:color w:val="auto"/>
          <w:szCs w:val="21"/>
          <w:highlight w:val="none"/>
          <w:u w:val="single"/>
        </w:rPr>
        <w:t xml:space="preserve"> 按照国家及地方安全文明施工的有关规定执行 </w:t>
      </w:r>
      <w:r>
        <w:rPr>
          <w:rFonts w:hint="eastAsia" w:ascii="宋体" w:hAnsi="宋体" w:cs="宋体"/>
          <w:color w:val="auto"/>
          <w:szCs w:val="21"/>
          <w:highlight w:val="none"/>
        </w:rPr>
        <w:t>。</w:t>
      </w:r>
    </w:p>
    <w:p w14:paraId="77DF9BD2">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关于安全文明施工奖项的约定：</w:t>
      </w:r>
      <w:r>
        <w:rPr>
          <w:rFonts w:hint="eastAsia" w:ascii="宋体" w:hAnsi="宋体" w:cs="宋体"/>
          <w:color w:val="auto"/>
          <w:szCs w:val="21"/>
          <w:highlight w:val="none"/>
          <w:u w:val="single"/>
        </w:rPr>
        <w:t xml:space="preserve">  承包人应当负责统一管理施工场地的治安保卫事项，履行合同工程的治安保卫职责  </w:t>
      </w:r>
      <w:r>
        <w:rPr>
          <w:rFonts w:hint="eastAsia" w:ascii="宋体" w:hAnsi="宋体" w:cs="宋体"/>
          <w:color w:val="auto"/>
          <w:szCs w:val="21"/>
          <w:highlight w:val="none"/>
        </w:rPr>
        <w:t>。</w:t>
      </w:r>
    </w:p>
    <w:p w14:paraId="29E2DF44">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6.1.4 关于治安保卫的特别约定：</w:t>
      </w:r>
      <w:r>
        <w:rPr>
          <w:rFonts w:hint="eastAsia" w:ascii="宋体" w:hAnsi="宋体" w:cs="宋体"/>
          <w:color w:val="auto"/>
          <w:szCs w:val="21"/>
          <w:highlight w:val="none"/>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r>
        <w:rPr>
          <w:rFonts w:hint="eastAsia" w:ascii="宋体" w:hAnsi="宋体" w:cs="宋体"/>
          <w:color w:val="auto"/>
          <w:szCs w:val="21"/>
          <w:highlight w:val="none"/>
        </w:rPr>
        <w:t>。</w:t>
      </w:r>
    </w:p>
    <w:p w14:paraId="44BA119E">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关于编制施工场地治安管理计划的约定：</w:t>
      </w:r>
      <w:r>
        <w:rPr>
          <w:rFonts w:hint="eastAsia" w:ascii="宋体" w:hAnsi="宋体" w:cs="宋体"/>
          <w:color w:val="auto"/>
          <w:szCs w:val="21"/>
          <w:highlight w:val="none"/>
          <w:u w:val="single"/>
        </w:rPr>
        <w:t xml:space="preserve">  开工前7天内承包人编制施工场地治安管理计划和突发治安事件紧急预案</w:t>
      </w:r>
      <w:r>
        <w:rPr>
          <w:rFonts w:hint="eastAsia" w:ascii="宋体" w:hAnsi="宋体" w:cs="宋体"/>
          <w:color w:val="auto"/>
          <w:szCs w:val="21"/>
          <w:highlight w:val="none"/>
        </w:rPr>
        <w:t>。</w:t>
      </w:r>
    </w:p>
    <w:p w14:paraId="689CCCA9">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6.1.5 文明施工</w:t>
      </w:r>
    </w:p>
    <w:p w14:paraId="28B2A9D5">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合同当事人对文明施工的要求：</w:t>
      </w:r>
      <w:r>
        <w:rPr>
          <w:rFonts w:hint="eastAsia" w:ascii="宋体" w:hAnsi="宋体" w:cs="宋体"/>
          <w:color w:val="auto"/>
          <w:szCs w:val="21"/>
          <w:highlight w:val="none"/>
          <w:u w:val="single"/>
        </w:rPr>
        <w:t>按照国家及地方安全文明施工的有关规定执行</w:t>
      </w:r>
      <w:r>
        <w:rPr>
          <w:rFonts w:hint="eastAsia" w:ascii="宋体" w:hAnsi="宋体" w:cs="宋体"/>
          <w:color w:val="auto"/>
          <w:szCs w:val="21"/>
          <w:highlight w:val="none"/>
        </w:rPr>
        <w:t>。</w:t>
      </w:r>
    </w:p>
    <w:p w14:paraId="09D186BF">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cs="宋体"/>
          <w:color w:val="auto"/>
          <w:kern w:val="0"/>
          <w:highlight w:val="none"/>
        </w:rPr>
      </w:pPr>
      <w:r>
        <w:rPr>
          <w:rFonts w:hint="eastAsia" w:ascii="宋体" w:hAnsi="宋体" w:cs="宋体"/>
          <w:color w:val="auto"/>
          <w:szCs w:val="21"/>
          <w:highlight w:val="none"/>
        </w:rPr>
        <w:t>6.1.6 关于安全文明施工费支付比例和支付期限的约定：</w:t>
      </w:r>
      <w:r>
        <w:rPr>
          <w:rFonts w:hint="eastAsia" w:ascii="宋体" w:hAnsi="宋体" w:cs="宋体"/>
          <w:color w:val="auto"/>
          <w:kern w:val="0"/>
          <w:highlight w:val="none"/>
          <w:u w:val="single"/>
        </w:rPr>
        <w:t>专款专用</w:t>
      </w:r>
      <w:r>
        <w:rPr>
          <w:rFonts w:hint="eastAsia" w:ascii="宋体" w:hAnsi="宋体" w:cs="宋体"/>
          <w:color w:val="auto"/>
          <w:kern w:val="0"/>
          <w:highlight w:val="none"/>
        </w:rPr>
        <w:t>。具体按《广西壮族自治区建筑工程安全防护、文明施工措施费及管理细则》（桂建质〔2006〕22号）和</w:t>
      </w:r>
      <w:r>
        <w:rPr>
          <w:rFonts w:hint="eastAsia" w:ascii="宋体" w:hAnsi="宋体" w:cs="宋体"/>
          <w:color w:val="auto"/>
          <w:szCs w:val="24"/>
          <w:highlight w:val="none"/>
          <w:u w:val="single"/>
        </w:rPr>
        <w:t>桂林市建规[2007]131号文及市建规[2008]224号文</w:t>
      </w:r>
      <w:r>
        <w:rPr>
          <w:rFonts w:hint="eastAsia" w:ascii="宋体" w:hAnsi="宋体" w:cs="宋体"/>
          <w:color w:val="auto"/>
          <w:kern w:val="0"/>
          <w:highlight w:val="none"/>
        </w:rPr>
        <w:t>相关规定执行。</w:t>
      </w:r>
    </w:p>
    <w:p w14:paraId="7C7EA50D">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highlight w:val="none"/>
        </w:rPr>
        <w:t>（3）支付约定：</w:t>
      </w:r>
      <w:r>
        <w:rPr>
          <w:rFonts w:hint="eastAsia" w:ascii="宋体" w:hAnsi="宋体" w:cs="宋体"/>
          <w:color w:val="auto"/>
          <w:highlight w:val="none"/>
          <w:u w:val="single"/>
        </w:rPr>
        <w:t>具体按《广西壮族自治区建筑工程安全防护、文明施工措施费及管理细则》（桂建质〔2006〕22号）和桂林市建规[2007]131号文及市建规[2008]224号文相关规定执行。</w:t>
      </w:r>
      <w:r>
        <w:rPr>
          <w:rFonts w:hint="eastAsia" w:ascii="宋体" w:hAnsi="宋体" w:cs="宋体"/>
          <w:color w:val="auto"/>
          <w:szCs w:val="21"/>
          <w:highlight w:val="none"/>
          <w:u w:val="single"/>
        </w:rPr>
        <w:t>。</w:t>
      </w:r>
      <w:r>
        <w:rPr>
          <w:rFonts w:hint="eastAsia" w:ascii="宋体" w:hAnsi="宋体" w:cs="宋体"/>
          <w:color w:val="auto"/>
          <w:szCs w:val="21"/>
          <w:highlight w:val="none"/>
        </w:rPr>
        <w:t xml:space="preserve">  </w:t>
      </w:r>
    </w:p>
    <w:p w14:paraId="372929AE">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bookmarkStart w:id="1092" w:name="_Toc497746802"/>
      <w:bookmarkStart w:id="1093" w:name="_Toc403578955"/>
      <w:bookmarkStart w:id="1094" w:name="_Toc373227721"/>
      <w:bookmarkStart w:id="1095" w:name="_Toc497747199"/>
      <w:bookmarkStart w:id="1096" w:name="_Toc418061332"/>
      <w:bookmarkStart w:id="1097" w:name="_Toc418518131"/>
      <w:bookmarkStart w:id="1098" w:name="_Toc418752263"/>
      <w:bookmarkStart w:id="1099" w:name="_Toc373478368"/>
      <w:bookmarkStart w:id="1100" w:name="_Toc389065287"/>
      <w:bookmarkStart w:id="1101" w:name="_Toc418751817"/>
      <w:bookmarkStart w:id="1102" w:name="_Toc418518367"/>
      <w:r>
        <w:rPr>
          <w:rFonts w:hint="eastAsia" w:ascii="宋体" w:hAnsi="宋体" w:cs="宋体"/>
          <w:color w:val="auto"/>
          <w:szCs w:val="21"/>
          <w:highlight w:val="none"/>
        </w:rPr>
        <w:t xml:space="preserve"> 6.3 环境保护</w:t>
      </w:r>
      <w:bookmarkEnd w:id="1092"/>
      <w:bookmarkEnd w:id="1093"/>
      <w:bookmarkEnd w:id="1094"/>
      <w:bookmarkEnd w:id="1095"/>
      <w:bookmarkEnd w:id="1096"/>
      <w:bookmarkEnd w:id="1097"/>
      <w:bookmarkEnd w:id="1098"/>
      <w:bookmarkEnd w:id="1099"/>
      <w:bookmarkEnd w:id="1100"/>
      <w:bookmarkEnd w:id="1101"/>
      <w:bookmarkEnd w:id="1102"/>
      <w:r>
        <w:rPr>
          <w:rFonts w:hint="eastAsia" w:ascii="宋体" w:hAnsi="宋体" w:cs="宋体"/>
          <w:color w:val="auto"/>
          <w:szCs w:val="21"/>
          <w:highlight w:val="none"/>
        </w:rPr>
        <w:t>因施工需要，经发包人批准，由承包人办理有关施工场地交通、环卫和施工噪音管理等手续，费用由承包人负责。</w:t>
      </w:r>
    </w:p>
    <w:p w14:paraId="63EAFBFA">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经过城市道路的施工车辆，必须按交警、城管、运输等部门相关规定执行。由于施工车辆造成的道路、环境等污染，其责任和费用均由承包人承担。</w:t>
      </w:r>
    </w:p>
    <w:p w14:paraId="5636E634">
      <w:pPr>
        <w:pStyle w:val="42"/>
        <w:keepNext w:val="0"/>
        <w:keepLines w:val="0"/>
        <w:pageBreakBefore w:val="0"/>
        <w:widowControl w:val="0"/>
        <w:wordWrap/>
        <w:topLinePunct w:val="0"/>
        <w:bidi w:val="0"/>
        <w:spacing w:line="380" w:lineRule="exact"/>
        <w:rPr>
          <w:rFonts w:ascii="宋体" w:hAnsi="宋体" w:cs="宋体"/>
          <w:color w:val="auto"/>
          <w:highlight w:val="none"/>
        </w:rPr>
      </w:pPr>
      <w:r>
        <w:rPr>
          <w:rFonts w:hint="eastAsia" w:ascii="宋体" w:hAnsi="宋体" w:cs="宋体"/>
          <w:color w:val="auto"/>
          <w:highlight w:val="none"/>
        </w:rPr>
        <w:t>环保工作的约定：</w:t>
      </w:r>
      <w:r>
        <w:rPr>
          <w:rFonts w:hint="eastAsia" w:ascii="宋体" w:hAnsi="宋体" w:cs="宋体"/>
          <w:color w:val="auto"/>
          <w:highlight w:val="none"/>
          <w:u w:val="single"/>
        </w:rPr>
        <w:t>承包人负责办理有关环保报批手续，并承担相应的费用。在施工期间对环境主要影响是机械声和废水、废渣、尘埃，对此承包人应采取相应的防治措施和严格管理，严格控制污染物排放，污染物排放前必须处理，达到排污标准后再排放。严禁把污染物直接排入江中。控制标准：《地面环境质量标准》GB3838-88Ⅱ。施工完毕后，承包人应及时将被破坏的场地，遵照监理工程师的指示进行清理、修正，并根据实际情况将场地恢复到原有状态，费用自理。</w:t>
      </w:r>
    </w:p>
    <w:bookmarkEnd w:id="1056"/>
    <w:bookmarkEnd w:id="1057"/>
    <w:bookmarkEnd w:id="1058"/>
    <w:bookmarkEnd w:id="1059"/>
    <w:bookmarkEnd w:id="1060"/>
    <w:bookmarkEnd w:id="1061"/>
    <w:bookmarkEnd w:id="1062"/>
    <w:p w14:paraId="79F35C49">
      <w:pPr>
        <w:pStyle w:val="37"/>
        <w:keepNext w:val="0"/>
        <w:keepLines w:val="0"/>
        <w:pageBreakBefore w:val="0"/>
        <w:widowControl w:val="0"/>
        <w:wordWrap/>
        <w:topLinePunct w:val="0"/>
        <w:bidi w:val="0"/>
        <w:spacing w:line="380" w:lineRule="exact"/>
        <w:outlineLvl w:val="2"/>
        <w:rPr>
          <w:rFonts w:ascii="宋体" w:cs="宋体"/>
          <w:color w:val="auto"/>
          <w:highlight w:val="none"/>
        </w:rPr>
      </w:pPr>
      <w:bookmarkStart w:id="1103" w:name="_Toc418518368"/>
      <w:bookmarkStart w:id="1104" w:name="_Toc389065288"/>
      <w:bookmarkStart w:id="1105" w:name="_Toc403578956"/>
      <w:bookmarkStart w:id="1106" w:name="_Toc522201751"/>
      <w:bookmarkStart w:id="1107" w:name="_Toc418751818"/>
      <w:bookmarkStart w:id="1108" w:name="_Toc373227722"/>
      <w:bookmarkStart w:id="1109" w:name="_Toc256000201"/>
      <w:bookmarkStart w:id="1110" w:name="_Toc351203639"/>
      <w:bookmarkStart w:id="1111" w:name="_Toc5327"/>
      <w:bookmarkStart w:id="1112" w:name="_Toc497746803"/>
      <w:bookmarkStart w:id="1113" w:name="_Toc373478369"/>
      <w:bookmarkStart w:id="1114" w:name="_Toc497747200"/>
      <w:bookmarkStart w:id="1115" w:name="_Toc418752264"/>
      <w:bookmarkStart w:id="1116" w:name="_Toc418518132"/>
      <w:bookmarkStart w:id="1117" w:name="_Toc418061333"/>
      <w:r>
        <w:rPr>
          <w:rFonts w:hint="eastAsia" w:ascii="宋体" w:cs="宋体"/>
          <w:color w:val="auto"/>
          <w:highlight w:val="none"/>
        </w:rPr>
        <w:t>7</w:t>
      </w:r>
      <w:r>
        <w:rPr>
          <w:rFonts w:hint="eastAsia" w:ascii="宋体" w:hAnsi="宋体" w:eastAsia="宋体" w:cs="宋体"/>
          <w:color w:val="auto"/>
          <w:highlight w:val="none"/>
        </w:rPr>
        <w:t xml:space="preserve">. </w:t>
      </w:r>
      <w:r>
        <w:rPr>
          <w:rFonts w:hint="eastAsia" w:ascii="宋体" w:cs="宋体"/>
          <w:color w:val="auto"/>
          <w:highlight w:val="none"/>
        </w:rPr>
        <w:t>工期和进度</w:t>
      </w:r>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p>
    <w:p w14:paraId="18B23714">
      <w:pPr>
        <w:pStyle w:val="37"/>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1118" w:name="_Toc418061334"/>
      <w:bookmarkStart w:id="1119" w:name="_Toc418518369"/>
      <w:bookmarkStart w:id="1120" w:name="_Toc497746804"/>
      <w:bookmarkStart w:id="1121" w:name="_Toc418751819"/>
      <w:bookmarkStart w:id="1122" w:name="_Toc256000202"/>
      <w:bookmarkStart w:id="1123" w:name="_Toc373227723"/>
      <w:bookmarkStart w:id="1124" w:name="_Toc522201752"/>
      <w:bookmarkStart w:id="1125" w:name="_Toc373478370"/>
      <w:bookmarkStart w:id="1126" w:name="_Toc403578957"/>
      <w:bookmarkStart w:id="1127" w:name="_Toc28893"/>
      <w:bookmarkStart w:id="1128" w:name="_Toc497747201"/>
      <w:bookmarkStart w:id="1129" w:name="_Toc418518133"/>
      <w:bookmarkStart w:id="1130" w:name="_Toc418752265"/>
      <w:bookmarkStart w:id="1131" w:name="_Toc389065289"/>
      <w:r>
        <w:rPr>
          <w:rFonts w:hint="eastAsia" w:ascii="宋体" w:cs="宋体"/>
          <w:color w:val="auto"/>
          <w:highlight w:val="none"/>
        </w:rPr>
        <w:t>7.1 施工组织设计</w:t>
      </w:r>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p>
    <w:p w14:paraId="7FEE7D64">
      <w:pPr>
        <w:pStyle w:val="42"/>
        <w:keepNext w:val="0"/>
        <w:keepLines w:val="0"/>
        <w:pageBreakBefore w:val="0"/>
        <w:widowControl w:val="0"/>
        <w:wordWrap/>
        <w:topLinePunct w:val="0"/>
        <w:bidi w:val="0"/>
        <w:spacing w:line="380" w:lineRule="exact"/>
        <w:rPr>
          <w:rFonts w:ascii="宋体" w:hAnsi="宋体" w:cs="宋体"/>
          <w:color w:val="auto"/>
          <w:highlight w:val="none"/>
          <w:u w:val="single"/>
        </w:rPr>
      </w:pPr>
      <w:r>
        <w:rPr>
          <w:rFonts w:hint="eastAsia" w:ascii="宋体" w:hAnsi="宋体" w:cs="宋体"/>
          <w:color w:val="auto"/>
          <w:highlight w:val="none"/>
        </w:rPr>
        <w:t>7.1.1 合同当事人约定的施工组织设计应包括的其他内容：</w:t>
      </w:r>
      <w:r>
        <w:rPr>
          <w:rFonts w:hint="eastAsia" w:ascii="宋体" w:hAnsi="宋体" w:cs="宋体"/>
          <w:color w:val="auto"/>
          <w:highlight w:val="none"/>
          <w:u w:val="single"/>
        </w:rPr>
        <w:t>(1)管理人员名单，含职称、职务并附相关人员岗位证书等复印件；（2）施工进度计划包括总进度计划、分阶段和分项进度计划、设备材料人员进场计划；施工方案说明包括分部、分项工程或工程部位的名称及施工顺序和方法；（3）国家及地方有关规定应当提交的内容。</w:t>
      </w:r>
    </w:p>
    <w:p w14:paraId="24B855CD">
      <w:pPr>
        <w:pStyle w:val="21"/>
        <w:keepNext w:val="0"/>
        <w:keepLines w:val="0"/>
        <w:pageBreakBefore w:val="0"/>
        <w:widowControl w:val="0"/>
        <w:wordWrap/>
        <w:topLinePunct w:val="0"/>
        <w:autoSpaceDE w:val="0"/>
        <w:autoSpaceDN w:val="0"/>
        <w:bidi w:val="0"/>
        <w:adjustRightInd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rPr>
        <w:t xml:space="preserve">7.1.2 </w:t>
      </w:r>
      <w:r>
        <w:rPr>
          <w:rFonts w:hint="eastAsia" w:ascii="宋体" w:hAnsi="宋体" w:cs="宋体"/>
          <w:color w:val="auto"/>
          <w:kern w:val="0"/>
          <w:szCs w:val="21"/>
          <w:highlight w:val="none"/>
        </w:rPr>
        <w:t>施工组织设计的提交和修改</w:t>
      </w:r>
    </w:p>
    <w:p w14:paraId="0A484D03">
      <w:pPr>
        <w:pStyle w:val="21"/>
        <w:keepNext w:val="0"/>
        <w:keepLines w:val="0"/>
        <w:pageBreakBefore w:val="0"/>
        <w:widowControl w:val="0"/>
        <w:wordWrap/>
        <w:topLinePunct w:val="0"/>
        <w:autoSpaceDE w:val="0"/>
        <w:autoSpaceDN w:val="0"/>
        <w:bidi w:val="0"/>
        <w:adjustRightInd w:val="0"/>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承包人提交详细施工组织设计的期限的约定：</w:t>
      </w:r>
      <w:r>
        <w:rPr>
          <w:rFonts w:hint="eastAsia" w:ascii="宋体" w:hAnsi="宋体" w:cs="宋体"/>
          <w:color w:val="auto"/>
          <w:szCs w:val="21"/>
          <w:highlight w:val="none"/>
          <w:u w:val="single"/>
        </w:rPr>
        <w:t xml:space="preserve">  </w:t>
      </w:r>
      <w:r>
        <w:rPr>
          <w:rFonts w:hint="eastAsia" w:ascii="宋体" w:hAnsi="宋体"/>
          <w:color w:val="auto"/>
          <w:szCs w:val="21"/>
          <w:highlight w:val="none"/>
          <w:u w:val="single"/>
        </w:rPr>
        <w:t>合同签订后14天内，最迟不得晚于开工通知载明的开工日期前7天</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DE7987D">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发包人和监理人在收到详细的施工组织设计后确认或提出修改意见的期限：</w:t>
      </w:r>
      <w:r>
        <w:rPr>
          <w:rFonts w:hint="eastAsia" w:ascii="宋体" w:hAnsi="宋体"/>
          <w:color w:val="auto"/>
          <w:szCs w:val="21"/>
          <w:highlight w:val="none"/>
          <w:u w:val="single"/>
        </w:rPr>
        <w:t>收到施工组织设计后7天内确认或提出修改意见。</w:t>
      </w:r>
    </w:p>
    <w:p w14:paraId="5682ECB6">
      <w:pPr>
        <w:pStyle w:val="37"/>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1132" w:name="_Toc418751820"/>
      <w:bookmarkStart w:id="1133" w:name="_Toc418061335"/>
      <w:bookmarkStart w:id="1134" w:name="_Toc389065290"/>
      <w:bookmarkStart w:id="1135" w:name="_Toc373478371"/>
      <w:bookmarkStart w:id="1136" w:name="_Toc418518370"/>
      <w:bookmarkStart w:id="1137" w:name="_Toc497747202"/>
      <w:bookmarkStart w:id="1138" w:name="_Toc29479"/>
      <w:bookmarkStart w:id="1139" w:name="_Toc522201753"/>
      <w:bookmarkStart w:id="1140" w:name="_Toc418518134"/>
      <w:bookmarkStart w:id="1141" w:name="_Toc497746805"/>
      <w:bookmarkStart w:id="1142" w:name="_Toc403578958"/>
      <w:bookmarkStart w:id="1143" w:name="_Toc373227724"/>
      <w:bookmarkStart w:id="1144" w:name="_Toc256000203"/>
      <w:bookmarkStart w:id="1145" w:name="_Toc418752266"/>
      <w:r>
        <w:rPr>
          <w:rFonts w:hint="eastAsia" w:ascii="宋体" w:cs="宋体"/>
          <w:color w:val="auto"/>
          <w:highlight w:val="none"/>
        </w:rPr>
        <w:t>7</w:t>
      </w:r>
      <w:bookmarkStart w:id="1146" w:name="_Toc304295541"/>
      <w:bookmarkStart w:id="1147" w:name="_Toc303539123"/>
      <w:bookmarkStart w:id="1148" w:name="_Toc312678005"/>
      <w:bookmarkStart w:id="1149" w:name="_Toc297216173"/>
      <w:bookmarkStart w:id="1150" w:name="_Toc300934966"/>
      <w:bookmarkStart w:id="1151" w:name="_Toc312677479"/>
      <w:bookmarkStart w:id="1152" w:name="_Toc297123514"/>
      <w:r>
        <w:rPr>
          <w:rFonts w:hint="eastAsia" w:ascii="宋体" w:cs="宋体"/>
          <w:color w:val="auto"/>
          <w:highlight w:val="none"/>
        </w:rPr>
        <w:t>.2 施工进度计划</w:t>
      </w:r>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p>
    <w:p w14:paraId="5D722B96">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7.2.2 施工进度计划的修订</w:t>
      </w:r>
    </w:p>
    <w:p w14:paraId="37A698D8">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（1）发包人和监理人在收到修订的施工进度计划后确认或提出修改意见的期限：</w:t>
      </w:r>
      <w:r>
        <w:rPr>
          <w:rFonts w:hint="eastAsia" w:ascii="宋体" w:hAnsi="宋体" w:cs="宋体"/>
          <w:color w:val="auto"/>
          <w:szCs w:val="21"/>
          <w:highlight w:val="none"/>
          <w:u w:val="single"/>
        </w:rPr>
        <w:t>自监理人收到承包人报送的相关进度计划后 7天内。</w:t>
      </w:r>
      <w:r>
        <w:rPr>
          <w:rFonts w:hint="eastAsia" w:ascii="宋体" w:hAnsi="宋体" w:cs="宋体"/>
          <w:color w:val="auto"/>
          <w:szCs w:val="21"/>
          <w:highlight w:val="none"/>
        </w:rPr>
        <w:t xml:space="preserve"> </w:t>
      </w:r>
    </w:p>
    <w:p w14:paraId="0EF13936">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（2）承包人编制分阶段或分项施工进度计划和施工方案说明的内容：</w:t>
      </w:r>
      <w:r>
        <w:rPr>
          <w:rFonts w:hint="eastAsia" w:ascii="宋体" w:hAnsi="宋体" w:cs="宋体"/>
          <w:color w:val="auto"/>
          <w:szCs w:val="21"/>
          <w:highlight w:val="none"/>
          <w:u w:val="single"/>
        </w:rPr>
        <w:t>包含但不限于月进度计划、原地面测量方案、不良地基处理方案等。</w:t>
      </w:r>
      <w:r>
        <w:rPr>
          <w:rFonts w:hint="eastAsia" w:ascii="宋体" w:hAnsi="宋体" w:cs="宋体"/>
          <w:color w:val="auto"/>
          <w:szCs w:val="21"/>
          <w:highlight w:val="none"/>
        </w:rPr>
        <w:t xml:space="preserve"> </w:t>
      </w:r>
    </w:p>
    <w:p w14:paraId="52560C02">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（3） 承包人报送分阶段或分项施工进度计划和施工方案说明的期限： </w:t>
      </w:r>
      <w:r>
        <w:rPr>
          <w:rFonts w:hint="eastAsia" w:ascii="宋体" w:hAnsi="宋体" w:cs="宋体"/>
          <w:color w:val="auto"/>
          <w:szCs w:val="21"/>
          <w:highlight w:val="none"/>
          <w:u w:val="single"/>
        </w:rPr>
        <w:t>月进度计划于上月 30 日前提交，分项施工进度计划和施工方案说明应不迟于该分项工程施工前14 天提交。</w:t>
      </w:r>
    </w:p>
    <w:p w14:paraId="028B0D8F">
      <w:pPr>
        <w:pStyle w:val="37"/>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1153" w:name="_Toc403578959"/>
      <w:bookmarkStart w:id="1154" w:name="_Toc418751821"/>
      <w:bookmarkStart w:id="1155" w:name="_Toc497747203"/>
      <w:bookmarkStart w:id="1156" w:name="_Toc389065291"/>
      <w:bookmarkStart w:id="1157" w:name="_Toc522201754"/>
      <w:bookmarkStart w:id="1158" w:name="_Toc373478372"/>
      <w:bookmarkStart w:id="1159" w:name="_Toc418518135"/>
      <w:bookmarkStart w:id="1160" w:name="_Toc418752267"/>
      <w:bookmarkStart w:id="1161" w:name="_Toc216"/>
      <w:bookmarkStart w:id="1162" w:name="_Toc373227725"/>
      <w:bookmarkStart w:id="1163" w:name="_Toc256000204"/>
      <w:bookmarkStart w:id="1164" w:name="_Toc418518371"/>
      <w:bookmarkStart w:id="1165" w:name="_Toc497746806"/>
      <w:bookmarkStart w:id="1166" w:name="_Toc418061336"/>
      <w:r>
        <w:rPr>
          <w:rFonts w:hint="eastAsia" w:ascii="宋体" w:cs="宋体"/>
          <w:color w:val="auto"/>
          <w:highlight w:val="none"/>
        </w:rPr>
        <w:t>7.3 开工</w:t>
      </w:r>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p>
    <w:p w14:paraId="7EBDF63F">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7.3.1 开工准备</w:t>
      </w:r>
    </w:p>
    <w:p w14:paraId="13EA3596">
      <w:pPr>
        <w:pStyle w:val="21"/>
        <w:keepNext w:val="0"/>
        <w:keepLines w:val="0"/>
        <w:pageBreakBefore w:val="0"/>
        <w:widowControl w:val="0"/>
        <w:wordWrap/>
        <w:topLinePunct w:val="0"/>
        <w:bidi w:val="0"/>
        <w:spacing w:line="380" w:lineRule="exact"/>
        <w:ind w:firstLine="525" w:firstLineChars="250"/>
        <w:jc w:val="left"/>
        <w:rPr>
          <w:rFonts w:ascii="宋体" w:hAnsi="宋体" w:cs="宋体"/>
          <w:color w:val="auto"/>
          <w:szCs w:val="21"/>
          <w:highlight w:val="none"/>
          <w:u w:val="single"/>
        </w:rPr>
      </w:pPr>
      <w:r>
        <w:rPr>
          <w:rFonts w:hint="eastAsia" w:ascii="宋体" w:hAnsi="宋体" w:cs="宋体"/>
          <w:color w:val="auto"/>
          <w:szCs w:val="21"/>
          <w:highlight w:val="none"/>
        </w:rPr>
        <w:t>关于承包人提交</w:t>
      </w:r>
      <w:r>
        <w:rPr>
          <w:rFonts w:hint="eastAsia" w:ascii="宋体" w:hAnsi="宋体" w:cs="宋体"/>
          <w:color w:val="auto"/>
          <w:kern w:val="0"/>
          <w:szCs w:val="21"/>
          <w:highlight w:val="none"/>
        </w:rPr>
        <w:t>工程开工报审表的期限：</w:t>
      </w:r>
      <w:r>
        <w:rPr>
          <w:rFonts w:hint="eastAsia" w:ascii="宋体" w:hAnsi="宋体" w:cs="宋体"/>
          <w:color w:val="auto"/>
          <w:szCs w:val="21"/>
          <w:highlight w:val="none"/>
          <w:u w:val="single"/>
        </w:rPr>
        <w:t xml:space="preserve">  7天   </w:t>
      </w:r>
      <w:r>
        <w:rPr>
          <w:rFonts w:hint="eastAsia" w:ascii="宋体" w:hAnsi="宋体" w:cs="宋体"/>
          <w:color w:val="auto"/>
          <w:szCs w:val="21"/>
          <w:highlight w:val="none"/>
        </w:rPr>
        <w:t>。</w:t>
      </w:r>
    </w:p>
    <w:p w14:paraId="2384BC61">
      <w:pPr>
        <w:pStyle w:val="21"/>
        <w:keepNext w:val="0"/>
        <w:keepLines w:val="0"/>
        <w:pageBreakBefore w:val="0"/>
        <w:widowControl w:val="0"/>
        <w:wordWrap/>
        <w:topLinePunct w:val="0"/>
        <w:bidi w:val="0"/>
        <w:spacing w:line="380" w:lineRule="exact"/>
        <w:jc w:val="left"/>
        <w:rPr>
          <w:rFonts w:ascii="宋体" w:hAnsi="宋体" w:cs="宋体"/>
          <w:color w:val="auto"/>
          <w:szCs w:val="21"/>
          <w:highlight w:val="none"/>
        </w:rPr>
      </w:pPr>
      <w:r>
        <w:rPr>
          <w:rFonts w:hint="eastAsia" w:ascii="宋体" w:hAnsi="宋体" w:cs="宋体"/>
          <w:color w:val="auto"/>
          <w:szCs w:val="21"/>
          <w:highlight w:val="none"/>
        </w:rPr>
        <w:t xml:space="preserve">     关于发包人应完成的其他开工准备工作及期限：</w:t>
      </w:r>
      <w:r>
        <w:rPr>
          <w:rFonts w:hint="eastAsia" w:ascii="宋体" w:hAnsi="宋体" w:cs="宋体"/>
          <w:color w:val="auto"/>
          <w:szCs w:val="21"/>
          <w:highlight w:val="none"/>
          <w:u w:val="single"/>
        </w:rPr>
        <w:t xml:space="preserve">   7天    </w:t>
      </w:r>
      <w:r>
        <w:rPr>
          <w:rFonts w:hint="eastAsia" w:ascii="宋体" w:hAnsi="宋体" w:cs="宋体"/>
          <w:color w:val="auto"/>
          <w:szCs w:val="21"/>
          <w:highlight w:val="none"/>
        </w:rPr>
        <w:t>。</w:t>
      </w:r>
    </w:p>
    <w:p w14:paraId="613469EB">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 xml:space="preserve"> 关于承包人应完成的其他开工准备工作及期限：</w:t>
      </w:r>
      <w:r>
        <w:rPr>
          <w:rFonts w:hint="eastAsia" w:ascii="宋体" w:hAnsi="宋体" w:cs="宋体"/>
          <w:color w:val="auto"/>
          <w:szCs w:val="21"/>
          <w:highlight w:val="none"/>
          <w:u w:val="single"/>
        </w:rPr>
        <w:t xml:space="preserve">   7天   </w:t>
      </w:r>
      <w:r>
        <w:rPr>
          <w:rFonts w:hint="eastAsia" w:ascii="宋体" w:hAnsi="宋体" w:cs="宋体"/>
          <w:color w:val="auto"/>
          <w:szCs w:val="21"/>
          <w:highlight w:val="none"/>
        </w:rPr>
        <w:t>。</w:t>
      </w:r>
    </w:p>
    <w:p w14:paraId="0759A41D">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7.3.2 开工通知</w:t>
      </w:r>
    </w:p>
    <w:p w14:paraId="114D366B">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因发包人原因造成监理人未能在计划开工日期之日起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天内发出开工通知的，承包人有权提出价格调整要求，或者解除合同。</w:t>
      </w:r>
    </w:p>
    <w:bookmarkEnd w:id="1146"/>
    <w:bookmarkEnd w:id="1147"/>
    <w:bookmarkEnd w:id="1148"/>
    <w:bookmarkEnd w:id="1149"/>
    <w:bookmarkEnd w:id="1150"/>
    <w:bookmarkEnd w:id="1151"/>
    <w:bookmarkEnd w:id="1152"/>
    <w:p w14:paraId="44AEE5D5">
      <w:pPr>
        <w:pStyle w:val="37"/>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1167" w:name="_Toc256000205"/>
      <w:bookmarkStart w:id="1168" w:name="_Toc497746807"/>
      <w:bookmarkStart w:id="1169" w:name="_Toc373478373"/>
      <w:bookmarkStart w:id="1170" w:name="_Toc403578960"/>
      <w:bookmarkStart w:id="1171" w:name="_Toc418518372"/>
      <w:bookmarkStart w:id="1172" w:name="_Toc418518136"/>
      <w:bookmarkStart w:id="1173" w:name="_Toc389065292"/>
      <w:bookmarkStart w:id="1174" w:name="_Toc522201755"/>
      <w:bookmarkStart w:id="1175" w:name="_Toc373227726"/>
      <w:bookmarkStart w:id="1176" w:name="_Toc418061337"/>
      <w:bookmarkStart w:id="1177" w:name="_Toc21060"/>
      <w:bookmarkStart w:id="1178" w:name="_Toc418752268"/>
      <w:bookmarkStart w:id="1179" w:name="_Toc418751822"/>
      <w:bookmarkStart w:id="1180" w:name="_Toc497747204"/>
      <w:r>
        <w:rPr>
          <w:rFonts w:hint="eastAsia" w:ascii="宋体" w:cs="宋体"/>
          <w:color w:val="auto"/>
          <w:highlight w:val="none"/>
        </w:rPr>
        <w:t>7.4 测量放线</w:t>
      </w:r>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p>
    <w:p w14:paraId="6B6F8D48">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7.4.1发包人通过监理人向承包人提供测量基准点、基准线和水准点及其书面资料的期限：</w:t>
      </w:r>
      <w:r>
        <w:rPr>
          <w:rFonts w:hint="eastAsia" w:ascii="宋体" w:hAnsi="宋体" w:cs="宋体"/>
          <w:color w:val="auto"/>
          <w:szCs w:val="21"/>
          <w:highlight w:val="none"/>
          <w:u w:val="single"/>
        </w:rPr>
        <w:t>开工通知载明的开工日前 7 天，承包人进入工地后进行现场书面交桩。水准点、座标控制点交验完毕，即由承包人负责保护，此后由于破坏或失准带来的重新测量、放点费用及由此造成的其他损失均由承包人负担； 承包人应于开工通知后七天内现场校验，并根据国家测绘基准、测绘系统和工程测量技术规范，按上述基准点（线）以及合同工程精度要求，测设施工控制网，三方做好签认工作；承包人应于开工前3天，并在工程竣工后将施工控制网点移交发包人 。</w:t>
      </w:r>
    </w:p>
    <w:p w14:paraId="5E1D43ED">
      <w:pPr>
        <w:pStyle w:val="37"/>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1181" w:name="_Toc418752269"/>
      <w:bookmarkStart w:id="1182" w:name="_Toc373227727"/>
      <w:bookmarkStart w:id="1183" w:name="_Toc389065293"/>
      <w:bookmarkStart w:id="1184" w:name="_Toc418518137"/>
      <w:bookmarkStart w:id="1185" w:name="_Toc522201756"/>
      <w:bookmarkStart w:id="1186" w:name="_Toc418061338"/>
      <w:bookmarkStart w:id="1187" w:name="_Toc497746808"/>
      <w:bookmarkStart w:id="1188" w:name="_Toc256000206"/>
      <w:bookmarkStart w:id="1189" w:name="_Toc418518373"/>
      <w:bookmarkStart w:id="1190" w:name="_Toc373478374"/>
      <w:bookmarkStart w:id="1191" w:name="_Toc403578961"/>
      <w:bookmarkStart w:id="1192" w:name="_Toc497747205"/>
      <w:bookmarkStart w:id="1193" w:name="_Toc418751823"/>
      <w:bookmarkStart w:id="1194" w:name="_Toc1523"/>
      <w:r>
        <w:rPr>
          <w:rFonts w:hint="eastAsia" w:ascii="宋体" w:cs="宋体"/>
          <w:color w:val="auto"/>
          <w:highlight w:val="none"/>
        </w:rPr>
        <w:t>7</w:t>
      </w:r>
      <w:bookmarkStart w:id="1195" w:name="_Toc300934968"/>
      <w:bookmarkStart w:id="1196" w:name="_Toc312677484"/>
      <w:bookmarkStart w:id="1197" w:name="_Toc297123516"/>
      <w:bookmarkStart w:id="1198" w:name="_Toc304295546"/>
      <w:bookmarkStart w:id="1199" w:name="_Toc297216175"/>
      <w:bookmarkStart w:id="1200" w:name="_Toc303539125"/>
      <w:bookmarkStart w:id="1201" w:name="_Toc312678010"/>
      <w:r>
        <w:rPr>
          <w:rFonts w:hint="eastAsia" w:ascii="宋体" w:cs="宋体"/>
          <w:color w:val="auto"/>
          <w:highlight w:val="none"/>
        </w:rPr>
        <w:t>.5 工期延误</w:t>
      </w:r>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p>
    <w:bookmarkEnd w:id="1195"/>
    <w:bookmarkEnd w:id="1196"/>
    <w:bookmarkEnd w:id="1197"/>
    <w:bookmarkEnd w:id="1198"/>
    <w:bookmarkEnd w:id="1199"/>
    <w:bookmarkEnd w:id="1200"/>
    <w:bookmarkEnd w:id="1201"/>
    <w:p w14:paraId="61AC5961">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7.5.1 因发包人原因导致工期延误</w:t>
      </w:r>
    </w:p>
    <w:p w14:paraId="797C0B04">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（7）因发包人原因导致工期延误的其他情形：</w:t>
      </w:r>
      <w:r>
        <w:rPr>
          <w:rFonts w:hint="eastAsia" w:ascii="宋体" w:hAnsi="宋体" w:cs="宋体"/>
          <w:color w:val="auto"/>
          <w:szCs w:val="21"/>
          <w:highlight w:val="none"/>
          <w:u w:val="single"/>
        </w:rPr>
        <w:t xml:space="preserve">无  </w:t>
      </w:r>
      <w:r>
        <w:rPr>
          <w:rFonts w:hint="eastAsia" w:ascii="宋体" w:hAnsi="宋体" w:cs="宋体"/>
          <w:color w:val="auto"/>
          <w:szCs w:val="21"/>
          <w:highlight w:val="none"/>
        </w:rPr>
        <w:t>。</w:t>
      </w:r>
    </w:p>
    <w:p w14:paraId="0418B02F">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w:t>
      </w:r>
      <w:bookmarkStart w:id="1202" w:name="_Toc312678012"/>
      <w:bookmarkStart w:id="1203" w:name="_Toc318581169"/>
      <w:bookmarkStart w:id="1204" w:name="_Toc312677486"/>
      <w:bookmarkStart w:id="1205" w:name="_Toc297123518"/>
      <w:bookmarkStart w:id="1206" w:name="_Toc300934970"/>
      <w:bookmarkStart w:id="1207" w:name="_Toc304295548"/>
      <w:bookmarkStart w:id="1208" w:name="_Toc297216177"/>
      <w:bookmarkStart w:id="1209" w:name="_Toc303539127"/>
      <w:r>
        <w:rPr>
          <w:rFonts w:hint="eastAsia" w:ascii="宋体" w:hAnsi="宋体" w:cs="宋体"/>
          <w:color w:val="auto"/>
          <w:szCs w:val="21"/>
          <w:highlight w:val="none"/>
        </w:rPr>
        <w:t>.5.2 因承包人原因导致工期延误</w:t>
      </w:r>
    </w:p>
    <w:bookmarkEnd w:id="1202"/>
    <w:bookmarkEnd w:id="1203"/>
    <w:bookmarkEnd w:id="1204"/>
    <w:p w14:paraId="2E54AE06">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双方约定经监理工程师确认，工期相应顺延的情况：</w:t>
      </w:r>
      <w:r>
        <w:rPr>
          <w:rFonts w:hint="eastAsia" w:ascii="宋体" w:hAnsi="宋体" w:cs="宋体"/>
          <w:color w:val="auto"/>
          <w:szCs w:val="21"/>
          <w:highlight w:val="none"/>
          <w:u w:val="single"/>
        </w:rPr>
        <w:t xml:space="preserve">  非承包人原因导致的工期延误，合同工期相应顺延</w:t>
      </w:r>
      <w:r>
        <w:rPr>
          <w:rFonts w:hint="eastAsia" w:ascii="宋体" w:hAnsi="宋体" w:cs="宋体"/>
          <w:color w:val="auto"/>
          <w:szCs w:val="21"/>
          <w:highlight w:val="none"/>
        </w:rPr>
        <w:t>。</w:t>
      </w:r>
    </w:p>
    <w:p w14:paraId="5CA8A833">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因</w:t>
      </w:r>
      <w:bookmarkStart w:id="1210" w:name="_Toc318581170"/>
      <w:bookmarkStart w:id="1211" w:name="_Toc312677487"/>
      <w:bookmarkStart w:id="1212" w:name="_Toc312678013"/>
      <w:r>
        <w:rPr>
          <w:rFonts w:hint="eastAsia" w:ascii="宋体" w:hAnsi="宋体" w:cs="宋体"/>
          <w:color w:val="auto"/>
          <w:szCs w:val="21"/>
          <w:highlight w:val="none"/>
        </w:rPr>
        <w:t>承包人原因造成工期延误，逾期竣工违约金的计算方法为：</w:t>
      </w:r>
      <w:r>
        <w:rPr>
          <w:rFonts w:hint="eastAsia" w:ascii="宋体" w:hAnsi="宋体" w:cs="宋体"/>
          <w:color w:val="auto"/>
          <w:szCs w:val="21"/>
          <w:highlight w:val="none"/>
          <w:u w:val="single"/>
        </w:rPr>
        <w:t xml:space="preserve">非上述原因，承包人不能按合同约定的时间竣工，承包人应承担违约责任，并应向发包人支付误期赔偿费（每天赔偿金额为合同价款扣除社会保险费、发包人材料价款、暂估专业工程、暂列金额后的的万分之四），误期时间从规定竣工日期起直到全部工程或相应部分工程竣工验收各方签章日期之间的天数（扣除发包人批准顺延的工期）。发包人可从应向承包人支付的任何金额中扣除此项赔款费或其他方式收回此款，此赔偿款的支付并不能解除承包人应完成工程的责任或合同规定的其他责任。如非承包人原因造成工期延误则承包人须在规定的时间内提出书面意见，逾期则视为承包人自行放弃。由于承包人原因造成本工程延期三个月的，除按上述标准赔偿给发包人外，发包人有权中止合同，并依法追究承包人的违约责任，由此造成的一切损失均由责任人负责。 </w:t>
      </w:r>
    </w:p>
    <w:bookmarkEnd w:id="1205"/>
    <w:bookmarkEnd w:id="1206"/>
    <w:bookmarkEnd w:id="1207"/>
    <w:bookmarkEnd w:id="1208"/>
    <w:bookmarkEnd w:id="1209"/>
    <w:bookmarkEnd w:id="1210"/>
    <w:bookmarkEnd w:id="1211"/>
    <w:bookmarkEnd w:id="1212"/>
    <w:p w14:paraId="7ACB6672">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因承包人原因造成工期延误，逾</w:t>
      </w:r>
      <w:bookmarkStart w:id="1213" w:name="_Toc312678014"/>
      <w:bookmarkStart w:id="1214" w:name="_Toc318581171"/>
      <w:r>
        <w:rPr>
          <w:rFonts w:hint="eastAsia" w:ascii="宋体" w:hAnsi="宋体" w:cs="宋体"/>
          <w:color w:val="auto"/>
          <w:szCs w:val="21"/>
          <w:highlight w:val="none"/>
        </w:rPr>
        <w:t>期竣工违约金的上限：</w:t>
      </w:r>
      <w:r>
        <w:rPr>
          <w:rFonts w:hint="eastAsia" w:ascii="宋体" w:hAnsi="宋体" w:cs="宋体"/>
          <w:color w:val="auto"/>
          <w:szCs w:val="21"/>
          <w:highlight w:val="none"/>
          <w:u w:val="single"/>
          <w:lang w:eastAsia="zh-CN"/>
        </w:rPr>
        <w:t>结算</w:t>
      </w:r>
      <w:r>
        <w:rPr>
          <w:rFonts w:hint="eastAsia" w:ascii="宋体" w:hAnsi="宋体" w:cs="宋体"/>
          <w:color w:val="auto"/>
          <w:szCs w:val="21"/>
          <w:highlight w:val="none"/>
          <w:u w:val="single"/>
        </w:rPr>
        <w:t>价扣除社会保险费、发包人材料价款、暂估专业工程、暂列金额后的</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u w:val="single"/>
        </w:rPr>
        <w:t>%</w:t>
      </w:r>
      <w:r>
        <w:rPr>
          <w:rFonts w:hint="eastAsia" w:ascii="宋体" w:hAnsi="宋体" w:cs="宋体"/>
          <w:color w:val="auto"/>
          <w:szCs w:val="21"/>
          <w:highlight w:val="none"/>
        </w:rPr>
        <w:t>。</w:t>
      </w:r>
    </w:p>
    <w:bookmarkEnd w:id="1213"/>
    <w:bookmarkEnd w:id="1214"/>
    <w:p w14:paraId="17455984">
      <w:pPr>
        <w:pStyle w:val="37"/>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1215" w:name="_Toc522201757"/>
      <w:bookmarkStart w:id="1216" w:name="_Toc418518374"/>
      <w:bookmarkStart w:id="1217" w:name="_Toc418061339"/>
      <w:bookmarkStart w:id="1218" w:name="_Toc418752270"/>
      <w:bookmarkStart w:id="1219" w:name="_Toc27840"/>
      <w:bookmarkStart w:id="1220" w:name="_Toc418518138"/>
      <w:bookmarkStart w:id="1221" w:name="_Toc389065294"/>
      <w:bookmarkStart w:id="1222" w:name="_Toc256000207"/>
      <w:bookmarkStart w:id="1223" w:name="_Toc418751824"/>
      <w:bookmarkStart w:id="1224" w:name="_Toc403578962"/>
      <w:bookmarkStart w:id="1225" w:name="_Toc373227728"/>
      <w:bookmarkStart w:id="1226" w:name="_Toc373478375"/>
      <w:bookmarkStart w:id="1227" w:name="_Toc497747206"/>
      <w:bookmarkStart w:id="1228" w:name="_Toc497746809"/>
      <w:r>
        <w:rPr>
          <w:rFonts w:hint="eastAsia" w:ascii="宋体" w:cs="宋体"/>
          <w:color w:val="auto"/>
          <w:highlight w:val="none"/>
        </w:rPr>
        <w:t>7</w:t>
      </w:r>
      <w:bookmarkStart w:id="1229" w:name="_Toc297216178"/>
      <w:bookmarkStart w:id="1230" w:name="_Toc297123519"/>
      <w:bookmarkStart w:id="1231" w:name="_Toc304295549"/>
      <w:bookmarkStart w:id="1232" w:name="_Toc300934971"/>
      <w:bookmarkStart w:id="1233" w:name="_Toc303539128"/>
      <w:bookmarkStart w:id="1234" w:name="_Toc312678015"/>
      <w:r>
        <w:rPr>
          <w:rFonts w:hint="eastAsia" w:ascii="宋体" w:cs="宋体"/>
          <w:color w:val="auto"/>
          <w:highlight w:val="none"/>
        </w:rPr>
        <w:t>.6 不</w:t>
      </w:r>
      <w:bookmarkEnd w:id="1229"/>
      <w:bookmarkEnd w:id="1230"/>
      <w:bookmarkEnd w:id="1231"/>
      <w:bookmarkEnd w:id="1232"/>
      <w:bookmarkEnd w:id="1233"/>
      <w:bookmarkEnd w:id="1234"/>
      <w:r>
        <w:rPr>
          <w:rFonts w:hint="eastAsia" w:ascii="宋体" w:cs="宋体"/>
          <w:color w:val="auto"/>
          <w:highlight w:val="none"/>
        </w:rPr>
        <w:t>利物质条件</w:t>
      </w:r>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p>
    <w:p w14:paraId="229F1EE0">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u w:val="single"/>
        </w:rPr>
      </w:pPr>
      <w:bookmarkStart w:id="1235" w:name="_Toc297123520"/>
      <w:bookmarkStart w:id="1236" w:name="_Toc312678016"/>
      <w:bookmarkStart w:id="1237" w:name="_Toc304295550"/>
      <w:bookmarkStart w:id="1238" w:name="_Toc300934972"/>
      <w:bookmarkStart w:id="1239" w:name="_Toc318581172"/>
      <w:bookmarkStart w:id="1240" w:name="_Toc303539129"/>
      <w:bookmarkStart w:id="1241" w:name="_Toc297216179"/>
      <w:r>
        <w:rPr>
          <w:rFonts w:hint="eastAsia" w:ascii="宋体" w:hAnsi="宋体" w:cs="宋体"/>
          <w:color w:val="auto"/>
          <w:szCs w:val="21"/>
          <w:highlight w:val="none"/>
        </w:rPr>
        <w:t>不利物质条件的其他情形和有关约定：</w:t>
      </w:r>
      <w:r>
        <w:rPr>
          <w:rFonts w:hint="eastAsia" w:ascii="宋体" w:hAnsi="宋体" w:cs="宋体"/>
          <w:color w:val="auto"/>
          <w:szCs w:val="21"/>
          <w:highlight w:val="none"/>
          <w:u w:val="single"/>
        </w:rPr>
        <w:t xml:space="preserve">  一周内非承包人原因，停水、停电、停气造成停工连续超过8小时；重大设计变更和工程量增加；发包人手续不全致使施工不能正常进行；发包人未能按约定时间支付工程款致使施工不能正常进行的；非承包人原因的政府及发包人有关的停工通知，以上不利物质条件延误工期的相应延长工期，因发包人原因给承包人造成损失的由发包人相应赔偿承包人，属政府和环境等原因的，双方协商处理</w:t>
      </w:r>
      <w:r>
        <w:rPr>
          <w:rFonts w:hint="eastAsia" w:ascii="宋体" w:hAnsi="宋体" w:cs="宋体"/>
          <w:color w:val="auto"/>
          <w:szCs w:val="21"/>
          <w:highlight w:val="none"/>
        </w:rPr>
        <w:t>。</w:t>
      </w:r>
    </w:p>
    <w:bookmarkEnd w:id="1235"/>
    <w:bookmarkEnd w:id="1236"/>
    <w:bookmarkEnd w:id="1237"/>
    <w:bookmarkEnd w:id="1238"/>
    <w:bookmarkEnd w:id="1239"/>
    <w:bookmarkEnd w:id="1240"/>
    <w:bookmarkEnd w:id="1241"/>
    <w:p w14:paraId="7B5BCFD7">
      <w:pPr>
        <w:pStyle w:val="37"/>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1242" w:name="_Toc418751825"/>
      <w:bookmarkStart w:id="1243" w:name="_Toc403578963"/>
      <w:bookmarkStart w:id="1244" w:name="_Toc522201758"/>
      <w:bookmarkStart w:id="1245" w:name="_Toc418518375"/>
      <w:bookmarkStart w:id="1246" w:name="_Toc418518139"/>
      <w:bookmarkStart w:id="1247" w:name="_Toc497746810"/>
      <w:bookmarkStart w:id="1248" w:name="_Toc418752271"/>
      <w:bookmarkStart w:id="1249" w:name="_Toc373478376"/>
      <w:bookmarkStart w:id="1250" w:name="_Toc256000208"/>
      <w:bookmarkStart w:id="1251" w:name="_Toc418061340"/>
      <w:bookmarkStart w:id="1252" w:name="_Toc373227729"/>
      <w:bookmarkStart w:id="1253" w:name="_Toc497747207"/>
      <w:bookmarkStart w:id="1254" w:name="_Toc389065295"/>
      <w:bookmarkStart w:id="1255" w:name="_Toc1472"/>
      <w:r>
        <w:rPr>
          <w:rFonts w:hint="eastAsia" w:ascii="宋体" w:cs="宋体"/>
          <w:color w:val="auto"/>
          <w:highlight w:val="none"/>
        </w:rPr>
        <w:t>7</w:t>
      </w:r>
      <w:bookmarkStart w:id="1256" w:name="_Toc312678017"/>
      <w:bookmarkStart w:id="1257" w:name="_Toc300934973"/>
      <w:bookmarkStart w:id="1258" w:name="_Toc303539130"/>
      <w:bookmarkStart w:id="1259" w:name="_Toc304295551"/>
      <w:bookmarkStart w:id="1260" w:name="_Toc297123521"/>
      <w:bookmarkStart w:id="1261" w:name="_Toc297216180"/>
      <w:r>
        <w:rPr>
          <w:rFonts w:hint="eastAsia" w:ascii="宋体" w:cs="宋体"/>
          <w:color w:val="auto"/>
          <w:highlight w:val="none"/>
        </w:rPr>
        <w:t>.7 异常恶劣的气候条件</w:t>
      </w:r>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p>
    <w:bookmarkEnd w:id="1256"/>
    <w:bookmarkEnd w:id="1257"/>
    <w:bookmarkEnd w:id="1258"/>
    <w:bookmarkEnd w:id="1259"/>
    <w:bookmarkEnd w:id="1260"/>
    <w:bookmarkEnd w:id="1261"/>
    <w:p w14:paraId="2D2672D2">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发包人和承包人同意以下情形视为异常恶劣的气候条件：</w:t>
      </w:r>
    </w:p>
    <w:p w14:paraId="6CBBA6C4">
      <w:pPr>
        <w:pStyle w:val="21"/>
        <w:keepNext w:val="0"/>
        <w:keepLines w:val="0"/>
        <w:pageBreakBefore w:val="0"/>
        <w:widowControl w:val="0"/>
        <w:wordWrap/>
        <w:topLinePunct w:val="0"/>
        <w:bidi w:val="0"/>
        <w:spacing w:line="380" w:lineRule="exact"/>
        <w:ind w:firstLine="420" w:firstLineChars="200"/>
        <w:rPr>
          <w:rFonts w:ascii="宋体" w:hAnsi="宋体" w:cs="宋体"/>
          <w:color w:val="auto"/>
          <w:szCs w:val="21"/>
          <w:highlight w:val="none"/>
          <w:u w:val="single"/>
        </w:rPr>
      </w:pPr>
      <w:bookmarkStart w:id="1262" w:name="_Toc389065296"/>
      <w:bookmarkStart w:id="1263" w:name="_Toc497747208"/>
      <w:bookmarkStart w:id="1264" w:name="_Toc373478377"/>
      <w:bookmarkStart w:id="1265" w:name="_Toc418518376"/>
      <w:bookmarkStart w:id="1266" w:name="_Toc403578964"/>
      <w:bookmarkStart w:id="1267" w:name="_Toc497746811"/>
      <w:bookmarkStart w:id="1268" w:name="_Toc418518140"/>
      <w:bookmarkStart w:id="1269" w:name="_Toc418752272"/>
      <w:bookmarkStart w:id="1270" w:name="_Toc373227730"/>
      <w:bookmarkStart w:id="1271" w:name="_Toc418061341"/>
      <w:bookmarkStart w:id="1272" w:name="_Toc418751826"/>
      <w:r>
        <w:rPr>
          <w:rFonts w:hint="eastAsia" w:ascii="宋体" w:hAnsi="宋体" w:cs="宋体"/>
          <w:color w:val="auto"/>
          <w:szCs w:val="21"/>
          <w:highlight w:val="none"/>
        </w:rPr>
        <w:t>（1）</w:t>
      </w:r>
      <w:r>
        <w:rPr>
          <w:rFonts w:hint="eastAsia" w:ascii="宋体" w:hAnsi="宋体" w:cs="宋体"/>
          <w:color w:val="auto"/>
          <w:szCs w:val="21"/>
          <w:highlight w:val="none"/>
          <w:u w:val="single"/>
        </w:rPr>
        <w:t>10级以上持续1天的大风；</w:t>
      </w:r>
    </w:p>
    <w:p w14:paraId="0C805EDC">
      <w:pPr>
        <w:pStyle w:val="21"/>
        <w:keepNext w:val="0"/>
        <w:keepLines w:val="0"/>
        <w:pageBreakBefore w:val="0"/>
        <w:widowControl w:val="0"/>
        <w:numPr>
          <w:ilvl w:val="0"/>
          <w:numId w:val="7"/>
        </w:numPr>
        <w:wordWrap/>
        <w:topLinePunct w:val="0"/>
        <w:bidi w:val="0"/>
        <w:spacing w:line="38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暴雨级以上持续2天的大雨；</w:t>
      </w:r>
    </w:p>
    <w:p w14:paraId="5C0A1E7C">
      <w:pPr>
        <w:pStyle w:val="21"/>
        <w:keepNext w:val="0"/>
        <w:keepLines w:val="0"/>
        <w:pageBreakBefore w:val="0"/>
        <w:widowControl w:val="0"/>
        <w:numPr>
          <w:ilvl w:val="0"/>
          <w:numId w:val="7"/>
        </w:numPr>
        <w:wordWrap/>
        <w:topLinePunct w:val="0"/>
        <w:bidi w:val="0"/>
        <w:spacing w:line="380" w:lineRule="exact"/>
        <w:ind w:firstLine="420" w:firstLineChars="200"/>
        <w:rPr>
          <w:rFonts w:ascii="宋体" w:hAnsi="宋体" w:cs="宋体"/>
          <w:color w:val="auto"/>
          <w:szCs w:val="21"/>
          <w:highlight w:val="none"/>
          <w:u w:val="single"/>
        </w:rPr>
      </w:pPr>
      <w:r>
        <w:rPr>
          <w:rFonts w:hint="eastAsia" w:ascii="宋体" w:hAnsi="宋体"/>
          <w:color w:val="auto"/>
          <w:szCs w:val="21"/>
          <w:highlight w:val="none"/>
          <w:u w:val="single"/>
        </w:rPr>
        <w:t>当地6级以上的破坏性地震；</w:t>
      </w:r>
    </w:p>
    <w:p w14:paraId="50134497">
      <w:pPr>
        <w:pStyle w:val="21"/>
        <w:keepNext w:val="0"/>
        <w:keepLines w:val="0"/>
        <w:pageBreakBefore w:val="0"/>
        <w:widowControl w:val="0"/>
        <w:numPr>
          <w:ilvl w:val="0"/>
          <w:numId w:val="7"/>
        </w:numPr>
        <w:wordWrap/>
        <w:topLinePunct w:val="0"/>
        <w:bidi w:val="0"/>
        <w:spacing w:line="38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50年以上未发生过的持续2天的高温天气；</w:t>
      </w:r>
    </w:p>
    <w:p w14:paraId="3D8D51C1">
      <w:pPr>
        <w:pStyle w:val="21"/>
        <w:keepNext w:val="0"/>
        <w:keepLines w:val="0"/>
        <w:pageBreakBefore w:val="0"/>
        <w:widowControl w:val="0"/>
        <w:numPr>
          <w:ilvl w:val="0"/>
          <w:numId w:val="7"/>
        </w:numPr>
        <w:wordWrap/>
        <w:topLinePunct w:val="0"/>
        <w:bidi w:val="0"/>
        <w:spacing w:line="38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50年以上未发生的持续2天的低温天气。</w:t>
      </w:r>
    </w:p>
    <w:p w14:paraId="33C01213">
      <w:pPr>
        <w:pStyle w:val="21"/>
        <w:keepNext w:val="0"/>
        <w:keepLines w:val="0"/>
        <w:pageBreakBefore w:val="0"/>
        <w:widowControl w:val="0"/>
        <w:wordWrap/>
        <w:topLinePunct w:val="0"/>
        <w:bidi w:val="0"/>
        <w:spacing w:line="380" w:lineRule="exact"/>
        <w:ind w:firstLine="630" w:firstLineChars="300"/>
        <w:rPr>
          <w:rFonts w:ascii="宋体" w:hAnsi="宋体" w:cs="宋体"/>
          <w:color w:val="auto"/>
          <w:szCs w:val="21"/>
          <w:highlight w:val="none"/>
          <w:u w:val="single"/>
        </w:rPr>
      </w:pPr>
      <w:r>
        <w:rPr>
          <w:rFonts w:hint="eastAsia" w:ascii="宋体" w:hAnsi="宋体" w:cs="宋体"/>
          <w:color w:val="auto"/>
          <w:szCs w:val="21"/>
          <w:highlight w:val="none"/>
          <w:u w:val="single"/>
        </w:rPr>
        <w:t>施工场地受淹超过发包人提供设计图纸指明的设计洪水位以及因天气原因无法施工并经监理确认引起延误的情况。承包人有权要求发包人延长工期, 但对上述几种情形，对工程施工造成影响和灾害的，需提供政府相关部门对不可抗力认定的证明材料为依据。</w:t>
      </w:r>
    </w:p>
    <w:p w14:paraId="43168568">
      <w:pPr>
        <w:pStyle w:val="21"/>
        <w:keepNext w:val="0"/>
        <w:keepLines w:val="0"/>
        <w:pageBreakBefore w:val="0"/>
        <w:widowControl w:val="0"/>
        <w:wordWrap/>
        <w:topLinePunct w:val="0"/>
        <w:bidi w:val="0"/>
        <w:spacing w:line="380" w:lineRule="exact"/>
        <w:jc w:val="left"/>
        <w:rPr>
          <w:rFonts w:ascii="宋体" w:hAnsi="宋体" w:cs="宋体"/>
          <w:b/>
          <w:bCs/>
          <w:color w:val="auto"/>
          <w:szCs w:val="21"/>
          <w:highlight w:val="none"/>
        </w:rPr>
      </w:pPr>
      <w:r>
        <w:rPr>
          <w:rFonts w:hint="eastAsia" w:ascii="宋体" w:hAnsi="宋体" w:cs="宋体"/>
          <w:b/>
          <w:bCs/>
          <w:color w:val="auto"/>
          <w:szCs w:val="21"/>
          <w:highlight w:val="none"/>
        </w:rPr>
        <w:t>7.8暂停施工</w:t>
      </w:r>
    </w:p>
    <w:p w14:paraId="4ECDD840">
      <w:pPr>
        <w:pStyle w:val="42"/>
        <w:keepNext w:val="0"/>
        <w:keepLines w:val="0"/>
        <w:pageBreakBefore w:val="0"/>
        <w:widowControl w:val="0"/>
        <w:wordWrap/>
        <w:topLinePunct w:val="0"/>
        <w:bidi w:val="0"/>
        <w:spacing w:line="380" w:lineRule="exact"/>
        <w:ind w:firstLine="0" w:firstLineChars="0"/>
        <w:rPr>
          <w:rFonts w:ascii="宋体" w:hAnsi="宋体" w:cs="宋体"/>
          <w:b/>
          <w:color w:val="auto"/>
          <w:highlight w:val="none"/>
        </w:rPr>
      </w:pPr>
      <w:r>
        <w:rPr>
          <w:rFonts w:hint="eastAsia" w:ascii="宋体" w:hAnsi="宋体" w:cs="宋体"/>
          <w:b/>
          <w:color w:val="auto"/>
          <w:highlight w:val="none"/>
        </w:rPr>
        <w:t>7.8.2承包人原因引起的暂停施工</w:t>
      </w:r>
    </w:p>
    <w:p w14:paraId="077EA1BD">
      <w:pPr>
        <w:pStyle w:val="21"/>
        <w:keepNext w:val="0"/>
        <w:keepLines w:val="0"/>
        <w:pageBreakBefore w:val="0"/>
        <w:widowControl w:val="0"/>
        <w:wordWrap/>
        <w:topLinePunct w:val="0"/>
        <w:bidi w:val="0"/>
        <w:spacing w:line="38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承包人承担暂停施工责任的其他情形：</w:t>
      </w:r>
      <w:r>
        <w:rPr>
          <w:rFonts w:hint="eastAsia" w:ascii="宋体" w:hAnsi="宋体" w:cs="宋体"/>
          <w:color w:val="auto"/>
          <w:szCs w:val="21"/>
          <w:highlight w:val="none"/>
          <w:u w:val="single"/>
        </w:rPr>
        <w:t>（1）监理工程师为保证工程质量和施工安全所指令的暂停施工；（2）因质量安全隐患或事故，被建设行政主管部门及安全生产监督责令暂停施工或自行暂停施工；（3）因承包人违反规范或任何工程质量不合格而进行返工、重建、修建的工期；（4）未按设计要求进行施工、或因施工组织方案不可行导致发包人未能按时审批而影响开工的；（5）工程验收不合格发现存在质量问题或技术问题需要修改的；（6）承包人与发包人未能在约定时间内达成一致而暂停施工；（7）工程质量未达到等级标准要求，发包人要求承包人返工的；（8）承包人因农忙时期而暂停施工；综述其工期不予顺延，责任自负。</w:t>
      </w:r>
    </w:p>
    <w:p w14:paraId="13168BB7">
      <w:pPr>
        <w:pStyle w:val="42"/>
        <w:keepNext w:val="0"/>
        <w:keepLines w:val="0"/>
        <w:pageBreakBefore w:val="0"/>
        <w:widowControl w:val="0"/>
        <w:wordWrap/>
        <w:topLinePunct w:val="0"/>
        <w:bidi w:val="0"/>
        <w:spacing w:line="380" w:lineRule="exact"/>
        <w:rPr>
          <w:rFonts w:ascii="宋体" w:hAnsi="宋体" w:cs="宋体"/>
          <w:color w:val="auto"/>
          <w:highlight w:val="none"/>
          <w:u w:val="single"/>
        </w:rPr>
      </w:pPr>
      <w:r>
        <w:rPr>
          <w:rFonts w:hint="eastAsia" w:ascii="宋体" w:hAnsi="宋体" w:cs="宋体"/>
          <w:color w:val="auto"/>
          <w:highlight w:val="none"/>
          <w:u w:val="single"/>
        </w:rPr>
        <w:t>因承包人责任暂停施工延误施工时机而导致遭遇不利条件物质条件和异常恶劣的气候条件、不可抗力造成的工期延误和费用增加由承包人承担。</w:t>
      </w:r>
    </w:p>
    <w:p w14:paraId="46C9FE87">
      <w:pPr>
        <w:pStyle w:val="42"/>
        <w:keepNext w:val="0"/>
        <w:keepLines w:val="0"/>
        <w:pageBreakBefore w:val="0"/>
        <w:widowControl w:val="0"/>
        <w:wordWrap/>
        <w:topLinePunct w:val="0"/>
        <w:bidi w:val="0"/>
        <w:spacing w:line="380" w:lineRule="exact"/>
        <w:ind w:firstLine="0" w:firstLineChars="0"/>
        <w:rPr>
          <w:rFonts w:ascii="宋体" w:hAnsi="宋体" w:cs="宋体"/>
          <w:b/>
          <w:color w:val="auto"/>
          <w:highlight w:val="none"/>
        </w:rPr>
      </w:pPr>
      <w:r>
        <w:rPr>
          <w:rFonts w:hint="eastAsia" w:ascii="宋体" w:hAnsi="宋体" w:cs="宋体"/>
          <w:b/>
          <w:color w:val="auto"/>
          <w:highlight w:val="none"/>
        </w:rPr>
        <w:t>7.8.5暂停施工后的复工</w:t>
      </w:r>
    </w:p>
    <w:p w14:paraId="3CF74AEF">
      <w:pPr>
        <w:pStyle w:val="42"/>
        <w:keepNext w:val="0"/>
        <w:keepLines w:val="0"/>
        <w:pageBreakBefore w:val="0"/>
        <w:widowControl w:val="0"/>
        <w:wordWrap/>
        <w:topLinePunct w:val="0"/>
        <w:bidi w:val="0"/>
        <w:spacing w:line="380" w:lineRule="exact"/>
        <w:rPr>
          <w:rFonts w:ascii="宋体" w:hAnsi="宋体" w:cs="宋体"/>
          <w:color w:val="auto"/>
          <w:highlight w:val="none"/>
        </w:rPr>
      </w:pPr>
      <w:r>
        <w:rPr>
          <w:rFonts w:hint="eastAsia" w:ascii="宋体" w:hAnsi="宋体" w:cs="宋体"/>
          <w:color w:val="auto"/>
          <w:highlight w:val="none"/>
          <w:u w:val="single"/>
        </w:rPr>
        <w:t>监理人发出复工通知后，监理人应和承包人一起对受到暂停施工影响的工程、材料和工程设备进行检查。承包人负责修复在暂停施工期间发生在工程、材料和工程设备上的任何损蚀、缺陷或损失，修复费用由承担暂停施工责任的责任人承担。</w:t>
      </w:r>
    </w:p>
    <w:p w14:paraId="0D333E00">
      <w:pPr>
        <w:pStyle w:val="37"/>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1273" w:name="_Toc522201759"/>
      <w:bookmarkStart w:id="1274" w:name="_Toc256000209"/>
      <w:bookmarkStart w:id="1275" w:name="_Toc6583"/>
      <w:r>
        <w:rPr>
          <w:rFonts w:hint="eastAsia" w:ascii="宋体" w:cs="宋体"/>
          <w:color w:val="auto"/>
          <w:highlight w:val="none"/>
        </w:rPr>
        <w:t>7.9 提前竣工</w:t>
      </w:r>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p>
    <w:p w14:paraId="0BF8BAD5">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7.9.2提前竣工的奖励：</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04642BFE">
      <w:pPr>
        <w:pStyle w:val="37"/>
        <w:keepNext w:val="0"/>
        <w:keepLines w:val="0"/>
        <w:pageBreakBefore w:val="0"/>
        <w:widowControl w:val="0"/>
        <w:wordWrap/>
        <w:topLinePunct w:val="0"/>
        <w:bidi w:val="0"/>
        <w:spacing w:line="380" w:lineRule="exact"/>
        <w:outlineLvl w:val="2"/>
        <w:rPr>
          <w:rFonts w:ascii="宋体" w:cs="宋体"/>
          <w:color w:val="auto"/>
          <w:highlight w:val="none"/>
        </w:rPr>
      </w:pPr>
      <w:bookmarkStart w:id="1276" w:name="_Toc497747209"/>
      <w:bookmarkStart w:id="1277" w:name="_Toc373227731"/>
      <w:bookmarkStart w:id="1278" w:name="_Toc418752273"/>
      <w:bookmarkStart w:id="1279" w:name="_Toc403578965"/>
      <w:bookmarkStart w:id="1280" w:name="_Toc11098"/>
      <w:bookmarkStart w:id="1281" w:name="_Toc418518377"/>
      <w:bookmarkStart w:id="1282" w:name="_Toc256000210"/>
      <w:bookmarkStart w:id="1283" w:name="_Toc522201760"/>
      <w:bookmarkStart w:id="1284" w:name="_Toc373478378"/>
      <w:bookmarkStart w:id="1285" w:name="_Toc497746812"/>
      <w:bookmarkStart w:id="1286" w:name="_Toc418518141"/>
      <w:bookmarkStart w:id="1287" w:name="_Toc389065297"/>
      <w:bookmarkStart w:id="1288" w:name="_Toc351203640"/>
      <w:bookmarkStart w:id="1289" w:name="_Toc418751827"/>
      <w:bookmarkStart w:id="1290" w:name="_Toc418061342"/>
      <w:r>
        <w:rPr>
          <w:rFonts w:hint="eastAsia" w:ascii="宋体" w:cs="宋体"/>
          <w:color w:val="auto"/>
          <w:highlight w:val="none"/>
          <w:lang w:val="en-US" w:eastAsia="zh-CN"/>
        </w:rPr>
        <w:t>8.</w:t>
      </w:r>
      <w:r>
        <w:rPr>
          <w:rFonts w:hint="eastAsia" w:ascii="宋体" w:cs="宋体"/>
          <w:color w:val="auto"/>
          <w:highlight w:val="none"/>
        </w:rPr>
        <w:t>材料与设备</w:t>
      </w:r>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p>
    <w:p w14:paraId="1561A026">
      <w:pPr>
        <w:pStyle w:val="42"/>
        <w:keepNext w:val="0"/>
        <w:keepLines w:val="0"/>
        <w:pageBreakBefore w:val="0"/>
        <w:widowControl w:val="0"/>
        <w:wordWrap/>
        <w:topLinePunct w:val="0"/>
        <w:bidi w:val="0"/>
        <w:spacing w:line="380" w:lineRule="exact"/>
        <w:rPr>
          <w:rFonts w:ascii="宋体" w:hAnsi="宋体" w:cs="宋体"/>
          <w:color w:val="auto"/>
          <w:highlight w:val="none"/>
        </w:rPr>
      </w:pPr>
      <w:r>
        <w:rPr>
          <w:rFonts w:ascii="宋体" w:hAnsi="宋体" w:cs="宋体"/>
          <w:color w:val="auto"/>
          <w:highlight w:val="none"/>
        </w:rPr>
        <w:t>承包人采购材料和设备的约定：</w:t>
      </w:r>
    </w:p>
    <w:bookmarkEnd w:id="1032"/>
    <w:bookmarkEnd w:id="1033"/>
    <w:bookmarkEnd w:id="1034"/>
    <w:bookmarkEnd w:id="1035"/>
    <w:bookmarkEnd w:id="1036"/>
    <w:bookmarkEnd w:id="1037"/>
    <w:bookmarkEnd w:id="1038"/>
    <w:bookmarkEnd w:id="1039"/>
    <w:bookmarkEnd w:id="1040"/>
    <w:bookmarkEnd w:id="1041"/>
    <w:p w14:paraId="737C2CB5">
      <w:pPr>
        <w:pStyle w:val="37"/>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1291" w:name="_Toc418518142"/>
      <w:bookmarkStart w:id="1292" w:name="_Toc522201761"/>
      <w:bookmarkStart w:id="1293" w:name="_Toc389065298"/>
      <w:bookmarkStart w:id="1294" w:name="_Toc403578966"/>
      <w:bookmarkStart w:id="1295" w:name="_Toc497746813"/>
      <w:bookmarkStart w:id="1296" w:name="_Toc418518378"/>
      <w:bookmarkStart w:id="1297" w:name="_Toc256000211"/>
      <w:bookmarkStart w:id="1298" w:name="_Toc418752274"/>
      <w:bookmarkStart w:id="1299" w:name="_Toc418061343"/>
      <w:bookmarkStart w:id="1300" w:name="_Toc373227732"/>
      <w:bookmarkStart w:id="1301" w:name="_Toc418751828"/>
      <w:bookmarkStart w:id="1302" w:name="_Toc373478379"/>
      <w:bookmarkStart w:id="1303" w:name="_Toc3719"/>
      <w:bookmarkStart w:id="1304" w:name="_Toc497747210"/>
      <w:r>
        <w:rPr>
          <w:rFonts w:hint="eastAsia" w:ascii="宋体" w:cs="宋体"/>
          <w:color w:val="auto"/>
          <w:highlight w:val="none"/>
        </w:rPr>
        <w:t>8.2 承包人采购材料与工程设备</w:t>
      </w:r>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p>
    <w:p w14:paraId="62061C83">
      <w:pPr>
        <w:pStyle w:val="21"/>
        <w:keepNext w:val="0"/>
        <w:keepLines w:val="0"/>
        <w:pageBreakBefore w:val="0"/>
        <w:widowControl w:val="0"/>
        <w:wordWrap/>
        <w:topLinePunct w:val="0"/>
        <w:autoSpaceDE w:val="0"/>
        <w:autoSpaceDN w:val="0"/>
        <w:bidi w:val="0"/>
        <w:adjustRightInd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除已标价工程量清单《发包人提供主要材料和工程设备一览表》（表-21）中明确的材料、工程设备外，由承包人负责材料和工程设备的采购、运输和保管。《</w:t>
      </w:r>
      <w:r>
        <w:rPr>
          <w:rFonts w:hint="eastAsia" w:ascii="宋体" w:hAnsi="宋体" w:cs="宋体"/>
          <w:color w:val="auto"/>
          <w:szCs w:val="21"/>
          <w:highlight w:val="none"/>
        </w:rPr>
        <w:t>承包人提供主要材料和工程设备一览表》</w:t>
      </w:r>
      <w:r>
        <w:rPr>
          <w:rFonts w:hint="eastAsia" w:ascii="宋体" w:hAnsi="宋体" w:cs="宋体"/>
          <w:color w:val="auto"/>
          <w:kern w:val="0"/>
          <w:szCs w:val="21"/>
          <w:highlight w:val="none"/>
        </w:rPr>
        <w:t>（表-22）见已标价工程量清单。</w:t>
      </w:r>
    </w:p>
    <w:p w14:paraId="58E9B2A1">
      <w:pPr>
        <w:pStyle w:val="37"/>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1305" w:name="_Toc23212"/>
      <w:bookmarkStart w:id="1306" w:name="_Toc418752275"/>
      <w:bookmarkStart w:id="1307" w:name="_Toc418061344"/>
      <w:bookmarkStart w:id="1308" w:name="_Toc497747211"/>
      <w:bookmarkStart w:id="1309" w:name="_Toc403578967"/>
      <w:bookmarkStart w:id="1310" w:name="_Toc497746814"/>
      <w:bookmarkStart w:id="1311" w:name="_Toc522201762"/>
      <w:bookmarkStart w:id="1312" w:name="_Toc418518143"/>
      <w:bookmarkStart w:id="1313" w:name="_Toc418751829"/>
      <w:bookmarkStart w:id="1314" w:name="_Toc256000212"/>
      <w:bookmarkStart w:id="1315" w:name="_Toc389065299"/>
      <w:bookmarkStart w:id="1316" w:name="_Toc418518379"/>
      <w:bookmarkStart w:id="1317" w:name="_Toc373227733"/>
      <w:bookmarkStart w:id="1318" w:name="_Toc373478380"/>
      <w:r>
        <w:rPr>
          <w:rFonts w:hint="eastAsia" w:ascii="宋体" w:cs="宋体"/>
          <w:color w:val="auto"/>
          <w:highlight w:val="none"/>
        </w:rPr>
        <w:t>8</w:t>
      </w:r>
      <w:bookmarkStart w:id="1319" w:name="_Toc297048353"/>
      <w:bookmarkStart w:id="1320" w:name="_Toc296891207"/>
      <w:bookmarkStart w:id="1321" w:name="_Toc292559877"/>
      <w:bookmarkStart w:id="1322" w:name="_Toc296890995"/>
      <w:bookmarkStart w:id="1323" w:name="_Toc304295556"/>
      <w:bookmarkStart w:id="1324" w:name="_Toc297216186"/>
      <w:bookmarkStart w:id="1325" w:name="_Toc296503167"/>
      <w:bookmarkStart w:id="1326" w:name="_Toc296346668"/>
      <w:bookmarkStart w:id="1327" w:name="_Toc303539136"/>
      <w:bookmarkStart w:id="1328" w:name="_Toc280868654"/>
      <w:bookmarkStart w:id="1329" w:name="_Toc300934979"/>
      <w:bookmarkStart w:id="1330" w:name="_Toc296944506"/>
      <w:bookmarkStart w:id="1331" w:name="_Toc312677493"/>
      <w:bookmarkStart w:id="1332" w:name="_Toc292559372"/>
      <w:bookmarkStart w:id="1333" w:name="_Toc312678019"/>
      <w:bookmarkStart w:id="1334" w:name="_Toc297120467"/>
      <w:bookmarkStart w:id="1335" w:name="_Toc296347166"/>
      <w:bookmarkStart w:id="1336" w:name="_Toc297123527"/>
      <w:bookmarkStart w:id="1337" w:name="_Toc280868656"/>
      <w:bookmarkStart w:id="1338" w:name="_Toc267251424"/>
      <w:bookmarkStart w:id="1339" w:name="_Toc280868655"/>
      <w:r>
        <w:rPr>
          <w:rFonts w:hint="eastAsia" w:ascii="宋体" w:cs="宋体"/>
          <w:color w:val="auto"/>
          <w:highlight w:val="none"/>
        </w:rPr>
        <w:t>.4 材料与工程设备的保管与使用</w:t>
      </w:r>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p>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p w14:paraId="60CE20D3">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8</w:t>
      </w:r>
      <w:bookmarkStart w:id="1340" w:name="_Toc292559878"/>
      <w:bookmarkStart w:id="1341" w:name="_Toc292559373"/>
      <w:bookmarkStart w:id="1342" w:name="_Toc300934980"/>
      <w:bookmarkStart w:id="1343" w:name="_Toc296346669"/>
      <w:bookmarkStart w:id="1344" w:name="_Toc297120468"/>
      <w:bookmarkStart w:id="1345" w:name="_Toc296503168"/>
      <w:bookmarkStart w:id="1346" w:name="_Toc312678020"/>
      <w:bookmarkStart w:id="1347" w:name="_Toc297216187"/>
      <w:bookmarkStart w:id="1348" w:name="_Toc297123528"/>
      <w:bookmarkStart w:id="1349" w:name="_Toc296890996"/>
      <w:bookmarkStart w:id="1350" w:name="_Toc318581173"/>
      <w:bookmarkStart w:id="1351" w:name="_Toc304295557"/>
      <w:bookmarkStart w:id="1352" w:name="_Toc296944507"/>
      <w:bookmarkStart w:id="1353" w:name="_Toc296891208"/>
      <w:bookmarkStart w:id="1354" w:name="_Toc297048354"/>
      <w:bookmarkStart w:id="1355" w:name="_Toc296347167"/>
      <w:bookmarkStart w:id="1356" w:name="_Toc303539137"/>
      <w:bookmarkStart w:id="1357" w:name="_Toc312677494"/>
      <w:r>
        <w:rPr>
          <w:rFonts w:hint="eastAsia" w:ascii="宋体" w:hAnsi="宋体" w:cs="宋体"/>
          <w:color w:val="auto"/>
          <w:szCs w:val="21"/>
          <w:highlight w:val="none"/>
        </w:rPr>
        <w:t>.4.1发包人供应的材料设备的保管费用的承担：</w:t>
      </w:r>
      <w:r>
        <w:rPr>
          <w:rFonts w:hint="eastAsia" w:ascii="宋体" w:hAnsi="宋体" w:cs="宋体"/>
          <w:color w:val="auto"/>
          <w:szCs w:val="21"/>
          <w:highlight w:val="none"/>
          <w:u w:val="single"/>
        </w:rPr>
        <w:t>发包人供应的材料和设备经三方验收合格后，保管费用由承包人承担</w:t>
      </w:r>
      <w:r>
        <w:rPr>
          <w:rFonts w:hint="eastAsia" w:ascii="宋体" w:hAnsi="宋体" w:cs="宋体"/>
          <w:color w:val="auto"/>
          <w:szCs w:val="21"/>
          <w:highlight w:val="none"/>
        </w:rPr>
        <w:t>。</w:t>
      </w:r>
    </w:p>
    <w:bookmarkEnd w:id="1340"/>
    <w:bookmarkEnd w:id="1341"/>
    <w:p w14:paraId="08AEC395">
      <w:pPr>
        <w:pStyle w:val="37"/>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1358" w:name="_Toc403578968"/>
      <w:bookmarkStart w:id="1359" w:name="_Toc418061345"/>
      <w:bookmarkStart w:id="1360" w:name="_Toc522201763"/>
      <w:bookmarkStart w:id="1361" w:name="_Toc256000213"/>
      <w:bookmarkStart w:id="1362" w:name="_Toc418752276"/>
      <w:bookmarkStart w:id="1363" w:name="_Toc373478381"/>
      <w:bookmarkStart w:id="1364" w:name="_Toc497746815"/>
      <w:bookmarkStart w:id="1365" w:name="_Toc389065300"/>
      <w:bookmarkStart w:id="1366" w:name="_Toc418518380"/>
      <w:bookmarkStart w:id="1367" w:name="_Toc418518144"/>
      <w:bookmarkStart w:id="1368" w:name="_Toc418751830"/>
      <w:bookmarkStart w:id="1369" w:name="_Toc7018"/>
      <w:bookmarkStart w:id="1370" w:name="_Toc373227734"/>
      <w:bookmarkStart w:id="1371" w:name="_Toc497747212"/>
      <w:r>
        <w:rPr>
          <w:rFonts w:hint="eastAsia" w:ascii="宋体" w:cs="宋体"/>
          <w:color w:val="auto"/>
          <w:highlight w:val="none"/>
        </w:rPr>
        <w:t>8.6 样品</w:t>
      </w:r>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p>
    <w:p w14:paraId="11C907D2">
      <w:pPr>
        <w:pStyle w:val="21"/>
        <w:keepNext w:val="0"/>
        <w:keepLines w:val="0"/>
        <w:pageBreakBefore w:val="0"/>
        <w:widowControl w:val="0"/>
        <w:wordWrap/>
        <w:topLinePunct w:val="0"/>
        <w:autoSpaceDE w:val="0"/>
        <w:autoSpaceDN w:val="0"/>
        <w:bidi w:val="0"/>
        <w:adjustRightInd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8.6.1 样品的报送与封存</w:t>
      </w:r>
    </w:p>
    <w:p w14:paraId="0DF42FD3">
      <w:pPr>
        <w:pStyle w:val="21"/>
        <w:keepNext w:val="0"/>
        <w:keepLines w:val="0"/>
        <w:pageBreakBefore w:val="0"/>
        <w:widowControl w:val="0"/>
        <w:wordWrap/>
        <w:topLinePunct w:val="0"/>
        <w:autoSpaceDE w:val="0"/>
        <w:autoSpaceDN w:val="0"/>
        <w:bidi w:val="0"/>
        <w:adjustRightInd w:val="0"/>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需要承包人报送样品的材料或工程设备，样品的种类、名称、规格、数量要求：</w:t>
      </w:r>
      <w:r>
        <w:rPr>
          <w:rFonts w:hint="eastAsia" w:ascii="宋体" w:hAnsi="宋体" w:cs="宋体"/>
          <w:color w:val="auto"/>
          <w:szCs w:val="21"/>
          <w:highlight w:val="none"/>
          <w:u w:val="single"/>
        </w:rPr>
        <w:t>主要材料涉及品种、款式、颜色等方面内容的，承包人在进货前需将货物样品报送监理或发包人现场办公室，待设计及发包人确认样品，并封存样品后，承包人方可订货。除上述材料外招标文件和招标工程量清单中对材料、设备有档次或质量要求的，按招标文件和招标工程量清单确定；其他由合同各方协商确定。</w:t>
      </w:r>
    </w:p>
    <w:p w14:paraId="0E9B3851">
      <w:pPr>
        <w:pStyle w:val="37"/>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1372" w:name="_Toc497747213"/>
      <w:bookmarkStart w:id="1373" w:name="_Toc403578969"/>
      <w:bookmarkStart w:id="1374" w:name="_Toc373227735"/>
      <w:bookmarkStart w:id="1375" w:name="_Toc256000214"/>
      <w:bookmarkStart w:id="1376" w:name="_Toc418752277"/>
      <w:bookmarkStart w:id="1377" w:name="_Toc418518145"/>
      <w:bookmarkStart w:id="1378" w:name="_Toc389065301"/>
      <w:bookmarkStart w:id="1379" w:name="_Toc497746816"/>
      <w:bookmarkStart w:id="1380" w:name="_Toc418061346"/>
      <w:bookmarkStart w:id="1381" w:name="_Toc5914"/>
      <w:bookmarkStart w:id="1382" w:name="_Toc418751831"/>
      <w:bookmarkStart w:id="1383" w:name="_Toc373478382"/>
      <w:bookmarkStart w:id="1384" w:name="_Toc418518381"/>
      <w:bookmarkStart w:id="1385" w:name="_Toc522201764"/>
      <w:r>
        <w:rPr>
          <w:rFonts w:hint="eastAsia" w:ascii="宋体" w:cs="宋体"/>
          <w:color w:val="auto"/>
          <w:highlight w:val="none"/>
        </w:rPr>
        <w:t>8.8 施工设备和临时设施</w:t>
      </w:r>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p>
    <w:p w14:paraId="3DEA0EC6">
      <w:pPr>
        <w:pStyle w:val="21"/>
        <w:keepNext w:val="0"/>
        <w:keepLines w:val="0"/>
        <w:pageBreakBefore w:val="0"/>
        <w:widowControl w:val="0"/>
        <w:wordWrap/>
        <w:topLinePunct w:val="0"/>
        <w:autoSpaceDE w:val="0"/>
        <w:autoSpaceDN w:val="0"/>
        <w:bidi w:val="0"/>
        <w:adjustRightInd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8.8.1 承包人提供的施工设备和临时设施</w:t>
      </w:r>
    </w:p>
    <w:p w14:paraId="68CA9C4A">
      <w:pPr>
        <w:pStyle w:val="21"/>
        <w:keepNext w:val="0"/>
        <w:keepLines w:val="0"/>
        <w:pageBreakBefore w:val="0"/>
        <w:widowControl w:val="0"/>
        <w:wordWrap/>
        <w:topLinePunct w:val="0"/>
        <w:autoSpaceDE w:val="0"/>
        <w:autoSpaceDN w:val="0"/>
        <w:bidi w:val="0"/>
        <w:adjustRightInd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5。</w:t>
      </w:r>
    </w:p>
    <w:p w14:paraId="35ECD4B8">
      <w:pPr>
        <w:pStyle w:val="21"/>
        <w:keepNext w:val="0"/>
        <w:keepLines w:val="0"/>
        <w:pageBreakBefore w:val="0"/>
        <w:widowControl w:val="0"/>
        <w:wordWrap/>
        <w:topLinePunct w:val="0"/>
        <w:autoSpaceDE w:val="0"/>
        <w:autoSpaceDN w:val="0"/>
        <w:bidi w:val="0"/>
        <w:adjustRightInd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关于修建临时设施费用承担的约定：</w:t>
      </w:r>
    </w:p>
    <w:p w14:paraId="56D0F837">
      <w:pPr>
        <w:pStyle w:val="21"/>
        <w:keepNext w:val="0"/>
        <w:keepLines w:val="0"/>
        <w:pageBreakBefore w:val="0"/>
        <w:widowControl w:val="0"/>
        <w:wordWrap/>
        <w:topLinePunct w:val="0"/>
        <w:autoSpaceDE w:val="0"/>
        <w:autoSpaceDN w:val="0"/>
        <w:bidi w:val="0"/>
        <w:adjustRightInd w:val="0"/>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①承包人的临时用地（含项目部驻地等）租用费（含拆迁补偿）、临时用地的环保、恢复、临时用地的青苗补偿及地面附着物拆除等费用均由承包人负责，以上费用在</w:t>
      </w:r>
      <w:r>
        <w:rPr>
          <w:rFonts w:hint="eastAsia" w:ascii="宋体" w:hAnsi="宋体" w:cs="宋体"/>
          <w:color w:val="auto"/>
          <w:szCs w:val="21"/>
          <w:highlight w:val="none"/>
          <w:u w:val="single"/>
          <w:lang w:eastAsia="zh-CN"/>
        </w:rPr>
        <w:t>投标报价（磋商报价）</w:t>
      </w:r>
      <w:r>
        <w:rPr>
          <w:rFonts w:hint="eastAsia" w:ascii="宋体" w:hAnsi="宋体" w:cs="宋体"/>
          <w:color w:val="auto"/>
          <w:szCs w:val="21"/>
          <w:highlight w:val="none"/>
          <w:u w:val="single"/>
        </w:rPr>
        <w:t xml:space="preserve">中综合考虑。 </w:t>
      </w:r>
    </w:p>
    <w:p w14:paraId="2F91BA5E">
      <w:pPr>
        <w:pStyle w:val="21"/>
        <w:keepNext w:val="0"/>
        <w:keepLines w:val="0"/>
        <w:pageBreakBefore w:val="0"/>
        <w:widowControl w:val="0"/>
        <w:wordWrap/>
        <w:topLinePunct w:val="0"/>
        <w:autoSpaceDE w:val="0"/>
        <w:autoSpaceDN w:val="0"/>
        <w:bidi w:val="0"/>
        <w:adjustRightInd w:val="0"/>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 xml:space="preserve">②承包人负责合同实施期间其合同段内临时交通道路和交通设施的修建、维修、养护和交通管理工作，并承担一切费用。 </w:t>
      </w:r>
    </w:p>
    <w:p w14:paraId="3629391B">
      <w:pPr>
        <w:pStyle w:val="21"/>
        <w:keepNext w:val="0"/>
        <w:keepLines w:val="0"/>
        <w:pageBreakBefore w:val="0"/>
        <w:widowControl w:val="0"/>
        <w:wordWrap/>
        <w:topLinePunct w:val="0"/>
        <w:autoSpaceDE w:val="0"/>
        <w:autoSpaceDN w:val="0"/>
        <w:bidi w:val="0"/>
        <w:adjustRightInd w:val="0"/>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 xml:space="preserve">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 </w:t>
      </w:r>
    </w:p>
    <w:p w14:paraId="6DE6383D">
      <w:pPr>
        <w:pStyle w:val="21"/>
        <w:keepNext w:val="0"/>
        <w:keepLines w:val="0"/>
        <w:pageBreakBefore w:val="0"/>
        <w:widowControl w:val="0"/>
        <w:wordWrap/>
        <w:topLinePunct w:val="0"/>
        <w:autoSpaceDE w:val="0"/>
        <w:autoSpaceDN w:val="0"/>
        <w:bidi w:val="0"/>
        <w:adjustRightInd w:val="0"/>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④承包人在发包人拟开发区域内已经搭设的施工现场办公等临时设施，一旦发包人因开发需要，通知承包人搬迁、拆除的，承包人应无条件在规定期限内搬迁、拆除，发包人不另行支付搬迁、拆除等费用。承包人自行解决民工住宿问题，并承担因此而增加的交通费用、工人生产降效等相关费用。</w:t>
      </w:r>
    </w:p>
    <w:p w14:paraId="307F92D7">
      <w:pPr>
        <w:pStyle w:val="21"/>
        <w:keepNext w:val="0"/>
        <w:keepLines w:val="0"/>
        <w:pageBreakBefore w:val="0"/>
        <w:widowControl w:val="0"/>
        <w:wordWrap/>
        <w:topLinePunct w:val="0"/>
        <w:autoSpaceDE w:val="0"/>
        <w:autoSpaceDN w:val="0"/>
        <w:bidi w:val="0"/>
        <w:adjustRightInd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8.8.2 发包人提供的施工设备和临时设施</w:t>
      </w:r>
    </w:p>
    <w:p w14:paraId="4969D344">
      <w:pPr>
        <w:pStyle w:val="21"/>
        <w:keepNext w:val="0"/>
        <w:keepLines w:val="0"/>
        <w:pageBreakBefore w:val="0"/>
        <w:widowControl w:val="0"/>
        <w:wordWrap/>
        <w:topLinePunct w:val="0"/>
        <w:autoSpaceDE w:val="0"/>
        <w:autoSpaceDN w:val="0"/>
        <w:bidi w:val="0"/>
        <w:adjustRightInd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发包人提供的施工设备和临时设施：</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6A9D5418">
      <w:pPr>
        <w:pStyle w:val="21"/>
        <w:keepNext w:val="0"/>
        <w:keepLines w:val="0"/>
        <w:pageBreakBefore w:val="0"/>
        <w:widowControl w:val="0"/>
        <w:wordWrap/>
        <w:topLinePunct w:val="0"/>
        <w:autoSpaceDE w:val="0"/>
        <w:autoSpaceDN w:val="0"/>
        <w:bidi w:val="0"/>
        <w:adjustRightInd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发包人提供的施工设备和临时设施的运行、维护、拆除、清运费用的承担人：</w:t>
      </w:r>
      <w:r>
        <w:rPr>
          <w:rFonts w:hint="eastAsia" w:ascii="宋体" w:hAnsi="宋体" w:cs="宋体"/>
          <w:color w:val="auto"/>
          <w:szCs w:val="21"/>
          <w:highlight w:val="none"/>
          <w:u w:val="single"/>
        </w:rPr>
        <w:t xml:space="preserve">  承包人  </w:t>
      </w:r>
      <w:r>
        <w:rPr>
          <w:rFonts w:hint="eastAsia" w:ascii="宋体" w:hAnsi="宋体" w:cs="宋体"/>
          <w:color w:val="auto"/>
          <w:szCs w:val="21"/>
          <w:highlight w:val="none"/>
        </w:rPr>
        <w:t>。</w:t>
      </w:r>
    </w:p>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p w14:paraId="132A06BA">
      <w:pPr>
        <w:pStyle w:val="37"/>
        <w:keepNext w:val="0"/>
        <w:keepLines w:val="0"/>
        <w:pageBreakBefore w:val="0"/>
        <w:widowControl w:val="0"/>
        <w:wordWrap/>
        <w:topLinePunct w:val="0"/>
        <w:bidi w:val="0"/>
        <w:spacing w:line="380" w:lineRule="exact"/>
        <w:outlineLvl w:val="2"/>
        <w:rPr>
          <w:rFonts w:ascii="宋体" w:cs="宋体"/>
          <w:color w:val="auto"/>
          <w:highlight w:val="none"/>
        </w:rPr>
      </w:pPr>
      <w:bookmarkStart w:id="1386" w:name="_Toc418751832"/>
      <w:bookmarkStart w:id="1387" w:name="_Toc373227736"/>
      <w:bookmarkStart w:id="1388" w:name="_Toc403578970"/>
      <w:bookmarkStart w:id="1389" w:name="_Toc351203641"/>
      <w:bookmarkStart w:id="1390" w:name="_Toc522201765"/>
      <w:bookmarkStart w:id="1391" w:name="_Toc8701"/>
      <w:bookmarkStart w:id="1392" w:name="_Toc373478383"/>
      <w:bookmarkStart w:id="1393" w:name="_Toc256000215"/>
      <w:bookmarkStart w:id="1394" w:name="_Toc418518382"/>
      <w:bookmarkStart w:id="1395" w:name="_Toc418752278"/>
      <w:bookmarkStart w:id="1396" w:name="_Toc389065302"/>
      <w:bookmarkStart w:id="1397" w:name="_Toc418518146"/>
      <w:bookmarkStart w:id="1398" w:name="_Toc418061347"/>
      <w:bookmarkStart w:id="1399" w:name="_Toc497746817"/>
      <w:bookmarkStart w:id="1400" w:name="_Toc497747214"/>
      <w:r>
        <w:rPr>
          <w:rFonts w:hint="eastAsia" w:ascii="宋体" w:cs="宋体"/>
          <w:color w:val="auto"/>
          <w:highlight w:val="none"/>
        </w:rPr>
        <w:t>9</w:t>
      </w:r>
      <w:bookmarkEnd w:id="1337"/>
      <w:bookmarkEnd w:id="1338"/>
      <w:bookmarkEnd w:id="1339"/>
      <w:bookmarkStart w:id="1401" w:name="_Toc312678021"/>
      <w:bookmarkStart w:id="1402" w:name="_Toc297216192"/>
      <w:bookmarkStart w:id="1403" w:name="_Toc300934982"/>
      <w:bookmarkStart w:id="1404" w:name="_Toc297123533"/>
      <w:bookmarkStart w:id="1405" w:name="_Toc312677495"/>
      <w:bookmarkStart w:id="1406" w:name="_Toc304295559"/>
      <w:bookmarkStart w:id="1407" w:name="_Toc303539139"/>
      <w:bookmarkStart w:id="1408" w:name="_Toc292559883"/>
      <w:bookmarkStart w:id="1409" w:name="_Toc267251427"/>
      <w:bookmarkStart w:id="1410" w:name="_Toc296347172"/>
      <w:bookmarkStart w:id="1411" w:name="_Toc267251428"/>
      <w:bookmarkStart w:id="1412" w:name="_Toc296503173"/>
      <w:bookmarkStart w:id="1413" w:name="_Toc297120473"/>
      <w:bookmarkStart w:id="1414" w:name="_Toc296891213"/>
      <w:bookmarkStart w:id="1415" w:name="_Toc296944512"/>
      <w:bookmarkStart w:id="1416" w:name="_Toc292559378"/>
      <w:bookmarkStart w:id="1417" w:name="_Toc297048359"/>
      <w:bookmarkStart w:id="1418" w:name="_Toc296891001"/>
      <w:bookmarkStart w:id="1419" w:name="_Toc296346674"/>
      <w:r>
        <w:rPr>
          <w:rFonts w:hint="eastAsia" w:ascii="宋体" w:cs="宋体"/>
          <w:color w:val="auto"/>
          <w:highlight w:val="none"/>
        </w:rPr>
        <w:t xml:space="preserve">. </w:t>
      </w:r>
      <w:r>
        <w:rPr>
          <w:rFonts w:hint="eastAsia" w:ascii="宋体" w:hAnsi="宋体" w:eastAsia="宋体" w:cs="宋体"/>
          <w:color w:val="auto"/>
          <w:highlight w:val="none"/>
        </w:rPr>
        <w:t>试验</w:t>
      </w:r>
      <w:r>
        <w:rPr>
          <w:rFonts w:hint="eastAsia" w:ascii="宋体" w:cs="宋体"/>
          <w:color w:val="auto"/>
          <w:highlight w:val="none"/>
        </w:rPr>
        <w:t>与检验</w:t>
      </w:r>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p>
    <w:bookmarkEnd w:id="1401"/>
    <w:bookmarkEnd w:id="1402"/>
    <w:bookmarkEnd w:id="1403"/>
    <w:bookmarkEnd w:id="1404"/>
    <w:bookmarkEnd w:id="1405"/>
    <w:bookmarkEnd w:id="1406"/>
    <w:bookmarkEnd w:id="1407"/>
    <w:p w14:paraId="5F09C4EB">
      <w:pPr>
        <w:pStyle w:val="37"/>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1420" w:name="_Toc418061348"/>
      <w:bookmarkStart w:id="1421" w:name="_Toc373478384"/>
      <w:bookmarkStart w:id="1422" w:name="_Toc389065303"/>
      <w:bookmarkStart w:id="1423" w:name="_Toc522201766"/>
      <w:bookmarkStart w:id="1424" w:name="_Toc403578971"/>
      <w:bookmarkStart w:id="1425" w:name="_Toc418751833"/>
      <w:bookmarkStart w:id="1426" w:name="_Toc418752279"/>
      <w:bookmarkStart w:id="1427" w:name="_Toc8303"/>
      <w:bookmarkStart w:id="1428" w:name="_Toc497746818"/>
      <w:bookmarkStart w:id="1429" w:name="_Toc497747215"/>
      <w:bookmarkStart w:id="1430" w:name="_Toc373227737"/>
      <w:bookmarkStart w:id="1431" w:name="_Toc418518383"/>
      <w:bookmarkStart w:id="1432" w:name="_Toc256000216"/>
      <w:bookmarkStart w:id="1433" w:name="_Toc418518147"/>
      <w:r>
        <w:rPr>
          <w:rFonts w:hint="eastAsia" w:ascii="宋体" w:cs="宋体"/>
          <w:color w:val="auto"/>
          <w:highlight w:val="none"/>
        </w:rPr>
        <w:t>9</w:t>
      </w:r>
      <w:bookmarkStart w:id="1434" w:name="_Toc304295560"/>
      <w:bookmarkStart w:id="1435" w:name="_Toc312678022"/>
      <w:bookmarkStart w:id="1436" w:name="_Toc297216193"/>
      <w:bookmarkStart w:id="1437" w:name="_Toc312677496"/>
      <w:bookmarkStart w:id="1438" w:name="_Toc303539140"/>
      <w:bookmarkStart w:id="1439" w:name="_Toc297123534"/>
      <w:bookmarkStart w:id="1440" w:name="_Toc300934983"/>
      <w:r>
        <w:rPr>
          <w:rFonts w:hint="eastAsia" w:ascii="宋体" w:cs="宋体"/>
          <w:color w:val="auto"/>
          <w:highlight w:val="none"/>
        </w:rPr>
        <w:t>.1 试验设备与试验人员</w:t>
      </w:r>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p>
    <w:bookmarkEnd w:id="1434"/>
    <w:bookmarkEnd w:id="1435"/>
    <w:bookmarkEnd w:id="1436"/>
    <w:bookmarkEnd w:id="1437"/>
    <w:bookmarkEnd w:id="1438"/>
    <w:bookmarkEnd w:id="1439"/>
    <w:bookmarkEnd w:id="1440"/>
    <w:p w14:paraId="64F3ED65">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9</w:t>
      </w:r>
      <w:bookmarkStart w:id="1441" w:name="_Toc312678023"/>
      <w:bookmarkStart w:id="1442" w:name="_Toc304295561"/>
      <w:bookmarkStart w:id="1443" w:name="_Toc297123535"/>
      <w:bookmarkStart w:id="1444" w:name="_Toc312677497"/>
      <w:bookmarkStart w:id="1445" w:name="_Toc297216194"/>
      <w:bookmarkStart w:id="1446" w:name="_Toc303539141"/>
      <w:bookmarkStart w:id="1447" w:name="_Toc300934984"/>
      <w:bookmarkStart w:id="1448" w:name="_Toc318581174"/>
      <w:r>
        <w:rPr>
          <w:rFonts w:hint="eastAsia" w:ascii="宋体" w:hAnsi="宋体" w:cs="宋体"/>
          <w:color w:val="auto"/>
          <w:szCs w:val="21"/>
          <w:highlight w:val="none"/>
        </w:rPr>
        <w:t>.1.2 试验设备</w:t>
      </w:r>
    </w:p>
    <w:bookmarkEnd w:id="1441"/>
    <w:bookmarkEnd w:id="1442"/>
    <w:bookmarkEnd w:id="1443"/>
    <w:bookmarkEnd w:id="1444"/>
    <w:bookmarkEnd w:id="1445"/>
    <w:bookmarkEnd w:id="1446"/>
    <w:bookmarkEnd w:id="1447"/>
    <w:p w14:paraId="31104C3F">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bookmarkStart w:id="1449" w:name="_Toc304295562"/>
      <w:bookmarkStart w:id="1450" w:name="_Toc303539142"/>
      <w:bookmarkStart w:id="1451" w:name="_Toc300934985"/>
      <w:bookmarkStart w:id="1452" w:name="_Toc297216195"/>
      <w:bookmarkStart w:id="1453" w:name="_Toc297123536"/>
      <w:bookmarkStart w:id="1454" w:name="_Toc312678024"/>
      <w:bookmarkStart w:id="1455" w:name="_Toc312677498"/>
      <w:r>
        <w:rPr>
          <w:rFonts w:hint="eastAsia" w:ascii="宋体" w:hAnsi="宋体" w:cs="宋体"/>
          <w:color w:val="auto"/>
          <w:szCs w:val="21"/>
          <w:highlight w:val="none"/>
        </w:rPr>
        <w:t>施工现场需要配置的试验场所：</w:t>
      </w:r>
      <w:r>
        <w:rPr>
          <w:rFonts w:hint="eastAsia" w:ascii="宋体" w:hAnsi="宋体" w:cs="宋体"/>
          <w:color w:val="auto"/>
          <w:szCs w:val="21"/>
          <w:highlight w:val="none"/>
          <w:u w:val="single"/>
        </w:rPr>
        <w:t xml:space="preserve"> 由承包人承担，所需费用包含在</w:t>
      </w:r>
      <w:r>
        <w:rPr>
          <w:rFonts w:hint="eastAsia" w:ascii="宋体" w:hAnsi="宋体" w:cs="宋体"/>
          <w:color w:val="auto"/>
          <w:szCs w:val="21"/>
          <w:highlight w:val="none"/>
          <w:u w:val="single"/>
          <w:lang w:eastAsia="zh-CN"/>
        </w:rPr>
        <w:t>投标报价（磋商报价）</w:t>
      </w:r>
      <w:r>
        <w:rPr>
          <w:rFonts w:hint="eastAsia" w:ascii="宋体" w:hAnsi="宋体" w:cs="宋体"/>
          <w:color w:val="auto"/>
          <w:szCs w:val="21"/>
          <w:highlight w:val="none"/>
          <w:u w:val="single"/>
        </w:rPr>
        <w:t xml:space="preserve">中 </w:t>
      </w:r>
      <w:r>
        <w:rPr>
          <w:rFonts w:hint="eastAsia" w:ascii="宋体" w:hAnsi="宋体" w:cs="宋体"/>
          <w:color w:val="auto"/>
          <w:szCs w:val="21"/>
          <w:highlight w:val="none"/>
        </w:rPr>
        <w:t xml:space="preserve">。 </w:t>
      </w:r>
    </w:p>
    <w:p w14:paraId="5F9C713D">
      <w:pPr>
        <w:pStyle w:val="21"/>
        <w:keepNext w:val="0"/>
        <w:keepLines w:val="0"/>
        <w:pageBreakBefore w:val="0"/>
        <w:widowControl w:val="0"/>
        <w:wordWrap/>
        <w:topLinePunct w:val="0"/>
        <w:bidi w:val="0"/>
        <w:spacing w:line="380" w:lineRule="exact"/>
        <w:jc w:val="left"/>
        <w:rPr>
          <w:rFonts w:ascii="宋体" w:hAnsi="宋体" w:cs="宋体"/>
          <w:color w:val="auto"/>
          <w:szCs w:val="21"/>
          <w:highlight w:val="none"/>
        </w:rPr>
      </w:pPr>
      <w:r>
        <w:rPr>
          <w:rFonts w:hint="eastAsia" w:ascii="宋体" w:hAnsi="宋体" w:cs="宋体"/>
          <w:color w:val="auto"/>
          <w:szCs w:val="21"/>
          <w:highlight w:val="none"/>
        </w:rPr>
        <w:t xml:space="preserve">    施工现场需要配备的试验设备：</w:t>
      </w:r>
      <w:r>
        <w:rPr>
          <w:rFonts w:hint="eastAsia" w:ascii="宋体" w:hAnsi="宋体" w:cs="宋体"/>
          <w:color w:val="auto"/>
          <w:szCs w:val="21"/>
          <w:highlight w:val="none"/>
          <w:u w:val="single"/>
        </w:rPr>
        <w:t xml:space="preserve"> 由承包人承担，所需费用包含在</w:t>
      </w:r>
      <w:r>
        <w:rPr>
          <w:rFonts w:hint="eastAsia" w:ascii="宋体" w:hAnsi="宋体" w:cs="宋体"/>
          <w:color w:val="auto"/>
          <w:szCs w:val="21"/>
          <w:highlight w:val="none"/>
          <w:u w:val="single"/>
          <w:lang w:eastAsia="zh-CN"/>
        </w:rPr>
        <w:t>投标报价（磋商报价）</w:t>
      </w:r>
      <w:r>
        <w:rPr>
          <w:rFonts w:hint="eastAsia" w:ascii="宋体" w:hAnsi="宋体" w:cs="宋体"/>
          <w:color w:val="auto"/>
          <w:szCs w:val="21"/>
          <w:highlight w:val="none"/>
          <w:u w:val="single"/>
        </w:rPr>
        <w:t xml:space="preserve">中 </w:t>
      </w:r>
      <w:r>
        <w:rPr>
          <w:rFonts w:hint="eastAsia" w:ascii="宋体" w:hAnsi="宋体" w:cs="宋体"/>
          <w:color w:val="auto"/>
          <w:szCs w:val="21"/>
          <w:highlight w:val="none"/>
        </w:rPr>
        <w:t>。</w:t>
      </w:r>
    </w:p>
    <w:p w14:paraId="788E6A5A">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施工现场需要具备的其他试验条件：</w:t>
      </w:r>
      <w:r>
        <w:rPr>
          <w:rFonts w:hint="eastAsia" w:ascii="宋体" w:hAnsi="宋体" w:cs="宋体"/>
          <w:color w:val="auto"/>
          <w:szCs w:val="21"/>
          <w:highlight w:val="none"/>
          <w:u w:val="single"/>
        </w:rPr>
        <w:t xml:space="preserve"> 由承包人承担，所需费用包含在</w:t>
      </w:r>
      <w:r>
        <w:rPr>
          <w:rFonts w:hint="eastAsia" w:ascii="宋体" w:hAnsi="宋体" w:cs="宋体"/>
          <w:color w:val="auto"/>
          <w:szCs w:val="21"/>
          <w:highlight w:val="none"/>
          <w:u w:val="single"/>
          <w:lang w:eastAsia="zh-CN"/>
        </w:rPr>
        <w:t>投标报价（磋商报价）</w:t>
      </w:r>
      <w:r>
        <w:rPr>
          <w:rFonts w:hint="eastAsia" w:ascii="宋体" w:hAnsi="宋体" w:cs="宋体"/>
          <w:color w:val="auto"/>
          <w:szCs w:val="21"/>
          <w:highlight w:val="none"/>
          <w:u w:val="single"/>
        </w:rPr>
        <w:t xml:space="preserve">中 </w:t>
      </w:r>
      <w:r>
        <w:rPr>
          <w:rFonts w:hint="eastAsia" w:ascii="宋体" w:hAnsi="宋体" w:cs="宋体"/>
          <w:color w:val="auto"/>
          <w:szCs w:val="21"/>
          <w:highlight w:val="none"/>
        </w:rPr>
        <w:t>。</w:t>
      </w:r>
    </w:p>
    <w:p w14:paraId="227020C1">
      <w:pPr>
        <w:pStyle w:val="37"/>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1456" w:name="_Toc418518148"/>
      <w:bookmarkStart w:id="1457" w:name="_Toc15606"/>
      <w:bookmarkStart w:id="1458" w:name="_Toc418061349"/>
      <w:bookmarkStart w:id="1459" w:name="_Toc418752280"/>
      <w:bookmarkStart w:id="1460" w:name="_Toc418518384"/>
      <w:bookmarkStart w:id="1461" w:name="_Toc373227738"/>
      <w:bookmarkStart w:id="1462" w:name="_Toc497746819"/>
      <w:bookmarkStart w:id="1463" w:name="_Toc373478385"/>
      <w:bookmarkStart w:id="1464" w:name="_Toc497747216"/>
      <w:bookmarkStart w:id="1465" w:name="_Toc389065304"/>
      <w:bookmarkStart w:id="1466" w:name="_Toc522201767"/>
      <w:bookmarkStart w:id="1467" w:name="_Toc418751834"/>
      <w:bookmarkStart w:id="1468" w:name="_Toc403578972"/>
      <w:bookmarkStart w:id="1469" w:name="_Toc256000217"/>
      <w:r>
        <w:rPr>
          <w:rFonts w:hint="eastAsia" w:ascii="宋体" w:cs="宋体"/>
          <w:color w:val="auto"/>
          <w:highlight w:val="none"/>
        </w:rPr>
        <w:t>9.4 现场工艺试验</w:t>
      </w:r>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r>
        <w:rPr>
          <w:rFonts w:hint="eastAsia" w:ascii="宋体" w:cs="宋体"/>
          <w:color w:val="auto"/>
          <w:highlight w:val="none"/>
        </w:rPr>
        <w:t xml:space="preserve"> </w:t>
      </w:r>
    </w:p>
    <w:p w14:paraId="1E81F47E">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现场工艺试验的有关约定：</w:t>
      </w:r>
      <w:r>
        <w:rPr>
          <w:rFonts w:hint="eastAsia" w:ascii="宋体" w:hAnsi="宋体" w:cs="宋体"/>
          <w:color w:val="auto"/>
          <w:szCs w:val="21"/>
          <w:highlight w:val="none"/>
          <w:u w:val="single"/>
        </w:rPr>
        <w:t xml:space="preserve">  按通用条款执行</w:t>
      </w:r>
      <w:r>
        <w:rPr>
          <w:rFonts w:hint="eastAsia" w:ascii="宋体" w:hAnsi="宋体" w:cs="宋体"/>
          <w:color w:val="auto"/>
          <w:szCs w:val="21"/>
          <w:highlight w:val="none"/>
        </w:rPr>
        <w:t>。</w:t>
      </w:r>
      <w:bookmarkStart w:id="1470" w:name="_Toc395382541"/>
      <w:bookmarkStart w:id="1471" w:name="_Toc406420990"/>
      <w:bookmarkStart w:id="1472" w:name="_Toc406522259"/>
      <w:bookmarkStart w:id="1473" w:name="OLE_LINK1"/>
    </w:p>
    <w:p w14:paraId="6D4E7567">
      <w:pPr>
        <w:pStyle w:val="21"/>
        <w:keepNext w:val="0"/>
        <w:keepLines w:val="0"/>
        <w:pageBreakBefore w:val="0"/>
        <w:widowControl w:val="0"/>
        <w:wordWrap/>
        <w:topLinePunct w:val="0"/>
        <w:bidi w:val="0"/>
        <w:spacing w:line="38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9.5 检验费用</w:t>
      </w:r>
      <w:bookmarkEnd w:id="1470"/>
      <w:bookmarkEnd w:id="1471"/>
      <w:bookmarkEnd w:id="1472"/>
    </w:p>
    <w:p w14:paraId="2A5A12C9">
      <w:pPr>
        <w:pStyle w:val="21"/>
        <w:keepNext w:val="0"/>
        <w:keepLines w:val="0"/>
        <w:pageBreakBefore w:val="0"/>
        <w:widowControl w:val="0"/>
        <w:wordWrap/>
        <w:topLinePunct w:val="0"/>
        <w:bidi w:val="0"/>
        <w:spacing w:line="38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根据《建设工程质量检测管理办法》（建设部令第141号）以及</w:t>
      </w:r>
      <w:r>
        <w:rPr>
          <w:rFonts w:hint="eastAsia" w:ascii="宋体" w:hAnsi="宋体" w:cs="宋体"/>
          <w:bCs/>
          <w:color w:val="auto"/>
          <w:szCs w:val="21"/>
          <w:highlight w:val="none"/>
        </w:rPr>
        <w:t>《广西壮族自治区建设工程质量检测管理规定》（桂建管〔2013〕11号）</w:t>
      </w:r>
      <w:r>
        <w:rPr>
          <w:rFonts w:hint="eastAsia" w:ascii="宋体" w:hAnsi="宋体" w:cs="宋体"/>
          <w:color w:val="auto"/>
          <w:szCs w:val="21"/>
          <w:highlight w:val="none"/>
        </w:rPr>
        <w:t>规定，工程质量检测业务由发包人委托有相应资质的检测机构检测。费用从发包人的项目建设经费中支出并直接支付给检测机构，不计入合同价款内。</w:t>
      </w:r>
      <w:bookmarkEnd w:id="1473"/>
    </w:p>
    <w:bookmarkEnd w:id="1448"/>
    <w:bookmarkEnd w:id="1449"/>
    <w:bookmarkEnd w:id="1450"/>
    <w:bookmarkEnd w:id="1451"/>
    <w:bookmarkEnd w:id="1452"/>
    <w:bookmarkEnd w:id="1453"/>
    <w:bookmarkEnd w:id="1454"/>
    <w:bookmarkEnd w:id="1455"/>
    <w:p w14:paraId="62AF6373">
      <w:pPr>
        <w:pStyle w:val="37"/>
        <w:keepNext w:val="0"/>
        <w:keepLines w:val="0"/>
        <w:pageBreakBefore w:val="0"/>
        <w:widowControl w:val="0"/>
        <w:wordWrap/>
        <w:topLinePunct w:val="0"/>
        <w:bidi w:val="0"/>
        <w:spacing w:line="380" w:lineRule="exact"/>
        <w:outlineLvl w:val="2"/>
        <w:rPr>
          <w:rFonts w:ascii="宋体" w:cs="宋体"/>
          <w:color w:val="auto"/>
          <w:highlight w:val="none"/>
        </w:rPr>
      </w:pPr>
      <w:bookmarkStart w:id="1474" w:name="_Toc418061351"/>
      <w:bookmarkStart w:id="1475" w:name="_Toc389065305"/>
      <w:bookmarkStart w:id="1476" w:name="_Toc58"/>
      <w:bookmarkStart w:id="1477" w:name="_Toc373478386"/>
      <w:bookmarkStart w:id="1478" w:name="_Toc373227739"/>
      <w:bookmarkStart w:id="1479" w:name="_Toc418751836"/>
      <w:bookmarkStart w:id="1480" w:name="_Toc351203642"/>
      <w:bookmarkStart w:id="1481" w:name="_Toc522201768"/>
      <w:bookmarkStart w:id="1482" w:name="_Toc256000218"/>
      <w:bookmarkStart w:id="1483" w:name="_Toc497747218"/>
      <w:bookmarkStart w:id="1484" w:name="_Toc403578974"/>
      <w:bookmarkStart w:id="1485" w:name="_Toc418518150"/>
      <w:bookmarkStart w:id="1486" w:name="_Toc497746821"/>
      <w:bookmarkStart w:id="1487" w:name="_Toc418518386"/>
      <w:bookmarkStart w:id="1488" w:name="_Toc418752282"/>
      <w:r>
        <w:rPr>
          <w:rFonts w:hint="eastAsia" w:ascii="宋体" w:cs="宋体"/>
          <w:color w:val="auto"/>
          <w:highlight w:val="none"/>
        </w:rPr>
        <w:t>1</w:t>
      </w:r>
      <w:bookmarkEnd w:id="1408"/>
      <w:bookmarkEnd w:id="1409"/>
      <w:bookmarkEnd w:id="1410"/>
      <w:bookmarkEnd w:id="1411"/>
      <w:bookmarkEnd w:id="1412"/>
      <w:bookmarkEnd w:id="1413"/>
      <w:bookmarkEnd w:id="1414"/>
      <w:bookmarkEnd w:id="1415"/>
      <w:bookmarkEnd w:id="1416"/>
      <w:bookmarkEnd w:id="1417"/>
      <w:bookmarkEnd w:id="1418"/>
      <w:bookmarkEnd w:id="1419"/>
      <w:bookmarkStart w:id="1489" w:name="_Toc296944532"/>
      <w:bookmarkStart w:id="1490" w:name="_Toc303539146"/>
      <w:bookmarkStart w:id="1491" w:name="_Toc296891021"/>
      <w:bookmarkStart w:id="1492" w:name="_Toc296347192"/>
      <w:bookmarkStart w:id="1493" w:name="_Toc292559903"/>
      <w:bookmarkStart w:id="1494" w:name="_Toc292559398"/>
      <w:bookmarkStart w:id="1495" w:name="_Toc297120493"/>
      <w:bookmarkStart w:id="1496" w:name="_Toc296503193"/>
      <w:bookmarkStart w:id="1497" w:name="_Toc296346694"/>
      <w:bookmarkStart w:id="1498" w:name="_Toc300934989"/>
      <w:bookmarkStart w:id="1499" w:name="_Toc304295566"/>
      <w:bookmarkStart w:id="1500" w:name="_Toc296891233"/>
      <w:bookmarkStart w:id="1501" w:name="_Toc297123540"/>
      <w:bookmarkStart w:id="1502" w:name="_Toc297216199"/>
      <w:bookmarkStart w:id="1503" w:name="_Toc297048379"/>
      <w:bookmarkStart w:id="1504" w:name="_Toc312677499"/>
      <w:bookmarkStart w:id="1505" w:name="_Toc312678025"/>
      <w:bookmarkStart w:id="1506" w:name="_Toc267251437"/>
      <w:bookmarkStart w:id="1507" w:name="_Toc267251440"/>
      <w:bookmarkStart w:id="1508" w:name="_Toc267251439"/>
      <w:bookmarkStart w:id="1509" w:name="_Toc267251441"/>
      <w:bookmarkStart w:id="1510" w:name="_Toc267251433"/>
      <w:bookmarkStart w:id="1511" w:name="_Toc267251435"/>
      <w:bookmarkStart w:id="1512" w:name="_Toc267251442"/>
      <w:r>
        <w:rPr>
          <w:rFonts w:hint="eastAsia" w:ascii="宋体" w:cs="宋体"/>
          <w:color w:val="auto"/>
          <w:highlight w:val="none"/>
        </w:rPr>
        <w:t>0. 变更</w:t>
      </w:r>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p>
    <w:bookmarkEnd w:id="1504"/>
    <w:bookmarkEnd w:id="1505"/>
    <w:p w14:paraId="3167E8A8">
      <w:pPr>
        <w:pStyle w:val="37"/>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1513" w:name="_Toc497746822"/>
      <w:bookmarkStart w:id="1514" w:name="_Toc256000219"/>
      <w:bookmarkStart w:id="1515" w:name="_Toc522201769"/>
      <w:bookmarkStart w:id="1516" w:name="_Toc373478387"/>
      <w:bookmarkStart w:id="1517" w:name="_Toc418751837"/>
      <w:bookmarkStart w:id="1518" w:name="_Toc418518151"/>
      <w:bookmarkStart w:id="1519" w:name="_Toc497747219"/>
      <w:bookmarkStart w:id="1520" w:name="_Toc418518387"/>
      <w:bookmarkStart w:id="1521" w:name="_Toc373227740"/>
      <w:bookmarkStart w:id="1522" w:name="_Toc403578975"/>
      <w:bookmarkStart w:id="1523" w:name="_Toc418061352"/>
      <w:bookmarkStart w:id="1524" w:name="_Toc418752283"/>
      <w:bookmarkStart w:id="1525" w:name="_Toc389065306"/>
      <w:bookmarkStart w:id="1526" w:name="_Toc2710"/>
      <w:r>
        <w:rPr>
          <w:rFonts w:hint="eastAsia" w:ascii="宋体" w:cs="宋体"/>
          <w:color w:val="auto"/>
          <w:highlight w:val="none"/>
        </w:rPr>
        <w:t>1</w:t>
      </w:r>
      <w:bookmarkStart w:id="1527" w:name="_Toc312677500"/>
      <w:bookmarkStart w:id="1528" w:name="_Toc296891022"/>
      <w:bookmarkStart w:id="1529" w:name="_Toc297123541"/>
      <w:bookmarkStart w:id="1530" w:name="_Toc292559399"/>
      <w:bookmarkStart w:id="1531" w:name="_Toc296944533"/>
      <w:bookmarkStart w:id="1532" w:name="_Toc297216200"/>
      <w:bookmarkStart w:id="1533" w:name="_Toc297048380"/>
      <w:bookmarkStart w:id="1534" w:name="_Toc312678026"/>
      <w:bookmarkStart w:id="1535" w:name="_Toc296347193"/>
      <w:bookmarkStart w:id="1536" w:name="_Toc296891234"/>
      <w:bookmarkStart w:id="1537" w:name="_Toc296503194"/>
      <w:bookmarkStart w:id="1538" w:name="_Toc292559904"/>
      <w:bookmarkStart w:id="1539" w:name="_Toc296346695"/>
      <w:bookmarkStart w:id="1540" w:name="_Toc300934990"/>
      <w:bookmarkStart w:id="1541" w:name="_Toc304295567"/>
      <w:bookmarkStart w:id="1542" w:name="_Toc303539147"/>
      <w:bookmarkStart w:id="1543" w:name="_Toc297120494"/>
      <w:r>
        <w:rPr>
          <w:rFonts w:hint="eastAsia" w:ascii="宋体" w:cs="宋体"/>
          <w:color w:val="auto"/>
          <w:highlight w:val="none"/>
        </w:rPr>
        <w:t>0.1 变更的范围</w:t>
      </w:r>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p>
    <w:p w14:paraId="7D44C5CA">
      <w:pPr>
        <w:pStyle w:val="21"/>
        <w:keepNext w:val="0"/>
        <w:keepLines w:val="0"/>
        <w:pageBreakBefore w:val="0"/>
        <w:widowControl w:val="0"/>
        <w:wordWrap/>
        <w:topLinePunct w:val="0"/>
        <w:bidi w:val="0"/>
        <w:spacing w:line="38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关于变更的范围的约定：</w:t>
      </w:r>
      <w:r>
        <w:rPr>
          <w:rFonts w:hint="eastAsia" w:ascii="宋体" w:hAnsi="宋体" w:cs="宋体"/>
          <w:color w:val="auto"/>
          <w:szCs w:val="21"/>
          <w:highlight w:val="none"/>
          <w:u w:val="single"/>
        </w:rPr>
        <w:t>施工期间因不可预见因素或发包人要求所发生的工程量增减（由变更、签证产生），其工程量按实际发生并经监理工程师及发包人签证认可，工程变更综合单价按专用条款第10.4点规定执行</w:t>
      </w:r>
      <w:r>
        <w:rPr>
          <w:rFonts w:hint="eastAsia" w:ascii="宋体" w:hAnsi="宋体" w:cs="宋体"/>
          <w:color w:val="auto"/>
          <w:szCs w:val="21"/>
          <w:highlight w:val="none"/>
        </w:rPr>
        <w:t>。</w:t>
      </w:r>
      <w:bookmarkStart w:id="1544" w:name="_Toc373478388"/>
      <w:bookmarkStart w:id="1545" w:name="_Toc389065307"/>
      <w:bookmarkStart w:id="1546" w:name="_Toc373227741"/>
      <w:bookmarkStart w:id="1547" w:name="_Toc395382544"/>
      <w:bookmarkStart w:id="1548" w:name="_Toc406522262"/>
    </w:p>
    <w:p w14:paraId="38126FB4">
      <w:pPr>
        <w:pStyle w:val="37"/>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1549" w:name="_Toc21241"/>
      <w:bookmarkStart w:id="1550" w:name="_Toc256000220"/>
      <w:r>
        <w:rPr>
          <w:rFonts w:hint="eastAsia" w:ascii="宋体" w:cs="宋体"/>
          <w:color w:val="auto"/>
          <w:highlight w:val="none"/>
        </w:rPr>
        <w:t>10.3 变更程序</w:t>
      </w:r>
      <w:bookmarkEnd w:id="1544"/>
      <w:bookmarkEnd w:id="1545"/>
      <w:bookmarkEnd w:id="1546"/>
      <w:bookmarkEnd w:id="1547"/>
      <w:bookmarkEnd w:id="1548"/>
      <w:bookmarkEnd w:id="1549"/>
      <w:bookmarkEnd w:id="1550"/>
    </w:p>
    <w:p w14:paraId="2449CB53">
      <w:pPr>
        <w:pStyle w:val="21"/>
        <w:keepNext w:val="0"/>
        <w:keepLines w:val="0"/>
        <w:pageBreakBefore w:val="0"/>
        <w:widowControl w:val="0"/>
        <w:wordWrap/>
        <w:topLinePunct w:val="0"/>
        <w:bidi w:val="0"/>
        <w:spacing w:line="38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10.3.1 国有投资项目：</w:t>
      </w:r>
    </w:p>
    <w:p w14:paraId="72FFCC06">
      <w:pPr>
        <w:pStyle w:val="21"/>
        <w:keepNext w:val="0"/>
        <w:keepLines w:val="0"/>
        <w:pageBreakBefore w:val="0"/>
        <w:widowControl w:val="0"/>
        <w:wordWrap/>
        <w:topLinePunct w:val="0"/>
        <w:bidi w:val="0"/>
        <w:spacing w:line="38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⑴设计变更和工程签证，按各市政府或相关部门的规定办理。属不可抗力（自然灾害、突发事件等）造成变更的，按特事特办原则予以办理。</w:t>
      </w:r>
    </w:p>
    <w:p w14:paraId="6F3583C3">
      <w:pPr>
        <w:pStyle w:val="21"/>
        <w:keepNext w:val="0"/>
        <w:keepLines w:val="0"/>
        <w:pageBreakBefore w:val="0"/>
        <w:widowControl w:val="0"/>
        <w:wordWrap/>
        <w:topLinePunct w:val="0"/>
        <w:bidi w:val="0"/>
        <w:spacing w:line="38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⑵发包人在实施项目过程中，若发生单价变动，由发包人、监理单位、承包人及其他相关单位共同商定并签字确认。</w:t>
      </w:r>
    </w:p>
    <w:p w14:paraId="28B08649">
      <w:pPr>
        <w:pStyle w:val="21"/>
        <w:keepNext w:val="0"/>
        <w:keepLines w:val="0"/>
        <w:pageBreakBefore w:val="0"/>
        <w:widowControl w:val="0"/>
        <w:wordWrap/>
        <w:topLinePunct w:val="0"/>
        <w:bidi w:val="0"/>
        <w:spacing w:line="38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⑶ 当合同规定的合同价款调整情况发生后，承包人未在规定时间内通知发包人，或者未在规定时间内提出调整报告，发包人可以根据有关资料，决定是否调整和调整的金额，并书面通知承包人。</w:t>
      </w:r>
    </w:p>
    <w:p w14:paraId="6B0E8C56">
      <w:pPr>
        <w:pStyle w:val="21"/>
        <w:keepNext w:val="0"/>
        <w:keepLines w:val="0"/>
        <w:pageBreakBefore w:val="0"/>
        <w:widowControl w:val="0"/>
        <w:wordWrap/>
        <w:topLinePunct w:val="0"/>
        <w:bidi w:val="0"/>
        <w:spacing w:line="38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10.3.2 非国有投资项目： 同通用条款。</w:t>
      </w:r>
    </w:p>
    <w:p w14:paraId="295ACAA3">
      <w:pPr>
        <w:pStyle w:val="37"/>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1551" w:name="_Toc389065308"/>
      <w:bookmarkStart w:id="1552" w:name="_Toc373478389"/>
      <w:bookmarkStart w:id="1553" w:name="_Toc418518153"/>
      <w:bookmarkStart w:id="1554" w:name="_Toc418518389"/>
      <w:bookmarkStart w:id="1555" w:name="_Toc22425"/>
      <w:bookmarkStart w:id="1556" w:name="_Toc418061354"/>
      <w:bookmarkStart w:id="1557" w:name="_Toc256000221"/>
      <w:bookmarkStart w:id="1558" w:name="_Toc373227742"/>
      <w:bookmarkStart w:id="1559" w:name="_Toc497747221"/>
      <w:bookmarkStart w:id="1560" w:name="_Toc418752285"/>
      <w:bookmarkStart w:id="1561" w:name="_Toc403578977"/>
      <w:bookmarkStart w:id="1562" w:name="_Toc418751839"/>
      <w:bookmarkStart w:id="1563" w:name="_Toc497746824"/>
      <w:bookmarkStart w:id="1564" w:name="_Toc522201770"/>
      <w:r>
        <w:rPr>
          <w:rFonts w:hint="eastAsia" w:ascii="宋体" w:cs="宋体"/>
          <w:color w:val="auto"/>
          <w:highlight w:val="none"/>
        </w:rPr>
        <w:t>10.4 变更估价</w:t>
      </w:r>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p>
    <w:p w14:paraId="7E3E7CA6">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10.4.1 变更估价原则</w:t>
      </w:r>
    </w:p>
    <w:p w14:paraId="15A104EF">
      <w:pPr>
        <w:pStyle w:val="21"/>
        <w:keepNext w:val="0"/>
        <w:keepLines w:val="0"/>
        <w:pageBreakBefore w:val="0"/>
        <w:widowControl w:val="0"/>
        <w:wordWrap/>
        <w:topLinePunct w:val="0"/>
        <w:bidi w:val="0"/>
        <w:spacing w:line="380" w:lineRule="exact"/>
        <w:ind w:firstLine="426"/>
        <w:rPr>
          <w:rFonts w:ascii="宋体" w:hAnsi="宋体" w:cs="宋体"/>
          <w:color w:val="auto"/>
          <w:szCs w:val="21"/>
          <w:highlight w:val="none"/>
          <w:u w:val="single"/>
        </w:rPr>
      </w:pPr>
      <w:r>
        <w:rPr>
          <w:rFonts w:hint="eastAsia" w:ascii="宋体" w:hAnsi="宋体" w:cs="宋体"/>
          <w:color w:val="auto"/>
          <w:szCs w:val="21"/>
          <w:highlight w:val="none"/>
        </w:rPr>
        <w:t>关于变更估价的约定</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（1）、</w:t>
      </w:r>
      <w:r>
        <w:rPr>
          <w:rFonts w:hint="eastAsia" w:ascii="宋体" w:hAnsi="宋体" w:cs="宋体"/>
          <w:color w:val="auto"/>
          <w:szCs w:val="21"/>
          <w:highlight w:val="none"/>
          <w:u w:val="single"/>
          <w:lang w:eastAsia="zh-CN"/>
        </w:rPr>
        <w:t>投标报价（磋商报价）</w:t>
      </w:r>
      <w:r>
        <w:rPr>
          <w:rFonts w:hint="eastAsia" w:ascii="宋体" w:hAnsi="宋体" w:cs="宋体"/>
          <w:color w:val="auto"/>
          <w:szCs w:val="21"/>
          <w:highlight w:val="none"/>
          <w:u w:val="single"/>
        </w:rPr>
        <w:t>中已有适用于变更工程的综合单价，按已有的综合单价；（2）、</w:t>
      </w:r>
      <w:r>
        <w:rPr>
          <w:rFonts w:hint="eastAsia" w:ascii="宋体" w:hAnsi="宋体" w:cs="宋体"/>
          <w:color w:val="auto"/>
          <w:szCs w:val="21"/>
          <w:highlight w:val="none"/>
          <w:u w:val="single"/>
          <w:lang w:eastAsia="zh-CN"/>
        </w:rPr>
        <w:t>投标报价（磋商报价）</w:t>
      </w:r>
      <w:r>
        <w:rPr>
          <w:rFonts w:hint="eastAsia" w:ascii="宋体" w:hAnsi="宋体" w:cs="宋体"/>
          <w:color w:val="auto"/>
          <w:szCs w:val="21"/>
          <w:highlight w:val="none"/>
          <w:u w:val="single"/>
        </w:rPr>
        <w:t>中有类似变更工程的综合单价，可参照</w:t>
      </w:r>
      <w:r>
        <w:rPr>
          <w:rFonts w:hint="eastAsia" w:ascii="宋体" w:hAnsi="宋体" w:cs="宋体"/>
          <w:color w:val="auto"/>
          <w:szCs w:val="21"/>
          <w:highlight w:val="none"/>
          <w:u w:val="single"/>
          <w:lang w:eastAsia="zh-CN"/>
        </w:rPr>
        <w:t>投标报价（磋商报价）</w:t>
      </w:r>
      <w:r>
        <w:rPr>
          <w:rFonts w:hint="eastAsia" w:ascii="宋体" w:hAnsi="宋体" w:cs="宋体"/>
          <w:color w:val="auto"/>
          <w:szCs w:val="21"/>
          <w:highlight w:val="none"/>
          <w:u w:val="single"/>
        </w:rPr>
        <w:t>中类似的综合单价确定；（3）、</w:t>
      </w:r>
      <w:r>
        <w:rPr>
          <w:rFonts w:hint="eastAsia" w:ascii="宋体" w:hAnsi="宋体" w:cs="宋体"/>
          <w:color w:val="auto"/>
          <w:szCs w:val="21"/>
          <w:highlight w:val="none"/>
          <w:u w:val="single"/>
          <w:lang w:eastAsia="zh-CN"/>
        </w:rPr>
        <w:t>投标报价（磋商报价）</w:t>
      </w:r>
      <w:r>
        <w:rPr>
          <w:rFonts w:ascii="宋体" w:hAnsi="宋体" w:cs="宋体"/>
          <w:color w:val="auto"/>
          <w:szCs w:val="21"/>
          <w:highlight w:val="none"/>
          <w:u w:val="single"/>
        </w:rPr>
        <w:t>中没有适用或类似于变更工程的综合单价，则有定额的套用定额计算，执行本工程编制招标控制价的参考依据，其中材料价格有信息价的按合同该新增子项实施期间《桂林市建设工程造价信息》</w:t>
      </w:r>
      <w:r>
        <w:rPr>
          <w:rFonts w:hint="eastAsia" w:ascii="宋体" w:hAnsi="宋体" w:cs="宋体"/>
          <w:color w:val="auto"/>
          <w:szCs w:val="21"/>
          <w:highlight w:val="none"/>
          <w:u w:val="single"/>
          <w:lang w:val="en-US" w:eastAsia="zh-CN"/>
        </w:rPr>
        <w:t>资源县</w:t>
      </w:r>
      <w:r>
        <w:rPr>
          <w:rFonts w:ascii="宋体" w:hAnsi="宋体" w:cs="宋体"/>
          <w:color w:val="auto"/>
          <w:szCs w:val="21"/>
          <w:highlight w:val="none"/>
          <w:u w:val="single"/>
        </w:rPr>
        <w:t>中的平均价计取（信息价无相关信息的参照信息价中桂林市的平均价），无信息价时按市场价格共同协商初步确定；此类工程结算综合单价=按现行定额计算（管理费、利润取中值）的综合单价×中标下浮系数（中标人的</w:t>
      </w:r>
      <w:r>
        <w:rPr>
          <w:rFonts w:hint="eastAsia" w:ascii="宋体" w:hAnsi="宋体" w:cs="宋体"/>
          <w:color w:val="auto"/>
          <w:szCs w:val="21"/>
          <w:highlight w:val="none"/>
          <w:u w:val="single"/>
          <w:lang w:eastAsia="zh-CN"/>
        </w:rPr>
        <w:t>投标报价（磋商报价）</w:t>
      </w:r>
      <w:r>
        <w:rPr>
          <w:rFonts w:ascii="宋体" w:hAnsi="宋体" w:cs="宋体"/>
          <w:color w:val="auto"/>
          <w:szCs w:val="21"/>
          <w:highlight w:val="none"/>
          <w:u w:val="single"/>
        </w:rPr>
        <w:t>÷经财政部门审核后的预算价），新增项目无定额可套用时，由发包人、承包人及监理三方共同协商初步确定，最终以</w:t>
      </w:r>
      <w:r>
        <w:rPr>
          <w:rFonts w:hint="eastAsia" w:ascii="宋体" w:hAnsi="宋体" w:cs="宋体"/>
          <w:color w:val="auto"/>
          <w:szCs w:val="21"/>
          <w:highlight w:val="none"/>
          <w:u w:val="single"/>
          <w:lang w:val="en-US" w:eastAsia="zh-CN"/>
        </w:rPr>
        <w:t>资源县</w:t>
      </w:r>
      <w:r>
        <w:rPr>
          <w:rFonts w:hint="eastAsia" w:ascii="宋体" w:hAnsi="宋体" w:cs="宋体"/>
          <w:color w:val="auto"/>
          <w:szCs w:val="21"/>
          <w:highlight w:val="none"/>
          <w:u w:val="single"/>
          <w:lang w:eastAsia="zh-CN"/>
        </w:rPr>
        <w:t>财政局</w:t>
      </w:r>
      <w:r>
        <w:rPr>
          <w:rFonts w:ascii="宋体" w:hAnsi="宋体" w:cs="宋体"/>
          <w:color w:val="auto"/>
          <w:szCs w:val="21"/>
          <w:highlight w:val="none"/>
          <w:u w:val="single"/>
        </w:rPr>
        <w:t>审定或审计单位审定</w:t>
      </w:r>
      <w:r>
        <w:rPr>
          <w:rFonts w:hint="eastAsia" w:ascii="宋体" w:hAnsi="宋体" w:cs="宋体"/>
          <w:color w:val="auto"/>
          <w:szCs w:val="21"/>
          <w:highlight w:val="none"/>
          <w:u w:val="single"/>
        </w:rPr>
        <w:t>并经发包人及承包人双方确认的金额</w:t>
      </w:r>
      <w:r>
        <w:rPr>
          <w:rFonts w:ascii="宋体" w:hAnsi="宋体" w:cs="宋体"/>
          <w:color w:val="auto"/>
          <w:szCs w:val="21"/>
          <w:highlight w:val="none"/>
          <w:u w:val="single"/>
        </w:rPr>
        <w:t>为准</w:t>
      </w:r>
      <w:r>
        <w:rPr>
          <w:rFonts w:hint="eastAsia" w:ascii="宋体" w:hAnsi="宋体" w:cs="宋体"/>
          <w:color w:val="auto"/>
          <w:szCs w:val="21"/>
          <w:highlight w:val="none"/>
          <w:u w:val="single"/>
        </w:rPr>
        <w:t>。（4）</w:t>
      </w:r>
      <w:r>
        <w:rPr>
          <w:rFonts w:ascii="宋体" w:hAnsi="宋体" w:cs="宋体"/>
          <w:color w:val="auto"/>
          <w:szCs w:val="21"/>
          <w:highlight w:val="none"/>
          <w:u w:val="single"/>
        </w:rPr>
        <w:t>若发包人和监理人认为有关的工作不能以实物工程量的方法计算及估值时，则按以下的方法计算：若工程量清单中有计日工价目表，则以计日工价目表中相应的项目计价；若计日工作价目表中无类似项目，则按三方协商的价格估值。附带条件为，承包人须提交每天用于该项工作的时间的记录、相关工人的姓名及经发包人、监理人复核的所用物料的清单。上述数据须于该项工作执行后的一星期内提交给发包人及监理人</w:t>
      </w:r>
      <w:r>
        <w:rPr>
          <w:rFonts w:hint="eastAsia" w:ascii="宋体" w:hAnsi="宋体" w:cs="宋体"/>
          <w:color w:val="auto"/>
          <w:szCs w:val="21"/>
          <w:highlight w:val="none"/>
          <w:u w:val="single"/>
        </w:rPr>
        <w:t>。（5）暂定价调整方法为：暂定材料价格部分仅调整合同实施期间材料市场价与暂定价之间的材差并计相应的规费和增值税，</w:t>
      </w:r>
      <w:r>
        <w:rPr>
          <w:rFonts w:hint="eastAsia" w:ascii="宋体" w:hAnsi="宋体" w:cs="宋体"/>
          <w:color w:val="auto"/>
          <w:szCs w:val="21"/>
          <w:highlight w:val="none"/>
          <w:u w:val="single"/>
          <w:lang w:eastAsia="zh-CN"/>
        </w:rPr>
        <w:t>投标书（响应文件）</w:t>
      </w:r>
      <w:r>
        <w:rPr>
          <w:rFonts w:hint="eastAsia" w:ascii="宋体" w:hAnsi="宋体" w:cs="宋体"/>
          <w:color w:val="auto"/>
          <w:szCs w:val="21"/>
          <w:highlight w:val="none"/>
          <w:u w:val="single"/>
        </w:rPr>
        <w:t>中相应的综合单价不再调整。专业工程暂估价的确定方法：由承包人申报单价，发包人组织监理人、造价审核机构共同询价确定。如发包人认为材料暂估价及专业工程暂估价需要进行市场询价的，应以询价小组（询价小组由发包人、承包人、监理人组成）调查确认的单价为准。（6）无约定的参照我区现行《建设工程工程量清单计价规范》及配套定额相关规定执行。（7） 本工程最终结算以</w:t>
      </w:r>
      <w:r>
        <w:rPr>
          <w:rFonts w:hint="eastAsia" w:ascii="宋体" w:hAnsi="宋体" w:cs="宋体"/>
          <w:color w:val="auto"/>
          <w:szCs w:val="21"/>
          <w:highlight w:val="none"/>
          <w:u w:val="single"/>
          <w:lang w:val="en-US" w:eastAsia="zh-CN"/>
        </w:rPr>
        <w:t>资源县</w:t>
      </w:r>
      <w:r>
        <w:rPr>
          <w:rFonts w:hint="eastAsia" w:ascii="宋体" w:hAnsi="宋体" w:cs="宋体"/>
          <w:color w:val="auto"/>
          <w:szCs w:val="21"/>
          <w:highlight w:val="none"/>
          <w:u w:val="single"/>
          <w:lang w:eastAsia="zh-CN"/>
        </w:rPr>
        <w:t>财政局</w:t>
      </w:r>
      <w:r>
        <w:rPr>
          <w:rFonts w:hint="eastAsia" w:ascii="宋体" w:hAnsi="宋体" w:cs="宋体"/>
          <w:color w:val="auto"/>
          <w:szCs w:val="21"/>
          <w:highlight w:val="none"/>
          <w:u w:val="single"/>
        </w:rPr>
        <w:t>或发包人委托的造价咨询机构审定并经发包人及承包人双方确认的金额为准。</w:t>
      </w:r>
    </w:p>
    <w:p w14:paraId="62439E73">
      <w:pPr>
        <w:pStyle w:val="37"/>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1565" w:name="_Toc497746825"/>
      <w:bookmarkStart w:id="1566" w:name="_Toc497747222"/>
      <w:bookmarkStart w:id="1567" w:name="_Toc403578978"/>
      <w:bookmarkStart w:id="1568" w:name="_Toc418518154"/>
      <w:bookmarkStart w:id="1569" w:name="_Toc418518390"/>
      <w:bookmarkStart w:id="1570" w:name="_Toc373227743"/>
      <w:bookmarkStart w:id="1571" w:name="_Toc256000222"/>
      <w:bookmarkStart w:id="1572" w:name="_Toc418751840"/>
      <w:bookmarkStart w:id="1573" w:name="_Toc389065309"/>
      <w:bookmarkStart w:id="1574" w:name="_Toc418061355"/>
      <w:bookmarkStart w:id="1575" w:name="_Toc373478390"/>
      <w:bookmarkStart w:id="1576" w:name="_Toc522201771"/>
      <w:bookmarkStart w:id="1577" w:name="_Toc418752286"/>
      <w:bookmarkStart w:id="1578" w:name="_Toc13259"/>
      <w:r>
        <w:rPr>
          <w:rFonts w:hint="eastAsia" w:ascii="宋体" w:cs="宋体"/>
          <w:color w:val="auto"/>
          <w:highlight w:val="none"/>
        </w:rPr>
        <w:t>1</w:t>
      </w:r>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Start w:id="1579" w:name="_Toc292559402"/>
      <w:bookmarkStart w:id="1580" w:name="_Toc296503197"/>
      <w:bookmarkStart w:id="1581" w:name="_Toc300934993"/>
      <w:bookmarkStart w:id="1582" w:name="_Toc292559907"/>
      <w:bookmarkStart w:id="1583" w:name="_Toc297216203"/>
      <w:bookmarkStart w:id="1584" w:name="_Toc296347196"/>
      <w:bookmarkStart w:id="1585" w:name="_Toc303539150"/>
      <w:bookmarkStart w:id="1586" w:name="_Toc296346698"/>
      <w:bookmarkStart w:id="1587" w:name="_Toc296891025"/>
      <w:bookmarkStart w:id="1588" w:name="_Toc297120497"/>
      <w:bookmarkStart w:id="1589" w:name="_Toc297123544"/>
      <w:bookmarkStart w:id="1590" w:name="_Toc296944536"/>
      <w:bookmarkStart w:id="1591" w:name="_Toc297048383"/>
      <w:bookmarkStart w:id="1592" w:name="_Toc296891237"/>
      <w:bookmarkStart w:id="1593" w:name="_Toc312678029"/>
      <w:bookmarkStart w:id="1594" w:name="_Toc304295570"/>
      <w:bookmarkStart w:id="1595" w:name="_Toc312677503"/>
      <w:r>
        <w:rPr>
          <w:rFonts w:hint="eastAsia" w:ascii="宋体" w:cs="宋体"/>
          <w:color w:val="auto"/>
          <w:highlight w:val="none"/>
        </w:rPr>
        <w:t>0.5 承</w:t>
      </w:r>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Start w:id="1596" w:name="_Toc296944542"/>
      <w:bookmarkStart w:id="1597" w:name="_Toc292559913"/>
      <w:bookmarkStart w:id="1598" w:name="_Toc300934994"/>
      <w:bookmarkStart w:id="1599" w:name="_Toc296503203"/>
      <w:bookmarkStart w:id="1600" w:name="_Toc303539151"/>
      <w:bookmarkStart w:id="1601" w:name="_Toc296891031"/>
      <w:bookmarkStart w:id="1602" w:name="_Toc297123545"/>
      <w:bookmarkStart w:id="1603" w:name="_Toc297120503"/>
      <w:bookmarkStart w:id="1604" w:name="_Toc296346704"/>
      <w:bookmarkStart w:id="1605" w:name="_Toc296891243"/>
      <w:bookmarkStart w:id="1606" w:name="_Toc292559408"/>
      <w:bookmarkStart w:id="1607" w:name="_Toc297216204"/>
      <w:bookmarkStart w:id="1608" w:name="_Toc297048389"/>
      <w:bookmarkStart w:id="1609" w:name="_Toc296347202"/>
      <w:r>
        <w:rPr>
          <w:rFonts w:hint="eastAsia" w:ascii="宋体" w:cs="宋体"/>
          <w:color w:val="auto"/>
          <w:highlight w:val="none"/>
        </w:rPr>
        <w:t>包人的合理化建议</w:t>
      </w:r>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p>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p w14:paraId="06C3F167">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监理人审查承包人合理化建议的期限：</w:t>
      </w:r>
      <w:r>
        <w:rPr>
          <w:rFonts w:hint="eastAsia" w:ascii="宋体" w:hAnsi="宋体" w:cs="宋体"/>
          <w:color w:val="auto"/>
          <w:szCs w:val="21"/>
          <w:highlight w:val="none"/>
          <w:u w:val="single"/>
        </w:rPr>
        <w:t>监理人应在收到承包人提交的合理化建议后7天内审查完毕并报送发包人，发现其中存在技术上的缺陷，应通知承包人修改</w:t>
      </w:r>
      <w:r>
        <w:rPr>
          <w:rFonts w:hint="eastAsia" w:ascii="宋体" w:hAnsi="宋体" w:cs="宋体"/>
          <w:color w:val="auto"/>
          <w:szCs w:val="21"/>
          <w:highlight w:val="none"/>
        </w:rPr>
        <w:t>。</w:t>
      </w:r>
    </w:p>
    <w:p w14:paraId="291B82B5">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发包人审批承包人合理化建议的期限：</w:t>
      </w:r>
      <w:r>
        <w:rPr>
          <w:rFonts w:hint="eastAsia" w:ascii="宋体" w:hAnsi="宋体" w:cs="宋体"/>
          <w:color w:val="auto"/>
          <w:szCs w:val="21"/>
          <w:highlight w:val="none"/>
          <w:u w:val="single"/>
        </w:rPr>
        <w:t>发包人应在收到监理人报送的合理化建议后7天内审批完毕</w:t>
      </w:r>
      <w:r>
        <w:rPr>
          <w:rFonts w:hint="eastAsia" w:ascii="宋体" w:hAnsi="宋体" w:cs="宋体"/>
          <w:color w:val="auto"/>
          <w:szCs w:val="21"/>
          <w:highlight w:val="none"/>
        </w:rPr>
        <w:t>。</w:t>
      </w:r>
    </w:p>
    <w:p w14:paraId="4404C667">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承</w:t>
      </w:r>
      <w:bookmarkStart w:id="1610" w:name="_Toc292559409"/>
      <w:bookmarkStart w:id="1611" w:name="_Toc304295571"/>
      <w:bookmarkStart w:id="1612" w:name="_Toc297216205"/>
      <w:bookmarkStart w:id="1613" w:name="_Toc296891032"/>
      <w:bookmarkStart w:id="1614" w:name="_Toc296944543"/>
      <w:bookmarkStart w:id="1615" w:name="_Toc312678030"/>
      <w:bookmarkStart w:id="1616" w:name="_Toc300934995"/>
      <w:bookmarkStart w:id="1617" w:name="_Toc303539152"/>
      <w:bookmarkStart w:id="1618" w:name="_Toc318581175"/>
      <w:bookmarkStart w:id="1619" w:name="_Toc297048390"/>
      <w:bookmarkStart w:id="1620" w:name="_Toc297120504"/>
      <w:bookmarkStart w:id="1621" w:name="_Toc292559914"/>
      <w:bookmarkStart w:id="1622" w:name="_Toc312677504"/>
      <w:bookmarkStart w:id="1623" w:name="_Toc296503204"/>
      <w:bookmarkStart w:id="1624" w:name="_Toc296346705"/>
      <w:bookmarkStart w:id="1625" w:name="_Toc296891244"/>
      <w:bookmarkStart w:id="1626" w:name="_Toc296347203"/>
      <w:bookmarkStart w:id="1627" w:name="_Toc297123546"/>
      <w:r>
        <w:rPr>
          <w:rFonts w:hint="eastAsia" w:ascii="宋体" w:hAnsi="宋体" w:cs="宋体"/>
          <w:color w:val="auto"/>
          <w:szCs w:val="21"/>
          <w:highlight w:val="none"/>
        </w:rPr>
        <w:t>包人提出的合理化建议降低了合同价格或者提高了工程经济效益的奖励的方法和金额为：</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p w14:paraId="4DE2A78B">
      <w:pPr>
        <w:pStyle w:val="37"/>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1628" w:name="_Toc522201772"/>
      <w:bookmarkStart w:id="1629" w:name="_Toc373478391"/>
      <w:bookmarkStart w:id="1630" w:name="_Toc497747223"/>
      <w:bookmarkStart w:id="1631" w:name="_Toc389065310"/>
      <w:bookmarkStart w:id="1632" w:name="_Toc373227744"/>
      <w:bookmarkStart w:id="1633" w:name="_Toc256000223"/>
      <w:bookmarkStart w:id="1634" w:name="_Toc497746826"/>
      <w:bookmarkStart w:id="1635" w:name="_Toc418518155"/>
      <w:bookmarkStart w:id="1636" w:name="_Toc418751841"/>
      <w:bookmarkStart w:id="1637" w:name="_Toc403578979"/>
      <w:bookmarkStart w:id="1638" w:name="_Toc5810"/>
      <w:bookmarkStart w:id="1639" w:name="_Toc418518391"/>
      <w:bookmarkStart w:id="1640" w:name="_Toc418061356"/>
      <w:bookmarkStart w:id="1641" w:name="_Toc418752287"/>
      <w:r>
        <w:rPr>
          <w:rFonts w:hint="eastAsia" w:ascii="宋体" w:cs="宋体"/>
          <w:color w:val="auto"/>
          <w:highlight w:val="none"/>
        </w:rPr>
        <w:t>1</w:t>
      </w:r>
      <w:bookmarkStart w:id="1642" w:name="_Toc312678033"/>
      <w:bookmarkStart w:id="1643" w:name="_Toc296346700"/>
      <w:bookmarkStart w:id="1644" w:name="_Toc297216207"/>
      <w:bookmarkStart w:id="1645" w:name="_Toc297120499"/>
      <w:bookmarkStart w:id="1646" w:name="_Toc303539154"/>
      <w:bookmarkStart w:id="1647" w:name="_Toc304295574"/>
      <w:bookmarkStart w:id="1648" w:name="_Toc292559404"/>
      <w:bookmarkStart w:id="1649" w:name="_Toc300934997"/>
      <w:bookmarkStart w:id="1650" w:name="_Toc296347198"/>
      <w:bookmarkStart w:id="1651" w:name="_Toc312677507"/>
      <w:bookmarkStart w:id="1652" w:name="_Toc296503199"/>
      <w:bookmarkStart w:id="1653" w:name="_Toc297123548"/>
      <w:bookmarkStart w:id="1654" w:name="_Toc296891027"/>
      <w:bookmarkStart w:id="1655" w:name="_Toc296891239"/>
      <w:bookmarkStart w:id="1656" w:name="_Toc292559909"/>
      <w:bookmarkStart w:id="1657" w:name="_Toc297048385"/>
      <w:bookmarkStart w:id="1658" w:name="_Toc296944538"/>
      <w:r>
        <w:rPr>
          <w:rFonts w:hint="eastAsia" w:ascii="宋体" w:cs="宋体"/>
          <w:color w:val="auto"/>
          <w:highlight w:val="none"/>
        </w:rPr>
        <w:t>0.7 暂估价</w:t>
      </w:r>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p>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p w14:paraId="703439F5">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暂</w:t>
      </w:r>
      <w:bookmarkStart w:id="1659" w:name="_Toc312677508"/>
      <w:bookmarkStart w:id="1660" w:name="_Toc312678034"/>
      <w:bookmarkStart w:id="1661" w:name="_Toc318581176"/>
      <w:r>
        <w:rPr>
          <w:rFonts w:hint="eastAsia" w:ascii="宋体" w:hAnsi="宋体" w:cs="宋体"/>
          <w:color w:val="auto"/>
          <w:kern w:val="0"/>
          <w:szCs w:val="21"/>
          <w:highlight w:val="none"/>
        </w:rPr>
        <w:t>估价材料和工程设备的明细详见已标价工程量清单《</w:t>
      </w:r>
      <w:r>
        <w:rPr>
          <w:rFonts w:hint="eastAsia" w:ascii="宋体" w:hAnsi="宋体" w:cs="宋体"/>
          <w:color w:val="auto"/>
          <w:szCs w:val="21"/>
          <w:highlight w:val="none"/>
        </w:rPr>
        <w:t>材料（工程设备）暂估价格及调整表》</w:t>
      </w:r>
      <w:r>
        <w:rPr>
          <w:rFonts w:hint="eastAsia" w:ascii="宋体" w:hAnsi="宋体" w:cs="宋体"/>
          <w:color w:val="auto"/>
          <w:kern w:val="0"/>
          <w:szCs w:val="21"/>
          <w:highlight w:val="none"/>
        </w:rPr>
        <w:t>（表12-2）和《</w:t>
      </w:r>
      <w:r>
        <w:rPr>
          <w:rFonts w:hint="eastAsia" w:ascii="宋体" w:hAnsi="宋体" w:cs="宋体"/>
          <w:color w:val="auto"/>
          <w:szCs w:val="21"/>
          <w:highlight w:val="none"/>
        </w:rPr>
        <w:t>专业工程暂估价表》（</w:t>
      </w:r>
      <w:r>
        <w:rPr>
          <w:rFonts w:hint="eastAsia" w:ascii="宋体" w:hAnsi="宋体" w:cs="宋体"/>
          <w:color w:val="auto"/>
          <w:kern w:val="0"/>
          <w:szCs w:val="21"/>
          <w:highlight w:val="none"/>
        </w:rPr>
        <w:t>表12-3）。</w:t>
      </w:r>
    </w:p>
    <w:bookmarkEnd w:id="1659"/>
    <w:bookmarkEnd w:id="1660"/>
    <w:bookmarkEnd w:id="1661"/>
    <w:p w14:paraId="787C8947">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w:t>
      </w:r>
      <w:bookmarkStart w:id="1662" w:name="_Toc312678035"/>
      <w:bookmarkStart w:id="1663" w:name="_Toc312677509"/>
      <w:bookmarkStart w:id="1664" w:name="_Toc318581177"/>
      <w:r>
        <w:rPr>
          <w:rFonts w:hint="eastAsia" w:ascii="宋体" w:hAnsi="宋体" w:cs="宋体"/>
          <w:color w:val="auto"/>
          <w:szCs w:val="21"/>
          <w:highlight w:val="none"/>
        </w:rPr>
        <w:t>0.7.1 依法必须招标的暂估价项目</w:t>
      </w:r>
    </w:p>
    <w:bookmarkEnd w:id="1662"/>
    <w:bookmarkEnd w:id="1663"/>
    <w:bookmarkEnd w:id="1664"/>
    <w:p w14:paraId="38371EBF">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对于依法必须招标的暂估价项目的确认和批准采取第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种方式确定。</w:t>
      </w:r>
    </w:p>
    <w:p w14:paraId="69DB5873">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10.7.2 不属于依法必须招标的暂估价项目</w:t>
      </w:r>
    </w:p>
    <w:p w14:paraId="4B64BD4F">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对于不属于依法必须招标的暂估价项目的确认和批准采取第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种方式确定。</w:t>
      </w:r>
    </w:p>
    <w:p w14:paraId="23EED785">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rPr>
        <w:t>第3种方式：</w:t>
      </w:r>
      <w:r>
        <w:rPr>
          <w:rFonts w:hint="eastAsia" w:ascii="宋体" w:hAnsi="宋体" w:cs="宋体"/>
          <w:color w:val="auto"/>
          <w:kern w:val="0"/>
          <w:szCs w:val="21"/>
          <w:highlight w:val="none"/>
        </w:rPr>
        <w:t>承包人直接实施的暂估价项目</w:t>
      </w:r>
    </w:p>
    <w:p w14:paraId="61A5E43F">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承包人直接实施的暂估价项目的约定：</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5D5235C5">
      <w:pPr>
        <w:pStyle w:val="37"/>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1665" w:name="_Toc418752288"/>
      <w:bookmarkStart w:id="1666" w:name="_Toc418061357"/>
      <w:bookmarkStart w:id="1667" w:name="_Toc9852"/>
      <w:bookmarkStart w:id="1668" w:name="_Toc497746827"/>
      <w:bookmarkStart w:id="1669" w:name="_Toc256000224"/>
      <w:bookmarkStart w:id="1670" w:name="_Toc418518392"/>
      <w:bookmarkStart w:id="1671" w:name="_Toc418751842"/>
      <w:bookmarkStart w:id="1672" w:name="_Toc373478392"/>
      <w:bookmarkStart w:id="1673" w:name="_Toc389065311"/>
      <w:bookmarkStart w:id="1674" w:name="_Toc522201773"/>
      <w:bookmarkStart w:id="1675" w:name="_Toc418518156"/>
      <w:bookmarkStart w:id="1676" w:name="_Toc497747224"/>
      <w:bookmarkStart w:id="1677" w:name="_Toc373227745"/>
      <w:bookmarkStart w:id="1678" w:name="_Toc403578980"/>
      <w:r>
        <w:rPr>
          <w:rFonts w:hint="eastAsia" w:ascii="宋体" w:cs="宋体"/>
          <w:color w:val="auto"/>
          <w:highlight w:val="none"/>
        </w:rPr>
        <w:t>10.8 暂列金额</w:t>
      </w:r>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p>
    <w:p w14:paraId="2A090623">
      <w:pPr>
        <w:pStyle w:val="21"/>
        <w:keepNext w:val="0"/>
        <w:keepLines w:val="0"/>
        <w:pageBreakBefore w:val="0"/>
        <w:widowControl w:val="0"/>
        <w:wordWrap/>
        <w:topLinePunct w:val="0"/>
        <w:autoSpaceDE w:val="0"/>
        <w:autoSpaceDN w:val="0"/>
        <w:bidi w:val="0"/>
        <w:adjustRightInd w:val="0"/>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合同当事人关于暂列金额使用的约定：</w:t>
      </w:r>
      <w:r>
        <w:rPr>
          <w:rFonts w:hint="eastAsia" w:ascii="宋体" w:hAnsi="宋体" w:cs="宋体"/>
          <w:color w:val="auto"/>
          <w:szCs w:val="21"/>
          <w:highlight w:val="none"/>
          <w:u w:val="single"/>
        </w:rPr>
        <w:t xml:space="preserve">（1）已签约合同价中的暂列金额由发包人掌握使用。（2）发包人按照规定所作支付后，暂列金额如有余额归发包人 </w:t>
      </w:r>
      <w:r>
        <w:rPr>
          <w:rFonts w:hint="eastAsia" w:ascii="宋体" w:hAnsi="宋体" w:cs="宋体"/>
          <w:color w:val="auto"/>
          <w:kern w:val="0"/>
          <w:szCs w:val="21"/>
          <w:highlight w:val="none"/>
        </w:rPr>
        <w:t>。</w:t>
      </w:r>
    </w:p>
    <w:p w14:paraId="4D9FFC23">
      <w:pPr>
        <w:pStyle w:val="37"/>
        <w:keepNext w:val="0"/>
        <w:keepLines w:val="0"/>
        <w:pageBreakBefore w:val="0"/>
        <w:widowControl w:val="0"/>
        <w:wordWrap/>
        <w:topLinePunct w:val="0"/>
        <w:bidi w:val="0"/>
        <w:spacing w:line="380" w:lineRule="exact"/>
        <w:outlineLvl w:val="2"/>
        <w:rPr>
          <w:rFonts w:ascii="宋体" w:cs="宋体"/>
          <w:color w:val="auto"/>
          <w:highlight w:val="none"/>
        </w:rPr>
      </w:pPr>
      <w:bookmarkStart w:id="1679" w:name="_Toc497746828"/>
      <w:bookmarkStart w:id="1680" w:name="_Toc418751843"/>
      <w:bookmarkStart w:id="1681" w:name="_Toc418061358"/>
      <w:bookmarkStart w:id="1682" w:name="_Toc497747225"/>
      <w:bookmarkStart w:id="1683" w:name="_Toc373478393"/>
      <w:bookmarkStart w:id="1684" w:name="_Toc351203643"/>
      <w:bookmarkStart w:id="1685" w:name="_Toc12497"/>
      <w:bookmarkStart w:id="1686" w:name="_Toc256000225"/>
      <w:bookmarkStart w:id="1687" w:name="_Toc373227746"/>
      <w:bookmarkStart w:id="1688" w:name="_Toc418518157"/>
      <w:bookmarkStart w:id="1689" w:name="_Toc418518393"/>
      <w:bookmarkStart w:id="1690" w:name="_Toc522201774"/>
      <w:bookmarkStart w:id="1691" w:name="_Toc389065312"/>
      <w:bookmarkStart w:id="1692" w:name="_Toc418752289"/>
      <w:bookmarkStart w:id="1693" w:name="_Toc403578981"/>
      <w:r>
        <w:rPr>
          <w:rFonts w:hint="eastAsia" w:ascii="宋体" w:cs="宋体"/>
          <w:color w:val="auto"/>
          <w:highlight w:val="none"/>
        </w:rPr>
        <w:t>11</w:t>
      </w:r>
      <w:r>
        <w:rPr>
          <w:rFonts w:hint="eastAsia" w:ascii="宋体" w:hAnsi="宋体" w:eastAsia="宋体" w:cs="宋体"/>
          <w:color w:val="auto"/>
          <w:highlight w:val="none"/>
        </w:rPr>
        <w:t xml:space="preserve">. </w:t>
      </w:r>
      <w:r>
        <w:rPr>
          <w:rFonts w:hint="eastAsia" w:ascii="宋体" w:cs="宋体"/>
          <w:color w:val="auto"/>
          <w:highlight w:val="none"/>
        </w:rPr>
        <w:t>价格调整</w:t>
      </w:r>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p>
    <w:p w14:paraId="76105727">
      <w:pPr>
        <w:pStyle w:val="37"/>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1694" w:name="_Toc256000226"/>
      <w:bookmarkStart w:id="1695" w:name="_Toc373478394"/>
      <w:bookmarkStart w:id="1696" w:name="_Toc497746829"/>
      <w:bookmarkStart w:id="1697" w:name="_Toc389065313"/>
      <w:bookmarkStart w:id="1698" w:name="_Toc418518158"/>
      <w:bookmarkStart w:id="1699" w:name="_Toc418752290"/>
      <w:bookmarkStart w:id="1700" w:name="_Toc522201775"/>
      <w:bookmarkStart w:id="1701" w:name="_Toc373227747"/>
      <w:bookmarkStart w:id="1702" w:name="_Toc31528"/>
      <w:bookmarkStart w:id="1703" w:name="_Toc418061359"/>
      <w:bookmarkStart w:id="1704" w:name="_Toc403578982"/>
      <w:bookmarkStart w:id="1705" w:name="_Toc418751844"/>
      <w:bookmarkStart w:id="1706" w:name="_Toc418518394"/>
      <w:bookmarkStart w:id="1707" w:name="_Toc497747226"/>
      <w:bookmarkStart w:id="1708" w:name="_Toc297048387"/>
      <w:bookmarkStart w:id="1709" w:name="_Toc292559911"/>
      <w:bookmarkStart w:id="1710" w:name="_Toc300935000"/>
      <w:bookmarkStart w:id="1711" w:name="_Toc297120501"/>
      <w:bookmarkStart w:id="1712" w:name="_Toc292559406"/>
      <w:bookmarkStart w:id="1713" w:name="_Toc297216209"/>
      <w:bookmarkStart w:id="1714" w:name="_Toc312678039"/>
      <w:bookmarkStart w:id="1715" w:name="_Toc296503201"/>
      <w:bookmarkStart w:id="1716" w:name="_Toc296891029"/>
      <w:bookmarkStart w:id="1717" w:name="_Toc304295577"/>
      <w:bookmarkStart w:id="1718" w:name="_Toc296346702"/>
      <w:bookmarkStart w:id="1719" w:name="_Toc296347200"/>
      <w:bookmarkStart w:id="1720" w:name="_Toc296891241"/>
      <w:bookmarkStart w:id="1721" w:name="_Toc296944540"/>
      <w:bookmarkStart w:id="1722" w:name="_Toc303539157"/>
      <w:bookmarkStart w:id="1723" w:name="_Toc297123550"/>
      <w:r>
        <w:rPr>
          <w:rFonts w:hint="eastAsia" w:ascii="宋体" w:cs="宋体"/>
          <w:color w:val="auto"/>
          <w:highlight w:val="none"/>
        </w:rPr>
        <w:t>11.1 市场价格波动引起的调整</w:t>
      </w:r>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p>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p w14:paraId="2521B0E6">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市场价格波动是否调整合同价格的约定：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不</w:t>
      </w:r>
      <w:r>
        <w:rPr>
          <w:rFonts w:hint="eastAsia" w:ascii="宋体" w:hAnsi="宋体" w:cs="宋体"/>
          <w:color w:val="auto"/>
          <w:szCs w:val="21"/>
          <w:highlight w:val="none"/>
          <w:u w:val="single"/>
        </w:rPr>
        <w:t xml:space="preserve">调整 </w:t>
      </w:r>
      <w:r>
        <w:rPr>
          <w:rFonts w:hint="eastAsia" w:ascii="宋体" w:hAnsi="宋体" w:cs="宋体"/>
          <w:color w:val="auto"/>
          <w:szCs w:val="21"/>
          <w:highlight w:val="none"/>
        </w:rPr>
        <w:t>。</w:t>
      </w:r>
    </w:p>
    <w:p w14:paraId="75E14A05">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因市场价格波动调整合同价格，采用以下第</w:t>
      </w:r>
      <w:r>
        <w:rPr>
          <w:rFonts w:hint="eastAsia" w:ascii="宋体" w:hAnsi="宋体" w:cs="宋体"/>
          <w:color w:val="auto"/>
          <w:szCs w:val="21"/>
          <w:highlight w:val="none"/>
          <w:u w:val="single"/>
          <w:lang w:val="en-US" w:eastAsia="zh-CN"/>
        </w:rPr>
        <w:t xml:space="preserve"> /  </w:t>
      </w:r>
      <w:r>
        <w:rPr>
          <w:rFonts w:hint="eastAsia" w:ascii="宋体" w:hAnsi="宋体" w:cs="宋体"/>
          <w:color w:val="auto"/>
          <w:szCs w:val="21"/>
          <w:highlight w:val="none"/>
        </w:rPr>
        <w:t>种方式对合同价格进行调整：</w:t>
      </w:r>
    </w:p>
    <w:p w14:paraId="43768924">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第1种方式：采用价格指数进行价格调整。</w:t>
      </w:r>
    </w:p>
    <w:p w14:paraId="002D410A">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关于各可调因子、定值和变值权重，以及基本价格指数及其来源的约定：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w:t>
      </w:r>
    </w:p>
    <w:p w14:paraId="0B5FF3C8">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第2种方式：采用造价信息进行价格调整。</w:t>
      </w:r>
    </w:p>
    <w:p w14:paraId="21D69FDF">
      <w:pPr>
        <w:pStyle w:val="21"/>
        <w:keepNext w:val="0"/>
        <w:keepLines w:val="0"/>
        <w:pageBreakBefore w:val="0"/>
        <w:widowControl w:val="0"/>
        <w:wordWrap/>
        <w:topLinePunct w:val="0"/>
        <w:bidi w:val="0"/>
        <w:spacing w:line="38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 xml:space="preserve">（1）关于基准价格的约定： </w:t>
      </w:r>
      <w:r>
        <w:rPr>
          <w:rFonts w:hint="eastAsia" w:ascii="宋体" w:hAnsi="宋体"/>
          <w:color w:val="auto"/>
          <w:szCs w:val="21"/>
          <w:highlight w:val="none"/>
          <w:u w:val="single"/>
          <w:lang w:val="en-US" w:eastAsia="zh-CN"/>
        </w:rPr>
        <w:t>2024年第10期</w:t>
      </w:r>
      <w:r>
        <w:rPr>
          <w:rFonts w:hint="eastAsia" w:ascii="宋体" w:hAnsi="宋体"/>
          <w:color w:val="auto"/>
          <w:szCs w:val="21"/>
          <w:highlight w:val="none"/>
          <w:u w:val="single"/>
        </w:rPr>
        <w:t>《桂林市建设工程造价信息》</w:t>
      </w:r>
      <w:r>
        <w:rPr>
          <w:rFonts w:hint="eastAsia" w:ascii="宋体" w:hAnsi="宋体"/>
          <w:color w:val="auto"/>
          <w:szCs w:val="21"/>
          <w:highlight w:val="none"/>
          <w:u w:val="single"/>
          <w:lang w:val="en-US" w:eastAsia="zh-CN"/>
        </w:rPr>
        <w:t>中资源县的信息价</w:t>
      </w:r>
      <w:r>
        <w:rPr>
          <w:rFonts w:hint="eastAsia" w:ascii="宋体" w:hAnsi="宋体"/>
          <w:color w:val="auto"/>
          <w:szCs w:val="21"/>
          <w:highlight w:val="none"/>
          <w:u w:val="single"/>
        </w:rPr>
        <w:t>。</w:t>
      </w:r>
    </w:p>
    <w:p w14:paraId="4E289259">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lang w:eastAsia="zh-CN"/>
        </w:rPr>
        <w:t>投标人（供应商）</w:t>
      </w:r>
      <w:r>
        <w:rPr>
          <w:rFonts w:hint="eastAsia" w:ascii="宋体" w:hAnsi="宋体" w:cs="宋体"/>
          <w:color w:val="auto"/>
          <w:kern w:val="0"/>
          <w:szCs w:val="21"/>
          <w:highlight w:val="none"/>
        </w:rPr>
        <w:t>应根据施工期间材料可能由于市场价格上涨（或下跌）因素自行考虑由此引起的风险并计入</w:t>
      </w:r>
      <w:r>
        <w:rPr>
          <w:rFonts w:hint="eastAsia" w:ascii="宋体" w:hAnsi="宋体" w:cs="宋体"/>
          <w:color w:val="auto"/>
          <w:kern w:val="0"/>
          <w:szCs w:val="21"/>
          <w:highlight w:val="none"/>
          <w:lang w:eastAsia="zh-CN"/>
        </w:rPr>
        <w:t>投标报价（磋商报价）</w:t>
      </w:r>
      <w:r>
        <w:rPr>
          <w:rFonts w:hint="eastAsia" w:ascii="宋体" w:hAnsi="宋体" w:cs="宋体"/>
          <w:color w:val="auto"/>
          <w:kern w:val="0"/>
          <w:szCs w:val="21"/>
          <w:highlight w:val="none"/>
        </w:rPr>
        <w:t>中，</w:t>
      </w:r>
      <w:r>
        <w:rPr>
          <w:rFonts w:hint="eastAsia" w:ascii="宋体" w:hAnsi="宋体" w:cs="宋体"/>
          <w:color w:val="auto"/>
          <w:kern w:val="0"/>
          <w:szCs w:val="21"/>
          <w:highlight w:val="none"/>
          <w:lang w:eastAsia="zh-CN"/>
        </w:rPr>
        <w:t>投标人（供应商）</w:t>
      </w:r>
      <w:r>
        <w:rPr>
          <w:rFonts w:hint="eastAsia" w:ascii="宋体" w:hAnsi="宋体" w:cs="宋体"/>
          <w:color w:val="auto"/>
          <w:kern w:val="0"/>
          <w:szCs w:val="21"/>
          <w:highlight w:val="none"/>
        </w:rPr>
        <w:t>应对自己的报价承担风险，除本合同约定的钢筋、水泥、商品混凝土、沥青混凝土、碎石、砂、片石、沥青、管材、石材、土方（含购土与弃土）等项材料价格可做调整外，其余材料价格不作调整。</w:t>
      </w:r>
    </w:p>
    <w:p w14:paraId="62B9ED16">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①承包人在已标价工程量清单或预算书中载明的材料单价低于基准价格的，合同履行期间材料单价涨幅以基准价格为基础超过</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%时，或材料单价跌幅以已标价工程量清单或预算书中载明材料单价为基础超过</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%时，其超过部分据实调整。</w:t>
      </w:r>
    </w:p>
    <w:p w14:paraId="397E602F">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②承包人在已标价工程量清单或预算书中载明的材料单价高于基准价格的：专用合同条款合同履行期间材料单价跌幅以基准价格为基础超过</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%时，材料单价涨幅以已标价工程量清单或预算书中载明材料单价为基础超过</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%时，其超过部分据实调整。</w:t>
      </w:r>
    </w:p>
    <w:p w14:paraId="6D5E8047">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③承包人在已标价工程量清单或预算书中载明的材料单价等于基准单价的：专用合同条款合同履行期间材料单价涨跌幅以基准单价为基础超过±</w:t>
      </w:r>
      <w:r>
        <w:rPr>
          <w:rFonts w:hint="eastAsia" w:ascii="宋体" w:hAnsi="宋体" w:cs="宋体"/>
          <w:color w:val="auto"/>
          <w:szCs w:val="21"/>
          <w:highlight w:val="none"/>
          <w:lang w:eastAsia="zh-CN"/>
        </w:rPr>
        <w:t>5</w:t>
      </w:r>
      <w:r>
        <w:rPr>
          <w:rFonts w:hint="eastAsia" w:ascii="宋体" w:hAnsi="宋体" w:cs="宋体"/>
          <w:color w:val="auto"/>
          <w:szCs w:val="21"/>
          <w:highlight w:val="none"/>
        </w:rPr>
        <w:t>%时，其超过部分据实调整。</w:t>
      </w:r>
    </w:p>
    <w:p w14:paraId="5102D3E9">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④除专用合同约定的钢筋、水泥、商品混凝土、沥青混凝土、碎石、砂、片石、沥青、管材、石材、土方</w:t>
      </w:r>
      <w:r>
        <w:rPr>
          <w:rFonts w:hint="eastAsia" w:ascii="宋体" w:hAnsi="宋体" w:cs="宋体"/>
          <w:color w:val="auto"/>
          <w:kern w:val="0"/>
          <w:szCs w:val="21"/>
          <w:highlight w:val="none"/>
        </w:rPr>
        <w:t>（含购土与弃土）</w:t>
      </w:r>
      <w:r>
        <w:rPr>
          <w:rFonts w:hint="eastAsia" w:ascii="宋体" w:hAnsi="宋体" w:cs="宋体"/>
          <w:color w:val="auto"/>
          <w:szCs w:val="21"/>
          <w:highlight w:val="none"/>
        </w:rPr>
        <w:t>等项材料外，其余材料价格不做调整。调整方法：钢筋、水泥、商品混凝土、沥青混凝土、碎石、砂、片石、沥青、管材、石材、土方</w:t>
      </w:r>
      <w:r>
        <w:rPr>
          <w:rFonts w:hint="eastAsia" w:ascii="宋体" w:hAnsi="宋体" w:cs="宋体"/>
          <w:color w:val="auto"/>
          <w:kern w:val="0"/>
          <w:szCs w:val="21"/>
          <w:highlight w:val="none"/>
        </w:rPr>
        <w:t>（含购土与弃土）</w:t>
      </w:r>
      <w:r>
        <w:rPr>
          <w:rFonts w:hint="eastAsia" w:ascii="宋体" w:hAnsi="宋体" w:cs="宋体"/>
          <w:color w:val="auto"/>
          <w:szCs w:val="21"/>
          <w:highlight w:val="none"/>
        </w:rPr>
        <w:t>价格超过部分×中标下浮系数（中标人的</w:t>
      </w:r>
      <w:r>
        <w:rPr>
          <w:rFonts w:hint="eastAsia" w:ascii="宋体" w:hAnsi="宋体" w:cs="宋体"/>
          <w:color w:val="auto"/>
          <w:szCs w:val="21"/>
          <w:highlight w:val="none"/>
          <w:lang w:eastAsia="zh-CN"/>
        </w:rPr>
        <w:t>投标报价（磋商报价）</w:t>
      </w:r>
      <w:r>
        <w:rPr>
          <w:rFonts w:hint="eastAsia" w:ascii="宋体" w:hAnsi="宋体" w:cs="宋体"/>
          <w:color w:val="auto"/>
          <w:szCs w:val="21"/>
          <w:highlight w:val="none"/>
        </w:rPr>
        <w:t>÷预算价），该部分费用列入税前独立费。</w:t>
      </w:r>
    </w:p>
    <w:p w14:paraId="55FEB2D3">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在工程施工期间，国家及地区如有新的人工费调整政策文件出台，可按国家及地区相关文件进行人工费调差。</w:t>
      </w:r>
    </w:p>
    <w:p w14:paraId="04960C0F">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rPr>
        <w:t>第3种方式：</w:t>
      </w:r>
      <w:r>
        <w:rPr>
          <w:rFonts w:hint="eastAsia" w:ascii="宋体" w:hAnsi="宋体" w:cs="宋体"/>
          <w:color w:val="auto"/>
          <w:szCs w:val="21"/>
          <w:highlight w:val="none"/>
          <w:u w:val="single"/>
        </w:rPr>
        <w:t xml:space="preserve"> 由业主单位、监理单位施工单位面向市场询价，并经三方对暂估价材料价格的确认，确定材料价格。 </w:t>
      </w:r>
    </w:p>
    <w:bookmarkEnd w:id="1506"/>
    <w:bookmarkEnd w:id="1507"/>
    <w:bookmarkEnd w:id="1508"/>
    <w:bookmarkEnd w:id="1509"/>
    <w:bookmarkEnd w:id="1510"/>
    <w:bookmarkEnd w:id="1511"/>
    <w:p w14:paraId="4D6A890C">
      <w:pPr>
        <w:pStyle w:val="37"/>
        <w:keepNext w:val="0"/>
        <w:keepLines w:val="0"/>
        <w:pageBreakBefore w:val="0"/>
        <w:widowControl w:val="0"/>
        <w:wordWrap/>
        <w:topLinePunct w:val="0"/>
        <w:bidi w:val="0"/>
        <w:spacing w:line="380" w:lineRule="exact"/>
        <w:outlineLvl w:val="2"/>
        <w:rPr>
          <w:rFonts w:ascii="宋体" w:cs="宋体"/>
          <w:color w:val="auto"/>
          <w:highlight w:val="none"/>
        </w:rPr>
      </w:pPr>
      <w:bookmarkStart w:id="1724" w:name="_Toc296944544"/>
      <w:bookmarkStart w:id="1725" w:name="_Toc292559410"/>
      <w:bookmarkStart w:id="1726" w:name="_Toc296347204"/>
      <w:bookmarkStart w:id="1727" w:name="_Toc296503205"/>
      <w:bookmarkStart w:id="1728" w:name="_Toc297120505"/>
      <w:bookmarkStart w:id="1729" w:name="_Toc297048391"/>
      <w:bookmarkStart w:id="1730" w:name="_Toc292559915"/>
      <w:bookmarkStart w:id="1731" w:name="_Toc296346706"/>
      <w:bookmarkStart w:id="1732" w:name="_Toc296891033"/>
      <w:bookmarkStart w:id="1733" w:name="_Toc296891245"/>
      <w:bookmarkStart w:id="1734" w:name="_Toc256000227"/>
      <w:bookmarkStart w:id="1735" w:name="_Toc403578983"/>
      <w:bookmarkStart w:id="1736" w:name="_Toc522201776"/>
      <w:bookmarkStart w:id="1737" w:name="_Toc418751845"/>
      <w:bookmarkStart w:id="1738" w:name="_Toc497746830"/>
      <w:bookmarkStart w:id="1739" w:name="_Toc23758"/>
      <w:bookmarkStart w:id="1740" w:name="_Toc418518395"/>
      <w:bookmarkStart w:id="1741" w:name="_Toc373478395"/>
      <w:bookmarkStart w:id="1742" w:name="_Toc497747227"/>
      <w:bookmarkStart w:id="1743" w:name="_Toc373227748"/>
      <w:bookmarkStart w:id="1744" w:name="_Toc418061360"/>
      <w:bookmarkStart w:id="1745" w:name="_Toc418752291"/>
      <w:bookmarkStart w:id="1746" w:name="_Toc418518159"/>
      <w:bookmarkStart w:id="1747" w:name="_Toc351203644"/>
      <w:bookmarkStart w:id="1748" w:name="_Toc312678040"/>
      <w:bookmarkStart w:id="1749" w:name="_Toc303539159"/>
      <w:bookmarkStart w:id="1750" w:name="_Toc297216211"/>
      <w:bookmarkStart w:id="1751" w:name="_Toc297123552"/>
      <w:bookmarkStart w:id="1752" w:name="_Toc304295579"/>
      <w:bookmarkStart w:id="1753" w:name="_Toc300935002"/>
      <w:r>
        <w:rPr>
          <w:rFonts w:hint="eastAsia" w:ascii="宋体" w:cs="宋体"/>
          <w:color w:val="auto"/>
          <w:highlight w:val="none"/>
        </w:rPr>
        <w:t>12</w:t>
      </w:r>
      <w:r>
        <w:rPr>
          <w:rFonts w:hint="eastAsia" w:ascii="宋体" w:hAnsi="宋体" w:eastAsia="宋体" w:cs="宋体"/>
          <w:color w:val="auto"/>
          <w:highlight w:val="none"/>
        </w:rPr>
        <w:t xml:space="preserve">. </w:t>
      </w:r>
      <w:bookmarkEnd w:id="1724"/>
      <w:bookmarkEnd w:id="1725"/>
      <w:bookmarkEnd w:id="1726"/>
      <w:bookmarkEnd w:id="1727"/>
      <w:bookmarkEnd w:id="1728"/>
      <w:bookmarkEnd w:id="1729"/>
      <w:bookmarkEnd w:id="1730"/>
      <w:bookmarkEnd w:id="1731"/>
      <w:bookmarkEnd w:id="1732"/>
      <w:bookmarkEnd w:id="1733"/>
      <w:r>
        <w:rPr>
          <w:rFonts w:hint="eastAsia" w:ascii="宋体" w:cs="宋体"/>
          <w:color w:val="auto"/>
          <w:highlight w:val="none"/>
        </w:rPr>
        <w:t>合同价格、计量与支付</w:t>
      </w:r>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p>
    <w:bookmarkEnd w:id="1748"/>
    <w:bookmarkEnd w:id="1749"/>
    <w:bookmarkEnd w:id="1750"/>
    <w:bookmarkEnd w:id="1751"/>
    <w:bookmarkEnd w:id="1752"/>
    <w:bookmarkEnd w:id="1753"/>
    <w:p w14:paraId="71A83A08">
      <w:pPr>
        <w:pStyle w:val="37"/>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1754" w:name="_Toc267251461"/>
      <w:bookmarkStart w:id="1755" w:name="_Toc292559916"/>
      <w:bookmarkStart w:id="1756" w:name="_Toc292559411"/>
      <w:bookmarkStart w:id="1757" w:name="_Toc296346707"/>
      <w:bookmarkStart w:id="1758" w:name="_Toc296891246"/>
      <w:bookmarkStart w:id="1759" w:name="_Toc296503206"/>
      <w:bookmarkStart w:id="1760" w:name="_Toc296347205"/>
      <w:bookmarkStart w:id="1761" w:name="_Toc297048392"/>
      <w:bookmarkStart w:id="1762" w:name="_Toc296944545"/>
      <w:bookmarkStart w:id="1763" w:name="_Toc296891034"/>
      <w:bookmarkStart w:id="1764" w:name="_Toc297120506"/>
      <w:bookmarkStart w:id="1765" w:name="_Toc418751846"/>
      <w:bookmarkStart w:id="1766" w:name="_Toc497747228"/>
      <w:bookmarkStart w:id="1767" w:name="_Toc256000228"/>
      <w:bookmarkStart w:id="1768" w:name="_Toc418518160"/>
      <w:bookmarkStart w:id="1769" w:name="_Toc418518396"/>
      <w:bookmarkStart w:id="1770" w:name="_Toc418752292"/>
      <w:bookmarkStart w:id="1771" w:name="_Toc403578984"/>
      <w:bookmarkStart w:id="1772" w:name="_Toc418061361"/>
      <w:bookmarkStart w:id="1773" w:name="_Toc497746831"/>
      <w:bookmarkStart w:id="1774" w:name="_Toc16333"/>
      <w:bookmarkStart w:id="1775" w:name="_Toc522201777"/>
      <w:bookmarkStart w:id="1776" w:name="_Toc389065314"/>
      <w:bookmarkStart w:id="1777" w:name="_Toc373478396"/>
      <w:bookmarkStart w:id="1778" w:name="_Toc373227749"/>
      <w:bookmarkStart w:id="1779" w:name="_Toc312678041"/>
      <w:bookmarkStart w:id="1780" w:name="_Toc297216212"/>
      <w:bookmarkStart w:id="1781" w:name="_Toc300935003"/>
      <w:bookmarkStart w:id="1782" w:name="_Toc303539160"/>
      <w:bookmarkStart w:id="1783" w:name="_Toc297123553"/>
      <w:bookmarkStart w:id="1784" w:name="_Toc304295580"/>
      <w:r>
        <w:rPr>
          <w:rFonts w:hint="eastAsia" w:ascii="宋体" w:cs="宋体"/>
          <w:color w:val="auto"/>
          <w:highlight w:val="none"/>
        </w:rPr>
        <w:t>12.1 合</w:t>
      </w:r>
      <w:bookmarkEnd w:id="1754"/>
      <w:bookmarkEnd w:id="1755"/>
      <w:bookmarkEnd w:id="1756"/>
      <w:r>
        <w:rPr>
          <w:rFonts w:hint="eastAsia" w:ascii="宋体" w:cs="宋体"/>
          <w:color w:val="auto"/>
          <w:highlight w:val="none"/>
        </w:rPr>
        <w:t>同价</w:t>
      </w:r>
      <w:bookmarkEnd w:id="1757"/>
      <w:bookmarkEnd w:id="1758"/>
      <w:bookmarkEnd w:id="1759"/>
      <w:bookmarkEnd w:id="1760"/>
      <w:bookmarkEnd w:id="1761"/>
      <w:bookmarkEnd w:id="1762"/>
      <w:bookmarkEnd w:id="1763"/>
      <w:bookmarkEnd w:id="1764"/>
      <w:r>
        <w:rPr>
          <w:rFonts w:hint="eastAsia" w:ascii="宋体" w:cs="宋体"/>
          <w:color w:val="auto"/>
          <w:highlight w:val="none"/>
        </w:rPr>
        <w:t>格形式</w:t>
      </w:r>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p>
    <w:bookmarkEnd w:id="1779"/>
    <w:bookmarkEnd w:id="1780"/>
    <w:bookmarkEnd w:id="1781"/>
    <w:bookmarkEnd w:id="1782"/>
    <w:bookmarkEnd w:id="1783"/>
    <w:bookmarkEnd w:id="1784"/>
    <w:p w14:paraId="7F2F3F6E">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bookmarkStart w:id="1785" w:name="_Toc373227750"/>
      <w:bookmarkStart w:id="1786" w:name="_Toc389065315"/>
      <w:bookmarkStart w:id="1787" w:name="_Toc373478397"/>
      <w:bookmarkStart w:id="1788" w:name="_Toc312678042"/>
      <w:bookmarkStart w:id="1789" w:name="_Toc304295581"/>
      <w:bookmarkStart w:id="1790" w:name="_Toc297123554"/>
      <w:bookmarkStart w:id="1791" w:name="_Toc297216213"/>
      <w:bookmarkStart w:id="1792" w:name="_Toc300935004"/>
      <w:bookmarkStart w:id="1793" w:name="_Toc303539161"/>
      <w:bookmarkStart w:id="1794" w:name="_Toc296347206"/>
      <w:bookmarkStart w:id="1795" w:name="_Toc296891035"/>
      <w:bookmarkStart w:id="1796" w:name="_Toc297120507"/>
      <w:bookmarkStart w:id="1797" w:name="_Toc292559917"/>
      <w:bookmarkStart w:id="1798" w:name="_Toc296891247"/>
      <w:bookmarkStart w:id="1799" w:name="_Toc296944546"/>
      <w:bookmarkStart w:id="1800" w:name="_Toc296503207"/>
      <w:bookmarkStart w:id="1801" w:name="_Toc297048393"/>
      <w:bookmarkStart w:id="1802" w:name="_Toc292559412"/>
      <w:bookmarkStart w:id="1803" w:name="_Toc296346708"/>
      <w:r>
        <w:rPr>
          <w:rFonts w:hint="eastAsia" w:ascii="宋体" w:hAnsi="宋体" w:cs="宋体"/>
          <w:color w:val="auto"/>
          <w:szCs w:val="21"/>
          <w:highlight w:val="none"/>
        </w:rPr>
        <w:t>（1）单价合同。</w:t>
      </w:r>
    </w:p>
    <w:p w14:paraId="4E980F9F">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本合同价款采用</w:t>
      </w:r>
      <w:r>
        <w:rPr>
          <w:rFonts w:hint="eastAsia" w:ascii="宋体" w:hAnsi="宋体" w:cs="宋体"/>
          <w:color w:val="auto"/>
          <w:szCs w:val="21"/>
          <w:highlight w:val="none"/>
          <w:u w:val="single"/>
        </w:rPr>
        <w:t>固定综合单价</w:t>
      </w:r>
      <w:r>
        <w:rPr>
          <w:rFonts w:hint="eastAsia" w:ascii="宋体" w:hAnsi="宋体" w:cs="宋体"/>
          <w:color w:val="auto"/>
          <w:szCs w:val="21"/>
          <w:highlight w:val="none"/>
          <w:u w:val="single"/>
          <w:lang w:eastAsia="zh-CN"/>
        </w:rPr>
        <w:t>，工程量按实计算的方式</w:t>
      </w:r>
      <w:r>
        <w:rPr>
          <w:rFonts w:hint="eastAsia" w:ascii="宋体" w:hAnsi="宋体" w:cs="宋体"/>
          <w:color w:val="auto"/>
          <w:szCs w:val="21"/>
          <w:highlight w:val="none"/>
        </w:rPr>
        <w:t>确定。</w:t>
      </w:r>
    </w:p>
    <w:p w14:paraId="45A283CF">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综合单价包含的风险范围：</w:t>
      </w:r>
      <w:r>
        <w:rPr>
          <w:rFonts w:hint="eastAsia" w:ascii="宋体" w:hAnsi="宋体" w:cs="宋体"/>
          <w:color w:val="auto"/>
          <w:szCs w:val="21"/>
          <w:highlight w:val="none"/>
          <w:u w:val="single"/>
        </w:rPr>
        <w:t>除工程变更、政策性调整、本合同约定的材料、设备价格变动风险以外因素。</w:t>
      </w:r>
    </w:p>
    <w:p w14:paraId="4F28A0CD">
      <w:pPr>
        <w:pStyle w:val="44"/>
        <w:keepNext w:val="0"/>
        <w:keepLines w:val="0"/>
        <w:pageBreakBefore w:val="0"/>
        <w:widowControl w:val="0"/>
        <w:wordWrap/>
        <w:topLinePunct w:val="0"/>
        <w:bidi w:val="0"/>
        <w:spacing w:line="380" w:lineRule="exact"/>
        <w:ind w:firstLine="441" w:firstLineChars="210"/>
        <w:rPr>
          <w:rFonts w:hAnsi="宋体" w:cs="宋体"/>
          <w:color w:val="auto"/>
          <w:szCs w:val="21"/>
          <w:highlight w:val="none"/>
        </w:rPr>
      </w:pPr>
      <w:r>
        <w:rPr>
          <w:rFonts w:hint="eastAsia" w:hAnsi="宋体" w:cs="宋体"/>
          <w:color w:val="auto"/>
          <w:szCs w:val="21"/>
          <w:highlight w:val="none"/>
        </w:rPr>
        <w:t>风险范围以外合同价格的调整方法：</w:t>
      </w:r>
    </w:p>
    <w:p w14:paraId="0783A696">
      <w:pPr>
        <w:pStyle w:val="44"/>
        <w:keepNext w:val="0"/>
        <w:keepLines w:val="0"/>
        <w:pageBreakBefore w:val="0"/>
        <w:widowControl w:val="0"/>
        <w:wordWrap/>
        <w:topLinePunct w:val="0"/>
        <w:bidi w:val="0"/>
        <w:spacing w:line="380" w:lineRule="exact"/>
        <w:ind w:firstLine="441" w:firstLineChars="210"/>
        <w:rPr>
          <w:rFonts w:hAnsi="宋体" w:cs="宋体"/>
          <w:color w:val="auto"/>
          <w:szCs w:val="21"/>
          <w:highlight w:val="none"/>
        </w:rPr>
      </w:pPr>
      <w:r>
        <w:rPr>
          <w:rFonts w:hint="eastAsia" w:hAnsi="宋体" w:cs="宋体"/>
          <w:color w:val="auto"/>
          <w:szCs w:val="21"/>
          <w:highlight w:val="none"/>
        </w:rPr>
        <w:t>①工程变更：按10.4.1变更估价原则的约定调整。</w:t>
      </w:r>
    </w:p>
    <w:p w14:paraId="2B252B35">
      <w:pPr>
        <w:pStyle w:val="44"/>
        <w:keepNext w:val="0"/>
        <w:keepLines w:val="0"/>
        <w:pageBreakBefore w:val="0"/>
        <w:widowControl w:val="0"/>
        <w:wordWrap/>
        <w:topLinePunct w:val="0"/>
        <w:bidi w:val="0"/>
        <w:spacing w:line="380" w:lineRule="exact"/>
        <w:ind w:firstLine="441" w:firstLineChars="210"/>
        <w:rPr>
          <w:rFonts w:hAnsi="宋体" w:cs="宋体"/>
          <w:color w:val="auto"/>
          <w:szCs w:val="21"/>
          <w:highlight w:val="none"/>
        </w:rPr>
      </w:pPr>
      <w:r>
        <w:rPr>
          <w:rFonts w:hint="eastAsia" w:hAnsi="宋体" w:cs="宋体"/>
          <w:color w:val="auto"/>
          <w:szCs w:val="21"/>
          <w:highlight w:val="none"/>
        </w:rPr>
        <w:t>②政策性调整：按自治区建设行政主管部门颁布的文件执行。</w:t>
      </w:r>
    </w:p>
    <w:p w14:paraId="65C4AEFE">
      <w:pPr>
        <w:pStyle w:val="44"/>
        <w:keepNext w:val="0"/>
        <w:keepLines w:val="0"/>
        <w:pageBreakBefore w:val="0"/>
        <w:widowControl w:val="0"/>
        <w:wordWrap/>
        <w:topLinePunct w:val="0"/>
        <w:bidi w:val="0"/>
        <w:spacing w:line="380" w:lineRule="exact"/>
        <w:ind w:firstLine="441" w:firstLineChars="210"/>
        <w:rPr>
          <w:rFonts w:hAnsi="宋体" w:cs="宋体"/>
          <w:color w:val="auto"/>
          <w:szCs w:val="21"/>
          <w:highlight w:val="none"/>
        </w:rPr>
      </w:pPr>
      <w:r>
        <w:rPr>
          <w:rFonts w:hint="eastAsia" w:hAnsi="宋体" w:cs="宋体"/>
          <w:color w:val="auto"/>
          <w:szCs w:val="21"/>
          <w:highlight w:val="none"/>
        </w:rPr>
        <w:t>③材料、设备价格变动风险：按11.1的约定调整。</w:t>
      </w:r>
    </w:p>
    <w:p w14:paraId="3A4B5203">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④其它：</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3ABC8563">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（2）总价合同。</w:t>
      </w:r>
    </w:p>
    <w:p w14:paraId="3C4D9433">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总价包含的风险范围：</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10A34EA5">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风险范围以外合同价格的调整方法：</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0EA0B36F">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（3）其他价格方式：</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3D86CAE4">
      <w:pPr>
        <w:pStyle w:val="37"/>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1804" w:name="_Toc24874"/>
      <w:bookmarkStart w:id="1805" w:name="_Toc418518161"/>
      <w:bookmarkStart w:id="1806" w:name="_Toc497747229"/>
      <w:bookmarkStart w:id="1807" w:name="_Toc256000229"/>
      <w:bookmarkStart w:id="1808" w:name="_Toc418752293"/>
      <w:bookmarkStart w:id="1809" w:name="_Toc418518397"/>
      <w:bookmarkStart w:id="1810" w:name="_Toc418061362"/>
      <w:bookmarkStart w:id="1811" w:name="_Toc522201778"/>
      <w:bookmarkStart w:id="1812" w:name="_Toc418751847"/>
      <w:bookmarkStart w:id="1813" w:name="_Toc497746832"/>
      <w:bookmarkStart w:id="1814" w:name="_Toc403578985"/>
      <w:r>
        <w:rPr>
          <w:rFonts w:hint="eastAsia" w:ascii="宋体" w:cs="宋体"/>
          <w:color w:val="auto"/>
          <w:highlight w:val="none"/>
        </w:rPr>
        <w:t>12.2 预付款</w:t>
      </w:r>
      <w:bookmarkEnd w:id="1785"/>
      <w:bookmarkEnd w:id="1786"/>
      <w:bookmarkEnd w:id="1787"/>
      <w:bookmarkEnd w:id="1804"/>
      <w:bookmarkEnd w:id="1805"/>
      <w:bookmarkEnd w:id="1806"/>
      <w:bookmarkEnd w:id="1807"/>
      <w:bookmarkEnd w:id="1808"/>
      <w:bookmarkEnd w:id="1809"/>
      <w:bookmarkEnd w:id="1810"/>
      <w:bookmarkEnd w:id="1811"/>
      <w:bookmarkEnd w:id="1812"/>
      <w:bookmarkEnd w:id="1813"/>
      <w:bookmarkEnd w:id="1814"/>
    </w:p>
    <w:bookmarkEnd w:id="1788"/>
    <w:bookmarkEnd w:id="1789"/>
    <w:bookmarkEnd w:id="1790"/>
    <w:bookmarkEnd w:id="1791"/>
    <w:bookmarkEnd w:id="1792"/>
    <w:bookmarkEnd w:id="1793"/>
    <w:p w14:paraId="73EBF82B">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12.2.1 预付款的支付</w:t>
      </w:r>
    </w:p>
    <w:p w14:paraId="46ED0B65">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预付款支付比例或金额：</w:t>
      </w:r>
      <w:r>
        <w:rPr>
          <w:rFonts w:hint="eastAsia" w:ascii="宋体" w:hAnsi="宋体" w:cs="宋体"/>
          <w:color w:val="auto"/>
          <w:szCs w:val="21"/>
          <w:highlight w:val="none"/>
          <w:u w:val="single"/>
          <w:lang w:val="en-US" w:eastAsia="zh-CN"/>
        </w:rPr>
        <w:t xml:space="preserve"> 无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3335AE2">
      <w:pPr>
        <w:pStyle w:val="21"/>
        <w:keepNext w:val="0"/>
        <w:keepLines w:val="0"/>
        <w:pageBreakBefore w:val="0"/>
        <w:widowControl w:val="0"/>
        <w:wordWrap/>
        <w:topLinePunct w:val="0"/>
        <w:bidi w:val="0"/>
        <w:spacing w:line="3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预付款支付期限：</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w:t>
      </w:r>
    </w:p>
    <w:p w14:paraId="0CD33B41">
      <w:pPr>
        <w:pStyle w:val="21"/>
        <w:keepNext w:val="0"/>
        <w:keepLines w:val="0"/>
        <w:pageBreakBefore w:val="0"/>
        <w:widowControl w:val="0"/>
        <w:wordWrap/>
        <w:topLinePunct w:val="0"/>
        <w:bidi w:val="0"/>
        <w:spacing w:line="3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预付款扣回的方式：</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w:t>
      </w:r>
    </w:p>
    <w:p w14:paraId="031E390E">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12.2.2 预付款担保</w:t>
      </w:r>
    </w:p>
    <w:p w14:paraId="6CD4CCDA">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承包人提交预付款担保的期限：</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3A9AC0F7">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预付款担保的形式为：</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217A5C7A">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预付款担保格式见合同附件9。</w:t>
      </w:r>
    </w:p>
    <w:bookmarkEnd w:id="1794"/>
    <w:bookmarkEnd w:id="1795"/>
    <w:bookmarkEnd w:id="1796"/>
    <w:bookmarkEnd w:id="1797"/>
    <w:bookmarkEnd w:id="1798"/>
    <w:bookmarkEnd w:id="1799"/>
    <w:bookmarkEnd w:id="1800"/>
    <w:bookmarkEnd w:id="1801"/>
    <w:bookmarkEnd w:id="1802"/>
    <w:bookmarkEnd w:id="1803"/>
    <w:p w14:paraId="511B2FD6">
      <w:pPr>
        <w:pStyle w:val="37"/>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1815" w:name="_Toc418061363"/>
      <w:bookmarkStart w:id="1816" w:name="_Toc522201779"/>
      <w:bookmarkStart w:id="1817" w:name="_Toc389065316"/>
      <w:bookmarkStart w:id="1818" w:name="_Toc14203"/>
      <w:bookmarkStart w:id="1819" w:name="_Toc497747230"/>
      <w:bookmarkStart w:id="1820" w:name="_Toc403578986"/>
      <w:bookmarkStart w:id="1821" w:name="_Toc497746833"/>
      <w:bookmarkStart w:id="1822" w:name="_Toc418751848"/>
      <w:bookmarkStart w:id="1823" w:name="_Toc256000230"/>
      <w:bookmarkStart w:id="1824" w:name="_Toc373478398"/>
      <w:bookmarkStart w:id="1825" w:name="_Toc373227751"/>
      <w:bookmarkStart w:id="1826" w:name="_Toc418518162"/>
      <w:bookmarkStart w:id="1827" w:name="_Toc418752294"/>
      <w:bookmarkStart w:id="1828" w:name="_Toc418518398"/>
      <w:r>
        <w:rPr>
          <w:rFonts w:hint="eastAsia" w:ascii="宋体" w:cs="宋体"/>
          <w:color w:val="auto"/>
          <w:highlight w:val="none"/>
        </w:rPr>
        <w:t>12.3 计量</w:t>
      </w:r>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p>
    <w:p w14:paraId="6D60901E">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bookmarkStart w:id="1829" w:name="_Toc418518399"/>
      <w:bookmarkStart w:id="1830" w:name="_Toc418752295"/>
      <w:bookmarkStart w:id="1831" w:name="_Toc497747231"/>
      <w:bookmarkStart w:id="1832" w:name="_Toc418751849"/>
      <w:bookmarkStart w:id="1833" w:name="_Toc373227752"/>
      <w:bookmarkStart w:id="1834" w:name="_Toc418518163"/>
      <w:bookmarkStart w:id="1835" w:name="_Toc373478399"/>
      <w:bookmarkStart w:id="1836" w:name="_Toc389065317"/>
      <w:bookmarkStart w:id="1837" w:name="_Toc403578987"/>
      <w:bookmarkStart w:id="1838" w:name="_Toc497746834"/>
      <w:bookmarkStart w:id="1839" w:name="_Toc418061364"/>
      <w:r>
        <w:rPr>
          <w:rFonts w:hint="eastAsia" w:ascii="宋体" w:hAnsi="宋体" w:cs="宋体"/>
          <w:color w:val="auto"/>
          <w:szCs w:val="21"/>
          <w:highlight w:val="none"/>
        </w:rPr>
        <w:t xml:space="preserve">12.3.1 计量原则 </w:t>
      </w:r>
    </w:p>
    <w:p w14:paraId="1D038036">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工程量计算规则：</w:t>
      </w:r>
      <w:r>
        <w:rPr>
          <w:rFonts w:hint="eastAsia" w:ascii="宋体" w:hAnsi="宋体" w:cs="宋体"/>
          <w:color w:val="auto"/>
          <w:szCs w:val="21"/>
          <w:highlight w:val="none"/>
          <w:u w:val="single"/>
        </w:rPr>
        <w:t>工程的计量均以《建设工程工程量清单计价规范》 （GB50500－2013）和及其广西壮族自治区实施细则、 《建设工程工程量清单计算规范》 （GB50854～50862－2013）及其广西实施细则（修订本）、本工程补充项目清单为准。</w:t>
      </w:r>
      <w:r>
        <w:rPr>
          <w:rFonts w:hint="eastAsia" w:ascii="宋体" w:hAnsi="宋体" w:cs="宋体"/>
          <w:color w:val="auto"/>
          <w:szCs w:val="21"/>
          <w:highlight w:val="none"/>
        </w:rPr>
        <w:t xml:space="preserve"> </w:t>
      </w:r>
    </w:p>
    <w:p w14:paraId="214BFCC3">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 xml:space="preserve">12.3.2 计量周期 </w:t>
      </w:r>
    </w:p>
    <w:p w14:paraId="1D31D8D7">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关于计量周期的约定：</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承包人每月25日前向监理人报送上月20日至本月19日完成的工程量报告，并附具进度款申请单、已完成工程量报表和有关资料</w:t>
      </w:r>
      <w:r>
        <w:rPr>
          <w:rFonts w:hint="eastAsia" w:ascii="宋体" w:hAnsi="宋体" w:cs="宋体"/>
          <w:color w:val="auto"/>
          <w:szCs w:val="21"/>
          <w:highlight w:val="none"/>
          <w:u w:val="single"/>
        </w:rPr>
        <w:t>。</w:t>
      </w:r>
      <w:r>
        <w:rPr>
          <w:rFonts w:hint="eastAsia" w:ascii="宋体" w:hAnsi="宋体" w:cs="宋体"/>
          <w:color w:val="auto"/>
          <w:szCs w:val="21"/>
          <w:highlight w:val="none"/>
        </w:rPr>
        <w:t xml:space="preserve"> </w:t>
      </w:r>
    </w:p>
    <w:p w14:paraId="2EC09494">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12.3.3 单价合同的计量 </w:t>
      </w:r>
    </w:p>
    <w:p w14:paraId="53825CCA">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关于单价合同计量的约定：</w:t>
      </w:r>
      <w:r>
        <w:rPr>
          <w:rFonts w:hint="eastAsia" w:ascii="宋体" w:hAnsi="宋体" w:cs="宋体"/>
          <w:color w:val="auto"/>
          <w:szCs w:val="21"/>
          <w:highlight w:val="none"/>
          <w:u w:val="single"/>
        </w:rPr>
        <w:t xml:space="preserve"> (1) </w:t>
      </w:r>
      <w:r>
        <w:rPr>
          <w:rFonts w:ascii="宋体" w:hAnsi="宋体" w:cs="宋体"/>
          <w:color w:val="auto"/>
          <w:szCs w:val="21"/>
          <w:highlight w:val="none"/>
          <w:u w:val="single"/>
        </w:rPr>
        <w:t>工程量清单所列的工程量，不能作为承包人按合同履行其责任依据，实际施工中发生的工程量增加或减少并不影响承包人履行合同的责任，工程结算以完成的实际工程量为准</w:t>
      </w:r>
      <w:r>
        <w:rPr>
          <w:rFonts w:hint="eastAsia" w:ascii="宋体" w:hAnsi="宋体" w:cs="宋体"/>
          <w:color w:val="auto"/>
          <w:szCs w:val="21"/>
          <w:highlight w:val="none"/>
          <w:u w:val="single"/>
        </w:rPr>
        <w:t xml:space="preserve">。(2) </w:t>
      </w:r>
      <w:r>
        <w:rPr>
          <w:rFonts w:ascii="宋体" w:hAnsi="宋体" w:cs="宋体"/>
          <w:color w:val="auto"/>
          <w:szCs w:val="21"/>
          <w:highlight w:val="none"/>
          <w:u w:val="single"/>
        </w:rPr>
        <w:t>除另有规定外，工程师应按照合同通过计量来核实确定已完成的工程量和价款，承包人应得到该价款扣除保留金后的金额。当工程师要对已完工的工程量进行计量时，应适时地通知承包人参加</w:t>
      </w:r>
      <w:r>
        <w:rPr>
          <w:rFonts w:hint="eastAsia" w:ascii="宋体" w:hAnsi="宋体" w:cs="宋体"/>
          <w:color w:val="auto"/>
          <w:szCs w:val="21"/>
          <w:highlight w:val="none"/>
        </w:rPr>
        <w:t xml:space="preserve">。 </w:t>
      </w:r>
    </w:p>
    <w:p w14:paraId="7A80CA55">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12.3.4 总价合同的计量 </w:t>
      </w:r>
    </w:p>
    <w:p w14:paraId="6D4695C8">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关于总价合同计量的约定：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067B3E70">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12.3.5 总价合同采用支付分解表计量支付的，是否适用第 12.3.4 项〔总价合同的计量〕约定进行计量：</w:t>
      </w:r>
      <w:r>
        <w:rPr>
          <w:rFonts w:hint="eastAsia" w:ascii="宋体" w:hAnsi="宋体" w:cs="宋体"/>
          <w:color w:val="auto"/>
          <w:szCs w:val="21"/>
          <w:highlight w:val="none"/>
          <w:u w:val="single"/>
        </w:rPr>
        <w:t xml:space="preserve">无 </w:t>
      </w:r>
      <w:r>
        <w:rPr>
          <w:rFonts w:hint="eastAsia" w:ascii="宋体" w:hAnsi="宋体" w:cs="宋体"/>
          <w:color w:val="auto"/>
          <w:szCs w:val="21"/>
          <w:highlight w:val="none"/>
        </w:rPr>
        <w:t xml:space="preserve">。 </w:t>
      </w:r>
    </w:p>
    <w:p w14:paraId="46EEF606">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12.3.6 其他价格形式合同的计量 </w:t>
      </w:r>
    </w:p>
    <w:p w14:paraId="66B17C83">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其他价格形式的计量方式和程序：</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 xml:space="preserve">。 </w:t>
      </w:r>
    </w:p>
    <w:p w14:paraId="2A1A2369">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12.4 工程进度款支付</w:t>
      </w:r>
      <w:bookmarkEnd w:id="1829"/>
      <w:bookmarkEnd w:id="1830"/>
      <w:bookmarkEnd w:id="1831"/>
      <w:bookmarkEnd w:id="1832"/>
      <w:bookmarkEnd w:id="1833"/>
      <w:bookmarkEnd w:id="1834"/>
      <w:bookmarkEnd w:id="1835"/>
      <w:bookmarkEnd w:id="1836"/>
      <w:bookmarkEnd w:id="1837"/>
      <w:bookmarkEnd w:id="1838"/>
      <w:bookmarkEnd w:id="1839"/>
    </w:p>
    <w:p w14:paraId="28608105">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bookmarkStart w:id="1840" w:name="_Toc297216215"/>
      <w:bookmarkStart w:id="1841" w:name="_Toc297123556"/>
      <w:bookmarkStart w:id="1842" w:name="_Toc292559416"/>
      <w:bookmarkStart w:id="1843" w:name="_Toc297120511"/>
      <w:bookmarkStart w:id="1844" w:name="_Toc296503211"/>
      <w:bookmarkStart w:id="1845" w:name="_Toc296891039"/>
      <w:bookmarkStart w:id="1846" w:name="_Toc296347210"/>
      <w:bookmarkStart w:id="1847" w:name="_Toc296891251"/>
      <w:bookmarkStart w:id="1848" w:name="_Toc296944550"/>
      <w:bookmarkStart w:id="1849" w:name="_Toc303539163"/>
      <w:bookmarkStart w:id="1850" w:name="_Toc296346712"/>
      <w:bookmarkStart w:id="1851" w:name="_Toc297048397"/>
      <w:bookmarkStart w:id="1852" w:name="_Toc292559921"/>
      <w:bookmarkStart w:id="1853" w:name="_Toc300935006"/>
      <w:r>
        <w:rPr>
          <w:rFonts w:hint="eastAsia" w:ascii="宋体" w:hAnsi="宋体" w:cs="宋体"/>
          <w:color w:val="auto"/>
          <w:szCs w:val="21"/>
          <w:highlight w:val="none"/>
        </w:rPr>
        <w:t>12.4.1 付款周期</w:t>
      </w:r>
    </w:p>
    <w:p w14:paraId="6CA3814C">
      <w:pPr>
        <w:keepNext w:val="0"/>
        <w:keepLines w:val="0"/>
        <w:pageBreakBefore w:val="0"/>
        <w:widowControl w:val="0"/>
        <w:kinsoku/>
        <w:wordWrap/>
        <w:overflowPunct/>
        <w:topLinePunct w:val="0"/>
        <w:autoSpaceDE/>
        <w:autoSpaceDN/>
        <w:bidi w:val="0"/>
        <w:adjustRightInd/>
        <w:snapToGrid/>
        <w:spacing w:line="360" w:lineRule="auto"/>
        <w:ind w:left="210" w:leftChars="100" w:firstLine="210" w:firstLineChars="100"/>
        <w:jc w:val="left"/>
        <w:textAlignment w:val="auto"/>
        <w:rPr>
          <w:rFonts w:hint="eastAsia" w:eastAsia="宋体" w:cs="宋体"/>
          <w:color w:val="auto"/>
          <w:highlight w:val="none"/>
          <w:u w:val="single"/>
          <w:lang w:eastAsia="zh-CN"/>
        </w:rPr>
      </w:pPr>
      <w:r>
        <w:rPr>
          <w:rFonts w:hint="eastAsia" w:ascii="宋体" w:hAnsi="宋体" w:cs="宋体"/>
          <w:color w:val="auto"/>
          <w:szCs w:val="21"/>
          <w:highlight w:val="none"/>
        </w:rPr>
        <w:t>关于付款周期的约定：</w:t>
      </w:r>
      <w:r>
        <w:rPr>
          <w:rFonts w:hint="eastAsia"/>
          <w:color w:val="auto"/>
          <w:highlight w:val="none"/>
          <w:u w:val="single"/>
          <w:lang w:eastAsia="zh-CN"/>
        </w:rPr>
        <w:t>工程完成总量的 50%支付合同金额的 30%；工程完工，经初验合格，支付合同金额的 80%。工程经终验合格后，</w:t>
      </w:r>
      <w:r>
        <w:rPr>
          <w:rFonts w:hint="eastAsia"/>
          <w:color w:val="auto"/>
          <w:highlight w:val="none"/>
          <w:u w:val="single"/>
          <w:lang w:val="en-US" w:eastAsia="zh-CN"/>
        </w:rPr>
        <w:t>工程结算价</w:t>
      </w:r>
      <w:r>
        <w:rPr>
          <w:rFonts w:hint="eastAsia"/>
          <w:color w:val="auto"/>
          <w:highlight w:val="none"/>
          <w:u w:val="single"/>
          <w:lang w:eastAsia="zh-CN"/>
        </w:rPr>
        <w:t>经资源县审计投资中心审计，</w:t>
      </w:r>
      <w:r>
        <w:rPr>
          <w:rFonts w:hint="eastAsia" w:hAnsi="宋体" w:cs="宋体"/>
          <w:color w:val="auto"/>
          <w:highlight w:val="none"/>
          <w:u w:val="single"/>
        </w:rPr>
        <w:t>工程款支付至结算总价的</w:t>
      </w:r>
      <w:r>
        <w:rPr>
          <w:rFonts w:hint="eastAsia" w:hAnsi="宋体" w:cs="宋体"/>
          <w:color w:val="auto"/>
          <w:highlight w:val="none"/>
          <w:u w:val="single"/>
          <w:lang w:val="en-US" w:eastAsia="zh-CN"/>
        </w:rPr>
        <w:t>97</w:t>
      </w:r>
      <w:r>
        <w:rPr>
          <w:rFonts w:hint="eastAsia" w:hAnsi="宋体" w:cs="宋体"/>
          <w:color w:val="auto"/>
          <w:highlight w:val="none"/>
          <w:u w:val="single"/>
        </w:rPr>
        <w:t xml:space="preserve"> </w:t>
      </w:r>
      <w:r>
        <w:rPr>
          <w:color w:val="auto"/>
          <w:highlight w:val="none"/>
          <w:u w:val="single"/>
        </w:rPr>
        <w:t>%</w:t>
      </w:r>
      <w:r>
        <w:rPr>
          <w:rFonts w:hint="eastAsia"/>
          <w:color w:val="auto"/>
          <w:highlight w:val="none"/>
          <w:u w:val="single"/>
          <w:lang w:eastAsia="zh-CN"/>
        </w:rPr>
        <w:t>；留 3%工程余款作为工程质量保修金，待工程质保期满后工程无缺陷再按规定工程余款支付完毕。</w:t>
      </w:r>
    </w:p>
    <w:p w14:paraId="7EEBC112">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每次付款前，承包人应按发包人的要求提供符合相关法律法规的增值税发票，如发票不符合要求，发包人有权拒收，承包人应承担因不合格发票产生的所有责任。</w:t>
      </w:r>
    </w:p>
    <w:p w14:paraId="466FB03C">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12.4.2 进度付款申请单的编制</w:t>
      </w:r>
    </w:p>
    <w:p w14:paraId="16FEE0EA">
      <w:pPr>
        <w:pStyle w:val="21"/>
        <w:keepNext w:val="0"/>
        <w:keepLines w:val="0"/>
        <w:pageBreakBefore w:val="0"/>
        <w:widowControl w:val="0"/>
        <w:wordWrap/>
        <w:topLinePunct w:val="0"/>
        <w:bidi w:val="0"/>
        <w:spacing w:line="380" w:lineRule="exact"/>
        <w:ind w:firstLine="420" w:firstLineChars="200"/>
        <w:jc w:val="left"/>
        <w:rPr>
          <w:rFonts w:ascii="宋体" w:hAnsi="宋体" w:cs="宋体"/>
          <w:bCs/>
          <w:color w:val="auto"/>
          <w:szCs w:val="21"/>
          <w:highlight w:val="none"/>
          <w:u w:val="single"/>
        </w:rPr>
      </w:pPr>
      <w:r>
        <w:rPr>
          <w:rFonts w:hint="eastAsia" w:ascii="宋体" w:hAnsi="宋体" w:cs="宋体"/>
          <w:color w:val="auto"/>
          <w:szCs w:val="21"/>
          <w:highlight w:val="none"/>
        </w:rPr>
        <w:t>关于进度付款申请单编制的约定：</w:t>
      </w:r>
      <w:r>
        <w:rPr>
          <w:rFonts w:hint="eastAsia" w:ascii="宋体" w:hAnsi="宋体" w:cs="宋体"/>
          <w:bCs/>
          <w:color w:val="auto"/>
          <w:szCs w:val="21"/>
          <w:highlight w:val="none"/>
          <w:u w:val="single"/>
        </w:rPr>
        <w:t>承包人应在每个计量周期到期后的7天内向发包人提交已完工程进度款支付申请一式四份，详细说明此周期自己认为有权得到的款额，包括分包人已完工程的价款，内容包括已完工程预算书、工程量计算式及劳务队组提供的民工工资支付证明。</w:t>
      </w:r>
    </w:p>
    <w:p w14:paraId="4964171B">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w:t>
      </w:r>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r>
        <w:rPr>
          <w:rFonts w:hint="eastAsia" w:ascii="宋体" w:hAnsi="宋体" w:cs="宋体"/>
          <w:color w:val="auto"/>
          <w:szCs w:val="21"/>
          <w:highlight w:val="none"/>
        </w:rPr>
        <w:t>2.4.3 进度付款申请单的提交</w:t>
      </w:r>
    </w:p>
    <w:p w14:paraId="338135A5">
      <w:pPr>
        <w:pStyle w:val="21"/>
        <w:keepNext w:val="0"/>
        <w:keepLines w:val="0"/>
        <w:pageBreakBefore w:val="0"/>
        <w:widowControl w:val="0"/>
        <w:wordWrap/>
        <w:topLinePunct w:val="0"/>
        <w:bidi w:val="0"/>
        <w:spacing w:line="380" w:lineRule="exact"/>
        <w:ind w:firstLine="420" w:firstLineChars="200"/>
        <w:jc w:val="left"/>
        <w:rPr>
          <w:rFonts w:ascii="宋体" w:hAnsi="宋体" w:cs="宋体"/>
          <w:bCs/>
          <w:color w:val="auto"/>
          <w:szCs w:val="21"/>
          <w:highlight w:val="none"/>
          <w:u w:val="single"/>
        </w:rPr>
      </w:pPr>
      <w:r>
        <w:rPr>
          <w:rFonts w:hint="eastAsia" w:ascii="宋体" w:hAnsi="宋体" w:cs="宋体"/>
          <w:color w:val="auto"/>
          <w:szCs w:val="21"/>
          <w:highlight w:val="none"/>
        </w:rPr>
        <w:t>（1）单价合同进度付款申请单提交的约定：</w:t>
      </w:r>
      <w:r>
        <w:rPr>
          <w:rFonts w:hint="eastAsia" w:ascii="宋体" w:hAnsi="宋体" w:cs="宋体"/>
          <w:bCs/>
          <w:color w:val="auto"/>
          <w:szCs w:val="21"/>
          <w:highlight w:val="none"/>
          <w:u w:val="single"/>
        </w:rPr>
        <w:t>承包人应在每个计量周期到期后的3天内向发包人提交支付申请一式三份，承包人当月完成的产值不足合同价的1％时，不支付进度款，累计至下月一并支付。承包人应随投标文件提交不拖欠民工工资的承诺函和措施。具体支付手续按财政性资金支付程序有关规定办理。</w:t>
      </w:r>
    </w:p>
    <w:p w14:paraId="22291245">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（2）总价合同进度付款申请单提交的约定：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72015E2F">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（3）其他价格形式合同进度付款申请单提交的约定：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56EBDB9A">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12.4.4 进度款审核和支付</w:t>
      </w:r>
    </w:p>
    <w:p w14:paraId="21D888B1">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（1）监理人审查并报送发包人的期限：</w:t>
      </w:r>
      <w:r>
        <w:rPr>
          <w:rFonts w:hint="eastAsia" w:ascii="宋体" w:hAnsi="宋体" w:cs="宋体"/>
          <w:color w:val="auto"/>
          <w:szCs w:val="21"/>
          <w:highlight w:val="none"/>
          <w:u w:val="single"/>
        </w:rPr>
        <w:t>监理人收到承包人进度付款申请单以及相关资料后 7 天内完成审查并报送发包人</w:t>
      </w:r>
      <w:r>
        <w:rPr>
          <w:rFonts w:hint="eastAsia" w:ascii="宋体" w:hAnsi="宋体" w:cs="宋体"/>
          <w:color w:val="auto"/>
          <w:szCs w:val="21"/>
          <w:highlight w:val="none"/>
        </w:rPr>
        <w:t>。</w:t>
      </w:r>
    </w:p>
    <w:p w14:paraId="3B212637">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发包人完成审批并签发进度款支付证书的期限：</w:t>
      </w:r>
      <w:r>
        <w:rPr>
          <w:rFonts w:hint="eastAsia" w:ascii="宋体" w:hAnsi="宋体" w:cs="宋体"/>
          <w:color w:val="auto"/>
          <w:szCs w:val="21"/>
          <w:highlight w:val="none"/>
          <w:u w:val="single"/>
        </w:rPr>
        <w:t>收到后 7 天内完成审批并签发</w:t>
      </w:r>
      <w:r>
        <w:rPr>
          <w:rFonts w:hint="eastAsia" w:ascii="宋体" w:hAnsi="宋体" w:cs="宋体"/>
          <w:color w:val="auto"/>
          <w:szCs w:val="21"/>
          <w:highlight w:val="none"/>
        </w:rPr>
        <w:t>。</w:t>
      </w:r>
    </w:p>
    <w:p w14:paraId="0DAC4400">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（2）发包人支付进度款的期限：</w:t>
      </w:r>
      <w:r>
        <w:rPr>
          <w:rFonts w:hint="eastAsia" w:ascii="宋体" w:hAnsi="宋体" w:cs="宋体"/>
          <w:color w:val="auto"/>
          <w:szCs w:val="21"/>
          <w:highlight w:val="none"/>
          <w:u w:val="single"/>
        </w:rPr>
        <w:t xml:space="preserve">办理相关付款手续后的7天内 </w:t>
      </w:r>
      <w:r>
        <w:rPr>
          <w:rFonts w:hint="eastAsia" w:ascii="宋体" w:hAnsi="宋体" w:cs="宋体"/>
          <w:color w:val="auto"/>
          <w:szCs w:val="21"/>
          <w:highlight w:val="none"/>
        </w:rPr>
        <w:t>。</w:t>
      </w:r>
    </w:p>
    <w:p w14:paraId="042181CD">
      <w:pPr>
        <w:pStyle w:val="21"/>
        <w:keepNext w:val="0"/>
        <w:keepLines w:val="0"/>
        <w:pageBreakBefore w:val="0"/>
        <w:widowControl w:val="0"/>
        <w:wordWrap/>
        <w:topLinePunct w:val="0"/>
        <w:bidi w:val="0"/>
        <w:spacing w:line="380" w:lineRule="exact"/>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发包人逾期支付进度款的违约金的计算方式：</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1980E0BB">
      <w:pPr>
        <w:pStyle w:val="21"/>
        <w:keepNext w:val="0"/>
        <w:keepLines w:val="0"/>
        <w:pageBreakBefore w:val="0"/>
        <w:widowControl w:val="0"/>
        <w:wordWrap/>
        <w:topLinePunct w:val="0"/>
        <w:bidi w:val="0"/>
        <w:spacing w:line="380" w:lineRule="exact"/>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进度款支付方式：</w:t>
      </w:r>
      <w:r>
        <w:rPr>
          <w:rFonts w:hint="eastAsia" w:ascii="宋体" w:hAnsi="宋体" w:cs="宋体"/>
          <w:color w:val="auto"/>
          <w:szCs w:val="21"/>
          <w:highlight w:val="none"/>
          <w:u w:val="single"/>
        </w:rPr>
        <w:t>银行转账</w:t>
      </w:r>
      <w:r>
        <w:rPr>
          <w:rFonts w:hint="eastAsia" w:ascii="宋体" w:hAnsi="宋体" w:cs="宋体"/>
          <w:color w:val="auto"/>
          <w:szCs w:val="21"/>
          <w:highlight w:val="none"/>
        </w:rPr>
        <w:t>。</w:t>
      </w:r>
    </w:p>
    <w:p w14:paraId="4BA5B152">
      <w:pPr>
        <w:pStyle w:val="21"/>
        <w:keepNext w:val="0"/>
        <w:keepLines w:val="0"/>
        <w:pageBreakBefore w:val="0"/>
        <w:widowControl w:val="0"/>
        <w:wordWrap/>
        <w:topLinePunct w:val="0"/>
        <w:bidi w:val="0"/>
        <w:spacing w:line="380" w:lineRule="exact"/>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12.4.6 支付分解表的编制</w:t>
      </w:r>
    </w:p>
    <w:p w14:paraId="66BA5244">
      <w:pPr>
        <w:pStyle w:val="21"/>
        <w:keepNext w:val="0"/>
        <w:keepLines w:val="0"/>
        <w:pageBreakBefore w:val="0"/>
        <w:widowControl w:val="0"/>
        <w:wordWrap/>
        <w:topLinePunct w:val="0"/>
        <w:bidi w:val="0"/>
        <w:spacing w:line="380" w:lineRule="exact"/>
        <w:ind w:firstLine="525" w:firstLineChars="250"/>
        <w:jc w:val="left"/>
        <w:rPr>
          <w:rFonts w:ascii="宋体" w:hAnsi="宋体" w:cs="宋体"/>
          <w:color w:val="auto"/>
          <w:szCs w:val="21"/>
          <w:highlight w:val="none"/>
          <w:u w:val="single"/>
        </w:rPr>
      </w:pPr>
      <w:r>
        <w:rPr>
          <w:rFonts w:hint="eastAsia" w:ascii="宋体" w:hAnsi="宋体" w:cs="宋体"/>
          <w:color w:val="auto"/>
          <w:szCs w:val="21"/>
          <w:highlight w:val="none"/>
        </w:rPr>
        <w:t>2. 总价合同支付分解表的编制与审批：</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678AF91C">
      <w:pPr>
        <w:pStyle w:val="21"/>
        <w:keepNext w:val="0"/>
        <w:keepLines w:val="0"/>
        <w:pageBreakBefore w:val="0"/>
        <w:widowControl w:val="0"/>
        <w:wordWrap/>
        <w:topLinePunct w:val="0"/>
        <w:bidi w:val="0"/>
        <w:spacing w:line="380" w:lineRule="exact"/>
        <w:ind w:firstLine="525" w:firstLineChars="250"/>
        <w:jc w:val="left"/>
        <w:rPr>
          <w:rFonts w:ascii="宋体" w:hAnsi="宋体" w:cs="宋体"/>
          <w:color w:val="auto"/>
          <w:szCs w:val="21"/>
          <w:highlight w:val="none"/>
          <w:u w:val="single"/>
        </w:rPr>
      </w:pPr>
      <w:r>
        <w:rPr>
          <w:rFonts w:hint="eastAsia" w:ascii="宋体" w:hAnsi="宋体" w:cs="宋体"/>
          <w:color w:val="auto"/>
          <w:szCs w:val="21"/>
          <w:highlight w:val="none"/>
        </w:rPr>
        <w:t>3. 单价合同的总价项目支付分解表的编制与审批：</w:t>
      </w:r>
      <w:r>
        <w:rPr>
          <w:rFonts w:hint="eastAsia" w:ascii="宋体" w:hAnsi="宋体" w:cs="宋体"/>
          <w:color w:val="auto"/>
          <w:szCs w:val="21"/>
          <w:highlight w:val="none"/>
          <w:u w:val="single"/>
        </w:rPr>
        <w:t>单价项目不采用支付分解表的方式计算，而按《建设工程工程量清单计价规范（GB50500-2013）广西壮族自治区实施细则（修订本）》的规定执行。</w:t>
      </w:r>
    </w:p>
    <w:bookmarkEnd w:id="1512"/>
    <w:p w14:paraId="544EEEF7">
      <w:pPr>
        <w:pStyle w:val="37"/>
        <w:keepNext w:val="0"/>
        <w:keepLines w:val="0"/>
        <w:pageBreakBefore w:val="0"/>
        <w:widowControl w:val="0"/>
        <w:wordWrap/>
        <w:topLinePunct w:val="0"/>
        <w:bidi w:val="0"/>
        <w:spacing w:line="380" w:lineRule="exact"/>
        <w:outlineLvl w:val="2"/>
        <w:rPr>
          <w:rFonts w:ascii="宋体" w:cs="宋体"/>
          <w:color w:val="auto"/>
          <w:highlight w:val="none"/>
        </w:rPr>
      </w:pPr>
      <w:bookmarkStart w:id="1854" w:name="_Toc497747232"/>
      <w:bookmarkStart w:id="1855" w:name="_Toc418518164"/>
      <w:bookmarkStart w:id="1856" w:name="_Toc373227753"/>
      <w:bookmarkStart w:id="1857" w:name="_Toc403578988"/>
      <w:bookmarkStart w:id="1858" w:name="_Toc497746835"/>
      <w:bookmarkStart w:id="1859" w:name="_Toc418752296"/>
      <w:bookmarkStart w:id="1860" w:name="_Toc256000231"/>
      <w:bookmarkStart w:id="1861" w:name="_Toc389065318"/>
      <w:bookmarkStart w:id="1862" w:name="_Toc418518400"/>
      <w:bookmarkStart w:id="1863" w:name="_Toc30972"/>
      <w:bookmarkStart w:id="1864" w:name="_Toc351203645"/>
      <w:bookmarkStart w:id="1865" w:name="_Toc522201780"/>
      <w:bookmarkStart w:id="1866" w:name="_Toc373478400"/>
      <w:bookmarkStart w:id="1867" w:name="_Toc418061365"/>
      <w:bookmarkStart w:id="1868" w:name="_Toc418751850"/>
      <w:bookmarkStart w:id="1869" w:name="_Toc296346720"/>
      <w:bookmarkStart w:id="1870" w:name="_Toc297048405"/>
      <w:bookmarkStart w:id="1871" w:name="_Toc297123564"/>
      <w:bookmarkStart w:id="1872" w:name="_Toc296503219"/>
      <w:bookmarkStart w:id="1873" w:name="_Toc304295593"/>
      <w:bookmarkStart w:id="1874" w:name="_Toc303539172"/>
      <w:bookmarkStart w:id="1875" w:name="_Toc296944558"/>
      <w:bookmarkStart w:id="1876" w:name="_Toc312678053"/>
      <w:bookmarkStart w:id="1877" w:name="_Toc300935015"/>
      <w:bookmarkStart w:id="1878" w:name="_Toc296891259"/>
      <w:bookmarkStart w:id="1879" w:name="_Toc297120519"/>
      <w:bookmarkStart w:id="1880" w:name="_Toc297216223"/>
      <w:bookmarkStart w:id="1881" w:name="_Toc292559929"/>
      <w:bookmarkStart w:id="1882" w:name="_Toc296347218"/>
      <w:bookmarkStart w:id="1883" w:name="_Toc296891047"/>
      <w:bookmarkStart w:id="1884" w:name="_Toc292559424"/>
      <w:r>
        <w:rPr>
          <w:rFonts w:hint="eastAsia" w:ascii="宋体" w:cs="宋体"/>
          <w:color w:val="auto"/>
          <w:highlight w:val="none"/>
        </w:rPr>
        <w:t>13. 验收和工程试车</w:t>
      </w:r>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p>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p w14:paraId="33E9AB0B">
      <w:pPr>
        <w:pStyle w:val="37"/>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1885" w:name="_Toc497746836"/>
      <w:bookmarkStart w:id="1886" w:name="_Toc373227754"/>
      <w:bookmarkStart w:id="1887" w:name="_Toc418061366"/>
      <w:bookmarkStart w:id="1888" w:name="_Toc418518401"/>
      <w:bookmarkStart w:id="1889" w:name="_Toc418518165"/>
      <w:bookmarkStart w:id="1890" w:name="_Toc389065319"/>
      <w:bookmarkStart w:id="1891" w:name="_Toc418751851"/>
      <w:bookmarkStart w:id="1892" w:name="_Toc19468"/>
      <w:bookmarkStart w:id="1893" w:name="_Toc373478401"/>
      <w:bookmarkStart w:id="1894" w:name="_Toc403578989"/>
      <w:bookmarkStart w:id="1895" w:name="_Toc418752297"/>
      <w:bookmarkStart w:id="1896" w:name="_Toc522201781"/>
      <w:bookmarkStart w:id="1897" w:name="_Toc497747233"/>
      <w:bookmarkStart w:id="1898" w:name="_Toc256000232"/>
      <w:r>
        <w:rPr>
          <w:rFonts w:hint="eastAsia" w:ascii="宋体" w:cs="宋体"/>
          <w:color w:val="auto"/>
          <w:highlight w:val="none"/>
        </w:rPr>
        <w:t>13.1 分部分项工程验收</w:t>
      </w:r>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p>
    <w:p w14:paraId="7DE0372C">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13.1.2监理人不能按时进行验收时，应提前</w:t>
      </w:r>
      <w:r>
        <w:rPr>
          <w:rFonts w:hint="eastAsia" w:ascii="宋体" w:hAnsi="宋体" w:cs="宋体"/>
          <w:color w:val="auto"/>
          <w:szCs w:val="21"/>
          <w:highlight w:val="none"/>
          <w:u w:val="single"/>
        </w:rPr>
        <w:t xml:space="preserve"> 24 </w:t>
      </w:r>
      <w:r>
        <w:rPr>
          <w:rFonts w:hint="eastAsia" w:ascii="宋体" w:hAnsi="宋体" w:cs="宋体"/>
          <w:color w:val="auto"/>
          <w:szCs w:val="21"/>
          <w:highlight w:val="none"/>
        </w:rPr>
        <w:t>小时提交书面延期要求。</w:t>
      </w:r>
    </w:p>
    <w:p w14:paraId="7E123BBE">
      <w:pPr>
        <w:pStyle w:val="21"/>
        <w:keepNext w:val="0"/>
        <w:keepLines w:val="0"/>
        <w:pageBreakBefore w:val="0"/>
        <w:widowControl w:val="0"/>
        <w:wordWrap/>
        <w:topLinePunct w:val="0"/>
        <w:bidi w:val="0"/>
        <w:spacing w:line="380" w:lineRule="exact"/>
        <w:ind w:firstLine="420" w:firstLineChars="200"/>
        <w:jc w:val="left"/>
        <w:rPr>
          <w:rFonts w:ascii="宋体" w:hAnsi="宋体" w:cs="宋体"/>
          <w:b/>
          <w:color w:val="auto"/>
          <w:szCs w:val="21"/>
          <w:highlight w:val="none"/>
        </w:rPr>
      </w:pPr>
      <w:r>
        <w:rPr>
          <w:rFonts w:hint="eastAsia" w:ascii="宋体" w:hAnsi="宋体" w:cs="宋体"/>
          <w:color w:val="auto"/>
          <w:szCs w:val="21"/>
          <w:highlight w:val="none"/>
        </w:rPr>
        <w:t>关于延期最长不得超过：</w:t>
      </w:r>
      <w:r>
        <w:rPr>
          <w:rFonts w:hint="eastAsia" w:ascii="宋体" w:hAnsi="宋体" w:cs="宋体"/>
          <w:color w:val="auto"/>
          <w:szCs w:val="21"/>
          <w:highlight w:val="none"/>
          <w:u w:val="single"/>
        </w:rPr>
        <w:t xml:space="preserve"> 48 </w:t>
      </w:r>
      <w:r>
        <w:rPr>
          <w:rFonts w:hint="eastAsia" w:ascii="宋体" w:hAnsi="宋体" w:cs="宋体"/>
          <w:color w:val="auto"/>
          <w:szCs w:val="21"/>
          <w:highlight w:val="none"/>
        </w:rPr>
        <w:t>小时。</w:t>
      </w:r>
    </w:p>
    <w:p w14:paraId="69009FF3">
      <w:pPr>
        <w:pStyle w:val="37"/>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1899" w:name="_Toc418518166"/>
      <w:bookmarkStart w:id="1900" w:name="_Toc497747234"/>
      <w:bookmarkStart w:id="1901" w:name="_Toc522201782"/>
      <w:bookmarkStart w:id="1902" w:name="_Toc389065320"/>
      <w:bookmarkStart w:id="1903" w:name="_Toc256000233"/>
      <w:bookmarkStart w:id="1904" w:name="_Toc403578990"/>
      <w:bookmarkStart w:id="1905" w:name="_Toc373478402"/>
      <w:bookmarkStart w:id="1906" w:name="_Toc497746837"/>
      <w:bookmarkStart w:id="1907" w:name="_Toc418518402"/>
      <w:bookmarkStart w:id="1908" w:name="_Toc418752298"/>
      <w:bookmarkStart w:id="1909" w:name="_Toc418751852"/>
      <w:bookmarkStart w:id="1910" w:name="_Toc373227755"/>
      <w:bookmarkStart w:id="1911" w:name="_Toc7508"/>
      <w:bookmarkStart w:id="1912" w:name="_Toc418061367"/>
      <w:bookmarkStart w:id="1913" w:name="_Toc296891263"/>
      <w:bookmarkStart w:id="1914" w:name="_Toc312678056"/>
      <w:bookmarkStart w:id="1915" w:name="_Toc296347222"/>
      <w:bookmarkStart w:id="1916" w:name="_Toc300935016"/>
      <w:bookmarkStart w:id="1917" w:name="_Toc296346724"/>
      <w:bookmarkStart w:id="1918" w:name="_Toc303539173"/>
      <w:bookmarkStart w:id="1919" w:name="_Toc296891051"/>
      <w:bookmarkStart w:id="1920" w:name="_Toc297216224"/>
      <w:bookmarkStart w:id="1921" w:name="_Toc297048409"/>
      <w:bookmarkStart w:id="1922" w:name="_Toc296503223"/>
      <w:bookmarkStart w:id="1923" w:name="_Toc292559428"/>
      <w:bookmarkStart w:id="1924" w:name="_Toc304295596"/>
      <w:bookmarkStart w:id="1925" w:name="_Toc292559933"/>
      <w:bookmarkStart w:id="1926" w:name="_Toc296944562"/>
      <w:bookmarkStart w:id="1927" w:name="_Toc297120523"/>
      <w:bookmarkStart w:id="1928" w:name="_Toc297123565"/>
      <w:bookmarkStart w:id="1929" w:name="_Toc267251476"/>
      <w:bookmarkStart w:id="1930" w:name="_Toc267251474"/>
      <w:bookmarkStart w:id="1931" w:name="_Toc267251475"/>
      <w:bookmarkStart w:id="1932" w:name="_Toc267251472"/>
      <w:bookmarkStart w:id="1933" w:name="_Toc267251473"/>
      <w:bookmarkStart w:id="1934" w:name="_Toc267251471"/>
      <w:bookmarkStart w:id="1935" w:name="_Toc267251470"/>
      <w:r>
        <w:rPr>
          <w:rFonts w:hint="eastAsia" w:ascii="宋体" w:cs="宋体"/>
          <w:color w:val="auto"/>
          <w:highlight w:val="none"/>
        </w:rPr>
        <w:t>13.2 竣工验收</w:t>
      </w:r>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p>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p w14:paraId="71994053">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bookmarkStart w:id="1936" w:name="_Toc280868704"/>
      <w:bookmarkStart w:id="1937" w:name="_Toc280868705"/>
      <w:bookmarkStart w:id="1938" w:name="_Toc280868706"/>
      <w:bookmarkStart w:id="1939" w:name="_Toc280868707"/>
      <w:bookmarkStart w:id="1940" w:name="_Toc280868708"/>
      <w:bookmarkStart w:id="1941" w:name="_Toc280868709"/>
      <w:r>
        <w:rPr>
          <w:rFonts w:hint="eastAsia" w:ascii="宋体" w:hAnsi="宋体" w:cs="宋体"/>
          <w:color w:val="auto"/>
          <w:szCs w:val="21"/>
          <w:highlight w:val="none"/>
        </w:rPr>
        <w:t>13.2.1竣工验收条件</w:t>
      </w:r>
    </w:p>
    <w:p w14:paraId="1BFFC50C">
      <w:pPr>
        <w:pStyle w:val="21"/>
        <w:keepNext w:val="0"/>
        <w:keepLines w:val="0"/>
        <w:pageBreakBefore w:val="0"/>
        <w:widowControl w:val="0"/>
        <w:wordWrap/>
        <w:topLinePunct w:val="0"/>
        <w:bidi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（3）承包人负责整理和提交的竣工验收资料应当符合工程所在地建设行政主管部门和(或)城市建设档案管理机构有关施工资料的要求，具体内容包括：</w:t>
      </w:r>
      <w:r>
        <w:rPr>
          <w:rFonts w:hint="eastAsia" w:ascii="宋体" w:hAnsi="宋体" w:cs="宋体"/>
          <w:color w:val="auto"/>
          <w:szCs w:val="21"/>
          <w:highlight w:val="none"/>
          <w:u w:val="single"/>
        </w:rPr>
        <w:t xml:space="preserve">  1、工程具备竣工验收条件，承包人按工期竣工验收有关规定，向发包人提交符合桂林市城建档案馆归档要求内容装订成册的完整竣工资料及竣工验收报告、工程竣工图。2、承包人所提交的竣工资料必须符合《建设工程归档整理规范》要求，并在结算审批时出具《工程档案验收合格证明》及建设单位接收档案资料清单证明   </w:t>
      </w:r>
      <w:r>
        <w:rPr>
          <w:rFonts w:hint="eastAsia" w:ascii="宋体" w:hAnsi="宋体" w:cs="宋体"/>
          <w:color w:val="auto"/>
          <w:szCs w:val="21"/>
          <w:highlight w:val="none"/>
        </w:rPr>
        <w:t>。</w:t>
      </w:r>
    </w:p>
    <w:p w14:paraId="269090E0">
      <w:pPr>
        <w:pStyle w:val="21"/>
        <w:keepNext w:val="0"/>
        <w:keepLines w:val="0"/>
        <w:pageBreakBefore w:val="0"/>
        <w:widowControl w:val="0"/>
        <w:wordWrap/>
        <w:topLinePunct w:val="0"/>
        <w:bidi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竣工验收资料的份数：</w:t>
      </w:r>
      <w:r>
        <w:rPr>
          <w:rFonts w:hint="eastAsia" w:ascii="宋体" w:hAnsi="宋体" w:cs="宋体"/>
          <w:color w:val="auto"/>
          <w:szCs w:val="21"/>
          <w:highlight w:val="none"/>
          <w:u w:val="single"/>
        </w:rPr>
        <w:t>肆份，承包人承担竣工验收资料编制、立卷及至档案馆归档等一切费用</w:t>
      </w:r>
      <w:r>
        <w:rPr>
          <w:rFonts w:hint="eastAsia" w:ascii="宋体" w:hAnsi="宋体" w:cs="宋体"/>
          <w:color w:val="auto"/>
          <w:szCs w:val="21"/>
          <w:highlight w:val="none"/>
        </w:rPr>
        <w:t>。</w:t>
      </w:r>
    </w:p>
    <w:p w14:paraId="382597BB">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bCs/>
          <w:color w:val="auto"/>
          <w:szCs w:val="21"/>
          <w:highlight w:val="none"/>
        </w:rPr>
        <w:t>承包人提供竣工图的约定：</w:t>
      </w:r>
      <w:r>
        <w:rPr>
          <w:rFonts w:hint="eastAsia" w:ascii="宋体" w:hAnsi="宋体" w:cs="宋体"/>
          <w:bCs/>
          <w:color w:val="auto"/>
          <w:szCs w:val="21"/>
          <w:highlight w:val="none"/>
          <w:u w:val="single"/>
        </w:rPr>
        <w:t>竣工验收正式通过后15天，提供4套竣工图。</w:t>
      </w:r>
    </w:p>
    <w:p w14:paraId="5000FF4D">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13.2.2竣工验收程序</w:t>
      </w:r>
    </w:p>
    <w:bookmarkEnd w:id="1936"/>
    <w:p w14:paraId="55435FDF">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关于竣工验收程序的约定</w:t>
      </w:r>
      <w:r>
        <w:rPr>
          <w:rFonts w:hint="eastAsia" w:ascii="宋体" w:hAnsi="宋体" w:cs="宋体"/>
          <w:color w:val="auto"/>
          <w:kern w:val="0"/>
          <w:szCs w:val="21"/>
          <w:highlight w:val="none"/>
          <w:lang w:eastAsia="zh-CN"/>
        </w:rPr>
        <w:t>：</w:t>
      </w:r>
      <w:r>
        <w:rPr>
          <w:rFonts w:hint="eastAsia" w:ascii="宋体" w:hAnsi="宋体" w:cs="宋体"/>
          <w:color w:val="auto"/>
          <w:szCs w:val="21"/>
          <w:highlight w:val="none"/>
          <w:u w:val="single"/>
        </w:rPr>
        <w:t>由承包人提出申请，经监理工程师及承包人同意后，通知各质检及监督部门进行竣工验收。本工程竣工验收合格后，双方应在验收报告上签字认可，本工程实际竣工日期以建设、设计、勘察、监理、施工五家单位验收小组正式验收签字日期为准。工程保修按合同附件3《工程质量保修书》有关规定执行。</w:t>
      </w:r>
    </w:p>
    <w:p w14:paraId="77D7D60C">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发包人不按照本项约定组织竣工验收、颁发工程接收证书的违约金的计算方法：</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bookmarkEnd w:id="1937"/>
    <w:p w14:paraId="4A9EBA09">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13.2.5移交、接收全部与部分工程</w:t>
      </w:r>
    </w:p>
    <w:bookmarkEnd w:id="1938"/>
    <w:p w14:paraId="4A157AF3">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承包人向发包人移交工程的期限：</w:t>
      </w:r>
      <w:r>
        <w:rPr>
          <w:rFonts w:hint="eastAsia" w:ascii="宋体" w:hAnsi="宋体" w:cs="宋体"/>
          <w:color w:val="auto"/>
          <w:szCs w:val="21"/>
          <w:highlight w:val="none"/>
          <w:u w:val="single"/>
        </w:rPr>
        <w:t xml:space="preserve"> 竣工验收整改完毕三日内 </w:t>
      </w:r>
      <w:r>
        <w:rPr>
          <w:rFonts w:hint="eastAsia" w:ascii="宋体" w:hAnsi="宋体" w:cs="宋体"/>
          <w:color w:val="auto"/>
          <w:szCs w:val="21"/>
          <w:highlight w:val="none"/>
        </w:rPr>
        <w:t>。</w:t>
      </w:r>
    </w:p>
    <w:p w14:paraId="35018EFE">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发包人未按本合同约定接收全部或部分工程的，违约金的计算方法为：</w:t>
      </w:r>
      <w:r>
        <w:rPr>
          <w:rFonts w:hint="eastAsia" w:ascii="宋体" w:hAnsi="宋体" w:cs="宋体"/>
          <w:color w:val="auto"/>
          <w:szCs w:val="21"/>
          <w:highlight w:val="none"/>
          <w:u w:val="single"/>
        </w:rPr>
        <w:t xml:space="preserve">  </w:t>
      </w:r>
      <w:r>
        <w:rPr>
          <w:rFonts w:hint="eastAsia" w:ascii="宋体" w:hAnsi="宋体" w:cs="宋体"/>
          <w:bCs/>
          <w:color w:val="auto"/>
          <w:szCs w:val="21"/>
          <w:highlight w:val="none"/>
          <w:u w:val="single"/>
        </w:rPr>
        <w:t>每逾期一天，按</w:t>
      </w:r>
      <w:r>
        <w:rPr>
          <w:rFonts w:hint="eastAsia" w:ascii="宋体" w:hAnsi="宋体" w:cs="宋体"/>
          <w:color w:val="auto"/>
          <w:szCs w:val="21"/>
          <w:highlight w:val="none"/>
          <w:u w:val="single"/>
          <w:lang w:val="zh-CN"/>
        </w:rPr>
        <w:t>签约合同价</w:t>
      </w:r>
      <w:r>
        <w:rPr>
          <w:rFonts w:hint="eastAsia" w:ascii="宋体" w:hAnsi="宋体" w:cs="宋体"/>
          <w:color w:val="auto"/>
          <w:szCs w:val="21"/>
          <w:highlight w:val="none"/>
          <w:u w:val="single"/>
        </w:rPr>
        <w:t>款扣除社会保险费、发包人材料价款、暂估专业工程、暂列金额后的万分之四/天</w:t>
      </w:r>
      <w:r>
        <w:rPr>
          <w:rFonts w:hint="eastAsia" w:ascii="宋体" w:hAnsi="宋体" w:cs="宋体"/>
          <w:bCs/>
          <w:color w:val="auto"/>
          <w:szCs w:val="21"/>
          <w:highlight w:val="none"/>
          <w:u w:val="single"/>
        </w:rPr>
        <w:t>支付违约金，最高限额为结算价的</w:t>
      </w:r>
      <w:r>
        <w:rPr>
          <w:rFonts w:hint="eastAsia" w:ascii="宋体" w:hAnsi="宋体" w:cs="宋体"/>
          <w:bCs/>
          <w:color w:val="auto"/>
          <w:szCs w:val="21"/>
          <w:highlight w:val="none"/>
          <w:u w:val="single"/>
          <w:lang w:val="en-US" w:eastAsia="zh-CN"/>
        </w:rPr>
        <w:t>1</w:t>
      </w:r>
      <w:r>
        <w:rPr>
          <w:rFonts w:hint="eastAsia" w:ascii="宋体" w:hAnsi="宋体" w:cs="宋体"/>
          <w:bCs/>
          <w:color w:val="auto"/>
          <w:szCs w:val="21"/>
          <w:highlight w:val="none"/>
          <w:u w:val="single"/>
        </w:rPr>
        <w:t xml:space="preserve">% </w:t>
      </w:r>
      <w:r>
        <w:rPr>
          <w:rFonts w:hint="eastAsia" w:ascii="宋体" w:hAnsi="宋体" w:cs="宋体"/>
          <w:color w:val="auto"/>
          <w:szCs w:val="21"/>
          <w:highlight w:val="none"/>
        </w:rPr>
        <w:t>。</w:t>
      </w:r>
    </w:p>
    <w:bookmarkEnd w:id="1939"/>
    <w:p w14:paraId="0395C542">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承包人未按时移交工程的，违约金的计算方法为：</w:t>
      </w:r>
      <w:r>
        <w:rPr>
          <w:rFonts w:hint="eastAsia" w:ascii="宋体" w:hAnsi="宋体" w:cs="宋体"/>
          <w:color w:val="auto"/>
          <w:szCs w:val="21"/>
          <w:highlight w:val="none"/>
          <w:u w:val="single"/>
        </w:rPr>
        <w:t xml:space="preserve">  </w:t>
      </w:r>
      <w:r>
        <w:rPr>
          <w:rFonts w:hint="eastAsia" w:ascii="宋体" w:hAnsi="宋体" w:cs="宋体"/>
          <w:bCs/>
          <w:color w:val="auto"/>
          <w:szCs w:val="21"/>
          <w:highlight w:val="none"/>
          <w:u w:val="single"/>
        </w:rPr>
        <w:t>每逾期一天</w:t>
      </w:r>
      <w:r>
        <w:rPr>
          <w:rFonts w:hint="eastAsia" w:ascii="宋体" w:hAnsi="宋体" w:cs="宋体"/>
          <w:color w:val="auto"/>
          <w:szCs w:val="21"/>
          <w:highlight w:val="none"/>
          <w:u w:val="single"/>
        </w:rPr>
        <w:t>，按</w:t>
      </w:r>
      <w:r>
        <w:rPr>
          <w:rFonts w:hint="eastAsia" w:ascii="宋体" w:hAnsi="宋体" w:cs="宋体"/>
          <w:color w:val="auto"/>
          <w:szCs w:val="21"/>
          <w:highlight w:val="none"/>
          <w:u w:val="single"/>
          <w:lang w:val="zh-CN"/>
        </w:rPr>
        <w:t>签约合同价</w:t>
      </w:r>
      <w:r>
        <w:rPr>
          <w:rFonts w:hint="eastAsia" w:ascii="宋体" w:hAnsi="宋体" w:cs="宋体"/>
          <w:color w:val="auto"/>
          <w:szCs w:val="21"/>
          <w:highlight w:val="none"/>
          <w:u w:val="single"/>
        </w:rPr>
        <w:t xml:space="preserve">款扣除社会保险费、发包人材料价款、暂估专业工程、暂列金额后的万分之四/天支付违约金，最高限额为结算价的3%  </w:t>
      </w:r>
      <w:r>
        <w:rPr>
          <w:rFonts w:hint="eastAsia" w:ascii="宋体" w:hAnsi="宋体" w:cs="宋体"/>
          <w:color w:val="auto"/>
          <w:szCs w:val="21"/>
          <w:highlight w:val="none"/>
        </w:rPr>
        <w:t>。</w:t>
      </w:r>
    </w:p>
    <w:p w14:paraId="05E1FF13">
      <w:pPr>
        <w:pStyle w:val="37"/>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1942" w:name="_Toc256000234"/>
      <w:bookmarkStart w:id="1943" w:name="_Toc373478403"/>
      <w:bookmarkStart w:id="1944" w:name="_Toc418061368"/>
      <w:bookmarkStart w:id="1945" w:name="_Toc373227756"/>
      <w:bookmarkStart w:id="1946" w:name="_Toc418751853"/>
      <w:bookmarkStart w:id="1947" w:name="_Toc418752299"/>
      <w:bookmarkStart w:id="1948" w:name="_Toc522201783"/>
      <w:bookmarkStart w:id="1949" w:name="_Toc22147"/>
      <w:bookmarkStart w:id="1950" w:name="_Toc497747235"/>
      <w:bookmarkStart w:id="1951" w:name="_Toc403578991"/>
      <w:bookmarkStart w:id="1952" w:name="_Toc389065321"/>
      <w:bookmarkStart w:id="1953" w:name="_Toc418518167"/>
      <w:bookmarkStart w:id="1954" w:name="_Toc418518403"/>
      <w:bookmarkStart w:id="1955" w:name="_Toc497746838"/>
      <w:r>
        <w:rPr>
          <w:rFonts w:hint="eastAsia" w:ascii="宋体" w:cs="宋体"/>
          <w:color w:val="auto"/>
          <w:highlight w:val="none"/>
        </w:rPr>
        <w:t>13.3 工程试车</w:t>
      </w:r>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p>
    <w:bookmarkEnd w:id="1940"/>
    <w:p w14:paraId="4920B80E">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13.3.1 试车程序</w:t>
      </w:r>
    </w:p>
    <w:p w14:paraId="1519BEC0">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工程试车内容：</w:t>
      </w:r>
      <w:r>
        <w:rPr>
          <w:rFonts w:hint="eastAsia" w:ascii="宋体" w:hAnsi="宋体" w:cs="宋体"/>
          <w:color w:val="auto"/>
          <w:szCs w:val="21"/>
          <w:highlight w:val="none"/>
          <w:u w:val="single"/>
        </w:rPr>
        <w:t xml:space="preserve">  为达到本工程的验收标准，工程范围内的设施和承包人安装的设备应进行试运行调试，费用由承包人自行负责并已包括在</w:t>
      </w:r>
      <w:r>
        <w:rPr>
          <w:rFonts w:hint="eastAsia" w:ascii="宋体" w:hAnsi="宋体" w:cs="宋体"/>
          <w:color w:val="auto"/>
          <w:szCs w:val="21"/>
          <w:highlight w:val="none"/>
          <w:u w:val="single"/>
          <w:lang w:eastAsia="zh-CN"/>
        </w:rPr>
        <w:t>投标报价（磋商报价）</w:t>
      </w:r>
      <w:r>
        <w:rPr>
          <w:rFonts w:hint="eastAsia" w:ascii="宋体" w:hAnsi="宋体" w:cs="宋体"/>
          <w:color w:val="auto"/>
          <w:szCs w:val="21"/>
          <w:highlight w:val="none"/>
          <w:u w:val="single"/>
        </w:rPr>
        <w:t xml:space="preserve">中 </w:t>
      </w:r>
      <w:r>
        <w:rPr>
          <w:rFonts w:hint="eastAsia" w:ascii="宋体" w:hAnsi="宋体" w:cs="宋体"/>
          <w:color w:val="auto"/>
          <w:szCs w:val="21"/>
          <w:highlight w:val="none"/>
        </w:rPr>
        <w:t>。</w:t>
      </w:r>
    </w:p>
    <w:p w14:paraId="13ED415B">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（1）单机无负荷试车费用由</w:t>
      </w:r>
      <w:r>
        <w:rPr>
          <w:rFonts w:hint="eastAsia" w:ascii="宋体" w:hAnsi="宋体" w:cs="宋体"/>
          <w:color w:val="auto"/>
          <w:szCs w:val="21"/>
          <w:highlight w:val="none"/>
          <w:u w:val="single"/>
        </w:rPr>
        <w:t xml:space="preserve">  承包人组织试运行，费用由承包人</w:t>
      </w:r>
      <w:r>
        <w:rPr>
          <w:rFonts w:hint="eastAsia" w:ascii="宋体" w:hAnsi="宋体" w:cs="宋体"/>
          <w:color w:val="auto"/>
          <w:kern w:val="0"/>
          <w:szCs w:val="21"/>
          <w:highlight w:val="none"/>
        </w:rPr>
        <w:t>承担；</w:t>
      </w:r>
    </w:p>
    <w:p w14:paraId="60D31CC9">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（2）无负荷联动试车费用由</w:t>
      </w:r>
      <w:r>
        <w:rPr>
          <w:rFonts w:hint="eastAsia" w:ascii="宋体" w:hAnsi="宋体" w:cs="宋体"/>
          <w:color w:val="auto"/>
          <w:szCs w:val="21"/>
          <w:highlight w:val="none"/>
          <w:u w:val="single"/>
        </w:rPr>
        <w:t xml:space="preserve">  承包人组织试运行，费用由承包人</w:t>
      </w:r>
      <w:r>
        <w:rPr>
          <w:rFonts w:hint="eastAsia" w:ascii="宋体" w:hAnsi="宋体" w:cs="宋体"/>
          <w:color w:val="auto"/>
          <w:kern w:val="0"/>
          <w:szCs w:val="21"/>
          <w:highlight w:val="none"/>
        </w:rPr>
        <w:t>承担。</w:t>
      </w:r>
    </w:p>
    <w:p w14:paraId="77D1534F">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13.3.3 投料试车</w:t>
      </w:r>
    </w:p>
    <w:p w14:paraId="11B76A3A">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关于投料试车相关事项的约定：</w:t>
      </w:r>
      <w:r>
        <w:rPr>
          <w:rFonts w:hint="eastAsia" w:ascii="宋体" w:hAnsi="宋体" w:cs="宋体"/>
          <w:color w:val="auto"/>
          <w:szCs w:val="21"/>
          <w:highlight w:val="none"/>
          <w:u w:val="single"/>
        </w:rPr>
        <w:t xml:space="preserve"> 由承包人组织试运行，费用由承包人承担 </w:t>
      </w:r>
      <w:r>
        <w:rPr>
          <w:rFonts w:hint="eastAsia" w:ascii="宋体" w:hAnsi="宋体" w:cs="宋体"/>
          <w:color w:val="auto"/>
          <w:szCs w:val="21"/>
          <w:highlight w:val="none"/>
        </w:rPr>
        <w:t>。</w:t>
      </w:r>
    </w:p>
    <w:p w14:paraId="1CBD6B89">
      <w:pPr>
        <w:pStyle w:val="37"/>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1956" w:name="_Toc418751854"/>
      <w:bookmarkStart w:id="1957" w:name="_Toc403578992"/>
      <w:bookmarkStart w:id="1958" w:name="_Toc373227757"/>
      <w:bookmarkStart w:id="1959" w:name="_Toc418518404"/>
      <w:bookmarkStart w:id="1960" w:name="_Toc373478404"/>
      <w:bookmarkStart w:id="1961" w:name="_Toc418752300"/>
      <w:bookmarkStart w:id="1962" w:name="_Toc497746839"/>
      <w:bookmarkStart w:id="1963" w:name="_Toc256000235"/>
      <w:bookmarkStart w:id="1964" w:name="_Toc497747236"/>
      <w:bookmarkStart w:id="1965" w:name="_Toc389065322"/>
      <w:bookmarkStart w:id="1966" w:name="_Toc522201784"/>
      <w:bookmarkStart w:id="1967" w:name="_Toc418061369"/>
      <w:bookmarkStart w:id="1968" w:name="_Toc418518168"/>
      <w:bookmarkStart w:id="1969" w:name="_Toc16016"/>
      <w:r>
        <w:rPr>
          <w:rFonts w:hint="eastAsia" w:ascii="宋体" w:cs="宋体"/>
          <w:color w:val="auto"/>
          <w:highlight w:val="none"/>
        </w:rPr>
        <w:t>13.6 竣工退场</w:t>
      </w:r>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p>
    <w:p w14:paraId="592CBAC2">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13.6.1 竣工退场</w:t>
      </w:r>
    </w:p>
    <w:p w14:paraId="371584F2">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承包人完成竣工退场的期限：</w:t>
      </w:r>
      <w:r>
        <w:rPr>
          <w:rFonts w:hint="eastAsia" w:ascii="宋体" w:hAnsi="宋体" w:cs="宋体"/>
          <w:color w:val="auto"/>
          <w:szCs w:val="21"/>
          <w:highlight w:val="none"/>
          <w:u w:val="single"/>
        </w:rPr>
        <w:t>监理人颁发(出具)工程接收证书后，承包人负责按照通用合同条款本项约定的要求对施工场地进行清理并承担相关费用，直至监理人检验合格后七日内，如承包人到期后不退场，发包人有权安排其他人员进行清理，费用从承包人工程款中扣除。</w:t>
      </w:r>
    </w:p>
    <w:p w14:paraId="4853CFC9">
      <w:pPr>
        <w:pStyle w:val="37"/>
        <w:keepNext w:val="0"/>
        <w:keepLines w:val="0"/>
        <w:pageBreakBefore w:val="0"/>
        <w:widowControl w:val="0"/>
        <w:wordWrap/>
        <w:topLinePunct w:val="0"/>
        <w:bidi w:val="0"/>
        <w:spacing w:line="380" w:lineRule="exact"/>
        <w:outlineLvl w:val="2"/>
        <w:rPr>
          <w:rFonts w:ascii="宋体" w:cs="宋体"/>
          <w:color w:val="auto"/>
          <w:highlight w:val="none"/>
        </w:rPr>
      </w:pPr>
      <w:bookmarkStart w:id="1970" w:name="_Toc351203646"/>
      <w:bookmarkStart w:id="1971" w:name="_Toc373227758"/>
      <w:bookmarkStart w:id="1972" w:name="_Toc15239"/>
      <w:bookmarkStart w:id="1973" w:name="_Toc522201785"/>
      <w:bookmarkStart w:id="1974" w:name="_Toc389065323"/>
      <w:bookmarkStart w:id="1975" w:name="_Toc418518405"/>
      <w:bookmarkStart w:id="1976" w:name="_Toc418751855"/>
      <w:bookmarkStart w:id="1977" w:name="_Toc256000236"/>
      <w:bookmarkStart w:id="1978" w:name="_Toc373478405"/>
      <w:bookmarkStart w:id="1979" w:name="_Toc497746840"/>
      <w:bookmarkStart w:id="1980" w:name="_Toc403578993"/>
      <w:bookmarkStart w:id="1981" w:name="_Toc418061370"/>
      <w:bookmarkStart w:id="1982" w:name="_Toc418518169"/>
      <w:bookmarkStart w:id="1983" w:name="_Toc418752301"/>
      <w:bookmarkStart w:id="1984" w:name="_Toc497747237"/>
      <w:r>
        <w:rPr>
          <w:rFonts w:hint="eastAsia" w:ascii="宋体" w:cs="宋体"/>
          <w:color w:val="auto"/>
          <w:highlight w:val="none"/>
        </w:rPr>
        <w:t xml:space="preserve">14. </w:t>
      </w:r>
      <w:r>
        <w:rPr>
          <w:rFonts w:hint="eastAsia" w:ascii="宋体" w:hAnsi="宋体" w:eastAsia="宋体" w:cs="宋体"/>
          <w:color w:val="auto"/>
          <w:highlight w:val="none"/>
        </w:rPr>
        <w:t>竣工</w:t>
      </w:r>
      <w:r>
        <w:rPr>
          <w:rFonts w:hint="eastAsia" w:ascii="宋体" w:cs="宋体"/>
          <w:color w:val="auto"/>
          <w:highlight w:val="none"/>
        </w:rPr>
        <w:t>结算</w:t>
      </w:r>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p>
    <w:p w14:paraId="5837CD76">
      <w:pPr>
        <w:pStyle w:val="37"/>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1985" w:name="_Toc373478406"/>
      <w:bookmarkStart w:id="1986" w:name="_Toc418518170"/>
      <w:bookmarkStart w:id="1987" w:name="_Toc389065324"/>
      <w:bookmarkStart w:id="1988" w:name="_Toc418061371"/>
      <w:bookmarkStart w:id="1989" w:name="_Toc522201786"/>
      <w:bookmarkStart w:id="1990" w:name="_Toc418751856"/>
      <w:bookmarkStart w:id="1991" w:name="_Toc418518406"/>
      <w:bookmarkStart w:id="1992" w:name="_Toc497746841"/>
      <w:bookmarkStart w:id="1993" w:name="_Toc403578994"/>
      <w:bookmarkStart w:id="1994" w:name="_Toc497747238"/>
      <w:bookmarkStart w:id="1995" w:name="_Toc256000237"/>
      <w:bookmarkStart w:id="1996" w:name="_Toc418752302"/>
      <w:bookmarkStart w:id="1997" w:name="_Toc5496"/>
      <w:bookmarkStart w:id="1998" w:name="_Toc373227759"/>
      <w:r>
        <w:rPr>
          <w:rFonts w:hint="eastAsia" w:ascii="宋体" w:cs="宋体"/>
          <w:color w:val="auto"/>
          <w:highlight w:val="none"/>
        </w:rPr>
        <w:t>14.1 竣工结算申请</w:t>
      </w:r>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p>
    <w:p w14:paraId="1E6A006D">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承包人提交竣工结算申请单的期限：</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u w:val="single"/>
        </w:rPr>
        <w:t>具备竣工收条件后28天内</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FF83AC0">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竣工结算申请单应包括的内容：</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u w:val="single"/>
        </w:rPr>
        <w:t>竣工结算由承包人提交相关结算资料（主要包括合同、工程量计算书、结算书、变更设计通知单、签证单、竣工图）齐全后经监理初审、发包人审核后，</w:t>
      </w:r>
      <w:r>
        <w:rPr>
          <w:rFonts w:hint="eastAsia" w:ascii="宋体" w:hAnsi="宋体" w:cs="宋体"/>
          <w:color w:val="auto"/>
          <w:szCs w:val="21"/>
          <w:highlight w:val="none"/>
          <w:u w:val="single"/>
        </w:rPr>
        <w:t>最终结算以</w:t>
      </w:r>
      <w:r>
        <w:rPr>
          <w:rFonts w:hint="eastAsia" w:ascii="宋体" w:hAnsi="宋体" w:cs="宋体"/>
          <w:color w:val="auto"/>
          <w:szCs w:val="21"/>
          <w:highlight w:val="none"/>
          <w:u w:val="single"/>
          <w:lang w:val="en-US" w:eastAsia="zh-CN"/>
        </w:rPr>
        <w:t>资源县</w:t>
      </w:r>
      <w:r>
        <w:rPr>
          <w:rFonts w:hint="eastAsia" w:ascii="宋体" w:hAnsi="宋体" w:cs="宋体"/>
          <w:color w:val="auto"/>
          <w:szCs w:val="21"/>
          <w:highlight w:val="none"/>
          <w:u w:val="single"/>
          <w:lang w:eastAsia="zh-CN"/>
        </w:rPr>
        <w:t>财政局</w:t>
      </w:r>
      <w:r>
        <w:rPr>
          <w:rFonts w:hint="eastAsia" w:ascii="宋体" w:hAnsi="宋体" w:cs="宋体"/>
          <w:color w:val="auto"/>
          <w:szCs w:val="21"/>
          <w:highlight w:val="none"/>
          <w:u w:val="single"/>
        </w:rPr>
        <w:t xml:space="preserve">或发包人委托的造价咨询机构审定并经发包人及承包人双方确认的金额为准 </w:t>
      </w:r>
      <w:r>
        <w:rPr>
          <w:rFonts w:hint="eastAsia" w:ascii="宋体" w:hAnsi="宋体" w:cs="宋体"/>
          <w:color w:val="auto"/>
          <w:szCs w:val="21"/>
          <w:highlight w:val="none"/>
        </w:rPr>
        <w:t>。</w:t>
      </w:r>
    </w:p>
    <w:p w14:paraId="07943756">
      <w:pPr>
        <w:pStyle w:val="37"/>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1999" w:name="_Toc497746842"/>
      <w:bookmarkStart w:id="2000" w:name="_Toc1173"/>
      <w:bookmarkStart w:id="2001" w:name="_Toc389065325"/>
      <w:bookmarkStart w:id="2002" w:name="_Toc418518407"/>
      <w:bookmarkStart w:id="2003" w:name="_Toc418061372"/>
      <w:bookmarkStart w:id="2004" w:name="_Toc522201787"/>
      <w:bookmarkStart w:id="2005" w:name="_Toc373478407"/>
      <w:bookmarkStart w:id="2006" w:name="_Toc497747239"/>
      <w:bookmarkStart w:id="2007" w:name="_Toc418518171"/>
      <w:bookmarkStart w:id="2008" w:name="_Toc403578995"/>
      <w:bookmarkStart w:id="2009" w:name="_Toc373227760"/>
      <w:bookmarkStart w:id="2010" w:name="_Toc256000238"/>
      <w:bookmarkStart w:id="2011" w:name="_Toc418752303"/>
      <w:bookmarkStart w:id="2012" w:name="_Toc418751857"/>
      <w:r>
        <w:rPr>
          <w:rFonts w:hint="eastAsia" w:ascii="宋体" w:cs="宋体"/>
          <w:color w:val="auto"/>
          <w:highlight w:val="none"/>
        </w:rPr>
        <w:t>14.2 竣工结算审核</w:t>
      </w:r>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p>
    <w:p w14:paraId="449D284E">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发包人审批竣工付款申请单的期限：</w:t>
      </w:r>
    </w:p>
    <w:tbl>
      <w:tblPr>
        <w:tblStyle w:val="27"/>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616"/>
        <w:gridCol w:w="5817"/>
      </w:tblGrid>
      <w:tr w14:paraId="1F285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4AC3F6DA">
            <w:pPr>
              <w:pStyle w:val="21"/>
              <w:keepNext w:val="0"/>
              <w:keepLines w:val="0"/>
              <w:pageBreakBefore w:val="0"/>
              <w:widowControl w:val="0"/>
              <w:wordWrap/>
              <w:topLinePunct w:val="0"/>
              <w:bidi w:val="0"/>
              <w:spacing w:line="380" w:lineRule="exact"/>
              <w:jc w:val="center"/>
              <w:rPr>
                <w:rFonts w:ascii="宋体" w:hAnsi="宋体" w:cs="宋体"/>
                <w:bCs/>
                <w:color w:val="auto"/>
                <w:szCs w:val="21"/>
                <w:highlight w:val="none"/>
              </w:rPr>
            </w:pPr>
          </w:p>
        </w:tc>
        <w:tc>
          <w:tcPr>
            <w:tcW w:w="2616" w:type="dxa"/>
            <w:noWrap w:val="0"/>
            <w:vAlign w:val="center"/>
          </w:tcPr>
          <w:p w14:paraId="061E1FE5">
            <w:pPr>
              <w:pStyle w:val="21"/>
              <w:keepNext w:val="0"/>
              <w:keepLines w:val="0"/>
              <w:pageBreakBefore w:val="0"/>
              <w:widowControl w:val="0"/>
              <w:wordWrap/>
              <w:topLinePunct w:val="0"/>
              <w:bidi w:val="0"/>
              <w:spacing w:line="380" w:lineRule="exact"/>
              <w:ind w:firstLine="27" w:firstLineChars="13"/>
              <w:jc w:val="center"/>
              <w:rPr>
                <w:rFonts w:ascii="宋体" w:hAnsi="宋体" w:cs="宋体"/>
                <w:bCs/>
                <w:color w:val="auto"/>
                <w:szCs w:val="21"/>
                <w:highlight w:val="none"/>
              </w:rPr>
            </w:pPr>
            <w:r>
              <w:rPr>
                <w:rFonts w:hint="eastAsia" w:ascii="宋体" w:hAnsi="宋体" w:cs="宋体"/>
                <w:bCs/>
                <w:color w:val="auto"/>
                <w:szCs w:val="21"/>
                <w:highlight w:val="none"/>
              </w:rPr>
              <w:t>工程竣工结算报告金额</w:t>
            </w:r>
          </w:p>
        </w:tc>
        <w:tc>
          <w:tcPr>
            <w:tcW w:w="5817" w:type="dxa"/>
            <w:noWrap w:val="0"/>
            <w:vAlign w:val="center"/>
          </w:tcPr>
          <w:p w14:paraId="4606CF06">
            <w:pPr>
              <w:pStyle w:val="21"/>
              <w:keepNext w:val="0"/>
              <w:keepLines w:val="0"/>
              <w:pageBreakBefore w:val="0"/>
              <w:widowControl w:val="0"/>
              <w:wordWrap/>
              <w:topLinePunct w:val="0"/>
              <w:bidi w:val="0"/>
              <w:spacing w:line="380" w:lineRule="exact"/>
              <w:jc w:val="center"/>
              <w:rPr>
                <w:rFonts w:ascii="宋体" w:hAnsi="宋体" w:cs="宋体"/>
                <w:bCs/>
                <w:color w:val="auto"/>
                <w:szCs w:val="21"/>
                <w:highlight w:val="none"/>
              </w:rPr>
            </w:pPr>
            <w:r>
              <w:rPr>
                <w:rFonts w:hint="eastAsia" w:ascii="宋体" w:hAnsi="宋体" w:cs="宋体"/>
                <w:bCs/>
                <w:color w:val="auto"/>
                <w:szCs w:val="21"/>
                <w:highlight w:val="none"/>
              </w:rPr>
              <w:t>发包人审查时间</w:t>
            </w:r>
          </w:p>
        </w:tc>
      </w:tr>
      <w:tr w14:paraId="03E04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0AB58DE1">
            <w:pPr>
              <w:pStyle w:val="21"/>
              <w:keepNext w:val="0"/>
              <w:keepLines w:val="0"/>
              <w:pageBreakBefore w:val="0"/>
              <w:widowControl w:val="0"/>
              <w:wordWrap/>
              <w:topLinePunct w:val="0"/>
              <w:bidi w:val="0"/>
              <w:spacing w:line="380" w:lineRule="exact"/>
              <w:jc w:val="center"/>
              <w:rPr>
                <w:rFonts w:ascii="宋体" w:hAnsi="宋体" w:cs="宋体"/>
                <w:bCs/>
                <w:color w:val="auto"/>
                <w:szCs w:val="21"/>
                <w:highlight w:val="none"/>
              </w:rPr>
            </w:pPr>
            <w:r>
              <w:rPr>
                <w:rFonts w:hint="eastAsia" w:ascii="宋体" w:hAnsi="宋体" w:cs="宋体"/>
                <w:bCs/>
                <w:color w:val="auto"/>
                <w:szCs w:val="21"/>
                <w:highlight w:val="none"/>
              </w:rPr>
              <w:t>1</w:t>
            </w:r>
          </w:p>
        </w:tc>
        <w:tc>
          <w:tcPr>
            <w:tcW w:w="2616" w:type="dxa"/>
            <w:noWrap w:val="0"/>
            <w:vAlign w:val="center"/>
          </w:tcPr>
          <w:p w14:paraId="45FF3CCB">
            <w:pPr>
              <w:pStyle w:val="21"/>
              <w:keepNext w:val="0"/>
              <w:keepLines w:val="0"/>
              <w:pageBreakBefore w:val="0"/>
              <w:widowControl w:val="0"/>
              <w:wordWrap/>
              <w:topLinePunct w:val="0"/>
              <w:bidi w:val="0"/>
              <w:spacing w:line="380" w:lineRule="exact"/>
              <w:ind w:firstLine="27" w:firstLineChars="13"/>
              <w:jc w:val="center"/>
              <w:rPr>
                <w:rFonts w:ascii="宋体" w:hAnsi="宋体" w:cs="宋体"/>
                <w:bCs/>
                <w:color w:val="auto"/>
                <w:szCs w:val="21"/>
                <w:highlight w:val="none"/>
              </w:rPr>
            </w:pPr>
            <w:r>
              <w:rPr>
                <w:rFonts w:hint="eastAsia" w:ascii="宋体" w:hAnsi="宋体" w:cs="宋体"/>
                <w:bCs/>
                <w:color w:val="auto"/>
                <w:szCs w:val="21"/>
                <w:highlight w:val="none"/>
              </w:rPr>
              <w:t>500万元以下</w:t>
            </w:r>
          </w:p>
        </w:tc>
        <w:tc>
          <w:tcPr>
            <w:tcW w:w="5817" w:type="dxa"/>
            <w:noWrap w:val="0"/>
            <w:vAlign w:val="center"/>
          </w:tcPr>
          <w:p w14:paraId="3859AE90">
            <w:pPr>
              <w:pStyle w:val="21"/>
              <w:keepNext w:val="0"/>
              <w:keepLines w:val="0"/>
              <w:pageBreakBefore w:val="0"/>
              <w:widowControl w:val="0"/>
              <w:wordWrap/>
              <w:topLinePunct w:val="0"/>
              <w:bidi w:val="0"/>
              <w:spacing w:line="380" w:lineRule="exact"/>
              <w:jc w:val="center"/>
              <w:rPr>
                <w:rFonts w:ascii="宋体" w:hAnsi="宋体" w:cs="宋体"/>
                <w:bCs/>
                <w:color w:val="auto"/>
                <w:szCs w:val="21"/>
                <w:highlight w:val="none"/>
              </w:rPr>
            </w:pPr>
            <w:r>
              <w:rPr>
                <w:rFonts w:hint="eastAsia" w:ascii="宋体" w:hAnsi="宋体" w:cs="宋体"/>
                <w:bCs/>
                <w:color w:val="auto"/>
                <w:szCs w:val="21"/>
                <w:highlight w:val="none"/>
              </w:rPr>
              <w:t>从接到竣工结算报告和完整的竣工结算资料之日起20天</w:t>
            </w:r>
          </w:p>
        </w:tc>
      </w:tr>
      <w:tr w14:paraId="2A87D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2361CFD9">
            <w:pPr>
              <w:pStyle w:val="21"/>
              <w:keepNext w:val="0"/>
              <w:keepLines w:val="0"/>
              <w:pageBreakBefore w:val="0"/>
              <w:widowControl w:val="0"/>
              <w:wordWrap/>
              <w:topLinePunct w:val="0"/>
              <w:bidi w:val="0"/>
              <w:spacing w:line="380" w:lineRule="exact"/>
              <w:jc w:val="center"/>
              <w:rPr>
                <w:rFonts w:ascii="宋体" w:hAnsi="宋体" w:cs="宋体"/>
                <w:bCs/>
                <w:color w:val="auto"/>
                <w:szCs w:val="21"/>
                <w:highlight w:val="none"/>
              </w:rPr>
            </w:pPr>
            <w:r>
              <w:rPr>
                <w:rFonts w:hint="eastAsia" w:ascii="宋体" w:hAnsi="宋体" w:cs="宋体"/>
                <w:bCs/>
                <w:color w:val="auto"/>
                <w:szCs w:val="21"/>
                <w:highlight w:val="none"/>
              </w:rPr>
              <w:t>2</w:t>
            </w:r>
          </w:p>
        </w:tc>
        <w:tc>
          <w:tcPr>
            <w:tcW w:w="2616" w:type="dxa"/>
            <w:noWrap w:val="0"/>
            <w:vAlign w:val="center"/>
          </w:tcPr>
          <w:p w14:paraId="5B3AC83C">
            <w:pPr>
              <w:pStyle w:val="21"/>
              <w:keepNext w:val="0"/>
              <w:keepLines w:val="0"/>
              <w:pageBreakBefore w:val="0"/>
              <w:widowControl w:val="0"/>
              <w:wordWrap/>
              <w:topLinePunct w:val="0"/>
              <w:bidi w:val="0"/>
              <w:spacing w:line="380" w:lineRule="exact"/>
              <w:ind w:firstLine="27" w:firstLineChars="13"/>
              <w:jc w:val="center"/>
              <w:rPr>
                <w:rFonts w:ascii="宋体" w:hAnsi="宋体" w:cs="宋体"/>
                <w:bCs/>
                <w:color w:val="auto"/>
                <w:szCs w:val="21"/>
                <w:highlight w:val="none"/>
              </w:rPr>
            </w:pPr>
            <w:r>
              <w:rPr>
                <w:rFonts w:hint="eastAsia" w:ascii="宋体" w:hAnsi="宋体" w:cs="宋体"/>
                <w:bCs/>
                <w:color w:val="auto"/>
                <w:szCs w:val="21"/>
                <w:highlight w:val="none"/>
              </w:rPr>
              <w:t>500万元-2000万元</w:t>
            </w:r>
          </w:p>
        </w:tc>
        <w:tc>
          <w:tcPr>
            <w:tcW w:w="5817" w:type="dxa"/>
            <w:noWrap w:val="0"/>
            <w:vAlign w:val="center"/>
          </w:tcPr>
          <w:p w14:paraId="23885A88">
            <w:pPr>
              <w:pStyle w:val="21"/>
              <w:keepNext w:val="0"/>
              <w:keepLines w:val="0"/>
              <w:pageBreakBefore w:val="0"/>
              <w:widowControl w:val="0"/>
              <w:wordWrap/>
              <w:topLinePunct w:val="0"/>
              <w:bidi w:val="0"/>
              <w:spacing w:line="380" w:lineRule="exact"/>
              <w:jc w:val="center"/>
              <w:rPr>
                <w:rFonts w:ascii="宋体" w:hAnsi="宋体" w:cs="宋体"/>
                <w:bCs/>
                <w:color w:val="auto"/>
                <w:szCs w:val="21"/>
                <w:highlight w:val="none"/>
              </w:rPr>
            </w:pPr>
            <w:r>
              <w:rPr>
                <w:rFonts w:hint="eastAsia" w:ascii="宋体" w:hAnsi="宋体" w:cs="宋体"/>
                <w:bCs/>
                <w:color w:val="auto"/>
                <w:szCs w:val="21"/>
                <w:highlight w:val="none"/>
              </w:rPr>
              <w:t>从接到竣工结算报告和完整的竣工结算资料之日起30天</w:t>
            </w:r>
          </w:p>
        </w:tc>
      </w:tr>
      <w:tr w14:paraId="593EC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16D0DDAD">
            <w:pPr>
              <w:pStyle w:val="21"/>
              <w:keepNext w:val="0"/>
              <w:keepLines w:val="0"/>
              <w:pageBreakBefore w:val="0"/>
              <w:widowControl w:val="0"/>
              <w:wordWrap/>
              <w:topLinePunct w:val="0"/>
              <w:bidi w:val="0"/>
              <w:spacing w:line="380" w:lineRule="exact"/>
              <w:jc w:val="center"/>
              <w:rPr>
                <w:rFonts w:ascii="宋体" w:hAnsi="宋体" w:cs="宋体"/>
                <w:bCs/>
                <w:color w:val="auto"/>
                <w:szCs w:val="21"/>
                <w:highlight w:val="none"/>
              </w:rPr>
            </w:pPr>
            <w:r>
              <w:rPr>
                <w:rFonts w:hint="eastAsia" w:ascii="宋体" w:hAnsi="宋体" w:cs="宋体"/>
                <w:bCs/>
                <w:color w:val="auto"/>
                <w:szCs w:val="21"/>
                <w:highlight w:val="none"/>
              </w:rPr>
              <w:t>3</w:t>
            </w:r>
          </w:p>
        </w:tc>
        <w:tc>
          <w:tcPr>
            <w:tcW w:w="2616" w:type="dxa"/>
            <w:noWrap w:val="0"/>
            <w:vAlign w:val="center"/>
          </w:tcPr>
          <w:p w14:paraId="0E17C2A6">
            <w:pPr>
              <w:pStyle w:val="21"/>
              <w:keepNext w:val="0"/>
              <w:keepLines w:val="0"/>
              <w:pageBreakBefore w:val="0"/>
              <w:widowControl w:val="0"/>
              <w:wordWrap/>
              <w:topLinePunct w:val="0"/>
              <w:bidi w:val="0"/>
              <w:spacing w:line="380" w:lineRule="exact"/>
              <w:ind w:firstLine="27" w:firstLineChars="13"/>
              <w:jc w:val="center"/>
              <w:rPr>
                <w:rFonts w:ascii="宋体" w:hAnsi="宋体" w:cs="宋体"/>
                <w:bCs/>
                <w:color w:val="auto"/>
                <w:szCs w:val="21"/>
                <w:highlight w:val="none"/>
              </w:rPr>
            </w:pPr>
            <w:r>
              <w:rPr>
                <w:rFonts w:hint="eastAsia" w:ascii="宋体" w:hAnsi="宋体" w:cs="宋体"/>
                <w:bCs/>
                <w:color w:val="auto"/>
                <w:szCs w:val="21"/>
                <w:highlight w:val="none"/>
              </w:rPr>
              <w:t>2000万元-5000万元</w:t>
            </w:r>
          </w:p>
        </w:tc>
        <w:tc>
          <w:tcPr>
            <w:tcW w:w="5817" w:type="dxa"/>
            <w:noWrap w:val="0"/>
            <w:vAlign w:val="center"/>
          </w:tcPr>
          <w:p w14:paraId="69AE4699">
            <w:pPr>
              <w:pStyle w:val="21"/>
              <w:keepNext w:val="0"/>
              <w:keepLines w:val="0"/>
              <w:pageBreakBefore w:val="0"/>
              <w:widowControl w:val="0"/>
              <w:wordWrap/>
              <w:topLinePunct w:val="0"/>
              <w:bidi w:val="0"/>
              <w:spacing w:line="380" w:lineRule="exact"/>
              <w:jc w:val="center"/>
              <w:rPr>
                <w:rFonts w:ascii="宋体" w:hAnsi="宋体" w:cs="宋体"/>
                <w:bCs/>
                <w:color w:val="auto"/>
                <w:szCs w:val="21"/>
                <w:highlight w:val="none"/>
              </w:rPr>
            </w:pPr>
            <w:r>
              <w:rPr>
                <w:rFonts w:hint="eastAsia" w:ascii="宋体" w:hAnsi="宋体" w:cs="宋体"/>
                <w:bCs/>
                <w:color w:val="auto"/>
                <w:szCs w:val="21"/>
                <w:highlight w:val="none"/>
              </w:rPr>
              <w:t>从接到竣工结算报告和完整的竣工结算资料之日起45天</w:t>
            </w:r>
          </w:p>
        </w:tc>
      </w:tr>
      <w:tr w14:paraId="10912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100810FB">
            <w:pPr>
              <w:pStyle w:val="21"/>
              <w:keepNext w:val="0"/>
              <w:keepLines w:val="0"/>
              <w:pageBreakBefore w:val="0"/>
              <w:widowControl w:val="0"/>
              <w:wordWrap/>
              <w:topLinePunct w:val="0"/>
              <w:bidi w:val="0"/>
              <w:spacing w:line="380" w:lineRule="exact"/>
              <w:jc w:val="center"/>
              <w:rPr>
                <w:rFonts w:ascii="宋体" w:hAnsi="宋体" w:cs="宋体"/>
                <w:bCs/>
                <w:color w:val="auto"/>
                <w:szCs w:val="21"/>
                <w:highlight w:val="none"/>
              </w:rPr>
            </w:pPr>
            <w:r>
              <w:rPr>
                <w:rFonts w:hint="eastAsia" w:ascii="宋体" w:hAnsi="宋体" w:cs="宋体"/>
                <w:bCs/>
                <w:color w:val="auto"/>
                <w:szCs w:val="21"/>
                <w:highlight w:val="none"/>
              </w:rPr>
              <w:t>4</w:t>
            </w:r>
          </w:p>
        </w:tc>
        <w:tc>
          <w:tcPr>
            <w:tcW w:w="2616" w:type="dxa"/>
            <w:noWrap w:val="0"/>
            <w:vAlign w:val="center"/>
          </w:tcPr>
          <w:p w14:paraId="4EA51B06">
            <w:pPr>
              <w:pStyle w:val="21"/>
              <w:keepNext w:val="0"/>
              <w:keepLines w:val="0"/>
              <w:pageBreakBefore w:val="0"/>
              <w:widowControl w:val="0"/>
              <w:wordWrap/>
              <w:topLinePunct w:val="0"/>
              <w:bidi w:val="0"/>
              <w:spacing w:line="380" w:lineRule="exact"/>
              <w:ind w:firstLine="27" w:firstLineChars="13"/>
              <w:jc w:val="center"/>
              <w:rPr>
                <w:rFonts w:ascii="宋体" w:hAnsi="宋体" w:cs="宋体"/>
                <w:bCs/>
                <w:color w:val="auto"/>
                <w:szCs w:val="21"/>
                <w:highlight w:val="none"/>
              </w:rPr>
            </w:pPr>
            <w:r>
              <w:rPr>
                <w:rFonts w:hint="eastAsia" w:ascii="宋体" w:hAnsi="宋体" w:cs="宋体"/>
                <w:bCs/>
                <w:color w:val="auto"/>
                <w:szCs w:val="21"/>
                <w:highlight w:val="none"/>
              </w:rPr>
              <w:t>5000万元以上</w:t>
            </w:r>
          </w:p>
        </w:tc>
        <w:tc>
          <w:tcPr>
            <w:tcW w:w="5817" w:type="dxa"/>
            <w:noWrap w:val="0"/>
            <w:vAlign w:val="center"/>
          </w:tcPr>
          <w:p w14:paraId="50D2FB30">
            <w:pPr>
              <w:pStyle w:val="21"/>
              <w:keepNext w:val="0"/>
              <w:keepLines w:val="0"/>
              <w:pageBreakBefore w:val="0"/>
              <w:widowControl w:val="0"/>
              <w:wordWrap/>
              <w:topLinePunct w:val="0"/>
              <w:bidi w:val="0"/>
              <w:spacing w:line="380" w:lineRule="exact"/>
              <w:jc w:val="center"/>
              <w:rPr>
                <w:rFonts w:ascii="宋体" w:hAnsi="宋体" w:cs="宋体"/>
                <w:bCs/>
                <w:color w:val="auto"/>
                <w:szCs w:val="21"/>
                <w:highlight w:val="none"/>
              </w:rPr>
            </w:pPr>
            <w:r>
              <w:rPr>
                <w:rFonts w:hint="eastAsia" w:ascii="宋体" w:hAnsi="宋体" w:cs="宋体"/>
                <w:bCs/>
                <w:color w:val="auto"/>
                <w:szCs w:val="21"/>
                <w:highlight w:val="none"/>
              </w:rPr>
              <w:t>从接到竣工结算报告和完整的竣工结算资料之日起60天</w:t>
            </w:r>
          </w:p>
        </w:tc>
      </w:tr>
    </w:tbl>
    <w:p w14:paraId="4F70C601">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bCs/>
          <w:color w:val="auto"/>
          <w:szCs w:val="21"/>
          <w:highlight w:val="none"/>
        </w:rPr>
        <w:t>因承包人提供的结算资料不完整而需要补充或承包人不按时对账耽误时间时，审查时间应相应顺延</w:t>
      </w:r>
      <w:r>
        <w:rPr>
          <w:rFonts w:hint="eastAsia" w:ascii="宋体" w:hAnsi="宋体" w:cs="宋体"/>
          <w:color w:val="auto"/>
          <w:szCs w:val="21"/>
          <w:highlight w:val="none"/>
        </w:rPr>
        <w:t>。</w:t>
      </w:r>
    </w:p>
    <w:p w14:paraId="400CF025">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发包人完成竣工付款的期限：</w:t>
      </w:r>
      <w:r>
        <w:rPr>
          <w:rFonts w:ascii="宋体" w:hAnsi="宋体" w:cs="宋体"/>
          <w:color w:val="auto"/>
          <w:szCs w:val="21"/>
          <w:highlight w:val="none"/>
          <w:u w:val="single"/>
        </w:rPr>
        <w:t>结算审核报告出具</w:t>
      </w:r>
      <w:r>
        <w:rPr>
          <w:rFonts w:hint="eastAsia" w:ascii="宋体" w:hAnsi="宋体" w:cs="宋体"/>
          <w:color w:val="auto"/>
          <w:szCs w:val="21"/>
          <w:highlight w:val="none"/>
          <w:u w:val="single"/>
        </w:rPr>
        <w:t>后且</w:t>
      </w:r>
      <w:r>
        <w:rPr>
          <w:rFonts w:hint="eastAsia" w:ascii="宋体" w:hAnsi="宋体"/>
          <w:color w:val="auto"/>
          <w:szCs w:val="21"/>
          <w:highlight w:val="none"/>
          <w:u w:val="single"/>
        </w:rPr>
        <w:t>审核完承包人的竣工付款申请单30天内</w:t>
      </w:r>
      <w:r>
        <w:rPr>
          <w:rFonts w:hint="eastAsia" w:ascii="宋体" w:hAnsi="宋体" w:cs="宋体"/>
          <w:color w:val="auto"/>
          <w:szCs w:val="21"/>
          <w:highlight w:val="none"/>
        </w:rPr>
        <w:t>。</w:t>
      </w:r>
    </w:p>
    <w:p w14:paraId="3CCE6D33">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关于竣工付款证书异议部分复核的方式和程序：</w:t>
      </w:r>
      <w:r>
        <w:rPr>
          <w:rFonts w:hint="eastAsia" w:ascii="宋体" w:hAnsi="宋体" w:cs="宋体"/>
          <w:color w:val="auto"/>
          <w:szCs w:val="21"/>
          <w:highlight w:val="none"/>
          <w:u w:val="single"/>
        </w:rPr>
        <w:t>存在异议的部分，由承包人核对后对异议部分进行书面描叙，并交由发包人再次审定。</w:t>
      </w:r>
    </w:p>
    <w:p w14:paraId="53EFA87B">
      <w:pPr>
        <w:pStyle w:val="37"/>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2013" w:name="_Toc497747240"/>
      <w:bookmarkStart w:id="2014" w:name="_Toc497746843"/>
      <w:bookmarkStart w:id="2015" w:name="_Toc418518408"/>
      <w:bookmarkStart w:id="2016" w:name="_Toc403578996"/>
      <w:bookmarkStart w:id="2017" w:name="_Toc418751858"/>
      <w:bookmarkStart w:id="2018" w:name="_Toc12829"/>
      <w:bookmarkStart w:id="2019" w:name="_Toc522201788"/>
      <w:bookmarkStart w:id="2020" w:name="_Toc389065326"/>
      <w:bookmarkStart w:id="2021" w:name="_Toc373227761"/>
      <w:bookmarkStart w:id="2022" w:name="_Toc418752304"/>
      <w:bookmarkStart w:id="2023" w:name="_Toc256000239"/>
      <w:bookmarkStart w:id="2024" w:name="_Toc418061373"/>
      <w:bookmarkStart w:id="2025" w:name="_Toc373478408"/>
      <w:bookmarkStart w:id="2026" w:name="_Toc418518172"/>
      <w:r>
        <w:rPr>
          <w:rFonts w:hint="eastAsia" w:ascii="宋体" w:cs="宋体"/>
          <w:color w:val="auto"/>
          <w:highlight w:val="none"/>
        </w:rPr>
        <w:t>14.4 最终结清</w:t>
      </w:r>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p>
    <w:p w14:paraId="055A583A">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14.4.1 最终结清申请单</w:t>
      </w:r>
    </w:p>
    <w:p w14:paraId="24CA09D4">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承包人提交最终结清申请单的份数：</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u w:val="single"/>
        </w:rPr>
        <w:t xml:space="preserve">一式四份 </w:t>
      </w:r>
      <w:r>
        <w:rPr>
          <w:rFonts w:hint="eastAsia" w:ascii="宋体" w:hAnsi="宋体" w:cs="宋体"/>
          <w:color w:val="auto"/>
          <w:szCs w:val="21"/>
          <w:highlight w:val="none"/>
        </w:rPr>
        <w:t>。</w:t>
      </w:r>
    </w:p>
    <w:p w14:paraId="4FE079A7">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承包人提交最终结算申请单的期限：</w:t>
      </w:r>
      <w:r>
        <w:rPr>
          <w:rFonts w:hint="eastAsia" w:ascii="宋体" w:hAnsi="宋体" w:cs="宋体"/>
          <w:color w:val="auto"/>
          <w:kern w:val="0"/>
          <w:szCs w:val="21"/>
          <w:highlight w:val="none"/>
          <w:u w:val="single"/>
        </w:rPr>
        <w:t>缺陷责任期终止证书签发后14天内向监理人提交4份竣工付款申请单及相关证明材料</w:t>
      </w:r>
      <w:r>
        <w:rPr>
          <w:rFonts w:hint="eastAsia" w:ascii="宋体" w:hAnsi="宋体" w:cs="宋体"/>
          <w:color w:val="auto"/>
          <w:szCs w:val="21"/>
          <w:highlight w:val="none"/>
        </w:rPr>
        <w:t xml:space="preserve">。 </w:t>
      </w:r>
    </w:p>
    <w:p w14:paraId="619F8D0A">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14.4.2 最终结清证书和支付</w:t>
      </w:r>
    </w:p>
    <w:p w14:paraId="6AC1B793">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（1）发包人完成最终结清申请单的审批并颁发最终结清证书的期限：</w:t>
      </w:r>
      <w:r>
        <w:rPr>
          <w:rFonts w:hint="eastAsia" w:ascii="宋体" w:hAnsi="宋体" w:cs="宋体"/>
          <w:color w:val="auto"/>
          <w:kern w:val="0"/>
          <w:szCs w:val="21"/>
          <w:highlight w:val="none"/>
          <w:u w:val="single"/>
        </w:rPr>
        <w:t xml:space="preserve">按通用条款执行 </w:t>
      </w:r>
      <w:r>
        <w:rPr>
          <w:rFonts w:hint="eastAsia" w:ascii="宋体" w:hAnsi="宋体" w:cs="宋体"/>
          <w:color w:val="auto"/>
          <w:szCs w:val="21"/>
          <w:highlight w:val="none"/>
        </w:rPr>
        <w:t>。</w:t>
      </w:r>
    </w:p>
    <w:p w14:paraId="3A23F0CA">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（2）发包人完成支付的期限：</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u w:val="single"/>
        </w:rPr>
        <w:t xml:space="preserve">在颁发最终结清证书后的30天内 </w:t>
      </w:r>
      <w:r>
        <w:rPr>
          <w:rFonts w:hint="eastAsia" w:ascii="宋体" w:hAnsi="宋体" w:cs="宋体"/>
          <w:color w:val="auto"/>
          <w:szCs w:val="21"/>
          <w:highlight w:val="none"/>
        </w:rPr>
        <w:t>。</w:t>
      </w:r>
    </w:p>
    <w:bookmarkEnd w:id="1929"/>
    <w:bookmarkEnd w:id="1930"/>
    <w:bookmarkEnd w:id="1931"/>
    <w:bookmarkEnd w:id="1932"/>
    <w:bookmarkEnd w:id="1933"/>
    <w:bookmarkEnd w:id="1934"/>
    <w:bookmarkEnd w:id="1935"/>
    <w:bookmarkEnd w:id="1941"/>
    <w:p w14:paraId="78125CEC">
      <w:pPr>
        <w:pStyle w:val="37"/>
        <w:keepNext w:val="0"/>
        <w:keepLines w:val="0"/>
        <w:pageBreakBefore w:val="0"/>
        <w:widowControl w:val="0"/>
        <w:wordWrap/>
        <w:topLinePunct w:val="0"/>
        <w:bidi w:val="0"/>
        <w:spacing w:line="380" w:lineRule="exact"/>
        <w:outlineLvl w:val="2"/>
        <w:rPr>
          <w:rFonts w:ascii="宋体" w:cs="宋体"/>
          <w:color w:val="auto"/>
          <w:highlight w:val="none"/>
        </w:rPr>
      </w:pPr>
      <w:bookmarkStart w:id="2027" w:name="_Toc256000240"/>
      <w:bookmarkStart w:id="2028" w:name="_Toc9180"/>
      <w:bookmarkStart w:id="2029" w:name="_Toc373227762"/>
      <w:bookmarkStart w:id="2030" w:name="_Toc373478409"/>
      <w:bookmarkStart w:id="2031" w:name="_Toc403578997"/>
      <w:bookmarkStart w:id="2032" w:name="_Toc418752305"/>
      <w:bookmarkStart w:id="2033" w:name="_Toc418518409"/>
      <w:bookmarkStart w:id="2034" w:name="_Toc418518173"/>
      <w:bookmarkStart w:id="2035" w:name="_Toc351203647"/>
      <w:bookmarkStart w:id="2036" w:name="_Toc522201789"/>
      <w:bookmarkStart w:id="2037" w:name="_Toc497747241"/>
      <w:bookmarkStart w:id="2038" w:name="_Toc389065327"/>
      <w:bookmarkStart w:id="2039" w:name="_Toc418061374"/>
      <w:bookmarkStart w:id="2040" w:name="_Toc418751859"/>
      <w:bookmarkStart w:id="2041" w:name="_Toc497746844"/>
      <w:bookmarkStart w:id="2042" w:name="_Toc267251483"/>
      <w:bookmarkStart w:id="2043" w:name="_Toc267251482"/>
      <w:bookmarkStart w:id="2044" w:name="_Toc267251484"/>
      <w:bookmarkStart w:id="2045" w:name="_Toc267251485"/>
      <w:bookmarkStart w:id="2046" w:name="_Toc267251486"/>
      <w:bookmarkStart w:id="2047" w:name="_Toc267251488"/>
      <w:bookmarkStart w:id="2048" w:name="_Toc267251490"/>
      <w:bookmarkStart w:id="2049" w:name="_Toc267251489"/>
      <w:bookmarkStart w:id="2050" w:name="_Toc267251499"/>
      <w:bookmarkStart w:id="2051" w:name="_Toc267251498"/>
      <w:bookmarkStart w:id="2052" w:name="_Toc267251492"/>
      <w:bookmarkStart w:id="2053" w:name="_Toc267251497"/>
      <w:bookmarkStart w:id="2054" w:name="_Toc267251502"/>
      <w:bookmarkStart w:id="2055" w:name="_Toc267251491"/>
      <w:bookmarkStart w:id="2056" w:name="_Toc267251495"/>
      <w:bookmarkStart w:id="2057" w:name="_Toc267251493"/>
      <w:bookmarkStart w:id="2058" w:name="_Toc267251496"/>
      <w:bookmarkStart w:id="2059" w:name="_Toc267251501"/>
      <w:bookmarkStart w:id="2060" w:name="_Toc267251494"/>
      <w:bookmarkStart w:id="2061" w:name="_Toc267251503"/>
      <w:bookmarkStart w:id="2062" w:name="_Toc267251504"/>
      <w:bookmarkStart w:id="2063" w:name="_Toc267251506"/>
      <w:bookmarkStart w:id="2064" w:name="_Toc267251507"/>
      <w:bookmarkStart w:id="2065" w:name="_Toc267251508"/>
      <w:bookmarkStart w:id="2066" w:name="_Toc267251511"/>
      <w:bookmarkStart w:id="2067" w:name="_Toc267251515"/>
      <w:bookmarkStart w:id="2068" w:name="_Toc267251510"/>
      <w:bookmarkStart w:id="2069" w:name="_Toc267251513"/>
      <w:bookmarkStart w:id="2070" w:name="_Toc267251514"/>
      <w:bookmarkStart w:id="2071" w:name="_Toc267251509"/>
      <w:r>
        <w:rPr>
          <w:rFonts w:hint="eastAsia" w:ascii="宋体" w:cs="宋体"/>
          <w:color w:val="auto"/>
          <w:highlight w:val="none"/>
        </w:rPr>
        <w:t>15</w:t>
      </w:r>
      <w:r>
        <w:rPr>
          <w:rFonts w:hint="eastAsia" w:ascii="宋体" w:hAnsi="宋体" w:eastAsia="宋体" w:cs="宋体"/>
          <w:color w:val="auto"/>
          <w:highlight w:val="none"/>
        </w:rPr>
        <w:t xml:space="preserve">. </w:t>
      </w:r>
      <w:r>
        <w:rPr>
          <w:rFonts w:hint="eastAsia" w:ascii="宋体" w:cs="宋体"/>
          <w:color w:val="auto"/>
          <w:highlight w:val="none"/>
        </w:rPr>
        <w:t>缺陷责任期与保修</w:t>
      </w:r>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p>
    <w:p w14:paraId="4DEB050D">
      <w:pPr>
        <w:pStyle w:val="37"/>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2072" w:name="_Toc418751860"/>
      <w:bookmarkStart w:id="2073" w:name="_Toc373227763"/>
      <w:bookmarkStart w:id="2074" w:name="_Toc256000241"/>
      <w:bookmarkStart w:id="2075" w:name="_Toc418752306"/>
      <w:bookmarkStart w:id="2076" w:name="_Toc418518410"/>
      <w:bookmarkStart w:id="2077" w:name="_Toc389065328"/>
      <w:bookmarkStart w:id="2078" w:name="_Toc24268"/>
      <w:bookmarkStart w:id="2079" w:name="_Toc522201790"/>
      <w:bookmarkStart w:id="2080" w:name="_Toc418518174"/>
      <w:bookmarkStart w:id="2081" w:name="_Toc497747242"/>
      <w:bookmarkStart w:id="2082" w:name="_Toc418061375"/>
      <w:bookmarkStart w:id="2083" w:name="_Toc373478410"/>
      <w:bookmarkStart w:id="2084" w:name="_Toc403578998"/>
      <w:bookmarkStart w:id="2085" w:name="_Toc497746845"/>
      <w:r>
        <w:rPr>
          <w:rFonts w:hint="eastAsia" w:ascii="宋体" w:cs="宋体"/>
          <w:color w:val="auto"/>
          <w:highlight w:val="none"/>
        </w:rPr>
        <w:t>15.2 缺陷责任期</w:t>
      </w:r>
      <w:bookmarkEnd w:id="2042"/>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p>
    <w:p w14:paraId="5EE79AF3">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缺陷责任期的具体期限：</w:t>
      </w:r>
      <w:r>
        <w:rPr>
          <w:rFonts w:hint="eastAsia" w:ascii="宋体" w:hAnsi="宋体" w:cs="宋体"/>
          <w:color w:val="auto"/>
          <w:szCs w:val="21"/>
          <w:highlight w:val="none"/>
          <w:u w:val="single"/>
        </w:rPr>
        <w:t>24个月，</w:t>
      </w:r>
      <w:r>
        <w:rPr>
          <w:rFonts w:hint="eastAsia" w:ascii="宋体" w:hAnsi="宋体" w:cs="宋体"/>
          <w:color w:val="auto"/>
          <w:kern w:val="0"/>
          <w:szCs w:val="21"/>
          <w:highlight w:val="none"/>
          <w:u w:val="single"/>
        </w:rPr>
        <w:t>工程竣工验收合格，自交付使用之日起计算</w:t>
      </w:r>
      <w:r>
        <w:rPr>
          <w:rFonts w:hint="eastAsia" w:ascii="宋体" w:hAnsi="宋体" w:cs="宋体"/>
          <w:color w:val="auto"/>
          <w:szCs w:val="21"/>
          <w:highlight w:val="none"/>
          <w:u w:val="single"/>
        </w:rPr>
        <w:t xml:space="preserve"> ，按照《建设工程质量管理条例》执行，</w:t>
      </w:r>
      <w:r>
        <w:rPr>
          <w:rFonts w:hint="eastAsia" w:ascii="宋体" w:hAnsi="宋体" w:cs="宋体"/>
          <w:bCs/>
          <w:color w:val="auto"/>
          <w:szCs w:val="21"/>
          <w:highlight w:val="none"/>
          <w:u w:val="single"/>
        </w:rPr>
        <w:t xml:space="preserve">详见本合同附件3：《工程质量保修书》 </w:t>
      </w:r>
      <w:r>
        <w:rPr>
          <w:rFonts w:hint="eastAsia" w:ascii="宋体" w:hAnsi="宋体" w:cs="宋体"/>
          <w:color w:val="auto"/>
          <w:szCs w:val="21"/>
          <w:highlight w:val="none"/>
        </w:rPr>
        <w:t>。</w:t>
      </w:r>
    </w:p>
    <w:p w14:paraId="52D9A5D8">
      <w:pPr>
        <w:pStyle w:val="37"/>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2086" w:name="_Toc256000242"/>
      <w:bookmarkStart w:id="2087" w:name="_Toc418518175"/>
      <w:bookmarkStart w:id="2088" w:name="_Toc403578999"/>
      <w:bookmarkStart w:id="2089" w:name="_Toc418061376"/>
      <w:bookmarkStart w:id="2090" w:name="_Toc373227764"/>
      <w:bookmarkStart w:id="2091" w:name="_Toc497746846"/>
      <w:bookmarkStart w:id="2092" w:name="_Toc389065329"/>
      <w:bookmarkStart w:id="2093" w:name="_Toc373478411"/>
      <w:bookmarkStart w:id="2094" w:name="_Toc522201791"/>
      <w:bookmarkStart w:id="2095" w:name="_Toc16353"/>
      <w:bookmarkStart w:id="2096" w:name="_Toc418518411"/>
      <w:bookmarkStart w:id="2097" w:name="_Toc418752307"/>
      <w:bookmarkStart w:id="2098" w:name="_Toc418751861"/>
      <w:bookmarkStart w:id="2099" w:name="_Toc497747243"/>
      <w:r>
        <w:rPr>
          <w:rFonts w:hint="eastAsia" w:ascii="宋体" w:cs="宋体"/>
          <w:color w:val="auto"/>
          <w:highlight w:val="none"/>
        </w:rPr>
        <w:t>15.3 质量保证金</w:t>
      </w:r>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p>
    <w:p w14:paraId="49F0A40C">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关于是否扣留质量保证金的约定：</w:t>
      </w:r>
      <w:r>
        <w:rPr>
          <w:rFonts w:hint="eastAsia" w:ascii="宋体" w:hAnsi="宋体" w:cs="宋体"/>
          <w:color w:val="auto"/>
          <w:kern w:val="0"/>
          <w:szCs w:val="21"/>
          <w:highlight w:val="none"/>
          <w:u w:val="single"/>
        </w:rPr>
        <w:t>按工程价款结算总额的</w:t>
      </w:r>
      <w:r>
        <w:rPr>
          <w:rFonts w:hint="eastAsia" w:ascii="宋体" w:hAnsi="宋体" w:cs="宋体"/>
          <w:color w:val="auto"/>
          <w:kern w:val="0"/>
          <w:szCs w:val="21"/>
          <w:highlight w:val="none"/>
          <w:u w:val="single"/>
          <w:lang w:val="en-US" w:eastAsia="zh-CN"/>
        </w:rPr>
        <w:t>3</w:t>
      </w:r>
      <w:r>
        <w:rPr>
          <w:rFonts w:hint="eastAsia" w:ascii="宋体" w:hAnsi="宋体" w:cs="宋体"/>
          <w:color w:val="auto"/>
          <w:kern w:val="0"/>
          <w:szCs w:val="21"/>
          <w:highlight w:val="none"/>
          <w:u w:val="single"/>
        </w:rPr>
        <w:t xml:space="preserve">%作为质保金 </w:t>
      </w:r>
      <w:r>
        <w:rPr>
          <w:rFonts w:hint="eastAsia" w:ascii="宋体" w:hAnsi="宋体" w:cs="宋体"/>
          <w:color w:val="auto"/>
          <w:szCs w:val="21"/>
          <w:highlight w:val="none"/>
        </w:rPr>
        <w:t>。</w:t>
      </w:r>
    </w:p>
    <w:p w14:paraId="66C321A7">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15.3.1 承包人提供质量保证金的方式</w:t>
      </w:r>
    </w:p>
    <w:p w14:paraId="5215D009">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质量保证金采用以下第</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种方式：</w:t>
      </w:r>
    </w:p>
    <w:p w14:paraId="4C979AB2">
      <w:pPr>
        <w:pStyle w:val="21"/>
        <w:keepNext w:val="0"/>
        <w:keepLines w:val="0"/>
        <w:pageBreakBefore w:val="0"/>
        <w:widowControl w:val="0"/>
        <w:wordWrap/>
        <w:topLinePunct w:val="0"/>
        <w:autoSpaceDE w:val="0"/>
        <w:autoSpaceDN w:val="0"/>
        <w:bidi w:val="0"/>
        <w:adjustRightInd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（1）质量保证金保函，保证金额为：</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795EBD0D">
      <w:pPr>
        <w:pStyle w:val="21"/>
        <w:keepNext w:val="0"/>
        <w:keepLines w:val="0"/>
        <w:pageBreakBefore w:val="0"/>
        <w:widowControl w:val="0"/>
        <w:wordWrap/>
        <w:topLinePunct w:val="0"/>
        <w:autoSpaceDE w:val="0"/>
        <w:autoSpaceDN w:val="0"/>
        <w:bidi w:val="0"/>
        <w:adjustRightInd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bCs/>
          <w:color w:val="auto"/>
          <w:szCs w:val="21"/>
          <w:highlight w:val="none"/>
        </w:rPr>
        <w:t>发包人按工程价款结算总额的</w:t>
      </w:r>
      <w:r>
        <w:rPr>
          <w:rFonts w:hint="eastAsia" w:ascii="宋体" w:hAnsi="宋体" w:cs="宋体"/>
          <w:bCs/>
          <w:color w:val="auto"/>
          <w:szCs w:val="21"/>
          <w:highlight w:val="none"/>
          <w:u w:val="single"/>
        </w:rPr>
        <w:t xml:space="preserve"> 3 </w:t>
      </w:r>
      <w:r>
        <w:rPr>
          <w:rFonts w:hint="eastAsia" w:ascii="宋体" w:hAnsi="宋体" w:cs="宋体"/>
          <w:bCs/>
          <w:color w:val="auto"/>
          <w:szCs w:val="21"/>
          <w:highlight w:val="none"/>
        </w:rPr>
        <w:t>%预留工程</w:t>
      </w:r>
      <w:r>
        <w:rPr>
          <w:rFonts w:hint="eastAsia" w:ascii="宋体" w:hAnsi="宋体" w:cs="宋体"/>
          <w:bCs/>
          <w:color w:val="auto"/>
          <w:szCs w:val="21"/>
          <w:highlight w:val="none"/>
          <w:lang w:eastAsia="zh-CN"/>
        </w:rPr>
        <w:t>质量保证金</w:t>
      </w:r>
      <w:r>
        <w:rPr>
          <w:rFonts w:hint="eastAsia" w:ascii="宋体" w:hAnsi="宋体" w:cs="宋体"/>
          <w:bCs/>
          <w:color w:val="auto"/>
          <w:szCs w:val="21"/>
          <w:highlight w:val="none"/>
        </w:rPr>
        <w:t>，待缺陷责任期满后返还</w:t>
      </w:r>
      <w:r>
        <w:rPr>
          <w:rFonts w:hint="eastAsia" w:ascii="宋体" w:hAnsi="宋体" w:cs="宋体"/>
          <w:color w:val="auto"/>
          <w:kern w:val="0"/>
          <w:szCs w:val="21"/>
          <w:highlight w:val="none"/>
        </w:rPr>
        <w:t>；</w:t>
      </w:r>
    </w:p>
    <w:p w14:paraId="29B9F771">
      <w:pPr>
        <w:pStyle w:val="21"/>
        <w:keepNext w:val="0"/>
        <w:keepLines w:val="0"/>
        <w:pageBreakBefore w:val="0"/>
        <w:widowControl w:val="0"/>
        <w:wordWrap/>
        <w:topLinePunct w:val="0"/>
        <w:autoSpaceDE w:val="0"/>
        <w:autoSpaceDN w:val="0"/>
        <w:bidi w:val="0"/>
        <w:adjustRightInd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（3）其他方式：</w:t>
      </w:r>
      <w:r>
        <w:rPr>
          <w:rFonts w:hint="eastAsia" w:ascii="宋体" w:hAnsi="宋体" w:cs="宋体"/>
          <w:bCs/>
          <w:color w:val="auto"/>
          <w:szCs w:val="21"/>
          <w:highlight w:val="none"/>
          <w:u w:val="single"/>
        </w:rPr>
        <w:t xml:space="preserve">   /        </w:t>
      </w:r>
      <w:r>
        <w:rPr>
          <w:rFonts w:hint="eastAsia" w:ascii="宋体" w:hAnsi="宋体" w:cs="宋体"/>
          <w:bCs/>
          <w:color w:val="auto"/>
          <w:szCs w:val="21"/>
          <w:highlight w:val="none"/>
        </w:rPr>
        <w:t>。</w:t>
      </w:r>
    </w:p>
    <w:p w14:paraId="437B9ECC">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15.3.2 质量保证金的扣留</w:t>
      </w:r>
    </w:p>
    <w:p w14:paraId="1D112A94">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质量保证金的扣留采取以下第</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种方式：</w:t>
      </w:r>
    </w:p>
    <w:p w14:paraId="6F9E00FA">
      <w:pPr>
        <w:pStyle w:val="21"/>
        <w:keepNext w:val="0"/>
        <w:keepLines w:val="0"/>
        <w:pageBreakBefore w:val="0"/>
        <w:widowControl w:val="0"/>
        <w:wordWrap/>
        <w:topLinePunct w:val="0"/>
        <w:autoSpaceDE w:val="0"/>
        <w:autoSpaceDN w:val="0"/>
        <w:bidi w:val="0"/>
        <w:adjustRightInd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（1）在支付工程进度款时逐次扣留，在此情形下，质量保证金的计算基数不包括预付款的支付、扣回以及价格调整的金额；</w:t>
      </w:r>
    </w:p>
    <w:p w14:paraId="52D2C771">
      <w:pPr>
        <w:pStyle w:val="21"/>
        <w:keepNext w:val="0"/>
        <w:keepLines w:val="0"/>
        <w:pageBreakBefore w:val="0"/>
        <w:widowControl w:val="0"/>
        <w:wordWrap/>
        <w:topLinePunct w:val="0"/>
        <w:autoSpaceDE w:val="0"/>
        <w:autoSpaceDN w:val="0"/>
        <w:bidi w:val="0"/>
        <w:adjustRightInd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（2）工程竣工结算时一次性扣留质量保证金；</w:t>
      </w:r>
    </w:p>
    <w:p w14:paraId="6194C2C4">
      <w:pPr>
        <w:pStyle w:val="21"/>
        <w:keepNext w:val="0"/>
        <w:keepLines w:val="0"/>
        <w:pageBreakBefore w:val="0"/>
        <w:widowControl w:val="0"/>
        <w:wordWrap/>
        <w:topLinePunct w:val="0"/>
        <w:autoSpaceDE w:val="0"/>
        <w:autoSpaceDN w:val="0"/>
        <w:bidi w:val="0"/>
        <w:adjustRightInd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（3）其他扣留方式</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203F1B04">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szCs w:val="21"/>
          <w:highlight w:val="none"/>
        </w:rPr>
        <w:t>关于质量保证金的补充约定：</w:t>
      </w:r>
      <w:r>
        <w:rPr>
          <w:rFonts w:hint="eastAsia" w:ascii="宋体" w:hAnsi="宋体" w:cs="宋体"/>
          <w:color w:val="auto"/>
          <w:szCs w:val="21"/>
          <w:highlight w:val="none"/>
          <w:u w:val="single"/>
        </w:rPr>
        <w:t>承包人未按照法律法规有关规定和合同约定履行质量保修义务的，发包人有权从质量保证金中扣留用于质量保修的各项支出。</w:t>
      </w:r>
      <w:r>
        <w:rPr>
          <w:rFonts w:hint="eastAsia" w:ascii="宋体" w:hAnsi="宋体" w:cs="宋体"/>
          <w:color w:val="auto"/>
          <w:kern w:val="0"/>
          <w:szCs w:val="21"/>
          <w:highlight w:val="none"/>
          <w:u w:val="single"/>
        </w:rPr>
        <w:t>发包人在工程缺陷责任期满后 14 天内将保修金一次性返回给承包人（无息）。质量保证金的返还，并不能免除承包人按照合同约定应承担的质量保修责任和应履行的质量保修义务。</w:t>
      </w:r>
    </w:p>
    <w:bookmarkEnd w:id="2043"/>
    <w:bookmarkEnd w:id="2044"/>
    <w:p w14:paraId="467C1F7B">
      <w:pPr>
        <w:pStyle w:val="37"/>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2100" w:name="_Toc373227765"/>
      <w:bookmarkStart w:id="2101" w:name="_Toc373478412"/>
      <w:bookmarkStart w:id="2102" w:name="_Toc418061377"/>
      <w:bookmarkStart w:id="2103" w:name="_Toc522201792"/>
      <w:bookmarkStart w:id="2104" w:name="_Toc418751862"/>
      <w:bookmarkStart w:id="2105" w:name="_Toc418518176"/>
      <w:bookmarkStart w:id="2106" w:name="_Toc418752308"/>
      <w:bookmarkStart w:id="2107" w:name="_Toc256000243"/>
      <w:bookmarkStart w:id="2108" w:name="_Toc418518412"/>
      <w:bookmarkStart w:id="2109" w:name="_Toc389065330"/>
      <w:bookmarkStart w:id="2110" w:name="_Toc24480"/>
      <w:bookmarkStart w:id="2111" w:name="_Toc403579000"/>
      <w:bookmarkStart w:id="2112" w:name="_Toc497747244"/>
      <w:bookmarkStart w:id="2113" w:name="_Toc497746847"/>
      <w:r>
        <w:rPr>
          <w:rFonts w:hint="eastAsia" w:ascii="宋体" w:cs="宋体"/>
          <w:color w:val="auto"/>
          <w:highlight w:val="none"/>
        </w:rPr>
        <w:t>15.4 保修</w:t>
      </w:r>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p>
    <w:bookmarkEnd w:id="2045"/>
    <w:p w14:paraId="62C43037">
      <w:pPr>
        <w:pStyle w:val="21"/>
        <w:keepNext w:val="0"/>
        <w:keepLines w:val="0"/>
        <w:pageBreakBefore w:val="0"/>
        <w:widowControl w:val="0"/>
        <w:wordWrap/>
        <w:topLinePunct w:val="0"/>
        <w:bidi w:val="0"/>
        <w:spacing w:line="380" w:lineRule="exact"/>
        <w:ind w:firstLine="409" w:firstLineChars="195"/>
        <w:jc w:val="left"/>
        <w:rPr>
          <w:rFonts w:ascii="宋体" w:hAnsi="宋体" w:cs="宋体"/>
          <w:color w:val="auto"/>
          <w:szCs w:val="21"/>
          <w:highlight w:val="none"/>
        </w:rPr>
      </w:pPr>
      <w:r>
        <w:rPr>
          <w:rFonts w:hint="eastAsia" w:ascii="宋体" w:hAnsi="宋体" w:cs="宋体"/>
          <w:color w:val="auto"/>
          <w:szCs w:val="21"/>
          <w:highlight w:val="none"/>
        </w:rPr>
        <w:t>15.4.1 保修责任</w:t>
      </w:r>
    </w:p>
    <w:p w14:paraId="770554D7">
      <w:pPr>
        <w:pStyle w:val="21"/>
        <w:keepNext w:val="0"/>
        <w:keepLines w:val="0"/>
        <w:pageBreakBefore w:val="0"/>
        <w:widowControl w:val="0"/>
        <w:wordWrap/>
        <w:topLinePunct w:val="0"/>
        <w:bidi w:val="0"/>
        <w:spacing w:line="380" w:lineRule="exact"/>
        <w:ind w:firstLine="409" w:firstLineChars="195"/>
        <w:jc w:val="left"/>
        <w:rPr>
          <w:rFonts w:ascii="宋体" w:hAnsi="宋体" w:cs="宋体"/>
          <w:color w:val="auto"/>
          <w:kern w:val="0"/>
          <w:szCs w:val="21"/>
          <w:highlight w:val="none"/>
        </w:rPr>
      </w:pPr>
      <w:r>
        <w:rPr>
          <w:rFonts w:hint="eastAsia" w:ascii="宋体" w:hAnsi="宋体" w:cs="宋体"/>
          <w:color w:val="auto"/>
          <w:szCs w:val="21"/>
          <w:highlight w:val="none"/>
        </w:rPr>
        <w:t>工程保修期为：</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u w:val="single"/>
        </w:rPr>
        <w:t>根据《建设工程质量管理条例》及有关规定，约定本工程的保修期详见《工程质量保修书》。</w:t>
      </w:r>
    </w:p>
    <w:p w14:paraId="576117E7">
      <w:pPr>
        <w:pStyle w:val="21"/>
        <w:keepNext w:val="0"/>
        <w:keepLines w:val="0"/>
        <w:pageBreakBefore w:val="0"/>
        <w:widowControl w:val="0"/>
        <w:wordWrap/>
        <w:topLinePunct w:val="0"/>
        <w:bidi w:val="0"/>
        <w:spacing w:line="380" w:lineRule="exact"/>
        <w:ind w:firstLine="409" w:firstLineChars="195"/>
        <w:jc w:val="left"/>
        <w:rPr>
          <w:rFonts w:ascii="宋体" w:hAnsi="宋体" w:cs="宋体"/>
          <w:color w:val="auto"/>
          <w:kern w:val="0"/>
          <w:szCs w:val="21"/>
          <w:highlight w:val="none"/>
          <w:u w:val="single"/>
        </w:rPr>
      </w:pPr>
      <w:r>
        <w:rPr>
          <w:rFonts w:hint="eastAsia" w:ascii="宋体" w:hAnsi="宋体" w:cs="宋体"/>
          <w:color w:val="auto"/>
          <w:szCs w:val="21"/>
          <w:highlight w:val="none"/>
        </w:rPr>
        <w:t>工程保修书具体内容见合同附件3。</w:t>
      </w:r>
    </w:p>
    <w:p w14:paraId="72CBBB33">
      <w:pPr>
        <w:pStyle w:val="21"/>
        <w:keepNext w:val="0"/>
        <w:keepLines w:val="0"/>
        <w:pageBreakBefore w:val="0"/>
        <w:widowControl w:val="0"/>
        <w:wordWrap/>
        <w:topLinePunct w:val="0"/>
        <w:bidi w:val="0"/>
        <w:spacing w:line="380" w:lineRule="exact"/>
        <w:ind w:firstLine="409" w:firstLineChars="195"/>
        <w:jc w:val="left"/>
        <w:rPr>
          <w:rFonts w:ascii="宋体" w:hAnsi="宋体" w:cs="宋体"/>
          <w:color w:val="auto"/>
          <w:szCs w:val="21"/>
          <w:highlight w:val="none"/>
        </w:rPr>
      </w:pPr>
      <w:r>
        <w:rPr>
          <w:rFonts w:hint="eastAsia" w:ascii="宋体" w:hAnsi="宋体" w:cs="宋体"/>
          <w:color w:val="auto"/>
          <w:szCs w:val="21"/>
          <w:highlight w:val="none"/>
        </w:rPr>
        <w:t>15.4.3 修复通知</w:t>
      </w:r>
    </w:p>
    <w:p w14:paraId="40552A44">
      <w:pPr>
        <w:pStyle w:val="21"/>
        <w:keepNext w:val="0"/>
        <w:keepLines w:val="0"/>
        <w:pageBreakBefore w:val="0"/>
        <w:widowControl w:val="0"/>
        <w:wordWrap/>
        <w:topLinePunct w:val="0"/>
        <w:bidi w:val="0"/>
        <w:spacing w:line="380" w:lineRule="exact"/>
        <w:ind w:firstLine="409" w:firstLineChars="195"/>
        <w:jc w:val="left"/>
        <w:rPr>
          <w:rFonts w:ascii="宋体" w:hAnsi="宋体" w:cs="宋体"/>
          <w:color w:val="auto"/>
          <w:szCs w:val="21"/>
          <w:highlight w:val="none"/>
          <w:u w:val="single"/>
        </w:rPr>
      </w:pPr>
      <w:r>
        <w:rPr>
          <w:rFonts w:hint="eastAsia" w:ascii="宋体" w:hAnsi="宋体" w:cs="宋体"/>
          <w:color w:val="auto"/>
          <w:kern w:val="0"/>
          <w:szCs w:val="21"/>
          <w:highlight w:val="none"/>
        </w:rPr>
        <w:t>承包人收到保修通知并到达工程现场的合理时间：</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u w:val="single"/>
        </w:rPr>
        <w:t xml:space="preserve"> 1、属于保修范围、内容的项目，承包人应当在接到保修通知之日起三天内派人保修。承包人不在约定期限内派人保修的，发包人有权直接安排维修，费用从工程保修金中扣除，不足部分发包人有权向承包人追索。2、发生紧急抢修事故的，承包人在接到事故通知后，应当立即到达事故现场抢修。3、对于涉及设备的质量问题，应当提出保修方案，及时更换设备，承包人实施保修。属于涉及结构安全的质量问题，应当按照《房屋建筑工程质量保修办法》的规定，立即向当地建设行政主管部门报告，采取安全防范措施；由原设计单位或者具有相应资质等级的设计单位提出保修方案，承包人实施保修。4、质量保修完成后，由发包人组织验收。5、保修费用由造成质量缺陷的责任方承担 。</w:t>
      </w:r>
    </w:p>
    <w:bookmarkEnd w:id="2046"/>
    <w:bookmarkEnd w:id="2047"/>
    <w:bookmarkEnd w:id="2048"/>
    <w:bookmarkEnd w:id="2049"/>
    <w:p w14:paraId="2CC11659">
      <w:pPr>
        <w:pStyle w:val="37"/>
        <w:keepNext w:val="0"/>
        <w:keepLines w:val="0"/>
        <w:pageBreakBefore w:val="0"/>
        <w:widowControl w:val="0"/>
        <w:wordWrap/>
        <w:topLinePunct w:val="0"/>
        <w:bidi w:val="0"/>
        <w:spacing w:line="380" w:lineRule="exact"/>
        <w:outlineLvl w:val="2"/>
        <w:rPr>
          <w:rFonts w:ascii="宋体" w:cs="宋体"/>
          <w:color w:val="auto"/>
          <w:highlight w:val="none"/>
        </w:rPr>
      </w:pPr>
      <w:bookmarkStart w:id="2114" w:name="_Toc373478413"/>
      <w:bookmarkStart w:id="2115" w:name="_Toc3422"/>
      <w:bookmarkStart w:id="2116" w:name="_Toc497746848"/>
      <w:bookmarkStart w:id="2117" w:name="_Toc373227766"/>
      <w:bookmarkStart w:id="2118" w:name="_Toc418061378"/>
      <w:bookmarkStart w:id="2119" w:name="_Toc418518413"/>
      <w:bookmarkStart w:id="2120" w:name="_Toc389065331"/>
      <w:bookmarkStart w:id="2121" w:name="_Toc522201793"/>
      <w:bookmarkStart w:id="2122" w:name="_Toc256000244"/>
      <w:bookmarkStart w:id="2123" w:name="_Toc418752309"/>
      <w:bookmarkStart w:id="2124" w:name="_Toc418518177"/>
      <w:bookmarkStart w:id="2125" w:name="_Toc403579001"/>
      <w:bookmarkStart w:id="2126" w:name="_Toc351203648"/>
      <w:bookmarkStart w:id="2127" w:name="_Toc497747245"/>
      <w:bookmarkStart w:id="2128" w:name="_Toc418751863"/>
      <w:bookmarkStart w:id="2129" w:name="_Toc280868717"/>
      <w:bookmarkStart w:id="2130" w:name="_Toc280868718"/>
      <w:r>
        <w:rPr>
          <w:rFonts w:hint="eastAsia" w:ascii="宋体" w:cs="宋体"/>
          <w:color w:val="auto"/>
          <w:highlight w:val="none"/>
        </w:rPr>
        <w:t>16. 违约</w:t>
      </w:r>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p>
    <w:p w14:paraId="51AD3942">
      <w:pPr>
        <w:pStyle w:val="37"/>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2131" w:name="_Toc418751864"/>
      <w:bookmarkStart w:id="2132" w:name="_Toc418518178"/>
      <w:bookmarkStart w:id="2133" w:name="_Toc418752310"/>
      <w:bookmarkStart w:id="2134" w:name="_Toc497746849"/>
      <w:bookmarkStart w:id="2135" w:name="_Toc522201794"/>
      <w:bookmarkStart w:id="2136" w:name="_Toc373478414"/>
      <w:bookmarkStart w:id="2137" w:name="_Toc7014"/>
      <w:bookmarkStart w:id="2138" w:name="_Toc418518414"/>
      <w:bookmarkStart w:id="2139" w:name="_Toc256000245"/>
      <w:bookmarkStart w:id="2140" w:name="_Toc389065332"/>
      <w:bookmarkStart w:id="2141" w:name="_Toc497747246"/>
      <w:bookmarkStart w:id="2142" w:name="_Toc418061379"/>
      <w:bookmarkStart w:id="2143" w:name="_Toc373227767"/>
      <w:bookmarkStart w:id="2144" w:name="_Toc403579002"/>
      <w:r>
        <w:rPr>
          <w:rFonts w:hint="eastAsia" w:ascii="宋体" w:cs="宋体"/>
          <w:color w:val="auto"/>
          <w:highlight w:val="none"/>
        </w:rPr>
        <w:t>16.1 发包人违约</w:t>
      </w:r>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p>
    <w:p w14:paraId="6A1FEB4D">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16.1.1发包人违约的情形</w:t>
      </w:r>
    </w:p>
    <w:p w14:paraId="3C22DA85">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发包人违约的其他情形：</w:t>
      </w:r>
      <w:r>
        <w:rPr>
          <w:rFonts w:hint="eastAsia" w:ascii="宋体" w:hAnsi="宋体" w:cs="宋体"/>
          <w:color w:val="auto"/>
          <w:kern w:val="0"/>
          <w:szCs w:val="21"/>
          <w:highlight w:val="none"/>
          <w:u w:val="single"/>
        </w:rPr>
        <w:t xml:space="preserve">    无   </w:t>
      </w:r>
      <w:r>
        <w:rPr>
          <w:rFonts w:hint="eastAsia" w:ascii="宋体" w:hAnsi="宋体" w:cs="宋体"/>
          <w:color w:val="auto"/>
          <w:kern w:val="0"/>
          <w:szCs w:val="21"/>
          <w:highlight w:val="none"/>
        </w:rPr>
        <w:t>。</w:t>
      </w:r>
    </w:p>
    <w:p w14:paraId="1DCD643B">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16.1.2 发包人违约的责任</w:t>
      </w:r>
    </w:p>
    <w:p w14:paraId="64D4C7FE">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发包人违约责任的承担方式和计算方法：</w:t>
      </w:r>
    </w:p>
    <w:p w14:paraId="474C72DE">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（1）因发包人原因未能在计划开工日期前7天内下达开工通知的违约责任：</w:t>
      </w:r>
      <w:r>
        <w:rPr>
          <w:rFonts w:hint="eastAsia" w:ascii="宋体" w:hAnsi="宋体" w:cs="宋体"/>
          <w:color w:val="auto"/>
          <w:kern w:val="0"/>
          <w:szCs w:val="21"/>
          <w:highlight w:val="none"/>
          <w:u w:val="single"/>
        </w:rPr>
        <w:t>工期相应顺延</w:t>
      </w:r>
      <w:r>
        <w:rPr>
          <w:rFonts w:hint="eastAsia" w:ascii="宋体" w:hAnsi="宋体" w:cs="宋体"/>
          <w:color w:val="auto"/>
          <w:kern w:val="0"/>
          <w:szCs w:val="21"/>
          <w:highlight w:val="none"/>
        </w:rPr>
        <w:t>。</w:t>
      </w:r>
    </w:p>
    <w:p w14:paraId="76B9BE2C">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（2）因发包人原因未能按合同约定支付合同价款的违约责任：</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2B1E6BB6">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（3）发包人违反第10.1款〔变更的范围〕第（2）项约定，自行实施被取消的工作或转由他人实施的违约责任：</w:t>
      </w:r>
      <w:r>
        <w:rPr>
          <w:rFonts w:hint="eastAsia" w:ascii="宋体" w:hAnsi="宋体" w:cs="宋体"/>
          <w:color w:val="auto"/>
          <w:kern w:val="0"/>
          <w:szCs w:val="21"/>
          <w:highlight w:val="none"/>
          <w:u w:val="single"/>
        </w:rPr>
        <w:t xml:space="preserve">  按通用条款执行  </w:t>
      </w:r>
      <w:r>
        <w:rPr>
          <w:rFonts w:hint="eastAsia" w:ascii="宋体" w:hAnsi="宋体" w:cs="宋体"/>
          <w:color w:val="auto"/>
          <w:kern w:val="0"/>
          <w:szCs w:val="21"/>
          <w:highlight w:val="none"/>
        </w:rPr>
        <w:t>。</w:t>
      </w:r>
    </w:p>
    <w:p w14:paraId="3E51FF54">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（4）发包人提供的材料、工程设备的规格、数量或质量不符合合同约定，或因发包人原因导致交货日期延误或交货地点变更等情况的违约责任：</w:t>
      </w:r>
      <w:r>
        <w:rPr>
          <w:rFonts w:hint="eastAsia" w:ascii="宋体" w:hAnsi="宋体" w:cs="宋体"/>
          <w:color w:val="auto"/>
          <w:kern w:val="0"/>
          <w:szCs w:val="21"/>
          <w:highlight w:val="none"/>
          <w:u w:val="single"/>
        </w:rPr>
        <w:t>工期相应顺延</w:t>
      </w:r>
      <w:r>
        <w:rPr>
          <w:rFonts w:hint="eastAsia" w:ascii="宋体" w:hAnsi="宋体" w:cs="宋体"/>
          <w:color w:val="auto"/>
          <w:kern w:val="0"/>
          <w:szCs w:val="21"/>
          <w:highlight w:val="none"/>
        </w:rPr>
        <w:t>。</w:t>
      </w:r>
    </w:p>
    <w:p w14:paraId="5D1B8865">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（5）因发包人违反合同约定造成暂停施工的违约责任：</w:t>
      </w:r>
      <w:r>
        <w:rPr>
          <w:rFonts w:hint="eastAsia" w:ascii="宋体" w:hAnsi="宋体" w:cs="宋体"/>
          <w:color w:val="auto"/>
          <w:kern w:val="0"/>
          <w:szCs w:val="21"/>
          <w:highlight w:val="none"/>
          <w:u w:val="single"/>
        </w:rPr>
        <w:t>按通用条款执行</w:t>
      </w:r>
      <w:r>
        <w:rPr>
          <w:rFonts w:hint="eastAsia" w:ascii="宋体" w:hAnsi="宋体" w:cs="宋体"/>
          <w:color w:val="auto"/>
          <w:kern w:val="0"/>
          <w:szCs w:val="21"/>
          <w:highlight w:val="none"/>
        </w:rPr>
        <w:t>。</w:t>
      </w:r>
    </w:p>
    <w:p w14:paraId="519572EC">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（6）发包人无正当理由没有在约定期限内发出复工指示，导致承包人无法复工的违约责任：</w:t>
      </w:r>
      <w:r>
        <w:rPr>
          <w:rFonts w:hint="eastAsia" w:ascii="宋体" w:hAnsi="宋体" w:cs="宋体"/>
          <w:color w:val="auto"/>
          <w:kern w:val="0"/>
          <w:szCs w:val="21"/>
          <w:highlight w:val="none"/>
          <w:u w:val="single"/>
        </w:rPr>
        <w:t xml:space="preserve">   按通用条款执行</w:t>
      </w:r>
      <w:r>
        <w:rPr>
          <w:rFonts w:hint="eastAsia" w:ascii="宋体" w:hAnsi="宋体" w:cs="宋体"/>
          <w:color w:val="auto"/>
          <w:kern w:val="0"/>
          <w:szCs w:val="21"/>
          <w:highlight w:val="none"/>
        </w:rPr>
        <w:t>。</w:t>
      </w:r>
    </w:p>
    <w:p w14:paraId="668EF7D6">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（7）其他：</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5BDB83CB">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16.1.3 因发包人违约解除合同</w:t>
      </w:r>
    </w:p>
    <w:p w14:paraId="1800B69A">
      <w:pPr>
        <w:pStyle w:val="21"/>
        <w:keepNext w:val="0"/>
        <w:keepLines w:val="0"/>
        <w:pageBreakBefore w:val="0"/>
        <w:widowControl w:val="0"/>
        <w:wordWrap/>
        <w:topLinePunct w:val="0"/>
        <w:autoSpaceDE w:val="0"/>
        <w:autoSpaceDN w:val="0"/>
        <w:bidi w:val="0"/>
        <w:adjustRightInd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承包人按16.1.1项〔发包人违约的情形〕约定暂停施工满</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天后发包人仍不纠正其违约行为并致使合同目的不能实现的，承包人有权解除合同。</w:t>
      </w:r>
    </w:p>
    <w:p w14:paraId="148B3A31">
      <w:pPr>
        <w:pStyle w:val="37"/>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2145" w:name="_Toc418518415"/>
      <w:bookmarkStart w:id="2146" w:name="_Toc522201795"/>
      <w:bookmarkStart w:id="2147" w:name="_Toc12535"/>
      <w:bookmarkStart w:id="2148" w:name="_Toc373478415"/>
      <w:bookmarkStart w:id="2149" w:name="_Toc256000246"/>
      <w:bookmarkStart w:id="2150" w:name="_Toc418752311"/>
      <w:bookmarkStart w:id="2151" w:name="_Toc497746850"/>
      <w:bookmarkStart w:id="2152" w:name="_Toc389065333"/>
      <w:bookmarkStart w:id="2153" w:name="_Toc373227768"/>
      <w:bookmarkStart w:id="2154" w:name="_Toc497747247"/>
      <w:bookmarkStart w:id="2155" w:name="_Toc403579003"/>
      <w:bookmarkStart w:id="2156" w:name="_Toc418751865"/>
      <w:bookmarkStart w:id="2157" w:name="_Toc418061380"/>
      <w:bookmarkStart w:id="2158" w:name="_Toc418518179"/>
      <w:r>
        <w:rPr>
          <w:rFonts w:hint="eastAsia" w:ascii="宋体" w:cs="宋体"/>
          <w:color w:val="auto"/>
          <w:highlight w:val="none"/>
        </w:rPr>
        <w:t>16.2 承包人违约</w:t>
      </w:r>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p>
    <w:p w14:paraId="3FD61AA4">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16.2.1 承包人违约的情形</w:t>
      </w:r>
    </w:p>
    <w:p w14:paraId="41B472C7">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承包人违约的其他情形：</w:t>
      </w:r>
      <w:r>
        <w:rPr>
          <w:rFonts w:hint="eastAsia" w:ascii="宋体" w:hAnsi="宋体" w:cs="宋体"/>
          <w:color w:val="auto"/>
          <w:kern w:val="0"/>
          <w:szCs w:val="21"/>
          <w:highlight w:val="none"/>
          <w:u w:val="single"/>
        </w:rPr>
        <w:t xml:space="preserve">按通用条款执行 </w:t>
      </w:r>
      <w:r>
        <w:rPr>
          <w:rFonts w:hint="eastAsia" w:ascii="宋体" w:hAnsi="宋体" w:cs="宋体"/>
          <w:color w:val="auto"/>
          <w:kern w:val="0"/>
          <w:szCs w:val="21"/>
          <w:highlight w:val="none"/>
        </w:rPr>
        <w:t>。</w:t>
      </w:r>
    </w:p>
    <w:p w14:paraId="2F5B2CF8">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16.2.2承包人违约的责任</w:t>
      </w:r>
    </w:p>
    <w:p w14:paraId="4DC582B5">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承包人违约责任的承担方式和计算方法：</w:t>
      </w:r>
    </w:p>
    <w:p w14:paraId="34B379F0">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承包人未按本合同通用条款第16.2.1（2）、（3）条内容完成的，承包人无条件返工处理，修复至工程质量要求并承担相关费用，并在发包人规定的时间内完成返工，否则发包人有权扣罚该分项工程10%的工程款作为处罚。</w:t>
      </w:r>
    </w:p>
    <w:p w14:paraId="61AE2C99">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（2）承包人有本合同通用条款第16.2.1（6）条情形的，或经监理人检验认为修复质量不合格而承包人拒绝再进行修补的，发包人将扣除承包人全部</w:t>
      </w:r>
      <w:r>
        <w:rPr>
          <w:rFonts w:hint="eastAsia" w:ascii="宋体" w:hAnsi="宋体" w:cs="宋体"/>
          <w:color w:val="auto"/>
          <w:kern w:val="0"/>
          <w:szCs w:val="21"/>
          <w:highlight w:val="none"/>
          <w:lang w:eastAsia="zh-CN"/>
        </w:rPr>
        <w:t>质量保证金</w:t>
      </w:r>
      <w:r>
        <w:rPr>
          <w:rFonts w:hint="eastAsia" w:ascii="宋体" w:hAnsi="宋体" w:cs="宋体"/>
          <w:color w:val="auto"/>
          <w:kern w:val="0"/>
          <w:szCs w:val="21"/>
          <w:highlight w:val="none"/>
        </w:rPr>
        <w:t>。</w:t>
      </w:r>
    </w:p>
    <w:p w14:paraId="6D27732B">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承包人有本专用合同条款3.2、3.3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w:t>
      </w:r>
      <w:r>
        <w:rPr>
          <w:rFonts w:hint="eastAsia" w:ascii="宋体" w:hAnsi="宋体" w:cs="宋体"/>
          <w:color w:val="auto"/>
          <w:szCs w:val="21"/>
          <w:highlight w:val="none"/>
        </w:rPr>
        <w:t>承包人在合同期内，完成合同规定的全部工程，且质量合格，在本工程施工竣工验收后十五天内可申请返还全部或部分罚款，返还金额由监理人审核，发包人批准。罚款金额返还时不包括银行利息。</w:t>
      </w:r>
      <w:r>
        <w:rPr>
          <w:rFonts w:hint="eastAsia" w:ascii="宋体" w:hAnsi="宋体" w:cs="宋体"/>
          <w:color w:val="auto"/>
          <w:kern w:val="0"/>
          <w:szCs w:val="21"/>
          <w:highlight w:val="none"/>
        </w:rPr>
        <w:t>承包人履约保证金被罚款后由发包人从最后一次计量支付时扣除相应金额补足履约保证金。</w:t>
      </w:r>
    </w:p>
    <w:p w14:paraId="7B56602D">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16.2.3 因承包人违约解除合同</w:t>
      </w:r>
    </w:p>
    <w:p w14:paraId="6B0D88A2">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关于承包人违约解除合同的特别约定：</w:t>
      </w:r>
      <w:r>
        <w:rPr>
          <w:rFonts w:hint="eastAsia" w:ascii="宋体" w:hAnsi="宋体" w:cs="宋体"/>
          <w:color w:val="auto"/>
          <w:kern w:val="0"/>
          <w:szCs w:val="21"/>
          <w:highlight w:val="none"/>
          <w:u w:val="single"/>
        </w:rPr>
        <w:t>承包人有违反以下情况之一的，发包人有权解除合同，并没收其全部履约保证金</w:t>
      </w:r>
      <w:r>
        <w:rPr>
          <w:rFonts w:hint="eastAsia" w:ascii="宋体" w:hAnsi="宋体" w:cs="宋体"/>
          <w:color w:val="auto"/>
          <w:kern w:val="0"/>
          <w:szCs w:val="21"/>
          <w:highlight w:val="none"/>
        </w:rPr>
        <w:t>。</w:t>
      </w:r>
    </w:p>
    <w:p w14:paraId="1BACBB1A">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(1)承包人无正当理由不按开工通知的要求及时进场组织施工和不按签订协议书时商定的进度计划有效地开展施工准备，造成工期延误的；</w:t>
      </w:r>
    </w:p>
    <w:p w14:paraId="08EFC151">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(2)承包人违反本合同通用条款第3.5条规定私自将合同或合同的任何部分或任何权利转让给其他人，或私自将工程或工程的一部分分包出去的；</w:t>
      </w:r>
    </w:p>
    <w:p w14:paraId="0E16E757">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(3)未经监理人批准，承包人私自将已按投标文件承诺进入工地的工程设备、施工设备、临时工程或材料撤离工地的；</w:t>
      </w:r>
    </w:p>
    <w:p w14:paraId="259D7C3E">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(4)由于承包人原因拒绝按合同进度计划及时完成合同规定的工程，而又未采取有效措施赶上进度，造成工期延误的；</w:t>
      </w:r>
    </w:p>
    <w:p w14:paraId="6B8757E2">
      <w:pPr>
        <w:pStyle w:val="21"/>
        <w:keepNext w:val="0"/>
        <w:keepLines w:val="0"/>
        <w:pageBreakBefore w:val="0"/>
        <w:widowControl w:val="0"/>
        <w:wordWrap/>
        <w:topLinePunct w:val="0"/>
        <w:bidi w:val="0"/>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(5)承包人否认合同有效或拒绝履行合同规定的承包人义务，或由于法律、财务等原因导致承包人无法继续履行或实质上已停止履行合同的义务的；</w:t>
      </w:r>
    </w:p>
    <w:p w14:paraId="728E586F">
      <w:pPr>
        <w:pStyle w:val="21"/>
        <w:keepNext w:val="0"/>
        <w:keepLines w:val="0"/>
        <w:pageBreakBefore w:val="0"/>
        <w:widowControl w:val="0"/>
        <w:wordWrap/>
        <w:topLinePunct w:val="0"/>
        <w:bidi w:val="0"/>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(6)合同签订之日起十五日内，承包人无法按合同规定及投标文件的承诺进场经监理工程师认可的全部人员和机械的。</w:t>
      </w:r>
    </w:p>
    <w:p w14:paraId="09C99FD9">
      <w:pPr>
        <w:pStyle w:val="21"/>
        <w:keepNext w:val="0"/>
        <w:keepLines w:val="0"/>
        <w:pageBreakBefore w:val="0"/>
        <w:widowControl w:val="0"/>
        <w:wordWrap/>
        <w:topLinePunct w:val="0"/>
        <w:bidi w:val="0"/>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发包人继续使用承包人在施工现场的材料、设备、临时工程、承包人文件和由承包人或以其名义编制的其他文件的费用承担方式：</w:t>
      </w:r>
      <w:r>
        <w:rPr>
          <w:rFonts w:hint="eastAsia" w:ascii="宋体" w:hAnsi="宋体" w:cs="宋体"/>
          <w:color w:val="auto"/>
          <w:kern w:val="0"/>
          <w:szCs w:val="21"/>
          <w:highlight w:val="none"/>
          <w:u w:val="single"/>
        </w:rPr>
        <w:t xml:space="preserve">   协商决定   </w:t>
      </w:r>
      <w:r>
        <w:rPr>
          <w:rFonts w:hint="eastAsia" w:ascii="宋体" w:hAnsi="宋体" w:cs="宋体"/>
          <w:color w:val="auto"/>
          <w:kern w:val="0"/>
          <w:szCs w:val="21"/>
          <w:highlight w:val="none"/>
        </w:rPr>
        <w:t>。</w:t>
      </w:r>
    </w:p>
    <w:p w14:paraId="0F68D95B">
      <w:pPr>
        <w:pStyle w:val="37"/>
        <w:keepNext w:val="0"/>
        <w:keepLines w:val="0"/>
        <w:pageBreakBefore w:val="0"/>
        <w:widowControl w:val="0"/>
        <w:wordWrap/>
        <w:topLinePunct w:val="0"/>
        <w:bidi w:val="0"/>
        <w:spacing w:line="380" w:lineRule="exact"/>
        <w:outlineLvl w:val="2"/>
        <w:rPr>
          <w:rFonts w:ascii="宋体" w:cs="宋体"/>
          <w:color w:val="auto"/>
          <w:highlight w:val="none"/>
        </w:rPr>
      </w:pPr>
      <w:bookmarkStart w:id="2159" w:name="_Toc418752312"/>
      <w:bookmarkStart w:id="2160" w:name="_Toc418751866"/>
      <w:bookmarkStart w:id="2161" w:name="_Toc497747248"/>
      <w:bookmarkStart w:id="2162" w:name="_Toc373227769"/>
      <w:bookmarkStart w:id="2163" w:name="_Toc389065334"/>
      <w:bookmarkStart w:id="2164" w:name="_Toc497746851"/>
      <w:bookmarkStart w:id="2165" w:name="_Toc403579004"/>
      <w:bookmarkStart w:id="2166" w:name="_Toc373478416"/>
      <w:bookmarkStart w:id="2167" w:name="_Toc256000247"/>
      <w:bookmarkStart w:id="2168" w:name="_Toc418518416"/>
      <w:bookmarkStart w:id="2169" w:name="_Toc351203649"/>
      <w:bookmarkStart w:id="2170" w:name="_Toc418061381"/>
      <w:bookmarkStart w:id="2171" w:name="_Toc522201796"/>
      <w:bookmarkStart w:id="2172" w:name="_Toc24826"/>
      <w:bookmarkStart w:id="2173" w:name="_Toc418518180"/>
      <w:r>
        <w:rPr>
          <w:rFonts w:hint="eastAsia" w:ascii="宋体" w:cs="宋体"/>
          <w:color w:val="auto"/>
          <w:highlight w:val="none"/>
        </w:rPr>
        <w:t>17. 不可抗力</w:t>
      </w:r>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r>
        <w:rPr>
          <w:rFonts w:hint="eastAsia" w:ascii="宋体" w:cs="宋体"/>
          <w:color w:val="auto"/>
          <w:highlight w:val="none"/>
        </w:rPr>
        <w:t xml:space="preserve"> </w:t>
      </w:r>
      <w:bookmarkEnd w:id="2129"/>
    </w:p>
    <w:p w14:paraId="3F095711">
      <w:pPr>
        <w:pStyle w:val="37"/>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2174" w:name="_Toc418751867"/>
      <w:bookmarkStart w:id="2175" w:name="_Toc12218"/>
      <w:bookmarkStart w:id="2176" w:name="_Toc418061382"/>
      <w:bookmarkStart w:id="2177" w:name="_Toc418752313"/>
      <w:bookmarkStart w:id="2178" w:name="_Toc418518417"/>
      <w:bookmarkStart w:id="2179" w:name="_Toc403579005"/>
      <w:bookmarkStart w:id="2180" w:name="_Toc389065335"/>
      <w:bookmarkStart w:id="2181" w:name="_Toc497747249"/>
      <w:bookmarkStart w:id="2182" w:name="_Toc418518181"/>
      <w:bookmarkStart w:id="2183" w:name="_Toc497746852"/>
      <w:bookmarkStart w:id="2184" w:name="_Toc522201797"/>
      <w:bookmarkStart w:id="2185" w:name="_Toc256000248"/>
      <w:bookmarkStart w:id="2186" w:name="_Toc373227770"/>
      <w:bookmarkStart w:id="2187" w:name="_Toc373478417"/>
      <w:r>
        <w:rPr>
          <w:rFonts w:hint="eastAsia" w:ascii="宋体" w:cs="宋体"/>
          <w:color w:val="auto"/>
          <w:highlight w:val="none"/>
        </w:rPr>
        <w:t>17.1 不可抗力的确认</w:t>
      </w:r>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p>
    <w:p w14:paraId="0FF66C61">
      <w:pPr>
        <w:pStyle w:val="21"/>
        <w:keepNext w:val="0"/>
        <w:keepLines w:val="0"/>
        <w:pageBreakBefore w:val="0"/>
        <w:widowControl w:val="0"/>
        <w:wordWrap/>
        <w:topLinePunct w:val="0"/>
        <w:bidi w:val="0"/>
        <w:spacing w:line="380" w:lineRule="exact"/>
        <w:ind w:firstLine="420" w:firstLineChars="200"/>
        <w:rPr>
          <w:rFonts w:ascii="宋体" w:hAnsi="宋体" w:cs="宋体"/>
          <w:color w:val="auto"/>
          <w:kern w:val="0"/>
          <w:szCs w:val="21"/>
          <w:highlight w:val="none"/>
          <w:u w:val="single"/>
        </w:rPr>
      </w:pPr>
      <w:r>
        <w:rPr>
          <w:rFonts w:hint="eastAsia" w:ascii="宋体" w:hAnsi="宋体" w:cs="宋体"/>
          <w:color w:val="auto"/>
          <w:szCs w:val="21"/>
          <w:highlight w:val="none"/>
        </w:rPr>
        <w:t>除通用合同条款约定的不可抗力事件之外，视为不可抗力的其他情形：</w:t>
      </w:r>
      <w:r>
        <w:rPr>
          <w:rFonts w:hint="eastAsia" w:ascii="宋体" w:hAnsi="宋体" w:cs="宋体"/>
          <w:color w:val="auto"/>
          <w:kern w:val="0"/>
          <w:szCs w:val="21"/>
          <w:highlight w:val="none"/>
          <w:u w:val="single"/>
        </w:rPr>
        <w:t>（1）、6级以上地震；（2）、10级以上持续1天的大风；（3）、暴雨级以上持续1天的大雨；（4）、50年以上未发生过，持续2天的高温天气；（5）、50年以上未发生过，持续2天的低温天气；（6）、50年以上未发生过 的洪水；（7）、战争、敌对行动（不论宣战与否）、入侵、外敌行动；（8）、暴乱、骚乱、叛乱、革命、暴动，或军事政变、篡夺政权、内战等；（9）、由于任何有危险性物质所引起的离子辐射或放射性污染；（10）、以音速飞行的飞机或其他飞行装置产生的压力波；（11）、对以上几种形式，应以造成灾害和影响施工为准</w:t>
      </w:r>
      <w:r>
        <w:rPr>
          <w:rFonts w:hint="eastAsia" w:ascii="宋体" w:hAnsi="宋体" w:cs="宋体"/>
          <w:color w:val="auto"/>
          <w:kern w:val="0"/>
          <w:szCs w:val="21"/>
          <w:highlight w:val="none"/>
        </w:rPr>
        <w:t>。</w:t>
      </w:r>
    </w:p>
    <w:p w14:paraId="4FAE7324">
      <w:pPr>
        <w:pStyle w:val="37"/>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2188" w:name="_Toc256000249"/>
      <w:bookmarkStart w:id="2189" w:name="_Toc418751868"/>
      <w:bookmarkStart w:id="2190" w:name="_Toc522201798"/>
      <w:bookmarkStart w:id="2191" w:name="_Toc497746853"/>
      <w:bookmarkStart w:id="2192" w:name="_Toc403579006"/>
      <w:bookmarkStart w:id="2193" w:name="_Toc373227771"/>
      <w:bookmarkStart w:id="2194" w:name="_Toc418752314"/>
      <w:bookmarkStart w:id="2195" w:name="_Toc418518182"/>
      <w:bookmarkStart w:id="2196" w:name="_Toc497747250"/>
      <w:bookmarkStart w:id="2197" w:name="_Toc389065336"/>
      <w:bookmarkStart w:id="2198" w:name="_Toc418061383"/>
      <w:bookmarkStart w:id="2199" w:name="_Toc418518418"/>
      <w:bookmarkStart w:id="2200" w:name="_Toc373478418"/>
      <w:bookmarkStart w:id="2201" w:name="_Toc21582"/>
      <w:r>
        <w:rPr>
          <w:rFonts w:hint="eastAsia" w:ascii="宋体" w:cs="宋体"/>
          <w:color w:val="auto"/>
          <w:highlight w:val="none"/>
        </w:rPr>
        <w:t>17.4 因不可抗力解除合同</w:t>
      </w:r>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p>
    <w:p w14:paraId="3A0AD81A">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合同解除后，发包人应在商定或确定发包人应支付款项后</w:t>
      </w:r>
      <w:r>
        <w:rPr>
          <w:rFonts w:hint="eastAsia" w:ascii="宋体" w:hAnsi="宋体" w:cs="宋体"/>
          <w:color w:val="auto"/>
          <w:szCs w:val="21"/>
          <w:highlight w:val="none"/>
          <w:u w:val="single"/>
        </w:rPr>
        <w:t xml:space="preserve"> 30 </w:t>
      </w:r>
      <w:r>
        <w:rPr>
          <w:rFonts w:hint="eastAsia" w:ascii="宋体" w:hAnsi="宋体" w:cs="宋体"/>
          <w:color w:val="auto"/>
          <w:szCs w:val="21"/>
          <w:highlight w:val="none"/>
        </w:rPr>
        <w:t>天内完成款项的支付。</w:t>
      </w:r>
    </w:p>
    <w:p w14:paraId="7C2E7BF5">
      <w:pPr>
        <w:pStyle w:val="37"/>
        <w:keepNext w:val="0"/>
        <w:keepLines w:val="0"/>
        <w:pageBreakBefore w:val="0"/>
        <w:widowControl w:val="0"/>
        <w:wordWrap/>
        <w:topLinePunct w:val="0"/>
        <w:bidi w:val="0"/>
        <w:spacing w:line="380" w:lineRule="exact"/>
        <w:outlineLvl w:val="2"/>
        <w:rPr>
          <w:rFonts w:ascii="宋体" w:cs="宋体"/>
          <w:color w:val="auto"/>
          <w:highlight w:val="none"/>
        </w:rPr>
      </w:pPr>
      <w:bookmarkStart w:id="2202" w:name="_Toc497746854"/>
      <w:bookmarkStart w:id="2203" w:name="_Toc256000250"/>
      <w:bookmarkStart w:id="2204" w:name="_Toc418061384"/>
      <w:bookmarkStart w:id="2205" w:name="_Toc418751869"/>
      <w:bookmarkStart w:id="2206" w:name="_Toc373478419"/>
      <w:bookmarkStart w:id="2207" w:name="_Toc351203650"/>
      <w:bookmarkStart w:id="2208" w:name="_Toc389065337"/>
      <w:bookmarkStart w:id="2209" w:name="_Toc418752315"/>
      <w:bookmarkStart w:id="2210" w:name="_Toc10404"/>
      <w:bookmarkStart w:id="2211" w:name="_Toc522201799"/>
      <w:bookmarkStart w:id="2212" w:name="_Toc418518419"/>
      <w:bookmarkStart w:id="2213" w:name="_Toc497747251"/>
      <w:bookmarkStart w:id="2214" w:name="_Toc403579007"/>
      <w:bookmarkStart w:id="2215" w:name="_Toc373227772"/>
      <w:bookmarkStart w:id="2216" w:name="_Toc418518183"/>
      <w:r>
        <w:rPr>
          <w:rFonts w:hint="eastAsia" w:ascii="宋体" w:cs="宋体"/>
          <w:color w:val="auto"/>
          <w:highlight w:val="none"/>
        </w:rPr>
        <w:t>18. 保险</w:t>
      </w:r>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p>
    <w:bookmarkEnd w:id="2130"/>
    <w:p w14:paraId="63F7B120">
      <w:pPr>
        <w:pStyle w:val="37"/>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2217" w:name="_Toc418752316"/>
      <w:bookmarkStart w:id="2218" w:name="_Toc497746855"/>
      <w:bookmarkStart w:id="2219" w:name="_Toc418751870"/>
      <w:bookmarkStart w:id="2220" w:name="_Toc403579008"/>
      <w:bookmarkStart w:id="2221" w:name="_Toc418061385"/>
      <w:bookmarkStart w:id="2222" w:name="_Toc256000251"/>
      <w:bookmarkStart w:id="2223" w:name="_Toc418518184"/>
      <w:bookmarkStart w:id="2224" w:name="_Toc373478420"/>
      <w:bookmarkStart w:id="2225" w:name="_Toc25051"/>
      <w:bookmarkStart w:id="2226" w:name="_Toc497747252"/>
      <w:bookmarkStart w:id="2227" w:name="_Toc522201800"/>
      <w:bookmarkStart w:id="2228" w:name="_Toc389065338"/>
      <w:bookmarkStart w:id="2229" w:name="_Toc418518420"/>
      <w:bookmarkStart w:id="2230" w:name="_Toc373227773"/>
      <w:r>
        <w:rPr>
          <w:rFonts w:hint="eastAsia" w:ascii="宋体" w:cs="宋体"/>
          <w:color w:val="auto"/>
          <w:highlight w:val="none"/>
        </w:rPr>
        <w:t>18.1 工程保险</w:t>
      </w:r>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p>
    <w:p w14:paraId="6FEB4DEC">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关于工程保险的特别约定：</w:t>
      </w:r>
      <w:r>
        <w:rPr>
          <w:rFonts w:hint="eastAsia" w:ascii="宋体" w:hAnsi="宋体" w:cs="宋体"/>
          <w:color w:val="auto"/>
          <w:kern w:val="0"/>
          <w:szCs w:val="21"/>
          <w:highlight w:val="none"/>
          <w:u w:val="single"/>
        </w:rPr>
        <w:t>承包人应投保建筑工程一切险并承担与之相关的所有费用</w:t>
      </w:r>
      <w:r>
        <w:rPr>
          <w:rFonts w:hint="eastAsia" w:ascii="宋体" w:hAnsi="宋体" w:cs="宋体"/>
          <w:color w:val="auto"/>
          <w:kern w:val="0"/>
          <w:szCs w:val="21"/>
          <w:highlight w:val="none"/>
        </w:rPr>
        <w:t>。</w:t>
      </w:r>
    </w:p>
    <w:p w14:paraId="1527E427">
      <w:pPr>
        <w:pStyle w:val="37"/>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2231" w:name="_Toc497747253"/>
      <w:bookmarkStart w:id="2232" w:name="_Toc418752317"/>
      <w:bookmarkStart w:id="2233" w:name="_Toc418518185"/>
      <w:bookmarkStart w:id="2234" w:name="_Toc256000252"/>
      <w:bookmarkStart w:id="2235" w:name="_Toc497746856"/>
      <w:bookmarkStart w:id="2236" w:name="_Toc418751871"/>
      <w:bookmarkStart w:id="2237" w:name="_Toc389065339"/>
      <w:bookmarkStart w:id="2238" w:name="_Toc418061386"/>
      <w:bookmarkStart w:id="2239" w:name="_Toc14806"/>
      <w:bookmarkStart w:id="2240" w:name="_Toc373227774"/>
      <w:bookmarkStart w:id="2241" w:name="_Toc403579009"/>
      <w:bookmarkStart w:id="2242" w:name="_Toc373478421"/>
      <w:bookmarkStart w:id="2243" w:name="_Toc522201801"/>
      <w:bookmarkStart w:id="2244" w:name="_Toc418518421"/>
      <w:r>
        <w:rPr>
          <w:rFonts w:hint="eastAsia" w:ascii="宋体" w:cs="宋体"/>
          <w:color w:val="auto"/>
          <w:highlight w:val="none"/>
        </w:rPr>
        <w:t>18.3 其他保险</w:t>
      </w:r>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p>
    <w:p w14:paraId="717C9A54">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rPr>
        <w:t>关于其他保险的约定：</w:t>
      </w:r>
      <w:r>
        <w:rPr>
          <w:rFonts w:hint="eastAsia" w:ascii="宋体" w:hAnsi="宋体" w:cs="宋体"/>
          <w:color w:val="auto"/>
          <w:kern w:val="0"/>
          <w:szCs w:val="21"/>
          <w:highlight w:val="none"/>
          <w:u w:val="single"/>
        </w:rPr>
        <w:t>承包人根据市建协字【2009】3号文必须</w:t>
      </w:r>
      <w:r>
        <w:rPr>
          <w:rFonts w:hint="eastAsia" w:ascii="宋体" w:hAnsi="宋体" w:cs="宋体"/>
          <w:color w:val="auto"/>
          <w:szCs w:val="21"/>
          <w:highlight w:val="none"/>
          <w:u w:val="single"/>
        </w:rPr>
        <w:t>为施工现场从事施工的所有作业人员和管理人员办理意外伤害保险，并支付保险费</w:t>
      </w:r>
      <w:r>
        <w:rPr>
          <w:rFonts w:hint="eastAsia" w:ascii="宋体" w:hAnsi="宋体" w:cs="宋体"/>
          <w:bCs/>
          <w:color w:val="auto"/>
          <w:szCs w:val="21"/>
          <w:highlight w:val="none"/>
        </w:rPr>
        <w:t>。</w:t>
      </w:r>
    </w:p>
    <w:p w14:paraId="16D4ACAA">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承包人是否应为其施工设备等办理财产保险：</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u w:val="single"/>
        </w:rPr>
        <w:t>按通用条款执行，无特殊约定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6B62F57">
      <w:pPr>
        <w:pStyle w:val="37"/>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2245" w:name="_Toc497747254"/>
      <w:bookmarkStart w:id="2246" w:name="_Toc373227775"/>
      <w:bookmarkStart w:id="2247" w:name="_Toc418518186"/>
      <w:bookmarkStart w:id="2248" w:name="_Toc389065340"/>
      <w:bookmarkStart w:id="2249" w:name="_Toc403579010"/>
      <w:bookmarkStart w:id="2250" w:name="_Toc418752318"/>
      <w:bookmarkStart w:id="2251" w:name="_Toc418061387"/>
      <w:bookmarkStart w:id="2252" w:name="_Toc373478422"/>
      <w:bookmarkStart w:id="2253" w:name="_Toc522201802"/>
      <w:bookmarkStart w:id="2254" w:name="_Toc497746857"/>
      <w:bookmarkStart w:id="2255" w:name="_Toc256000253"/>
      <w:bookmarkStart w:id="2256" w:name="_Toc627"/>
      <w:bookmarkStart w:id="2257" w:name="_Toc418518422"/>
      <w:bookmarkStart w:id="2258" w:name="_Toc418751872"/>
      <w:r>
        <w:rPr>
          <w:rFonts w:hint="eastAsia" w:ascii="宋体" w:cs="宋体"/>
          <w:color w:val="auto"/>
          <w:highlight w:val="none"/>
        </w:rPr>
        <w:t>18.7 通知义务</w:t>
      </w:r>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p>
    <w:p w14:paraId="0058EF04">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关于变更保险合同时的通知义务的约定：</w:t>
      </w:r>
      <w:r>
        <w:rPr>
          <w:rFonts w:hint="eastAsia" w:ascii="宋体" w:hAnsi="宋体" w:cs="宋体"/>
          <w:color w:val="auto"/>
          <w:szCs w:val="21"/>
          <w:highlight w:val="none"/>
          <w:u w:val="single"/>
        </w:rPr>
        <w:t xml:space="preserve">  变更应通知当事人 </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rPr>
        <w:t>。</w:t>
      </w:r>
    </w:p>
    <w:bookmarkEnd w:id="2050"/>
    <w:bookmarkEnd w:id="2051"/>
    <w:bookmarkEnd w:id="2052"/>
    <w:bookmarkEnd w:id="2053"/>
    <w:bookmarkEnd w:id="2054"/>
    <w:bookmarkEnd w:id="2055"/>
    <w:bookmarkEnd w:id="2056"/>
    <w:bookmarkEnd w:id="2057"/>
    <w:bookmarkEnd w:id="2058"/>
    <w:bookmarkEnd w:id="2059"/>
    <w:bookmarkEnd w:id="2060"/>
    <w:bookmarkEnd w:id="2061"/>
    <w:p w14:paraId="45BBF2CA">
      <w:pPr>
        <w:pStyle w:val="37"/>
        <w:keepNext w:val="0"/>
        <w:keepLines w:val="0"/>
        <w:pageBreakBefore w:val="0"/>
        <w:widowControl w:val="0"/>
        <w:wordWrap/>
        <w:topLinePunct w:val="0"/>
        <w:bidi w:val="0"/>
        <w:spacing w:line="380" w:lineRule="exact"/>
        <w:outlineLvl w:val="2"/>
        <w:rPr>
          <w:rFonts w:ascii="宋体" w:cs="宋体"/>
          <w:color w:val="auto"/>
          <w:highlight w:val="none"/>
        </w:rPr>
      </w:pPr>
      <w:bookmarkStart w:id="2259" w:name="_Toc418751873"/>
      <w:bookmarkStart w:id="2260" w:name="_Toc497746858"/>
      <w:bookmarkStart w:id="2261" w:name="_Toc418752319"/>
      <w:bookmarkStart w:id="2262" w:name="_Toc403579011"/>
      <w:bookmarkStart w:id="2263" w:name="_Toc418518423"/>
      <w:bookmarkStart w:id="2264" w:name="_Toc389065341"/>
      <w:bookmarkStart w:id="2265" w:name="_Toc418518187"/>
      <w:bookmarkStart w:id="2266" w:name="_Toc25758"/>
      <w:bookmarkStart w:id="2267" w:name="_Toc351203651"/>
      <w:bookmarkStart w:id="2268" w:name="_Toc497747255"/>
      <w:bookmarkStart w:id="2269" w:name="_Toc373227776"/>
      <w:bookmarkStart w:id="2270" w:name="_Toc522201803"/>
      <w:bookmarkStart w:id="2271" w:name="_Toc256000254"/>
      <w:bookmarkStart w:id="2272" w:name="_Toc418061388"/>
      <w:bookmarkStart w:id="2273" w:name="_Toc373478423"/>
      <w:r>
        <w:rPr>
          <w:rFonts w:hint="eastAsia" w:ascii="宋体" w:hAnsi="宋体" w:eastAsia="宋体" w:cs="宋体"/>
          <w:color w:val="auto"/>
          <w:highlight w:val="none"/>
        </w:rPr>
        <w:t>20</w:t>
      </w:r>
      <w:r>
        <w:rPr>
          <w:rFonts w:hint="eastAsia" w:ascii="宋体" w:cs="宋体"/>
          <w:color w:val="auto"/>
          <w:highlight w:val="none"/>
        </w:rPr>
        <w:t>. 争议解决</w:t>
      </w:r>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p>
    <w:bookmarkEnd w:id="2062"/>
    <w:bookmarkEnd w:id="2063"/>
    <w:p w14:paraId="3B6228DF">
      <w:pPr>
        <w:pStyle w:val="37"/>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2274" w:name="_Toc418751874"/>
      <w:bookmarkStart w:id="2275" w:name="_Toc16650"/>
      <w:bookmarkStart w:id="2276" w:name="_Toc418061389"/>
      <w:bookmarkStart w:id="2277" w:name="_Toc403579012"/>
      <w:bookmarkStart w:id="2278" w:name="_Toc418752320"/>
      <w:bookmarkStart w:id="2279" w:name="_Toc522201804"/>
      <w:bookmarkStart w:id="2280" w:name="_Toc497746859"/>
      <w:bookmarkStart w:id="2281" w:name="_Toc256000255"/>
      <w:bookmarkStart w:id="2282" w:name="_Toc418518188"/>
      <w:bookmarkStart w:id="2283" w:name="_Toc497747256"/>
      <w:bookmarkStart w:id="2284" w:name="_Toc418518424"/>
      <w:bookmarkStart w:id="2285" w:name="_Toc373227777"/>
      <w:bookmarkStart w:id="2286" w:name="_Toc389065342"/>
      <w:bookmarkStart w:id="2287" w:name="_Toc373478424"/>
      <w:r>
        <w:rPr>
          <w:rFonts w:hint="eastAsia" w:ascii="宋体" w:cs="宋体"/>
          <w:color w:val="auto"/>
          <w:highlight w:val="none"/>
        </w:rPr>
        <w:t>20.3 争</w:t>
      </w:r>
      <w:bookmarkEnd w:id="2064"/>
      <w:r>
        <w:rPr>
          <w:rFonts w:hint="eastAsia" w:ascii="宋体" w:cs="宋体"/>
          <w:color w:val="auto"/>
          <w:highlight w:val="none"/>
        </w:rPr>
        <w:t>议评审</w:t>
      </w:r>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p>
    <w:p w14:paraId="752BB333">
      <w:pPr>
        <w:pStyle w:val="21"/>
        <w:keepNext w:val="0"/>
        <w:keepLines w:val="0"/>
        <w:pageBreakBefore w:val="0"/>
        <w:widowControl w:val="0"/>
        <w:wordWrap/>
        <w:topLinePunct w:val="0"/>
        <w:bidi w:val="0"/>
        <w:spacing w:line="380" w:lineRule="exact"/>
        <w:ind w:left="149" w:leftChars="71" w:firstLine="315" w:firstLineChars="150"/>
        <w:jc w:val="left"/>
        <w:rPr>
          <w:rFonts w:ascii="宋体" w:hAnsi="宋体" w:cs="宋体"/>
          <w:color w:val="auto"/>
          <w:szCs w:val="21"/>
          <w:highlight w:val="none"/>
          <w:u w:val="single"/>
        </w:rPr>
      </w:pPr>
      <w:r>
        <w:rPr>
          <w:rFonts w:hint="eastAsia" w:ascii="宋体" w:hAnsi="宋体" w:cs="宋体"/>
          <w:color w:val="auto"/>
          <w:szCs w:val="21"/>
          <w:highlight w:val="none"/>
        </w:rPr>
        <w:t>合同当事人是否同意将工程争议提交争议评审小组决定：</w:t>
      </w:r>
      <w:r>
        <w:rPr>
          <w:rFonts w:hint="eastAsia" w:ascii="宋体" w:hAnsi="宋体" w:cs="宋体"/>
          <w:color w:val="auto"/>
          <w:szCs w:val="21"/>
          <w:highlight w:val="none"/>
          <w:u w:val="single"/>
        </w:rPr>
        <w:t xml:space="preserve">  不同意  </w:t>
      </w:r>
      <w:r>
        <w:rPr>
          <w:rFonts w:hint="eastAsia" w:ascii="宋体" w:hAnsi="宋体" w:cs="宋体"/>
          <w:color w:val="auto"/>
          <w:szCs w:val="21"/>
          <w:highlight w:val="none"/>
        </w:rPr>
        <w:t>。</w:t>
      </w:r>
    </w:p>
    <w:p w14:paraId="725DAED9">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20.3.1 争议评审小组的确定</w:t>
      </w:r>
    </w:p>
    <w:p w14:paraId="05F7EC07">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争议评审小组成员的确定：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2EDAD48F">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选定争议评审员的期限：</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03843370">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争议评审小组成员的报酬承担方式：</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324F3414">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其他事项的约定：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49C12368">
      <w:pPr>
        <w:pStyle w:val="21"/>
        <w:keepNext w:val="0"/>
        <w:keepLines w:val="0"/>
        <w:pageBreakBefore w:val="0"/>
        <w:widowControl w:val="0"/>
        <w:wordWrap/>
        <w:topLinePunct w:val="0"/>
        <w:autoSpaceDE w:val="0"/>
        <w:autoSpaceDN w:val="0"/>
        <w:bidi w:val="0"/>
        <w:adjustRightInd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20.3.2 争议评审小组的决定</w:t>
      </w:r>
    </w:p>
    <w:p w14:paraId="33EBBB2A">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合同当事人关于本项的约定：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73D48EF0">
      <w:pPr>
        <w:pStyle w:val="37"/>
        <w:keepNext w:val="0"/>
        <w:keepLines w:val="0"/>
        <w:pageBreakBefore w:val="0"/>
        <w:widowControl w:val="0"/>
        <w:wordWrap/>
        <w:topLinePunct w:val="0"/>
        <w:bidi w:val="0"/>
        <w:spacing w:line="380" w:lineRule="exact"/>
        <w:ind w:firstLine="422" w:firstLineChars="200"/>
        <w:outlineLvl w:val="9"/>
        <w:rPr>
          <w:rFonts w:ascii="宋体" w:cs="宋体"/>
          <w:color w:val="auto"/>
          <w:highlight w:val="none"/>
        </w:rPr>
      </w:pPr>
      <w:bookmarkStart w:id="2288" w:name="_Toc418061390"/>
      <w:bookmarkStart w:id="2289" w:name="_Toc418518425"/>
      <w:bookmarkStart w:id="2290" w:name="_Toc418518189"/>
      <w:bookmarkStart w:id="2291" w:name="_Toc256000256"/>
      <w:bookmarkStart w:id="2292" w:name="_Toc373227778"/>
      <w:bookmarkStart w:id="2293" w:name="_Toc15918"/>
      <w:bookmarkStart w:id="2294" w:name="_Toc418752321"/>
      <w:bookmarkStart w:id="2295" w:name="_Toc522201805"/>
      <w:bookmarkStart w:id="2296" w:name="_Toc497747257"/>
      <w:bookmarkStart w:id="2297" w:name="_Toc389065343"/>
      <w:bookmarkStart w:id="2298" w:name="_Toc418751875"/>
      <w:bookmarkStart w:id="2299" w:name="_Toc373478425"/>
      <w:bookmarkStart w:id="2300" w:name="_Toc403579013"/>
      <w:bookmarkStart w:id="2301" w:name="_Toc497746860"/>
      <w:r>
        <w:rPr>
          <w:rFonts w:hint="eastAsia" w:ascii="宋体" w:cs="宋体"/>
          <w:color w:val="auto"/>
          <w:highlight w:val="none"/>
        </w:rPr>
        <w:t>20.4 仲裁或诉讼</w:t>
      </w:r>
      <w:bookmarkEnd w:id="2065"/>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p>
    <w:p w14:paraId="4A19CF24">
      <w:pPr>
        <w:pStyle w:val="21"/>
        <w:keepNext w:val="0"/>
        <w:keepLines w:val="0"/>
        <w:pageBreakBefore w:val="0"/>
        <w:widowControl w:val="0"/>
        <w:wordWrap/>
        <w:topLinePunct w:val="0"/>
        <w:bidi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因合同及合同有关事项发生的争议，按下列第</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种方式解决：</w:t>
      </w:r>
    </w:p>
    <w:p w14:paraId="5350352F">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（1）提请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仲裁委员会按照该会仲裁规则进行仲裁，仲裁裁决是终局的，对合同双方均有约束力。</w:t>
      </w:r>
    </w:p>
    <w:p w14:paraId="60DE6678">
      <w:pPr>
        <w:pStyle w:val="21"/>
        <w:keepNext w:val="0"/>
        <w:keepLines w:val="0"/>
        <w:pageBreakBefore w:val="0"/>
        <w:widowControl w:val="0"/>
        <w:wordWrap/>
        <w:topLinePunct w:val="0"/>
        <w:bidi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（2）向</w:t>
      </w:r>
      <w:r>
        <w:rPr>
          <w:rFonts w:hint="eastAsia" w:ascii="宋体" w:hAnsi="宋体" w:cs="宋体"/>
          <w:color w:val="auto"/>
          <w:szCs w:val="21"/>
          <w:highlight w:val="none"/>
          <w:u w:val="single"/>
        </w:rPr>
        <w:t xml:space="preserve">    桂林市本工程辖区内     </w:t>
      </w:r>
      <w:r>
        <w:rPr>
          <w:rFonts w:hint="eastAsia" w:ascii="宋体" w:hAnsi="宋体" w:cs="宋体"/>
          <w:color w:val="auto"/>
          <w:szCs w:val="21"/>
          <w:highlight w:val="none"/>
        </w:rPr>
        <w:t>人民法院起诉。</w:t>
      </w:r>
      <w:bookmarkEnd w:id="2066"/>
      <w:bookmarkEnd w:id="2067"/>
      <w:bookmarkEnd w:id="2068"/>
      <w:bookmarkEnd w:id="2069"/>
      <w:bookmarkEnd w:id="2070"/>
      <w:bookmarkEnd w:id="2071"/>
    </w:p>
    <w:p w14:paraId="7E054AE8">
      <w:pPr>
        <w:pStyle w:val="37"/>
        <w:keepNext w:val="0"/>
        <w:keepLines w:val="0"/>
        <w:pageBreakBefore w:val="0"/>
        <w:widowControl w:val="0"/>
        <w:wordWrap/>
        <w:topLinePunct w:val="0"/>
        <w:bidi w:val="0"/>
        <w:spacing w:line="380" w:lineRule="exact"/>
        <w:outlineLvl w:val="2"/>
        <w:rPr>
          <w:rFonts w:ascii="宋体" w:cs="宋体"/>
          <w:color w:val="auto"/>
          <w:highlight w:val="none"/>
        </w:rPr>
      </w:pPr>
      <w:bookmarkStart w:id="2302" w:name="_Toc395382582"/>
      <w:bookmarkStart w:id="2303" w:name="_Toc32248"/>
      <w:bookmarkStart w:id="2304" w:name="_Toc522201806"/>
      <w:bookmarkStart w:id="2305" w:name="_Toc373478426"/>
      <w:bookmarkStart w:id="2306" w:name="_Toc389065344"/>
      <w:bookmarkStart w:id="2307" w:name="_Toc373227779"/>
      <w:bookmarkStart w:id="2308" w:name="_Toc256000257"/>
      <w:bookmarkStart w:id="2309" w:name="_Toc497747258"/>
      <w:bookmarkStart w:id="2310" w:name="_Toc497746861"/>
      <w:r>
        <w:rPr>
          <w:rFonts w:hint="eastAsia" w:ascii="宋体" w:hAnsi="宋体" w:eastAsia="宋体" w:cs="宋体"/>
          <w:color w:val="auto"/>
          <w:highlight w:val="none"/>
        </w:rPr>
        <w:t>21</w:t>
      </w:r>
      <w:r>
        <w:rPr>
          <w:rFonts w:hint="eastAsia" w:ascii="宋体" w:cs="宋体"/>
          <w:color w:val="auto"/>
          <w:highlight w:val="none"/>
        </w:rPr>
        <w:t>. 补充条款</w:t>
      </w:r>
      <w:bookmarkEnd w:id="2302"/>
      <w:bookmarkEnd w:id="2303"/>
      <w:bookmarkEnd w:id="2304"/>
      <w:bookmarkEnd w:id="2305"/>
      <w:bookmarkEnd w:id="2306"/>
      <w:bookmarkEnd w:id="2307"/>
      <w:bookmarkEnd w:id="2308"/>
      <w:bookmarkEnd w:id="2309"/>
      <w:bookmarkEnd w:id="2310"/>
    </w:p>
    <w:p w14:paraId="54A88BAE">
      <w:pPr>
        <w:pStyle w:val="21"/>
        <w:keepNext w:val="0"/>
        <w:keepLines w:val="0"/>
        <w:pageBreakBefore w:val="0"/>
        <w:widowControl w:val="0"/>
        <w:wordWrap/>
        <w:topLinePunct w:val="0"/>
        <w:autoSpaceDE w:val="0"/>
        <w:autoSpaceDN w:val="0"/>
        <w:bidi w:val="0"/>
        <w:adjustRightInd w:val="0"/>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21.1 根据桂劳社[2003]150 号文，承包人在投标时必须在投标文件中承诺，在发包人发出交款通知之日起 7 个工作日内足额将民工工资保障金转入建设行政主管部门设立的农民工工资保障金专用帐号。发包人按节点足额支付工程款后，一旦其承包的建设工程项目中出现拖欠农民工工资情况的，由主管部门从其农民工工资保障金中先予支付。 </w:t>
      </w:r>
    </w:p>
    <w:p w14:paraId="66D734D2">
      <w:pPr>
        <w:pStyle w:val="21"/>
        <w:keepNext w:val="0"/>
        <w:keepLines w:val="0"/>
        <w:pageBreakBefore w:val="0"/>
        <w:widowControl w:val="0"/>
        <w:wordWrap/>
        <w:topLinePunct w:val="0"/>
        <w:autoSpaceDE w:val="0"/>
        <w:autoSpaceDN w:val="0"/>
        <w:bidi w:val="0"/>
        <w:adjustRightInd w:val="0"/>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21.2 承包方采用新工艺新材料，必须在使用前 2 个月，向发包方提交相关的技术资料、发明专利、产品证书、样品及应用的实例、单价组成等有关资料；经发包方、设计单位认可后方可使用，凡未经批准擅自使用者除费用自行承担外还应赔偿发包方由此引起的经济损失。 </w:t>
      </w:r>
    </w:p>
    <w:p w14:paraId="036DCCB6">
      <w:pPr>
        <w:pStyle w:val="21"/>
        <w:keepNext w:val="0"/>
        <w:keepLines w:val="0"/>
        <w:pageBreakBefore w:val="0"/>
        <w:widowControl w:val="0"/>
        <w:wordWrap/>
        <w:topLinePunct w:val="0"/>
        <w:autoSpaceDE w:val="0"/>
        <w:autoSpaceDN w:val="0"/>
        <w:bidi w:val="0"/>
        <w:adjustRightInd w:val="0"/>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21.3 赶工费、夜间施工费由</w:t>
      </w:r>
      <w:r>
        <w:rPr>
          <w:rFonts w:hint="eastAsia" w:ascii="宋体" w:hAnsi="宋体" w:cs="宋体"/>
          <w:color w:val="auto"/>
          <w:kern w:val="0"/>
          <w:szCs w:val="21"/>
          <w:highlight w:val="none"/>
          <w:lang w:eastAsia="zh-CN"/>
        </w:rPr>
        <w:t>投标人（供应商）</w:t>
      </w:r>
      <w:r>
        <w:rPr>
          <w:rFonts w:hint="eastAsia" w:ascii="宋体" w:hAnsi="宋体" w:cs="宋体"/>
          <w:color w:val="auto"/>
          <w:kern w:val="0"/>
          <w:szCs w:val="21"/>
          <w:highlight w:val="none"/>
        </w:rPr>
        <w:t>结合自身企业的实际情况及对施工现场的考察、提供的图纸等各方面的资料自行报价，并包干使用，今后不作任何调整和签证。</w:t>
      </w:r>
    </w:p>
    <w:p w14:paraId="6CCDB328">
      <w:pPr>
        <w:pStyle w:val="21"/>
        <w:keepNext w:val="0"/>
        <w:keepLines w:val="0"/>
        <w:pageBreakBefore w:val="0"/>
        <w:widowControl w:val="0"/>
        <w:wordWrap/>
        <w:topLinePunct w:val="0"/>
        <w:autoSpaceDE w:val="0"/>
        <w:autoSpaceDN w:val="0"/>
        <w:bidi w:val="0"/>
        <w:adjustRightInd w:val="0"/>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21.4 根据《建设工程质量检测管理办法》（建设部令第 141 号）以及《广西壮族自治区建设工程质量检测管理规定》（桂建管〔2013〕11 号）规定，工程质量检测业务由招标人委托有相应资质的检测机构检测。费用从招标人的项目建设经费中支出并直接支付给检测机构，不计入合同价款内。 </w:t>
      </w:r>
    </w:p>
    <w:p w14:paraId="6CC855C3">
      <w:pPr>
        <w:pStyle w:val="21"/>
        <w:keepNext w:val="0"/>
        <w:keepLines w:val="0"/>
        <w:pageBreakBefore w:val="0"/>
        <w:widowControl w:val="0"/>
        <w:wordWrap/>
        <w:topLinePunct w:val="0"/>
        <w:autoSpaceDE w:val="0"/>
        <w:autoSpaceDN w:val="0"/>
        <w:bidi w:val="0"/>
        <w:adjustRightInd w:val="0"/>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21.6 发包人需要持散装水泥、多孔砖、砼砌块的材料发票原件到政府有关部门办理退款手续，承包人必须及时提供。否则，发包人有权按政府有关部门收缴标准及数额在承包人工程款中扣罚。 </w:t>
      </w:r>
    </w:p>
    <w:p w14:paraId="23CB541F">
      <w:pPr>
        <w:pStyle w:val="21"/>
        <w:keepNext w:val="0"/>
        <w:keepLines w:val="0"/>
        <w:pageBreakBefore w:val="0"/>
        <w:widowControl w:val="0"/>
        <w:wordWrap/>
        <w:topLinePunct w:val="0"/>
        <w:autoSpaceDE w:val="0"/>
        <w:autoSpaceDN w:val="0"/>
        <w:bidi w:val="0"/>
        <w:adjustRightInd w:val="0"/>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21.7 由于承包人不能按时提供属承包人应提供的文件导致发包人不能及时办理施工许可证，所有造成的后果由承包人承担责任。造成发包人损失的，承包人应赔偿发包人损失。 </w:t>
      </w:r>
    </w:p>
    <w:p w14:paraId="2B097354">
      <w:pPr>
        <w:pStyle w:val="21"/>
        <w:keepNext w:val="0"/>
        <w:keepLines w:val="0"/>
        <w:pageBreakBefore w:val="0"/>
        <w:widowControl w:val="0"/>
        <w:wordWrap/>
        <w:topLinePunct w:val="0"/>
        <w:autoSpaceDE w:val="0"/>
        <w:autoSpaceDN w:val="0"/>
        <w:bidi w:val="0"/>
        <w:adjustRightInd w:val="0"/>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21.8 已完工程成品保护的特殊要求及费用承担： 已竣工工程未交付发包人之前，承包人负责已完工程的成品保护工作，保护期间发生损坏，承包人自费予以修复。工程已交付发包人或发包人提前使用后的损坏及所需的修理费用、 工程成品毁损的风险， 由发包人承担。 若发包人要求承包人采取特殊措施保护的，由发包人就保护的工程部位和相应的追加合同价款另外进行协商。 </w:t>
      </w:r>
    </w:p>
    <w:p w14:paraId="3800B8F1">
      <w:pPr>
        <w:pStyle w:val="21"/>
        <w:keepNext w:val="0"/>
        <w:keepLines w:val="0"/>
        <w:pageBreakBefore w:val="0"/>
        <w:widowControl w:val="0"/>
        <w:wordWrap/>
        <w:topLinePunct w:val="0"/>
        <w:autoSpaceDE w:val="0"/>
        <w:autoSpaceDN w:val="0"/>
        <w:bidi w:val="0"/>
        <w:adjustRightInd w:val="0"/>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21.9 材料严格保证质量，相同类型材料质量应一致，若发现有材料以次品冒充，则该部分所有材料均按次品处理且须重新更换合格材料才能使用。 </w:t>
      </w:r>
    </w:p>
    <w:p w14:paraId="7A7F9544">
      <w:pPr>
        <w:pStyle w:val="21"/>
        <w:keepNext w:val="0"/>
        <w:keepLines w:val="0"/>
        <w:pageBreakBefore w:val="0"/>
        <w:widowControl w:val="0"/>
        <w:wordWrap/>
        <w:topLinePunct w:val="0"/>
        <w:autoSpaceDE w:val="0"/>
        <w:autoSpaceDN w:val="0"/>
        <w:bidi w:val="0"/>
        <w:adjustRightInd w:val="0"/>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21.10 承包人必须配合监理工程师和发包人派驻工程师的工作，一切签证事宜均须在规定的时间内作出书面签证申请，过期补签无效，发包人超过规定期限没有签证的视为此签证发包人已同意。夜间施工增加费（含夜间加班加点）已包含在合同价款内，施工期间不予再签证。 </w:t>
      </w:r>
    </w:p>
    <w:p w14:paraId="5DEBE3FF">
      <w:pPr>
        <w:pStyle w:val="21"/>
        <w:keepNext w:val="0"/>
        <w:keepLines w:val="0"/>
        <w:pageBreakBefore w:val="0"/>
        <w:widowControl w:val="0"/>
        <w:wordWrap/>
        <w:topLinePunct w:val="0"/>
        <w:autoSpaceDE w:val="0"/>
        <w:autoSpaceDN w:val="0"/>
        <w:bidi w:val="0"/>
        <w:adjustRightInd w:val="0"/>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21.11 承包人有以下情形之一者，视为违约，发包人有权依法解除合同，没收其全部履约保证金，承包人还应承担相应的法律责任。  </w:t>
      </w:r>
    </w:p>
    <w:p w14:paraId="7851028D">
      <w:pPr>
        <w:pStyle w:val="21"/>
        <w:keepNext w:val="0"/>
        <w:keepLines w:val="0"/>
        <w:pageBreakBefore w:val="0"/>
        <w:widowControl w:val="0"/>
        <w:wordWrap/>
        <w:topLinePunct w:val="0"/>
        <w:autoSpaceDE w:val="0"/>
        <w:autoSpaceDN w:val="0"/>
        <w:bidi w:val="0"/>
        <w:adjustRightInd w:val="0"/>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① 经有关建设主管部门鉴定确认，承包人有挂靠行为。 </w:t>
      </w:r>
    </w:p>
    <w:p w14:paraId="46A1756B">
      <w:pPr>
        <w:pStyle w:val="21"/>
        <w:keepNext w:val="0"/>
        <w:keepLines w:val="0"/>
        <w:pageBreakBefore w:val="0"/>
        <w:widowControl w:val="0"/>
        <w:wordWrap/>
        <w:topLinePunct w:val="0"/>
        <w:autoSpaceDE w:val="0"/>
        <w:autoSpaceDN w:val="0"/>
        <w:bidi w:val="0"/>
        <w:adjustRightInd w:val="0"/>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② 转包工程，以牟取转让费、管理费。  </w:t>
      </w:r>
    </w:p>
    <w:p w14:paraId="63FB495F">
      <w:pPr>
        <w:pStyle w:val="21"/>
        <w:keepNext w:val="0"/>
        <w:keepLines w:val="0"/>
        <w:pageBreakBefore w:val="0"/>
        <w:widowControl w:val="0"/>
        <w:wordWrap/>
        <w:topLinePunct w:val="0"/>
        <w:autoSpaceDE w:val="0"/>
        <w:autoSpaceDN w:val="0"/>
        <w:bidi w:val="0"/>
        <w:adjustRightInd w:val="0"/>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③ 自签订合同之日起 15 日内，因承包人责任无法组织合同规定的人员、机械进场或进场人员机械与合同严重不符。 </w:t>
      </w:r>
    </w:p>
    <w:p w14:paraId="7873387C">
      <w:pPr>
        <w:pStyle w:val="21"/>
        <w:keepNext w:val="0"/>
        <w:keepLines w:val="0"/>
        <w:pageBreakBefore w:val="0"/>
        <w:widowControl w:val="0"/>
        <w:wordWrap/>
        <w:topLinePunct w:val="0"/>
        <w:autoSpaceDE w:val="0"/>
        <w:autoSpaceDN w:val="0"/>
        <w:bidi w:val="0"/>
        <w:adjustRightInd w:val="0"/>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21.12 工程竣工验收通过后 14 天之内，承包人必须将临时工棚、建筑垃圾等全部清理出现场，否则从第15天起，每天处以1000元罚款且不办理结算。</w:t>
      </w:r>
    </w:p>
    <w:p w14:paraId="6036981D">
      <w:pPr>
        <w:pStyle w:val="21"/>
        <w:keepNext w:val="0"/>
        <w:keepLines w:val="0"/>
        <w:pageBreakBefore w:val="0"/>
        <w:widowControl w:val="0"/>
        <w:wordWrap/>
        <w:topLinePunct w:val="0"/>
        <w:autoSpaceDE w:val="0"/>
        <w:autoSpaceDN w:val="0"/>
        <w:bidi w:val="0"/>
        <w:adjustRightInd w:val="0"/>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21.13 凡进入本工程工作的妇女应持有计生证、否则不准安排工作，禁止使用童工。</w:t>
      </w:r>
    </w:p>
    <w:bookmarkEnd w:id="685"/>
    <w:p w14:paraId="58C3586F">
      <w:pPr>
        <w:pStyle w:val="21"/>
        <w:keepNext w:val="0"/>
        <w:keepLines w:val="0"/>
        <w:pageBreakBefore w:val="0"/>
        <w:widowControl w:val="0"/>
        <w:wordWrap/>
        <w:topLinePunct w:val="0"/>
        <w:autoSpaceDE w:val="0"/>
        <w:autoSpaceDN w:val="0"/>
        <w:bidi w:val="0"/>
        <w:adjustRightInd w:val="0"/>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21.14 如因政策性原因或者项目暂时（或永久）取消导致开工延误或无法开工，发包人不支付承包人任何赔偿或补偿，并可根据政策要求或项目情况延时开工或取消部分合同内容。</w:t>
      </w:r>
    </w:p>
    <w:p w14:paraId="59EF042D">
      <w:pPr>
        <w:pStyle w:val="21"/>
        <w:keepNext w:val="0"/>
        <w:keepLines w:val="0"/>
        <w:pageBreakBefore w:val="0"/>
        <w:widowControl w:val="0"/>
        <w:wordWrap/>
        <w:topLinePunct w:val="0"/>
        <w:autoSpaceDE w:val="0"/>
        <w:autoSpaceDN w:val="0"/>
        <w:bidi w:val="0"/>
        <w:adjustRightInd w:val="0"/>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21.15 承包人应自行协调与施工现场周边及村民的关系，确保项目施工顺利进行。发包人不再支付承包人因协调施工现场周边及村民关系而发生的任何费用。如因征地拆迁造成的问题由由发包人负责牵头解决。</w:t>
      </w:r>
    </w:p>
    <w:p w14:paraId="2339D9A5">
      <w:pPr>
        <w:keepNext w:val="0"/>
        <w:keepLines w:val="0"/>
        <w:pageBreakBefore w:val="0"/>
        <w:widowControl w:val="0"/>
        <w:kinsoku/>
        <w:wordWrap/>
        <w:overflowPunct/>
        <w:topLinePunct w:val="0"/>
        <w:bidi w:val="0"/>
        <w:snapToGrid/>
        <w:spacing w:line="360" w:lineRule="exact"/>
        <w:ind w:left="0" w:leftChars="0" w:right="0" w:rightChars="0"/>
        <w:jc w:val="left"/>
        <w:rPr>
          <w:rFonts w:hint="eastAsia" w:ascii="宋体" w:hAnsi="宋体" w:eastAsia="宋体" w:cs="宋体"/>
          <w:b/>
          <w:color w:val="auto"/>
          <w:sz w:val="21"/>
          <w:szCs w:val="21"/>
          <w:highlight w:val="none"/>
        </w:rPr>
      </w:pPr>
    </w:p>
    <w:p w14:paraId="718F29E0">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14:paraId="1DB008A2">
      <w:pPr>
        <w:keepNext w:val="0"/>
        <w:keepLines w:val="0"/>
        <w:pageBreakBefore w:val="0"/>
        <w:widowControl w:val="0"/>
        <w:kinsoku/>
        <w:wordWrap/>
        <w:overflowPunct/>
        <w:topLinePunct w:val="0"/>
        <w:bidi w:val="0"/>
        <w:snapToGrid/>
        <w:spacing w:line="360" w:lineRule="exact"/>
        <w:ind w:left="0" w:leftChars="0" w:right="0" w:rightChars="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附件</w:t>
      </w:r>
    </w:p>
    <w:p w14:paraId="5E6B8A5A">
      <w:pPr>
        <w:keepNext w:val="0"/>
        <w:keepLines w:val="0"/>
        <w:pageBreakBefore w:val="0"/>
        <w:widowControl w:val="0"/>
        <w:kinsoku/>
        <w:wordWrap/>
        <w:overflowPunct/>
        <w:topLinePunct w:val="0"/>
        <w:bidi w:val="0"/>
        <w:snapToGrid/>
        <w:spacing w:line="360" w:lineRule="exact"/>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协议书附件：</w:t>
      </w:r>
    </w:p>
    <w:p w14:paraId="06E4F4AD">
      <w:pPr>
        <w:keepNext w:val="0"/>
        <w:keepLines w:val="0"/>
        <w:pageBreakBefore w:val="0"/>
        <w:widowControl w:val="0"/>
        <w:kinsoku/>
        <w:wordWrap/>
        <w:overflowPunct/>
        <w:topLinePunct w:val="0"/>
        <w:bidi w:val="0"/>
        <w:snapToGrid/>
        <w:spacing w:line="360" w:lineRule="exact"/>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附件1：承包人承揽工程项目一览表</w:t>
      </w:r>
    </w:p>
    <w:p w14:paraId="4AC5EACB">
      <w:pPr>
        <w:keepNext w:val="0"/>
        <w:keepLines w:val="0"/>
        <w:pageBreakBefore w:val="0"/>
        <w:widowControl w:val="0"/>
        <w:kinsoku/>
        <w:wordWrap/>
        <w:overflowPunct/>
        <w:topLinePunct w:val="0"/>
        <w:bidi w:val="0"/>
        <w:snapToGrid/>
        <w:spacing w:line="360" w:lineRule="exact"/>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专用合同条款附件：</w:t>
      </w:r>
    </w:p>
    <w:p w14:paraId="3AB1C1CF">
      <w:pPr>
        <w:keepNext w:val="0"/>
        <w:keepLines w:val="0"/>
        <w:pageBreakBefore w:val="0"/>
        <w:widowControl w:val="0"/>
        <w:kinsoku/>
        <w:wordWrap/>
        <w:overflowPunct/>
        <w:topLinePunct w:val="0"/>
        <w:bidi w:val="0"/>
        <w:snapToGrid/>
        <w:spacing w:line="360" w:lineRule="exact"/>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附件2：发包人供应材料设备一览表</w:t>
      </w:r>
    </w:p>
    <w:p w14:paraId="560BAD24">
      <w:pPr>
        <w:keepNext w:val="0"/>
        <w:keepLines w:val="0"/>
        <w:pageBreakBefore w:val="0"/>
        <w:widowControl w:val="0"/>
        <w:kinsoku/>
        <w:wordWrap/>
        <w:overflowPunct/>
        <w:topLinePunct w:val="0"/>
        <w:bidi w:val="0"/>
        <w:snapToGrid/>
        <w:spacing w:line="360" w:lineRule="exact"/>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附件3：工程质量保修书</w:t>
      </w:r>
    </w:p>
    <w:p w14:paraId="7A4B5C21">
      <w:pPr>
        <w:keepNext w:val="0"/>
        <w:keepLines w:val="0"/>
        <w:pageBreakBefore w:val="0"/>
        <w:widowControl w:val="0"/>
        <w:kinsoku/>
        <w:wordWrap/>
        <w:overflowPunct/>
        <w:topLinePunct w:val="0"/>
        <w:bidi w:val="0"/>
        <w:snapToGrid/>
        <w:spacing w:line="360" w:lineRule="exact"/>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附件4：主要建设工程文件目录</w:t>
      </w:r>
    </w:p>
    <w:p w14:paraId="243FA811">
      <w:pPr>
        <w:keepNext w:val="0"/>
        <w:keepLines w:val="0"/>
        <w:pageBreakBefore w:val="0"/>
        <w:widowControl w:val="0"/>
        <w:kinsoku/>
        <w:wordWrap/>
        <w:overflowPunct/>
        <w:topLinePunct w:val="0"/>
        <w:bidi w:val="0"/>
        <w:snapToGrid/>
        <w:spacing w:line="360" w:lineRule="exact"/>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附件5：承包人用于本工程施工的机械设备表</w:t>
      </w:r>
    </w:p>
    <w:p w14:paraId="6E000CD7">
      <w:pPr>
        <w:keepNext w:val="0"/>
        <w:keepLines w:val="0"/>
        <w:pageBreakBefore w:val="0"/>
        <w:widowControl w:val="0"/>
        <w:kinsoku/>
        <w:wordWrap/>
        <w:overflowPunct/>
        <w:topLinePunct w:val="0"/>
        <w:bidi w:val="0"/>
        <w:snapToGrid/>
        <w:spacing w:line="360" w:lineRule="exact"/>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附件6：承包人主要施工管理人员表</w:t>
      </w:r>
    </w:p>
    <w:p w14:paraId="028EA799">
      <w:pPr>
        <w:keepNext w:val="0"/>
        <w:keepLines w:val="0"/>
        <w:pageBreakBefore w:val="0"/>
        <w:widowControl w:val="0"/>
        <w:kinsoku/>
        <w:wordWrap/>
        <w:overflowPunct/>
        <w:topLinePunct w:val="0"/>
        <w:bidi w:val="0"/>
        <w:snapToGrid/>
        <w:spacing w:line="360" w:lineRule="exact"/>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附件7：分包人主要施工管理人员表</w:t>
      </w:r>
    </w:p>
    <w:p w14:paraId="39C67155">
      <w:pPr>
        <w:keepNext w:val="0"/>
        <w:keepLines w:val="0"/>
        <w:pageBreakBefore w:val="0"/>
        <w:widowControl w:val="0"/>
        <w:kinsoku/>
        <w:wordWrap/>
        <w:overflowPunct/>
        <w:topLinePunct w:val="0"/>
        <w:bidi w:val="0"/>
        <w:snapToGrid/>
        <w:spacing w:line="360" w:lineRule="exact"/>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附件8：履约担保格式</w:t>
      </w:r>
    </w:p>
    <w:p w14:paraId="3884F29F">
      <w:pPr>
        <w:keepNext w:val="0"/>
        <w:keepLines w:val="0"/>
        <w:pageBreakBefore w:val="0"/>
        <w:widowControl w:val="0"/>
        <w:kinsoku/>
        <w:wordWrap/>
        <w:overflowPunct/>
        <w:topLinePunct w:val="0"/>
        <w:bidi w:val="0"/>
        <w:snapToGrid/>
        <w:spacing w:line="360" w:lineRule="exact"/>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附件9：预付款担保格式</w:t>
      </w:r>
    </w:p>
    <w:p w14:paraId="283CC3A9">
      <w:pPr>
        <w:keepNext w:val="0"/>
        <w:keepLines w:val="0"/>
        <w:pageBreakBefore w:val="0"/>
        <w:widowControl w:val="0"/>
        <w:kinsoku/>
        <w:wordWrap/>
        <w:overflowPunct/>
        <w:topLinePunct w:val="0"/>
        <w:bidi w:val="0"/>
        <w:snapToGrid/>
        <w:spacing w:line="360" w:lineRule="exact"/>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附件10：支付担保格式</w:t>
      </w:r>
    </w:p>
    <w:p w14:paraId="05B94FCD">
      <w:pPr>
        <w:keepNext w:val="0"/>
        <w:keepLines w:val="0"/>
        <w:pageBreakBefore w:val="0"/>
        <w:widowControl w:val="0"/>
        <w:kinsoku/>
        <w:wordWrap/>
        <w:overflowPunct/>
        <w:topLinePunct w:val="0"/>
        <w:bidi w:val="0"/>
        <w:snapToGrid/>
        <w:spacing w:line="360" w:lineRule="exact"/>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附件11：暂估价一览表</w:t>
      </w:r>
    </w:p>
    <w:p w14:paraId="317E8872">
      <w:pPr>
        <w:pStyle w:val="9"/>
        <w:keepNext w:val="0"/>
        <w:keepLines w:val="0"/>
        <w:pageBreakBefore w:val="0"/>
        <w:widowControl w:val="0"/>
        <w:wordWrap/>
        <w:topLinePunct w:val="0"/>
        <w:bidi w:val="0"/>
        <w:rPr>
          <w:rFonts w:hint="eastAsia" w:ascii="宋体" w:hAnsi="宋体" w:eastAsia="宋体" w:cs="宋体"/>
          <w:color w:val="auto"/>
          <w:sz w:val="21"/>
          <w:szCs w:val="21"/>
          <w:highlight w:val="none"/>
          <w:lang w:val="en-US" w:eastAsia="zh-CN"/>
        </w:rPr>
      </w:pPr>
    </w:p>
    <w:p w14:paraId="6F85CB42">
      <w:pPr>
        <w:pStyle w:val="9"/>
        <w:keepNext w:val="0"/>
        <w:keepLines w:val="0"/>
        <w:pageBreakBefore w:val="0"/>
        <w:widowControl w:val="0"/>
        <w:wordWrap/>
        <w:topLinePunct w:val="0"/>
        <w:bidi w:val="0"/>
        <w:rPr>
          <w:rFonts w:hint="default" w:ascii="宋体" w:hAnsi="宋体" w:eastAsia="宋体" w:cs="宋体"/>
          <w:color w:val="auto"/>
          <w:sz w:val="21"/>
          <w:szCs w:val="21"/>
          <w:highlight w:val="none"/>
          <w:lang w:val="en-US" w:eastAsia="zh-CN"/>
        </w:rPr>
        <w:sectPr>
          <w:pgSz w:w="11906" w:h="16838"/>
          <w:pgMar w:top="1418" w:right="1115" w:bottom="1418" w:left="1131" w:header="851" w:footer="992" w:gutter="0"/>
          <w:pgNumType w:fmt="decimal"/>
          <w:cols w:space="720" w:num="1"/>
          <w:titlePg/>
          <w:docGrid w:type="lines" w:linePitch="312" w:charSpace="0"/>
        </w:sectPr>
      </w:pPr>
    </w:p>
    <w:p w14:paraId="45B4CC94">
      <w:pPr>
        <w:keepNext w:val="0"/>
        <w:keepLines w:val="0"/>
        <w:pageBreakBefore w:val="0"/>
        <w:widowControl w:val="0"/>
        <w:kinsoku/>
        <w:wordWrap/>
        <w:overflowPunct/>
        <w:topLinePunct w:val="0"/>
        <w:bidi w:val="0"/>
        <w:snapToGrid/>
        <w:spacing w:line="360" w:lineRule="exact"/>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附件1：</w:t>
      </w:r>
    </w:p>
    <w:p w14:paraId="7FBA39C5">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承包人承揽工程项目一览表</w:t>
      </w:r>
    </w:p>
    <w:tbl>
      <w:tblPr>
        <w:tblStyle w:val="27"/>
        <w:tblW w:w="14317" w:type="dxa"/>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126"/>
        <w:gridCol w:w="850"/>
        <w:gridCol w:w="1560"/>
        <w:gridCol w:w="2126"/>
        <w:gridCol w:w="1417"/>
        <w:gridCol w:w="851"/>
        <w:gridCol w:w="850"/>
      </w:tblGrid>
      <w:tr w14:paraId="6AB474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bottom w:val="double" w:color="auto" w:sz="6" w:space="0"/>
            </w:tcBorders>
            <w:noWrap w:val="0"/>
            <w:vAlign w:val="center"/>
          </w:tcPr>
          <w:p w14:paraId="40C707FF">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单位工程名称</w:t>
            </w:r>
          </w:p>
        </w:tc>
        <w:tc>
          <w:tcPr>
            <w:tcW w:w="1843" w:type="dxa"/>
            <w:tcBorders>
              <w:top w:val="single" w:color="auto" w:sz="12" w:space="0"/>
              <w:bottom w:val="double" w:color="auto" w:sz="6" w:space="0"/>
            </w:tcBorders>
            <w:noWrap w:val="0"/>
            <w:vAlign w:val="center"/>
          </w:tcPr>
          <w:p w14:paraId="056882D5">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建设规模</w:t>
            </w:r>
          </w:p>
        </w:tc>
        <w:tc>
          <w:tcPr>
            <w:tcW w:w="1417" w:type="dxa"/>
            <w:tcBorders>
              <w:top w:val="single" w:color="auto" w:sz="12" w:space="0"/>
              <w:bottom w:val="double" w:color="auto" w:sz="6" w:space="0"/>
            </w:tcBorders>
            <w:noWrap w:val="0"/>
            <w:vAlign w:val="center"/>
          </w:tcPr>
          <w:p w14:paraId="62A93817">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建筑面积(平方米)</w:t>
            </w:r>
          </w:p>
        </w:tc>
        <w:tc>
          <w:tcPr>
            <w:tcW w:w="2126" w:type="dxa"/>
            <w:tcBorders>
              <w:top w:val="single" w:color="auto" w:sz="12" w:space="0"/>
              <w:bottom w:val="double" w:color="auto" w:sz="6" w:space="0"/>
            </w:tcBorders>
            <w:noWrap w:val="0"/>
            <w:vAlign w:val="center"/>
          </w:tcPr>
          <w:p w14:paraId="0EC5B71E">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结构形式</w:t>
            </w:r>
          </w:p>
        </w:tc>
        <w:tc>
          <w:tcPr>
            <w:tcW w:w="850" w:type="dxa"/>
            <w:tcBorders>
              <w:top w:val="single" w:color="auto" w:sz="12" w:space="0"/>
              <w:bottom w:val="double" w:color="auto" w:sz="6" w:space="0"/>
            </w:tcBorders>
            <w:noWrap w:val="0"/>
            <w:vAlign w:val="center"/>
          </w:tcPr>
          <w:p w14:paraId="7BC302B8">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层数</w:t>
            </w:r>
          </w:p>
        </w:tc>
        <w:tc>
          <w:tcPr>
            <w:tcW w:w="1560" w:type="dxa"/>
            <w:tcBorders>
              <w:top w:val="single" w:color="auto" w:sz="12" w:space="0"/>
              <w:bottom w:val="double" w:color="auto" w:sz="6" w:space="0"/>
            </w:tcBorders>
            <w:noWrap w:val="0"/>
            <w:vAlign w:val="center"/>
          </w:tcPr>
          <w:p w14:paraId="64CC66E0">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生产能力</w:t>
            </w:r>
          </w:p>
        </w:tc>
        <w:tc>
          <w:tcPr>
            <w:tcW w:w="2126" w:type="dxa"/>
            <w:tcBorders>
              <w:top w:val="single" w:color="auto" w:sz="12" w:space="0"/>
              <w:bottom w:val="double" w:color="auto" w:sz="6" w:space="0"/>
            </w:tcBorders>
            <w:noWrap w:val="0"/>
            <w:vAlign w:val="center"/>
          </w:tcPr>
          <w:p w14:paraId="47D08E43">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设备安装内容</w:t>
            </w:r>
          </w:p>
        </w:tc>
        <w:tc>
          <w:tcPr>
            <w:tcW w:w="1417" w:type="dxa"/>
            <w:tcBorders>
              <w:top w:val="single" w:color="auto" w:sz="12" w:space="0"/>
              <w:bottom w:val="double" w:color="auto" w:sz="6" w:space="0"/>
            </w:tcBorders>
            <w:noWrap w:val="0"/>
            <w:vAlign w:val="center"/>
          </w:tcPr>
          <w:p w14:paraId="109DEE16">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合同价格（元）</w:t>
            </w:r>
          </w:p>
        </w:tc>
        <w:tc>
          <w:tcPr>
            <w:tcW w:w="851" w:type="dxa"/>
            <w:tcBorders>
              <w:top w:val="single" w:color="auto" w:sz="12" w:space="0"/>
              <w:bottom w:val="double" w:color="auto" w:sz="6" w:space="0"/>
            </w:tcBorders>
            <w:noWrap w:val="0"/>
            <w:vAlign w:val="center"/>
          </w:tcPr>
          <w:p w14:paraId="2D3FE853">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开工日期</w:t>
            </w:r>
          </w:p>
        </w:tc>
        <w:tc>
          <w:tcPr>
            <w:tcW w:w="850" w:type="dxa"/>
            <w:tcBorders>
              <w:top w:val="single" w:color="auto" w:sz="12" w:space="0"/>
              <w:bottom w:val="double" w:color="auto" w:sz="6" w:space="0"/>
            </w:tcBorders>
            <w:noWrap w:val="0"/>
            <w:vAlign w:val="center"/>
          </w:tcPr>
          <w:p w14:paraId="632B12E6">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竣工日期</w:t>
            </w:r>
          </w:p>
        </w:tc>
      </w:tr>
      <w:tr w14:paraId="5807E3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noWrap w:val="0"/>
            <w:vAlign w:val="center"/>
          </w:tcPr>
          <w:p w14:paraId="176E56C1">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tcBorders>
              <w:top w:val="double" w:color="auto" w:sz="6" w:space="0"/>
              <w:bottom w:val="single" w:color="auto" w:sz="6" w:space="0"/>
            </w:tcBorders>
            <w:noWrap w:val="0"/>
            <w:vAlign w:val="center"/>
          </w:tcPr>
          <w:p w14:paraId="33546033">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double" w:color="auto" w:sz="6" w:space="0"/>
              <w:bottom w:val="single" w:color="auto" w:sz="6" w:space="0"/>
            </w:tcBorders>
            <w:noWrap w:val="0"/>
            <w:vAlign w:val="center"/>
          </w:tcPr>
          <w:p w14:paraId="5F88E39C">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double" w:color="auto" w:sz="6" w:space="0"/>
              <w:bottom w:val="single" w:color="auto" w:sz="6" w:space="0"/>
            </w:tcBorders>
            <w:noWrap w:val="0"/>
            <w:vAlign w:val="center"/>
          </w:tcPr>
          <w:p w14:paraId="2D56409E">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double" w:color="auto" w:sz="6" w:space="0"/>
              <w:bottom w:val="single" w:color="auto" w:sz="6" w:space="0"/>
            </w:tcBorders>
            <w:noWrap w:val="0"/>
            <w:vAlign w:val="center"/>
          </w:tcPr>
          <w:p w14:paraId="05BBCF21">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tcBorders>
              <w:top w:val="double" w:color="auto" w:sz="6" w:space="0"/>
              <w:bottom w:val="single" w:color="auto" w:sz="6" w:space="0"/>
            </w:tcBorders>
            <w:noWrap w:val="0"/>
            <w:vAlign w:val="center"/>
          </w:tcPr>
          <w:p w14:paraId="0205AAC4">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double" w:color="auto" w:sz="6" w:space="0"/>
              <w:bottom w:val="single" w:color="auto" w:sz="6" w:space="0"/>
            </w:tcBorders>
            <w:noWrap w:val="0"/>
            <w:vAlign w:val="center"/>
          </w:tcPr>
          <w:p w14:paraId="0F622750">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double" w:color="auto" w:sz="6" w:space="0"/>
              <w:bottom w:val="single" w:color="auto" w:sz="6" w:space="0"/>
            </w:tcBorders>
            <w:noWrap w:val="0"/>
            <w:vAlign w:val="center"/>
          </w:tcPr>
          <w:p w14:paraId="7AF0779D">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tcBorders>
              <w:top w:val="double" w:color="auto" w:sz="6" w:space="0"/>
              <w:bottom w:val="single" w:color="auto" w:sz="6" w:space="0"/>
            </w:tcBorders>
            <w:noWrap w:val="0"/>
            <w:vAlign w:val="center"/>
          </w:tcPr>
          <w:p w14:paraId="307F1713">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double" w:color="auto" w:sz="6" w:space="0"/>
              <w:bottom w:val="single" w:color="auto" w:sz="6" w:space="0"/>
            </w:tcBorders>
            <w:noWrap w:val="0"/>
            <w:vAlign w:val="center"/>
          </w:tcPr>
          <w:p w14:paraId="50F5BD75">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97336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67938793">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tcBorders>
              <w:top w:val="nil"/>
            </w:tcBorders>
            <w:noWrap w:val="0"/>
            <w:vAlign w:val="center"/>
          </w:tcPr>
          <w:p w14:paraId="0FC9B477">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7E9EEF49">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4AF8E65B">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493E6974">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tcBorders>
              <w:top w:val="nil"/>
            </w:tcBorders>
            <w:noWrap w:val="0"/>
            <w:vAlign w:val="center"/>
          </w:tcPr>
          <w:p w14:paraId="22A64A1F">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700C9B64">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211F9C38">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tcBorders>
              <w:top w:val="nil"/>
            </w:tcBorders>
            <w:noWrap w:val="0"/>
            <w:vAlign w:val="center"/>
          </w:tcPr>
          <w:p w14:paraId="144033D0">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029887A8">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5F709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7C979DAE">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tcBorders>
              <w:top w:val="nil"/>
            </w:tcBorders>
            <w:noWrap w:val="0"/>
            <w:vAlign w:val="center"/>
          </w:tcPr>
          <w:p w14:paraId="40DEB12E">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45529F7D">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0AFB0191">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5DC07287">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tcBorders>
              <w:top w:val="nil"/>
            </w:tcBorders>
            <w:noWrap w:val="0"/>
            <w:vAlign w:val="center"/>
          </w:tcPr>
          <w:p w14:paraId="62CC85C4">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1B3569A2">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099D8661">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tcBorders>
              <w:top w:val="nil"/>
            </w:tcBorders>
            <w:noWrap w:val="0"/>
            <w:vAlign w:val="center"/>
          </w:tcPr>
          <w:p w14:paraId="408D1EF9">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7F2DAAB8">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CE01D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39F5D2EB">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noWrap w:val="0"/>
            <w:vAlign w:val="center"/>
          </w:tcPr>
          <w:p w14:paraId="45AD993A">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176A6885">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362C1CD5">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0D967033">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noWrap w:val="0"/>
            <w:vAlign w:val="center"/>
          </w:tcPr>
          <w:p w14:paraId="44725618">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050A2A7D">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50F0AB0C">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noWrap w:val="0"/>
            <w:vAlign w:val="center"/>
          </w:tcPr>
          <w:p w14:paraId="343CF027">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3CE3D105">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255FC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6D58298A">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tcBorders>
              <w:top w:val="nil"/>
            </w:tcBorders>
            <w:noWrap w:val="0"/>
            <w:vAlign w:val="center"/>
          </w:tcPr>
          <w:p w14:paraId="3A92FAC0">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35348F9F">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155F6EF8">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56F9D976">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tcBorders>
              <w:top w:val="nil"/>
            </w:tcBorders>
            <w:noWrap w:val="0"/>
            <w:vAlign w:val="center"/>
          </w:tcPr>
          <w:p w14:paraId="05F64089">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1E2ADE49">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4B148B39">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tcBorders>
              <w:top w:val="nil"/>
            </w:tcBorders>
            <w:noWrap w:val="0"/>
            <w:vAlign w:val="center"/>
          </w:tcPr>
          <w:p w14:paraId="337B423B">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7507DAC7">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03E88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1375AE60">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noWrap w:val="0"/>
            <w:vAlign w:val="center"/>
          </w:tcPr>
          <w:p w14:paraId="05118330">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5048076D">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39494051">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39AAFB73">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noWrap w:val="0"/>
            <w:vAlign w:val="center"/>
          </w:tcPr>
          <w:p w14:paraId="5C64056B">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13179578">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39F2D302">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noWrap w:val="0"/>
            <w:vAlign w:val="center"/>
          </w:tcPr>
          <w:p w14:paraId="583F8F82">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217C4B2E">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13C48F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39D24A65">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tcBorders>
              <w:top w:val="nil"/>
            </w:tcBorders>
            <w:noWrap w:val="0"/>
            <w:vAlign w:val="center"/>
          </w:tcPr>
          <w:p w14:paraId="16D128A6">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3E2D963E">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45C78D64">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7B6D9F75">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tcBorders>
              <w:top w:val="nil"/>
            </w:tcBorders>
            <w:noWrap w:val="0"/>
            <w:vAlign w:val="center"/>
          </w:tcPr>
          <w:p w14:paraId="7CF59921">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2345552C">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139FD8A3">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tcBorders>
              <w:top w:val="nil"/>
            </w:tcBorders>
            <w:noWrap w:val="0"/>
            <w:vAlign w:val="center"/>
          </w:tcPr>
          <w:p w14:paraId="56D63D30">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60108655">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89EBA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368EAA72">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tcBorders>
              <w:top w:val="nil"/>
            </w:tcBorders>
            <w:noWrap w:val="0"/>
            <w:vAlign w:val="center"/>
          </w:tcPr>
          <w:p w14:paraId="185BD060">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6E77F662">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7F36E2DC">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1C8A9A72">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tcBorders>
              <w:top w:val="nil"/>
            </w:tcBorders>
            <w:noWrap w:val="0"/>
            <w:vAlign w:val="center"/>
          </w:tcPr>
          <w:p w14:paraId="71CE5445">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650B64B2">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2DAD5A3B">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tcBorders>
              <w:top w:val="nil"/>
            </w:tcBorders>
            <w:noWrap w:val="0"/>
            <w:vAlign w:val="center"/>
          </w:tcPr>
          <w:p w14:paraId="31F17B92">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41BA4EED">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A828E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320ACB5C">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noWrap w:val="0"/>
            <w:vAlign w:val="center"/>
          </w:tcPr>
          <w:p w14:paraId="5D025681">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0CEF5692">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78D5D371">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767CFC2F">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noWrap w:val="0"/>
            <w:vAlign w:val="center"/>
          </w:tcPr>
          <w:p w14:paraId="56DC9C23">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211F7B74">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57C2781C">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noWrap w:val="0"/>
            <w:vAlign w:val="center"/>
          </w:tcPr>
          <w:p w14:paraId="72A4B464">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1F719F9C">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46608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30193AA1">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tcBorders>
              <w:top w:val="nil"/>
            </w:tcBorders>
            <w:noWrap w:val="0"/>
            <w:vAlign w:val="center"/>
          </w:tcPr>
          <w:p w14:paraId="741FD296">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1F9A104B">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4B245F73">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373934C4">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tcBorders>
              <w:top w:val="nil"/>
            </w:tcBorders>
            <w:noWrap w:val="0"/>
            <w:vAlign w:val="center"/>
          </w:tcPr>
          <w:p w14:paraId="6BE7E1CF">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tcBorders>
              <w:top w:val="nil"/>
            </w:tcBorders>
            <w:noWrap w:val="0"/>
            <w:vAlign w:val="center"/>
          </w:tcPr>
          <w:p w14:paraId="1B62B8B2">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tcBorders>
              <w:top w:val="nil"/>
            </w:tcBorders>
            <w:noWrap w:val="0"/>
            <w:vAlign w:val="center"/>
          </w:tcPr>
          <w:p w14:paraId="42058DEA">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tcBorders>
              <w:top w:val="nil"/>
            </w:tcBorders>
            <w:noWrap w:val="0"/>
            <w:vAlign w:val="center"/>
          </w:tcPr>
          <w:p w14:paraId="2F164895">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217451F2">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11A386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3FD6462F">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843" w:type="dxa"/>
            <w:noWrap w:val="0"/>
            <w:vAlign w:val="center"/>
          </w:tcPr>
          <w:p w14:paraId="4652D853">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3C425536">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3FF759F2">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477CE47C">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0" w:type="dxa"/>
            <w:noWrap w:val="0"/>
            <w:vAlign w:val="center"/>
          </w:tcPr>
          <w:p w14:paraId="6E24565F">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2126" w:type="dxa"/>
            <w:noWrap w:val="0"/>
            <w:vAlign w:val="center"/>
          </w:tcPr>
          <w:p w14:paraId="40E75AD4">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7" w:type="dxa"/>
            <w:noWrap w:val="0"/>
            <w:vAlign w:val="center"/>
          </w:tcPr>
          <w:p w14:paraId="6449997A">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1" w:type="dxa"/>
            <w:noWrap w:val="0"/>
            <w:vAlign w:val="center"/>
          </w:tcPr>
          <w:p w14:paraId="2288965A">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202DF07F">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bl>
    <w:p w14:paraId="5AF68934">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b/>
          <w:color w:val="auto"/>
          <w:sz w:val="21"/>
          <w:szCs w:val="21"/>
          <w:highlight w:val="none"/>
        </w:rPr>
        <w:sectPr>
          <w:pgSz w:w="16838" w:h="11906" w:orient="landscape"/>
          <w:pgMar w:top="1554" w:right="1418" w:bottom="1531" w:left="1418" w:header="851" w:footer="992" w:gutter="0"/>
          <w:pgNumType w:fmt="decimal"/>
          <w:cols w:space="720" w:num="1"/>
          <w:titlePg/>
          <w:docGrid w:type="linesAndChars" w:linePitch="312" w:charSpace="0"/>
        </w:sectPr>
      </w:pPr>
    </w:p>
    <w:p w14:paraId="509721F9">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附件2：</w:t>
      </w:r>
    </w:p>
    <w:p w14:paraId="1867A48B">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发包人供应材料设备一览表</w:t>
      </w:r>
    </w:p>
    <w:tbl>
      <w:tblPr>
        <w:tblStyle w:val="27"/>
        <w:tblW w:w="869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402"/>
        <w:gridCol w:w="1099"/>
        <w:gridCol w:w="1134"/>
        <w:gridCol w:w="620"/>
        <w:gridCol w:w="690"/>
        <w:gridCol w:w="1044"/>
        <w:gridCol w:w="719"/>
        <w:gridCol w:w="716"/>
        <w:gridCol w:w="1487"/>
        <w:gridCol w:w="783"/>
      </w:tblGrid>
      <w:tr w14:paraId="290592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02" w:type="dxa"/>
            <w:tcBorders>
              <w:top w:val="single" w:color="auto" w:sz="12" w:space="0"/>
              <w:bottom w:val="double" w:color="auto" w:sz="6" w:space="0"/>
            </w:tcBorders>
            <w:noWrap w:val="0"/>
            <w:vAlign w:val="center"/>
          </w:tcPr>
          <w:p w14:paraId="3CDC2191">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序号</w:t>
            </w:r>
          </w:p>
        </w:tc>
        <w:tc>
          <w:tcPr>
            <w:tcW w:w="1099" w:type="dxa"/>
            <w:tcBorders>
              <w:top w:val="single" w:color="auto" w:sz="12" w:space="0"/>
              <w:bottom w:val="double" w:color="auto" w:sz="6" w:space="0"/>
            </w:tcBorders>
            <w:noWrap w:val="0"/>
            <w:vAlign w:val="center"/>
          </w:tcPr>
          <w:p w14:paraId="3D782D7F">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 xml:space="preserve">  材料、</w:t>
            </w:r>
          </w:p>
          <w:p w14:paraId="4CA1A239">
            <w:pPr>
              <w:pStyle w:val="9"/>
              <w:keepNext w:val="0"/>
              <w:keepLines w:val="0"/>
              <w:pageBreakBefore w:val="0"/>
              <w:widowControl w:val="0"/>
              <w:kinsoku/>
              <w:wordWrap/>
              <w:overflowPunct/>
              <w:topLinePunct w:val="0"/>
              <w:bidi w:val="0"/>
              <w:snapToGrid/>
              <w:spacing w:after="0" w:line="360" w:lineRule="exact"/>
              <w:ind w:left="0" w:leftChars="0" w:right="0" w:rightChars="0"/>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设备品种</w:t>
            </w:r>
          </w:p>
        </w:tc>
        <w:tc>
          <w:tcPr>
            <w:tcW w:w="1134" w:type="dxa"/>
            <w:tcBorders>
              <w:top w:val="single" w:color="auto" w:sz="12" w:space="0"/>
              <w:bottom w:val="double" w:color="auto" w:sz="6" w:space="0"/>
            </w:tcBorders>
            <w:noWrap w:val="0"/>
            <w:vAlign w:val="center"/>
          </w:tcPr>
          <w:p w14:paraId="05C37511">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规格型号</w:t>
            </w:r>
          </w:p>
        </w:tc>
        <w:tc>
          <w:tcPr>
            <w:tcW w:w="620" w:type="dxa"/>
            <w:tcBorders>
              <w:top w:val="single" w:color="auto" w:sz="12" w:space="0"/>
              <w:bottom w:val="double" w:color="auto" w:sz="6" w:space="0"/>
            </w:tcBorders>
            <w:noWrap w:val="0"/>
            <w:vAlign w:val="center"/>
          </w:tcPr>
          <w:p w14:paraId="75C9B364">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单位</w:t>
            </w:r>
          </w:p>
        </w:tc>
        <w:tc>
          <w:tcPr>
            <w:tcW w:w="690" w:type="dxa"/>
            <w:tcBorders>
              <w:top w:val="single" w:color="auto" w:sz="12" w:space="0"/>
              <w:bottom w:val="double" w:color="auto" w:sz="6" w:space="0"/>
            </w:tcBorders>
            <w:noWrap w:val="0"/>
            <w:vAlign w:val="center"/>
          </w:tcPr>
          <w:p w14:paraId="39F5EDC3">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数量</w:t>
            </w:r>
          </w:p>
        </w:tc>
        <w:tc>
          <w:tcPr>
            <w:tcW w:w="1044" w:type="dxa"/>
            <w:tcBorders>
              <w:top w:val="single" w:color="auto" w:sz="12" w:space="0"/>
              <w:bottom w:val="double" w:color="auto" w:sz="6" w:space="0"/>
            </w:tcBorders>
            <w:noWrap w:val="0"/>
            <w:vAlign w:val="center"/>
          </w:tcPr>
          <w:p w14:paraId="21F8666F">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单价（元）</w:t>
            </w:r>
          </w:p>
        </w:tc>
        <w:tc>
          <w:tcPr>
            <w:tcW w:w="719" w:type="dxa"/>
            <w:tcBorders>
              <w:top w:val="single" w:color="auto" w:sz="12" w:space="0"/>
              <w:bottom w:val="double" w:color="auto" w:sz="6" w:space="0"/>
            </w:tcBorders>
            <w:noWrap w:val="0"/>
            <w:vAlign w:val="center"/>
          </w:tcPr>
          <w:p w14:paraId="795AB874">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质量等级</w:t>
            </w:r>
          </w:p>
        </w:tc>
        <w:tc>
          <w:tcPr>
            <w:tcW w:w="716" w:type="dxa"/>
            <w:tcBorders>
              <w:top w:val="single" w:color="auto" w:sz="12" w:space="0"/>
              <w:bottom w:val="double" w:color="auto" w:sz="6" w:space="0"/>
            </w:tcBorders>
            <w:noWrap w:val="0"/>
            <w:vAlign w:val="center"/>
          </w:tcPr>
          <w:p w14:paraId="3B49E3B4">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供应时间</w:t>
            </w:r>
          </w:p>
        </w:tc>
        <w:tc>
          <w:tcPr>
            <w:tcW w:w="1487" w:type="dxa"/>
            <w:tcBorders>
              <w:top w:val="single" w:color="auto" w:sz="12" w:space="0"/>
              <w:bottom w:val="double" w:color="auto" w:sz="6" w:space="0"/>
            </w:tcBorders>
            <w:noWrap w:val="0"/>
            <w:vAlign w:val="center"/>
          </w:tcPr>
          <w:p w14:paraId="49F1EE75">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送达地点</w:t>
            </w:r>
          </w:p>
        </w:tc>
        <w:tc>
          <w:tcPr>
            <w:tcW w:w="783" w:type="dxa"/>
            <w:tcBorders>
              <w:top w:val="single" w:color="auto" w:sz="12" w:space="0"/>
              <w:bottom w:val="double" w:color="auto" w:sz="6" w:space="0"/>
            </w:tcBorders>
            <w:noWrap w:val="0"/>
            <w:vAlign w:val="center"/>
          </w:tcPr>
          <w:p w14:paraId="47287960">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备注</w:t>
            </w:r>
          </w:p>
        </w:tc>
      </w:tr>
      <w:tr w14:paraId="655D98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tcBorders>
              <w:top w:val="double" w:color="auto" w:sz="6" w:space="0"/>
              <w:bottom w:val="single" w:color="auto" w:sz="6" w:space="0"/>
            </w:tcBorders>
            <w:noWrap w:val="0"/>
            <w:vAlign w:val="center"/>
          </w:tcPr>
          <w:p w14:paraId="4E24A709">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tcBorders>
              <w:top w:val="double" w:color="auto" w:sz="6" w:space="0"/>
              <w:bottom w:val="single" w:color="auto" w:sz="6" w:space="0"/>
            </w:tcBorders>
            <w:noWrap w:val="0"/>
            <w:vAlign w:val="center"/>
          </w:tcPr>
          <w:p w14:paraId="215F9785">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tcBorders>
              <w:top w:val="double" w:color="auto" w:sz="6" w:space="0"/>
              <w:bottom w:val="single" w:color="auto" w:sz="6" w:space="0"/>
            </w:tcBorders>
            <w:noWrap w:val="0"/>
            <w:vAlign w:val="center"/>
          </w:tcPr>
          <w:p w14:paraId="70D3D8B9">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tcBorders>
              <w:top w:val="double" w:color="auto" w:sz="6" w:space="0"/>
              <w:bottom w:val="single" w:color="auto" w:sz="6" w:space="0"/>
            </w:tcBorders>
            <w:noWrap w:val="0"/>
            <w:vAlign w:val="center"/>
          </w:tcPr>
          <w:p w14:paraId="09BD1AF3">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tcBorders>
              <w:top w:val="double" w:color="auto" w:sz="6" w:space="0"/>
              <w:bottom w:val="single" w:color="auto" w:sz="6" w:space="0"/>
            </w:tcBorders>
            <w:noWrap w:val="0"/>
            <w:vAlign w:val="center"/>
          </w:tcPr>
          <w:p w14:paraId="52A13E23">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tcBorders>
              <w:top w:val="double" w:color="auto" w:sz="6" w:space="0"/>
              <w:bottom w:val="single" w:color="auto" w:sz="6" w:space="0"/>
            </w:tcBorders>
            <w:noWrap w:val="0"/>
            <w:vAlign w:val="center"/>
          </w:tcPr>
          <w:p w14:paraId="40AC9D04">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tcBorders>
              <w:top w:val="double" w:color="auto" w:sz="6" w:space="0"/>
              <w:bottom w:val="single" w:color="auto" w:sz="6" w:space="0"/>
            </w:tcBorders>
            <w:noWrap w:val="0"/>
            <w:vAlign w:val="center"/>
          </w:tcPr>
          <w:p w14:paraId="4DEE789E">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tcBorders>
              <w:top w:val="double" w:color="auto" w:sz="6" w:space="0"/>
              <w:bottom w:val="single" w:color="auto" w:sz="6" w:space="0"/>
            </w:tcBorders>
            <w:noWrap w:val="0"/>
            <w:vAlign w:val="center"/>
          </w:tcPr>
          <w:p w14:paraId="706BCD49">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tcBorders>
              <w:top w:val="double" w:color="auto" w:sz="6" w:space="0"/>
              <w:bottom w:val="single" w:color="auto" w:sz="6" w:space="0"/>
            </w:tcBorders>
            <w:noWrap w:val="0"/>
            <w:vAlign w:val="center"/>
          </w:tcPr>
          <w:p w14:paraId="67387564">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tcBorders>
              <w:top w:val="double" w:color="auto" w:sz="6" w:space="0"/>
              <w:bottom w:val="single" w:color="auto" w:sz="6" w:space="0"/>
            </w:tcBorders>
            <w:noWrap w:val="0"/>
            <w:vAlign w:val="center"/>
          </w:tcPr>
          <w:p w14:paraId="140FC386">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C3CDF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tcBorders>
              <w:top w:val="nil"/>
            </w:tcBorders>
            <w:noWrap w:val="0"/>
            <w:vAlign w:val="center"/>
          </w:tcPr>
          <w:p w14:paraId="25BBA842">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tcBorders>
              <w:top w:val="nil"/>
            </w:tcBorders>
            <w:noWrap w:val="0"/>
            <w:vAlign w:val="center"/>
          </w:tcPr>
          <w:p w14:paraId="0210DB38">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tcBorders>
              <w:top w:val="nil"/>
            </w:tcBorders>
            <w:noWrap w:val="0"/>
            <w:vAlign w:val="center"/>
          </w:tcPr>
          <w:p w14:paraId="40DC65DD">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tcBorders>
              <w:top w:val="nil"/>
            </w:tcBorders>
            <w:noWrap w:val="0"/>
            <w:vAlign w:val="center"/>
          </w:tcPr>
          <w:p w14:paraId="7F6258DD">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tcBorders>
              <w:top w:val="nil"/>
            </w:tcBorders>
            <w:noWrap w:val="0"/>
            <w:vAlign w:val="center"/>
          </w:tcPr>
          <w:p w14:paraId="1569FA0F">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tcBorders>
              <w:top w:val="nil"/>
            </w:tcBorders>
            <w:noWrap w:val="0"/>
            <w:vAlign w:val="center"/>
          </w:tcPr>
          <w:p w14:paraId="00F39DE6">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tcBorders>
              <w:top w:val="nil"/>
            </w:tcBorders>
            <w:noWrap w:val="0"/>
            <w:vAlign w:val="center"/>
          </w:tcPr>
          <w:p w14:paraId="0670480A">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tcBorders>
              <w:top w:val="nil"/>
            </w:tcBorders>
            <w:noWrap w:val="0"/>
            <w:vAlign w:val="center"/>
          </w:tcPr>
          <w:p w14:paraId="5EC4FF19">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tcBorders>
              <w:top w:val="nil"/>
            </w:tcBorders>
            <w:noWrap w:val="0"/>
            <w:vAlign w:val="center"/>
          </w:tcPr>
          <w:p w14:paraId="3EBE27CF">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tcBorders>
              <w:top w:val="nil"/>
            </w:tcBorders>
            <w:noWrap w:val="0"/>
            <w:vAlign w:val="center"/>
          </w:tcPr>
          <w:p w14:paraId="157A765B">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1D758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32BFA051">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noWrap w:val="0"/>
            <w:vAlign w:val="center"/>
          </w:tcPr>
          <w:p w14:paraId="62773112">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59ED8892">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noWrap w:val="0"/>
            <w:vAlign w:val="center"/>
          </w:tcPr>
          <w:p w14:paraId="4A04E0AA">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noWrap w:val="0"/>
            <w:vAlign w:val="center"/>
          </w:tcPr>
          <w:p w14:paraId="13666282">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noWrap w:val="0"/>
            <w:vAlign w:val="center"/>
          </w:tcPr>
          <w:p w14:paraId="59E1E9F3">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noWrap w:val="0"/>
            <w:vAlign w:val="center"/>
          </w:tcPr>
          <w:p w14:paraId="0ED5B61E">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noWrap w:val="0"/>
            <w:vAlign w:val="center"/>
          </w:tcPr>
          <w:p w14:paraId="17D32E3B">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noWrap w:val="0"/>
            <w:vAlign w:val="center"/>
          </w:tcPr>
          <w:p w14:paraId="65D6F892">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noWrap w:val="0"/>
            <w:vAlign w:val="center"/>
          </w:tcPr>
          <w:p w14:paraId="369A9481">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C8F74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5857A36E">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noWrap w:val="0"/>
            <w:vAlign w:val="center"/>
          </w:tcPr>
          <w:p w14:paraId="249782D8">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6F3F562F">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noWrap w:val="0"/>
            <w:vAlign w:val="center"/>
          </w:tcPr>
          <w:p w14:paraId="34FE7152">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noWrap w:val="0"/>
            <w:vAlign w:val="center"/>
          </w:tcPr>
          <w:p w14:paraId="6515D2C8">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noWrap w:val="0"/>
            <w:vAlign w:val="center"/>
          </w:tcPr>
          <w:p w14:paraId="1CF61833">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noWrap w:val="0"/>
            <w:vAlign w:val="center"/>
          </w:tcPr>
          <w:p w14:paraId="57F60C5C">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noWrap w:val="0"/>
            <w:vAlign w:val="center"/>
          </w:tcPr>
          <w:p w14:paraId="7FBCDC65">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noWrap w:val="0"/>
            <w:vAlign w:val="center"/>
          </w:tcPr>
          <w:p w14:paraId="222287A9">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noWrap w:val="0"/>
            <w:vAlign w:val="center"/>
          </w:tcPr>
          <w:p w14:paraId="123685CA">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8210D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0755C9D1">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noWrap w:val="0"/>
            <w:vAlign w:val="center"/>
          </w:tcPr>
          <w:p w14:paraId="27F499EE">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294DB570">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noWrap w:val="0"/>
            <w:vAlign w:val="center"/>
          </w:tcPr>
          <w:p w14:paraId="23244271">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noWrap w:val="0"/>
            <w:vAlign w:val="center"/>
          </w:tcPr>
          <w:p w14:paraId="2F50AF25">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noWrap w:val="0"/>
            <w:vAlign w:val="center"/>
          </w:tcPr>
          <w:p w14:paraId="2CF80A05">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noWrap w:val="0"/>
            <w:vAlign w:val="center"/>
          </w:tcPr>
          <w:p w14:paraId="28366B8D">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noWrap w:val="0"/>
            <w:vAlign w:val="center"/>
          </w:tcPr>
          <w:p w14:paraId="5A41C04F">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noWrap w:val="0"/>
            <w:vAlign w:val="center"/>
          </w:tcPr>
          <w:p w14:paraId="52DE675B">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noWrap w:val="0"/>
            <w:vAlign w:val="center"/>
          </w:tcPr>
          <w:p w14:paraId="2D5C5C53">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C386E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1EB772C4">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noWrap w:val="0"/>
            <w:vAlign w:val="center"/>
          </w:tcPr>
          <w:p w14:paraId="7B427BE4">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0BB07FD5">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noWrap w:val="0"/>
            <w:vAlign w:val="center"/>
          </w:tcPr>
          <w:p w14:paraId="57CBB4A2">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noWrap w:val="0"/>
            <w:vAlign w:val="center"/>
          </w:tcPr>
          <w:p w14:paraId="63840AA9">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noWrap w:val="0"/>
            <w:vAlign w:val="center"/>
          </w:tcPr>
          <w:p w14:paraId="226AC7CD">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noWrap w:val="0"/>
            <w:vAlign w:val="center"/>
          </w:tcPr>
          <w:p w14:paraId="36E02903">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noWrap w:val="0"/>
            <w:vAlign w:val="center"/>
          </w:tcPr>
          <w:p w14:paraId="16B99E72">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noWrap w:val="0"/>
            <w:vAlign w:val="center"/>
          </w:tcPr>
          <w:p w14:paraId="1DBC476B">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noWrap w:val="0"/>
            <w:vAlign w:val="center"/>
          </w:tcPr>
          <w:p w14:paraId="454E4A91">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DA4E1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53707F35">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noWrap w:val="0"/>
            <w:vAlign w:val="center"/>
          </w:tcPr>
          <w:p w14:paraId="68798853">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3B684E6D">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noWrap w:val="0"/>
            <w:vAlign w:val="center"/>
          </w:tcPr>
          <w:p w14:paraId="1D2BF7CA">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noWrap w:val="0"/>
            <w:vAlign w:val="center"/>
          </w:tcPr>
          <w:p w14:paraId="79190259">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noWrap w:val="0"/>
            <w:vAlign w:val="center"/>
          </w:tcPr>
          <w:p w14:paraId="143F6FE7">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noWrap w:val="0"/>
            <w:vAlign w:val="center"/>
          </w:tcPr>
          <w:p w14:paraId="7808DC0A">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noWrap w:val="0"/>
            <w:vAlign w:val="center"/>
          </w:tcPr>
          <w:p w14:paraId="7D6005BC">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noWrap w:val="0"/>
            <w:vAlign w:val="center"/>
          </w:tcPr>
          <w:p w14:paraId="41A217B5">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noWrap w:val="0"/>
            <w:vAlign w:val="center"/>
          </w:tcPr>
          <w:p w14:paraId="739F5572">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7B291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275AEE93">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noWrap w:val="0"/>
            <w:vAlign w:val="center"/>
          </w:tcPr>
          <w:p w14:paraId="38E4F043">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70B37105">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noWrap w:val="0"/>
            <w:vAlign w:val="center"/>
          </w:tcPr>
          <w:p w14:paraId="50807A75">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noWrap w:val="0"/>
            <w:vAlign w:val="center"/>
          </w:tcPr>
          <w:p w14:paraId="3E11421A">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noWrap w:val="0"/>
            <w:vAlign w:val="center"/>
          </w:tcPr>
          <w:p w14:paraId="114CA95F">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noWrap w:val="0"/>
            <w:vAlign w:val="center"/>
          </w:tcPr>
          <w:p w14:paraId="250F4466">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noWrap w:val="0"/>
            <w:vAlign w:val="center"/>
          </w:tcPr>
          <w:p w14:paraId="46D97C33">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noWrap w:val="0"/>
            <w:vAlign w:val="center"/>
          </w:tcPr>
          <w:p w14:paraId="7FC00A22">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noWrap w:val="0"/>
            <w:vAlign w:val="center"/>
          </w:tcPr>
          <w:p w14:paraId="1638BBD7">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63D10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48E1BA9B">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16EFEAA7">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01DC79FC">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4AF42B85">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7BA2986C">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62298813">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400CDE72">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63EBD6A1">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0DFE0925">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17C12AAE">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56E72D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15B360C1">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99" w:type="dxa"/>
            <w:noWrap w:val="0"/>
            <w:vAlign w:val="center"/>
          </w:tcPr>
          <w:p w14:paraId="4CD4C6A3">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2C7A08DC">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20" w:type="dxa"/>
            <w:noWrap w:val="0"/>
            <w:vAlign w:val="center"/>
          </w:tcPr>
          <w:p w14:paraId="1A892167">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90" w:type="dxa"/>
            <w:noWrap w:val="0"/>
            <w:vAlign w:val="center"/>
          </w:tcPr>
          <w:p w14:paraId="75BD65F3">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44" w:type="dxa"/>
            <w:noWrap w:val="0"/>
            <w:vAlign w:val="center"/>
          </w:tcPr>
          <w:p w14:paraId="50A0E078">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9" w:type="dxa"/>
            <w:noWrap w:val="0"/>
            <w:vAlign w:val="center"/>
          </w:tcPr>
          <w:p w14:paraId="08720FE3">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16" w:type="dxa"/>
            <w:noWrap w:val="0"/>
            <w:vAlign w:val="center"/>
          </w:tcPr>
          <w:p w14:paraId="3E0B5487">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87" w:type="dxa"/>
            <w:noWrap w:val="0"/>
            <w:vAlign w:val="center"/>
          </w:tcPr>
          <w:p w14:paraId="6C6EA562">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783" w:type="dxa"/>
            <w:noWrap w:val="0"/>
            <w:vAlign w:val="center"/>
          </w:tcPr>
          <w:p w14:paraId="7A26CF9A">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B60C3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3206551D">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361FAFE8">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50627891">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1F9166B3">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047F468E">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31BAA5A9">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238C8DDE">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0BF6AB86">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6630AD38">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7D056FC3">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41AA55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7C92A7D2">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6EF74C3C">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118D9966">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360C71F2">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19F9A7E9">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525C63EC">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21A87632">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411C8E17">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7E9DBE4E">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0A020E27">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282BA9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70691779">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68B82702">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52BDCDF0">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08813917">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5EC4FDE3">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34390DDD">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292BBA1F">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290D3C57">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6CC693CE">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52ED1773">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2F52A4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12031E89">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23DC245D">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3F984CAA">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6A39C8DD">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64F9E707">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111ED899">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31CCC1B6">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276CE7A8">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15A2F646">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727720CA">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40DE8D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668F4CA8">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63B2DDB1">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50C18089">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0477E427">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3633D431">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37F8CC2F">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58A4DCEE">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6B809B75">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457BF61F">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5D03ADCE">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21DA39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0AB5658B">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5758312B">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64B7A1E9">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04938AFF">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73E7F9BD">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5F3A0095">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269DCAC6">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5317F367">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0AC938BD">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63C0055F">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3D036F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3E95793A">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419F5209">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068DCDBA">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07EEBCFA">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32F69426">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0D9BB4A6">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0DE548D3">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7F67CFA7">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61CE8BE2">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7D5EE8AE">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r w14:paraId="73D3F8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02" w:type="dxa"/>
            <w:noWrap w:val="0"/>
            <w:vAlign w:val="center"/>
          </w:tcPr>
          <w:p w14:paraId="2432B920">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99" w:type="dxa"/>
            <w:noWrap w:val="0"/>
            <w:vAlign w:val="center"/>
          </w:tcPr>
          <w:p w14:paraId="3871F68E">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134" w:type="dxa"/>
            <w:noWrap w:val="0"/>
            <w:vAlign w:val="center"/>
          </w:tcPr>
          <w:p w14:paraId="4BE59F53">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20" w:type="dxa"/>
            <w:noWrap w:val="0"/>
            <w:vAlign w:val="center"/>
          </w:tcPr>
          <w:p w14:paraId="601162C4">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690" w:type="dxa"/>
            <w:noWrap w:val="0"/>
            <w:vAlign w:val="center"/>
          </w:tcPr>
          <w:p w14:paraId="6C6A2CE6">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044" w:type="dxa"/>
            <w:noWrap w:val="0"/>
            <w:vAlign w:val="center"/>
          </w:tcPr>
          <w:p w14:paraId="0A42B876">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9" w:type="dxa"/>
            <w:noWrap w:val="0"/>
            <w:vAlign w:val="center"/>
          </w:tcPr>
          <w:p w14:paraId="4D188AB9">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16" w:type="dxa"/>
            <w:noWrap w:val="0"/>
            <w:vAlign w:val="center"/>
          </w:tcPr>
          <w:p w14:paraId="0673A08A">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1487" w:type="dxa"/>
            <w:noWrap w:val="0"/>
            <w:vAlign w:val="center"/>
          </w:tcPr>
          <w:p w14:paraId="455648D8">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c>
          <w:tcPr>
            <w:tcW w:w="783" w:type="dxa"/>
            <w:noWrap w:val="0"/>
            <w:vAlign w:val="center"/>
          </w:tcPr>
          <w:p w14:paraId="245A37F7">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p>
        </w:tc>
      </w:tr>
    </w:tbl>
    <w:p w14:paraId="6FD3AD90">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338509AD">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3F333B10">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03EC7AFF">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2A249D51">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20B5C67A">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附件3：    </w:t>
      </w:r>
    </w:p>
    <w:p w14:paraId="45868814">
      <w:pPr>
        <w:pStyle w:val="42"/>
        <w:keepNext w:val="0"/>
        <w:keepLines w:val="0"/>
        <w:pageBreakBefore w:val="0"/>
        <w:widowControl w:val="0"/>
        <w:tabs>
          <w:tab w:val="left" w:pos="0"/>
        </w:tabs>
        <w:wordWrap/>
        <w:topLinePunct w:val="0"/>
        <w:bidi w:val="0"/>
        <w:spacing w:line="276" w:lineRule="auto"/>
        <w:ind w:firstLine="0" w:firstLineChars="0"/>
        <w:rPr>
          <w:color w:val="auto"/>
          <w:sz w:val="30"/>
          <w:szCs w:val="30"/>
          <w:highlight w:val="none"/>
        </w:rPr>
      </w:pPr>
      <w:r>
        <w:rPr>
          <w:color w:val="auto"/>
          <w:sz w:val="30"/>
          <w:szCs w:val="30"/>
          <w:highlight w:val="none"/>
        </w:rPr>
        <w:t xml:space="preserve">  </w:t>
      </w:r>
    </w:p>
    <w:p w14:paraId="505F0DC9">
      <w:pPr>
        <w:pStyle w:val="21"/>
        <w:keepNext w:val="0"/>
        <w:keepLines w:val="0"/>
        <w:pageBreakBefore w:val="0"/>
        <w:widowControl w:val="0"/>
        <w:wordWrap/>
        <w:topLinePunct w:val="0"/>
        <w:bidi w:val="0"/>
        <w:jc w:val="center"/>
        <w:rPr>
          <w:rFonts w:ascii="宋体" w:hAnsi="宋体"/>
          <w:color w:val="auto"/>
          <w:sz w:val="28"/>
          <w:szCs w:val="28"/>
          <w:highlight w:val="none"/>
        </w:rPr>
      </w:pPr>
      <w:r>
        <w:rPr>
          <w:rFonts w:ascii="宋体" w:hAnsi="宋体"/>
          <w:color w:val="auto"/>
          <w:sz w:val="28"/>
          <w:szCs w:val="28"/>
          <w:highlight w:val="none"/>
        </w:rPr>
        <w:t>工程质量保修书</w:t>
      </w:r>
    </w:p>
    <w:p w14:paraId="469A5C88">
      <w:pPr>
        <w:pStyle w:val="20"/>
        <w:keepNext w:val="0"/>
        <w:keepLines w:val="0"/>
        <w:pageBreakBefore w:val="0"/>
        <w:widowControl w:val="0"/>
        <w:wordWrap/>
        <w:topLinePunct w:val="0"/>
        <w:bidi w:val="0"/>
        <w:rPr>
          <w:color w:val="auto"/>
          <w:highlight w:val="none"/>
        </w:rPr>
      </w:pPr>
    </w:p>
    <w:p w14:paraId="198E1265">
      <w:pPr>
        <w:pStyle w:val="42"/>
        <w:keepNext w:val="0"/>
        <w:keepLines w:val="0"/>
        <w:pageBreakBefore w:val="0"/>
        <w:widowControl w:val="0"/>
        <w:wordWrap/>
        <w:topLinePunct w:val="0"/>
        <w:bidi w:val="0"/>
        <w:spacing w:line="320" w:lineRule="exact"/>
        <w:ind w:firstLine="0" w:firstLineChars="0"/>
        <w:rPr>
          <w:rFonts w:ascii="宋体" w:hAnsi="宋体" w:cs="宋体"/>
          <w:color w:val="auto"/>
          <w:highlight w:val="none"/>
        </w:rPr>
      </w:pPr>
      <w:r>
        <w:rPr>
          <w:rFonts w:hint="eastAsia" w:ascii="宋体" w:hAnsi="宋体" w:cs="宋体"/>
          <w:color w:val="auto"/>
          <w:highlight w:val="none"/>
        </w:rPr>
        <w:t>发包人（全称）：</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 xml:space="preserve"> </w:t>
      </w:r>
    </w:p>
    <w:p w14:paraId="0F7295A3">
      <w:pPr>
        <w:pStyle w:val="42"/>
        <w:keepNext w:val="0"/>
        <w:keepLines w:val="0"/>
        <w:pageBreakBefore w:val="0"/>
        <w:widowControl w:val="0"/>
        <w:wordWrap/>
        <w:topLinePunct w:val="0"/>
        <w:bidi w:val="0"/>
        <w:spacing w:line="320" w:lineRule="exact"/>
        <w:ind w:firstLine="0" w:firstLineChars="0"/>
        <w:rPr>
          <w:rFonts w:ascii="宋体" w:hAnsi="宋体" w:cs="宋体"/>
          <w:color w:val="auto"/>
          <w:highlight w:val="none"/>
        </w:rPr>
      </w:pPr>
      <w:r>
        <w:rPr>
          <w:rFonts w:hint="eastAsia" w:ascii="宋体" w:hAnsi="宋体" w:cs="宋体"/>
          <w:color w:val="auto"/>
          <w:highlight w:val="none"/>
        </w:rPr>
        <w:t>承包人（全称）：</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 xml:space="preserve"> </w:t>
      </w:r>
    </w:p>
    <w:p w14:paraId="54019034">
      <w:pPr>
        <w:pStyle w:val="21"/>
        <w:keepNext w:val="0"/>
        <w:keepLines w:val="0"/>
        <w:pageBreakBefore w:val="0"/>
        <w:widowControl w:val="0"/>
        <w:wordWrap/>
        <w:topLinePunct w:val="0"/>
        <w:bidi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为保证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lang w:eastAsia="zh-CN"/>
        </w:rPr>
        <w:t>工程</w:t>
      </w:r>
      <w:r>
        <w:rPr>
          <w:rFonts w:hint="eastAsia" w:ascii="宋体" w:hAnsi="宋体" w:cs="宋体"/>
          <w:color w:val="auto"/>
          <w:szCs w:val="21"/>
          <w:highlight w:val="none"/>
        </w:rPr>
        <w:t>在合理使用期限内正常使用，经发包人、承包人协商一致签订本工程质量保修书。承包人在质量保修期内按照有关管理规定及双方约定承担工程质量保修责任。</w:t>
      </w:r>
    </w:p>
    <w:p w14:paraId="261803FE">
      <w:pPr>
        <w:pStyle w:val="45"/>
        <w:keepNext w:val="0"/>
        <w:keepLines w:val="0"/>
        <w:pageBreakBefore w:val="0"/>
        <w:widowControl w:val="0"/>
        <w:wordWrap/>
        <w:topLinePunct w:val="0"/>
        <w:bidi w:val="0"/>
        <w:spacing w:line="400" w:lineRule="exact"/>
        <w:ind w:firstLine="420" w:firstLineChars="200"/>
        <w:outlineLvl w:val="9"/>
        <w:rPr>
          <w:rFonts w:ascii="宋体" w:hAnsi="宋体" w:cs="宋体"/>
          <w:color w:val="auto"/>
          <w:szCs w:val="21"/>
          <w:highlight w:val="none"/>
        </w:rPr>
      </w:pPr>
      <w:bookmarkStart w:id="2311" w:name="_Toc3496"/>
      <w:bookmarkStart w:id="2312" w:name="_Toc522201808"/>
      <w:r>
        <w:rPr>
          <w:rFonts w:hint="eastAsia" w:ascii="宋体" w:hAnsi="宋体" w:cs="宋体"/>
          <w:color w:val="auto"/>
          <w:szCs w:val="21"/>
          <w:highlight w:val="none"/>
        </w:rPr>
        <w:t>一、工程保修范围和内容</w:t>
      </w:r>
      <w:bookmarkEnd w:id="2311"/>
      <w:bookmarkEnd w:id="2312"/>
    </w:p>
    <w:p w14:paraId="66A117ED">
      <w:pPr>
        <w:pStyle w:val="21"/>
        <w:keepNext w:val="0"/>
        <w:keepLines w:val="0"/>
        <w:pageBreakBefore w:val="0"/>
        <w:widowControl w:val="0"/>
        <w:wordWrap/>
        <w:topLinePunct w:val="0"/>
        <w:bidi w:val="0"/>
        <w:spacing w:line="400" w:lineRule="exact"/>
        <w:ind w:firstLine="420" w:firstLineChars="200"/>
        <w:rPr>
          <w:rFonts w:ascii="宋体" w:hAnsi="宋体" w:cs="宋体"/>
          <w:color w:val="auto"/>
          <w:szCs w:val="21"/>
          <w:highlight w:val="none"/>
        </w:rPr>
      </w:pPr>
      <w:r>
        <w:rPr>
          <w:rFonts w:hint="eastAsia" w:ascii="宋体" w:hAnsi="宋体" w:cs="宋体"/>
          <w:color w:val="auto"/>
          <w:highlight w:val="none"/>
        </w:rPr>
        <w:t>质量保修范围为施工图纸所包括的工程内容</w:t>
      </w:r>
      <w:r>
        <w:rPr>
          <w:rFonts w:hint="eastAsia" w:ascii="宋体" w:hAnsi="宋体" w:cs="宋体"/>
          <w:color w:val="auto"/>
          <w:highlight w:val="none"/>
          <w:lang w:eastAsia="zh-CN"/>
        </w:rPr>
        <w:t>，</w:t>
      </w:r>
      <w:r>
        <w:rPr>
          <w:rFonts w:hint="eastAsia" w:ascii="宋体" w:hAnsi="宋体" w:cs="宋体"/>
          <w:color w:val="auto"/>
          <w:szCs w:val="21"/>
          <w:highlight w:val="none"/>
        </w:rPr>
        <w:t>具体质量保修内容双方约定如下：</w:t>
      </w:r>
      <w:r>
        <w:rPr>
          <w:rFonts w:hint="eastAsia" w:ascii="宋体" w:hAnsi="宋体" w:cs="宋体"/>
          <w:color w:val="auto"/>
          <w:szCs w:val="21"/>
          <w:highlight w:val="none"/>
          <w:u w:val="single"/>
        </w:rPr>
        <w:t xml:space="preserve"> 承包方所承包施工的全部工程内容 </w:t>
      </w:r>
      <w:r>
        <w:rPr>
          <w:rFonts w:hint="eastAsia" w:ascii="宋体" w:hAnsi="宋体" w:cs="宋体"/>
          <w:color w:val="auto"/>
          <w:szCs w:val="21"/>
          <w:highlight w:val="none"/>
        </w:rPr>
        <w:t>。</w:t>
      </w:r>
    </w:p>
    <w:p w14:paraId="21F6AE8C">
      <w:pPr>
        <w:pStyle w:val="45"/>
        <w:keepNext w:val="0"/>
        <w:keepLines w:val="0"/>
        <w:pageBreakBefore w:val="0"/>
        <w:widowControl w:val="0"/>
        <w:wordWrap/>
        <w:topLinePunct w:val="0"/>
        <w:bidi w:val="0"/>
        <w:spacing w:line="400" w:lineRule="exact"/>
        <w:ind w:firstLine="420" w:firstLineChars="200"/>
        <w:outlineLvl w:val="9"/>
        <w:rPr>
          <w:rFonts w:ascii="宋体" w:hAnsi="宋体" w:cs="宋体"/>
          <w:color w:val="auto"/>
          <w:szCs w:val="21"/>
          <w:highlight w:val="none"/>
        </w:rPr>
      </w:pPr>
      <w:bookmarkStart w:id="2313" w:name="_Toc522201809"/>
      <w:bookmarkStart w:id="2314" w:name="_Toc21338"/>
      <w:r>
        <w:rPr>
          <w:rFonts w:hint="eastAsia" w:ascii="宋体" w:hAnsi="宋体" w:cs="宋体"/>
          <w:color w:val="auto"/>
          <w:szCs w:val="21"/>
          <w:highlight w:val="none"/>
        </w:rPr>
        <w:t>二、</w:t>
      </w:r>
      <w:r>
        <w:rPr>
          <w:rFonts w:hint="eastAsia" w:ascii="宋体" w:hAnsi="宋体" w:cs="宋体"/>
          <w:color w:val="auto"/>
          <w:szCs w:val="21"/>
          <w:highlight w:val="none"/>
          <w:lang w:eastAsia="zh-CN"/>
        </w:rPr>
        <w:t>质量</w:t>
      </w:r>
      <w:r>
        <w:rPr>
          <w:rFonts w:hint="eastAsia" w:ascii="宋体" w:hAnsi="宋体" w:cs="宋体"/>
          <w:color w:val="auto"/>
          <w:szCs w:val="21"/>
          <w:highlight w:val="none"/>
        </w:rPr>
        <w:t>保修期</w:t>
      </w:r>
      <w:bookmarkEnd w:id="2313"/>
      <w:bookmarkEnd w:id="2314"/>
    </w:p>
    <w:p w14:paraId="63547F56">
      <w:pPr>
        <w:pStyle w:val="46"/>
        <w:keepNext w:val="0"/>
        <w:keepLines w:val="0"/>
        <w:pageBreakBefore w:val="0"/>
        <w:widowControl w:val="0"/>
        <w:wordWrap/>
        <w:topLinePunct w:val="0"/>
        <w:bidi w:val="0"/>
        <w:spacing w:line="360" w:lineRule="auto"/>
        <w:ind w:firstLine="540"/>
        <w:rPr>
          <w:rFonts w:hint="eastAsia" w:ascii="宋体" w:hAnsi="宋体" w:cs="宋体"/>
          <w:color w:val="auto"/>
          <w:highlight w:val="none"/>
        </w:rPr>
      </w:pPr>
      <w:r>
        <w:rPr>
          <w:rFonts w:hint="eastAsia" w:ascii="宋体" w:hAnsi="宋体" w:cs="宋体"/>
          <w:color w:val="auto"/>
          <w:highlight w:val="none"/>
        </w:rPr>
        <w:t>质量保修期从工程实际竣工验收通过之日算起。分单项竣工验收的工程，按单项工程分别计算质量保修期。</w:t>
      </w:r>
    </w:p>
    <w:p w14:paraId="65A830E3">
      <w:pPr>
        <w:pStyle w:val="22"/>
        <w:keepNext w:val="0"/>
        <w:keepLines w:val="0"/>
        <w:pageBreakBefore w:val="0"/>
        <w:widowControl w:val="0"/>
        <w:wordWrap/>
        <w:topLinePunct w:val="0"/>
        <w:bidi w:val="0"/>
        <w:spacing w:line="360" w:lineRule="auto"/>
        <w:ind w:firstLine="420"/>
        <w:rPr>
          <w:rStyle w:val="29"/>
          <w:rFonts w:ascii="Times New Roman" w:hAnsi="宋体" w:eastAsia="宋体" w:cs="Times New Roman"/>
          <w:color w:val="auto"/>
          <w:szCs w:val="21"/>
          <w:highlight w:val="none"/>
        </w:rPr>
      </w:pPr>
      <w:r>
        <w:rPr>
          <w:rStyle w:val="29"/>
          <w:rFonts w:hint="eastAsia" w:ascii="Times New Roman" w:hAnsi="宋体" w:eastAsia="宋体" w:cs="宋体"/>
          <w:color w:val="auto"/>
          <w:szCs w:val="21"/>
          <w:highlight w:val="none"/>
        </w:rPr>
        <w:t>根据《建设工程质量管理条例》及有关规定，工程的质量保修期如下：</w:t>
      </w:r>
    </w:p>
    <w:p w14:paraId="6FFDAF66">
      <w:pPr>
        <w:pStyle w:val="47"/>
        <w:keepNext w:val="0"/>
        <w:keepLines w:val="0"/>
        <w:pageBreakBefore w:val="0"/>
        <w:widowControl w:val="0"/>
        <w:wordWrap/>
        <w:topLinePunct w:val="0"/>
        <w:bidi w:val="0"/>
        <w:spacing w:line="360" w:lineRule="auto"/>
        <w:ind w:firstLine="420"/>
        <w:rPr>
          <w:rStyle w:val="29"/>
          <w:rFonts w:ascii="Calibri" w:hAnsi="宋体" w:eastAsia="宋体" w:cs="Times New Roman"/>
          <w:color w:val="auto"/>
          <w:highlight w:val="none"/>
        </w:rPr>
      </w:pPr>
      <w:r>
        <w:rPr>
          <w:rStyle w:val="29"/>
          <w:rFonts w:ascii="Calibri" w:hAnsi="Calibri" w:eastAsia="宋体" w:cs="Times New Roman"/>
          <w:color w:val="auto"/>
          <w:highlight w:val="none"/>
        </w:rPr>
        <w:t>1</w:t>
      </w:r>
      <w:r>
        <w:rPr>
          <w:rStyle w:val="29"/>
          <w:rFonts w:hint="eastAsia" w:ascii="Calibri" w:hAnsi="宋体" w:eastAsia="宋体" w:cs="宋体"/>
          <w:color w:val="auto"/>
          <w:highlight w:val="none"/>
        </w:rPr>
        <w:t>．地基基础工程和主体结构工程为设计文件规定的工程合理使用年限；</w:t>
      </w:r>
    </w:p>
    <w:p w14:paraId="50BCB5A6">
      <w:pPr>
        <w:pStyle w:val="47"/>
        <w:keepNext w:val="0"/>
        <w:keepLines w:val="0"/>
        <w:pageBreakBefore w:val="0"/>
        <w:widowControl w:val="0"/>
        <w:wordWrap/>
        <w:topLinePunct w:val="0"/>
        <w:bidi w:val="0"/>
        <w:spacing w:line="360" w:lineRule="auto"/>
        <w:ind w:firstLine="420"/>
        <w:rPr>
          <w:rStyle w:val="29"/>
          <w:rFonts w:ascii="Calibri" w:hAnsi="宋体" w:eastAsia="宋体" w:cs="Times New Roman"/>
          <w:color w:val="auto"/>
          <w:highlight w:val="none"/>
        </w:rPr>
      </w:pPr>
      <w:r>
        <w:rPr>
          <w:rStyle w:val="29"/>
          <w:rFonts w:ascii="Calibri" w:hAnsi="Calibri" w:eastAsia="宋体" w:cs="Times New Roman"/>
          <w:color w:val="auto"/>
          <w:highlight w:val="none"/>
        </w:rPr>
        <w:t>2</w:t>
      </w:r>
      <w:r>
        <w:rPr>
          <w:rStyle w:val="29"/>
          <w:rFonts w:hint="eastAsia" w:ascii="Calibri" w:hAnsi="宋体" w:eastAsia="宋体" w:cs="宋体"/>
          <w:color w:val="auto"/>
          <w:highlight w:val="none"/>
        </w:rPr>
        <w:t>．屋面防水工程、有防水要求的卫生间、房间和外墙面的防渗为</w:t>
      </w:r>
      <w:r>
        <w:rPr>
          <w:rStyle w:val="29"/>
          <w:rFonts w:ascii="Calibri" w:hAnsi="Calibri" w:eastAsia="宋体" w:cs="Times New Roman"/>
          <w:color w:val="auto"/>
          <w:highlight w:val="none"/>
          <w:u w:val="single"/>
        </w:rPr>
        <w:t xml:space="preserve"> </w:t>
      </w:r>
      <w:r>
        <w:rPr>
          <w:rStyle w:val="29"/>
          <w:rFonts w:hint="eastAsia" w:ascii="Calibri" w:hAnsi="Calibri" w:eastAsia="宋体" w:cs="Times New Roman"/>
          <w:color w:val="auto"/>
          <w:highlight w:val="none"/>
          <w:u w:val="single"/>
        </w:rPr>
        <w:t>5</w:t>
      </w:r>
      <w:r>
        <w:rPr>
          <w:rStyle w:val="29"/>
          <w:rFonts w:ascii="Calibri" w:hAnsi="Calibri" w:eastAsia="宋体" w:cs="Times New Roman"/>
          <w:color w:val="auto"/>
          <w:highlight w:val="none"/>
          <w:u w:val="single"/>
        </w:rPr>
        <w:t xml:space="preserve">  </w:t>
      </w:r>
      <w:r>
        <w:rPr>
          <w:rStyle w:val="29"/>
          <w:rFonts w:hint="eastAsia" w:ascii="Calibri" w:hAnsi="宋体" w:eastAsia="宋体" w:cs="宋体"/>
          <w:color w:val="auto"/>
          <w:highlight w:val="none"/>
        </w:rPr>
        <w:t>年；</w:t>
      </w:r>
    </w:p>
    <w:p w14:paraId="2FD62066">
      <w:pPr>
        <w:pStyle w:val="47"/>
        <w:keepNext w:val="0"/>
        <w:keepLines w:val="0"/>
        <w:pageBreakBefore w:val="0"/>
        <w:widowControl w:val="0"/>
        <w:wordWrap/>
        <w:topLinePunct w:val="0"/>
        <w:bidi w:val="0"/>
        <w:spacing w:line="360" w:lineRule="auto"/>
        <w:ind w:firstLine="420"/>
        <w:rPr>
          <w:rStyle w:val="29"/>
          <w:rFonts w:ascii="Calibri" w:hAnsi="宋体" w:eastAsia="宋体" w:cs="Times New Roman"/>
          <w:color w:val="auto"/>
          <w:highlight w:val="none"/>
        </w:rPr>
      </w:pPr>
      <w:r>
        <w:rPr>
          <w:rStyle w:val="29"/>
          <w:rFonts w:ascii="Calibri" w:hAnsi="Calibri" w:eastAsia="宋体" w:cs="Times New Roman"/>
          <w:color w:val="auto"/>
          <w:highlight w:val="none"/>
        </w:rPr>
        <w:t>3</w:t>
      </w:r>
      <w:r>
        <w:rPr>
          <w:rStyle w:val="29"/>
          <w:rFonts w:hint="eastAsia" w:ascii="Calibri" w:hAnsi="宋体" w:eastAsia="宋体" w:cs="宋体"/>
          <w:color w:val="auto"/>
          <w:highlight w:val="none"/>
        </w:rPr>
        <w:t>．装修工程为</w:t>
      </w:r>
      <w:r>
        <w:rPr>
          <w:rStyle w:val="29"/>
          <w:rFonts w:ascii="Calibri" w:hAnsi="Calibri" w:eastAsia="宋体" w:cs="Times New Roman"/>
          <w:color w:val="auto"/>
          <w:highlight w:val="none"/>
          <w:u w:val="single"/>
        </w:rPr>
        <w:t xml:space="preserve"> </w:t>
      </w:r>
      <w:r>
        <w:rPr>
          <w:rStyle w:val="29"/>
          <w:rFonts w:hint="eastAsia" w:ascii="Calibri" w:hAnsi="Calibri" w:eastAsia="宋体" w:cs="Times New Roman"/>
          <w:color w:val="auto"/>
          <w:highlight w:val="none"/>
          <w:u w:val="single"/>
        </w:rPr>
        <w:t>2</w:t>
      </w:r>
      <w:r>
        <w:rPr>
          <w:rStyle w:val="29"/>
          <w:rFonts w:ascii="Calibri" w:hAnsi="Calibri" w:eastAsia="宋体" w:cs="Times New Roman"/>
          <w:color w:val="auto"/>
          <w:highlight w:val="none"/>
          <w:u w:val="single"/>
        </w:rPr>
        <w:t xml:space="preserve"> </w:t>
      </w:r>
      <w:r>
        <w:rPr>
          <w:rStyle w:val="29"/>
          <w:rFonts w:hint="eastAsia" w:ascii="Calibri" w:hAnsi="宋体" w:eastAsia="宋体" w:cs="宋体"/>
          <w:color w:val="auto"/>
          <w:highlight w:val="none"/>
        </w:rPr>
        <w:t>年；</w:t>
      </w:r>
    </w:p>
    <w:p w14:paraId="0E104AFA">
      <w:pPr>
        <w:pStyle w:val="47"/>
        <w:keepNext w:val="0"/>
        <w:keepLines w:val="0"/>
        <w:pageBreakBefore w:val="0"/>
        <w:widowControl w:val="0"/>
        <w:wordWrap/>
        <w:topLinePunct w:val="0"/>
        <w:bidi w:val="0"/>
        <w:spacing w:line="360" w:lineRule="auto"/>
        <w:ind w:firstLine="420"/>
        <w:rPr>
          <w:rStyle w:val="29"/>
          <w:rFonts w:ascii="Calibri" w:hAnsi="宋体" w:eastAsia="宋体" w:cs="Times New Roman"/>
          <w:color w:val="auto"/>
          <w:highlight w:val="none"/>
        </w:rPr>
      </w:pPr>
      <w:r>
        <w:rPr>
          <w:rStyle w:val="29"/>
          <w:rFonts w:ascii="Calibri" w:hAnsi="Calibri" w:eastAsia="宋体" w:cs="Times New Roman"/>
          <w:color w:val="auto"/>
          <w:highlight w:val="none"/>
        </w:rPr>
        <w:t>4</w:t>
      </w:r>
      <w:r>
        <w:rPr>
          <w:rStyle w:val="29"/>
          <w:rFonts w:hint="eastAsia" w:ascii="Calibri" w:hAnsi="宋体" w:eastAsia="宋体" w:cs="宋体"/>
          <w:color w:val="auto"/>
          <w:highlight w:val="none"/>
        </w:rPr>
        <w:t>．电气管线、给排水管道、设备安装工程为</w:t>
      </w:r>
      <w:r>
        <w:rPr>
          <w:rStyle w:val="29"/>
          <w:rFonts w:ascii="Calibri" w:hAnsi="Calibri" w:eastAsia="宋体" w:cs="Times New Roman"/>
          <w:color w:val="auto"/>
          <w:highlight w:val="none"/>
          <w:u w:val="single"/>
        </w:rPr>
        <w:t xml:space="preserve"> </w:t>
      </w:r>
      <w:r>
        <w:rPr>
          <w:rStyle w:val="29"/>
          <w:rFonts w:hint="eastAsia" w:ascii="Calibri" w:hAnsi="Calibri" w:eastAsia="宋体" w:cs="Times New Roman"/>
          <w:color w:val="auto"/>
          <w:highlight w:val="none"/>
          <w:u w:val="single"/>
        </w:rPr>
        <w:t>2</w:t>
      </w:r>
      <w:r>
        <w:rPr>
          <w:rStyle w:val="29"/>
          <w:rFonts w:ascii="Calibri" w:hAnsi="Calibri" w:eastAsia="宋体" w:cs="Times New Roman"/>
          <w:color w:val="auto"/>
          <w:highlight w:val="none"/>
          <w:u w:val="single"/>
        </w:rPr>
        <w:t xml:space="preserve"> </w:t>
      </w:r>
      <w:r>
        <w:rPr>
          <w:rStyle w:val="29"/>
          <w:rFonts w:hint="eastAsia" w:ascii="Calibri" w:hAnsi="宋体" w:eastAsia="宋体" w:cs="宋体"/>
          <w:color w:val="auto"/>
          <w:highlight w:val="none"/>
        </w:rPr>
        <w:t>年；</w:t>
      </w:r>
    </w:p>
    <w:p w14:paraId="15CF8AFC">
      <w:pPr>
        <w:pStyle w:val="47"/>
        <w:keepNext w:val="0"/>
        <w:keepLines w:val="0"/>
        <w:pageBreakBefore w:val="0"/>
        <w:widowControl w:val="0"/>
        <w:wordWrap/>
        <w:topLinePunct w:val="0"/>
        <w:bidi w:val="0"/>
        <w:spacing w:line="360" w:lineRule="auto"/>
        <w:ind w:firstLine="420"/>
        <w:rPr>
          <w:rStyle w:val="29"/>
          <w:rFonts w:ascii="Calibri" w:hAnsi="宋体" w:eastAsia="宋体" w:cs="Times New Roman"/>
          <w:color w:val="auto"/>
          <w:highlight w:val="none"/>
        </w:rPr>
      </w:pPr>
      <w:r>
        <w:rPr>
          <w:rStyle w:val="29"/>
          <w:rFonts w:ascii="Calibri" w:hAnsi="Calibri" w:eastAsia="宋体" w:cs="Times New Roman"/>
          <w:color w:val="auto"/>
          <w:highlight w:val="none"/>
        </w:rPr>
        <w:t>5</w:t>
      </w:r>
      <w:r>
        <w:rPr>
          <w:rStyle w:val="29"/>
          <w:rFonts w:hint="eastAsia" w:ascii="Calibri" w:hAnsi="宋体" w:eastAsia="宋体" w:cs="宋体"/>
          <w:color w:val="auto"/>
          <w:highlight w:val="none"/>
        </w:rPr>
        <w:t>．供热与供冷系统为</w:t>
      </w:r>
      <w:r>
        <w:rPr>
          <w:rStyle w:val="29"/>
          <w:rFonts w:ascii="Calibri" w:hAnsi="Calibri" w:eastAsia="宋体" w:cs="Times New Roman"/>
          <w:color w:val="auto"/>
          <w:highlight w:val="none"/>
          <w:u w:val="single"/>
        </w:rPr>
        <w:t xml:space="preserve"> </w:t>
      </w:r>
      <w:r>
        <w:rPr>
          <w:rStyle w:val="29"/>
          <w:rFonts w:hint="eastAsia" w:ascii="Calibri" w:hAnsi="Calibri" w:eastAsia="宋体" w:cs="Times New Roman"/>
          <w:color w:val="auto"/>
          <w:highlight w:val="none"/>
          <w:u w:val="single"/>
        </w:rPr>
        <w:t>2</w:t>
      </w:r>
      <w:r>
        <w:rPr>
          <w:rStyle w:val="29"/>
          <w:rFonts w:ascii="Calibri" w:hAnsi="Calibri" w:eastAsia="宋体" w:cs="Times New Roman"/>
          <w:color w:val="auto"/>
          <w:highlight w:val="none"/>
          <w:u w:val="single"/>
        </w:rPr>
        <w:t xml:space="preserve"> </w:t>
      </w:r>
      <w:r>
        <w:rPr>
          <w:rStyle w:val="29"/>
          <w:rFonts w:hint="eastAsia" w:ascii="Calibri" w:hAnsi="宋体" w:eastAsia="宋体" w:cs="宋体"/>
          <w:color w:val="auto"/>
          <w:highlight w:val="none"/>
        </w:rPr>
        <w:t>个采暖期、供冷期；</w:t>
      </w:r>
    </w:p>
    <w:p w14:paraId="4AE75F68">
      <w:pPr>
        <w:pStyle w:val="22"/>
        <w:keepNext w:val="0"/>
        <w:keepLines w:val="0"/>
        <w:pageBreakBefore w:val="0"/>
        <w:widowControl w:val="0"/>
        <w:wordWrap/>
        <w:topLinePunct w:val="0"/>
        <w:bidi w:val="0"/>
        <w:spacing w:line="360" w:lineRule="auto"/>
        <w:ind w:firstLine="420"/>
        <w:rPr>
          <w:rStyle w:val="29"/>
          <w:rFonts w:ascii="Calibri" w:hAnsi="宋体" w:eastAsia="宋体" w:cs="Times New Roman"/>
          <w:color w:val="auto"/>
          <w:highlight w:val="none"/>
        </w:rPr>
      </w:pPr>
      <w:r>
        <w:rPr>
          <w:rStyle w:val="29"/>
          <w:rFonts w:ascii="Calibri" w:hAnsi="Calibri" w:eastAsia="宋体" w:cs="Times New Roman"/>
          <w:color w:val="auto"/>
          <w:highlight w:val="none"/>
        </w:rPr>
        <w:t>6</w:t>
      </w:r>
      <w:r>
        <w:rPr>
          <w:rStyle w:val="29"/>
          <w:rFonts w:hint="eastAsia" w:ascii="Calibri" w:hAnsi="宋体" w:eastAsia="宋体" w:cs="宋体"/>
          <w:color w:val="auto"/>
          <w:highlight w:val="none"/>
        </w:rPr>
        <w:t>．住宅小区内的给排水设施、道路等配套工程为</w:t>
      </w:r>
      <w:r>
        <w:rPr>
          <w:rStyle w:val="29"/>
          <w:rFonts w:ascii="Calibri" w:hAnsi="Calibri" w:eastAsia="宋体" w:cs="Times New Roman"/>
          <w:color w:val="auto"/>
          <w:highlight w:val="none"/>
          <w:u w:val="single"/>
        </w:rPr>
        <w:t xml:space="preserve"> </w:t>
      </w:r>
      <w:r>
        <w:rPr>
          <w:rStyle w:val="29"/>
          <w:rFonts w:hint="eastAsia" w:ascii="Calibri" w:hAnsi="Calibri" w:eastAsia="宋体" w:cs="Times New Roman"/>
          <w:color w:val="auto"/>
          <w:highlight w:val="none"/>
          <w:u w:val="single"/>
        </w:rPr>
        <w:t>2</w:t>
      </w:r>
      <w:r>
        <w:rPr>
          <w:rStyle w:val="29"/>
          <w:rFonts w:ascii="Calibri" w:hAnsi="Calibri" w:eastAsia="宋体" w:cs="Times New Roman"/>
          <w:color w:val="auto"/>
          <w:highlight w:val="none"/>
          <w:u w:val="single"/>
        </w:rPr>
        <w:t xml:space="preserve"> </w:t>
      </w:r>
      <w:r>
        <w:rPr>
          <w:rStyle w:val="29"/>
          <w:rFonts w:hint="eastAsia" w:ascii="Calibri" w:hAnsi="宋体" w:eastAsia="宋体" w:cs="宋体"/>
          <w:color w:val="auto"/>
          <w:highlight w:val="none"/>
        </w:rPr>
        <w:t>年；</w:t>
      </w:r>
    </w:p>
    <w:p w14:paraId="2478F1E7">
      <w:pPr>
        <w:pStyle w:val="47"/>
        <w:keepNext w:val="0"/>
        <w:keepLines w:val="0"/>
        <w:pageBreakBefore w:val="0"/>
        <w:widowControl w:val="0"/>
        <w:wordWrap/>
        <w:topLinePunct w:val="0"/>
        <w:bidi w:val="0"/>
        <w:spacing w:line="360" w:lineRule="auto"/>
        <w:ind w:firstLine="420"/>
        <w:rPr>
          <w:rStyle w:val="29"/>
          <w:rFonts w:hint="eastAsia" w:ascii="Times New Roman" w:hAnsi="宋体" w:eastAsia="宋体" w:cs="宋体"/>
          <w:color w:val="auto"/>
          <w:szCs w:val="21"/>
          <w:highlight w:val="none"/>
        </w:rPr>
      </w:pPr>
      <w:r>
        <w:rPr>
          <w:rStyle w:val="29"/>
          <w:rFonts w:hint="eastAsia" w:ascii="Times New Roman" w:hAnsi="宋体" w:eastAsia="宋体" w:cs="宋体"/>
          <w:color w:val="auto"/>
          <w:szCs w:val="21"/>
          <w:highlight w:val="none"/>
        </w:rPr>
        <w:t>7．桥梁工程为  /  年（桥梁隧道主体结构工程为设计文件规定的合理使用年限）；</w:t>
      </w:r>
    </w:p>
    <w:p w14:paraId="6A5CC944">
      <w:pPr>
        <w:pStyle w:val="47"/>
        <w:keepNext w:val="0"/>
        <w:keepLines w:val="0"/>
        <w:pageBreakBefore w:val="0"/>
        <w:widowControl w:val="0"/>
        <w:wordWrap/>
        <w:topLinePunct w:val="0"/>
        <w:bidi w:val="0"/>
        <w:spacing w:line="360" w:lineRule="auto"/>
        <w:ind w:firstLine="420"/>
        <w:rPr>
          <w:rStyle w:val="29"/>
          <w:rFonts w:hint="eastAsia" w:ascii="Times New Roman" w:hAnsi="宋体" w:eastAsia="宋体" w:cs="宋体"/>
          <w:color w:val="auto"/>
          <w:szCs w:val="21"/>
          <w:highlight w:val="none"/>
        </w:rPr>
      </w:pPr>
      <w:r>
        <w:rPr>
          <w:rStyle w:val="29"/>
          <w:rFonts w:hint="eastAsia" w:ascii="Times New Roman" w:hAnsi="宋体" w:eastAsia="宋体" w:cs="宋体"/>
          <w:color w:val="auto"/>
          <w:szCs w:val="21"/>
          <w:highlight w:val="none"/>
        </w:rPr>
        <w:t xml:space="preserve">8．道路工程为 </w:t>
      </w:r>
      <w:r>
        <w:rPr>
          <w:rStyle w:val="29"/>
          <w:rFonts w:hint="eastAsia" w:ascii="Times New Roman" w:hAnsi="宋体" w:eastAsia="宋体" w:cs="宋体"/>
          <w:color w:val="auto"/>
          <w:szCs w:val="21"/>
          <w:highlight w:val="none"/>
          <w:u w:val="single"/>
        </w:rPr>
        <w:t xml:space="preserve">  2  </w:t>
      </w:r>
      <w:r>
        <w:rPr>
          <w:rStyle w:val="29"/>
          <w:rFonts w:hint="eastAsia" w:ascii="Times New Roman" w:hAnsi="宋体" w:eastAsia="宋体" w:cs="宋体"/>
          <w:color w:val="auto"/>
          <w:szCs w:val="21"/>
          <w:highlight w:val="none"/>
        </w:rPr>
        <w:t>年（建议路基、路面、桥面为2年）；</w:t>
      </w:r>
    </w:p>
    <w:p w14:paraId="48D20981">
      <w:pPr>
        <w:pStyle w:val="47"/>
        <w:keepNext w:val="0"/>
        <w:keepLines w:val="0"/>
        <w:pageBreakBefore w:val="0"/>
        <w:widowControl w:val="0"/>
        <w:wordWrap/>
        <w:topLinePunct w:val="0"/>
        <w:bidi w:val="0"/>
        <w:spacing w:line="360" w:lineRule="auto"/>
        <w:ind w:firstLine="420"/>
        <w:rPr>
          <w:rStyle w:val="29"/>
          <w:rFonts w:hint="eastAsia" w:ascii="Times New Roman" w:hAnsi="宋体" w:eastAsia="宋体" w:cs="宋体"/>
          <w:color w:val="auto"/>
          <w:szCs w:val="21"/>
          <w:highlight w:val="none"/>
        </w:rPr>
      </w:pPr>
      <w:r>
        <w:rPr>
          <w:rStyle w:val="29"/>
          <w:rFonts w:hint="eastAsia" w:ascii="Times New Roman" w:hAnsi="宋体" w:eastAsia="宋体" w:cs="宋体"/>
          <w:color w:val="auto"/>
          <w:szCs w:val="21"/>
          <w:highlight w:val="none"/>
        </w:rPr>
        <w:t xml:space="preserve">9．排水（雨水）工程为 </w:t>
      </w:r>
      <w:r>
        <w:rPr>
          <w:rStyle w:val="29"/>
          <w:rFonts w:hint="eastAsia" w:ascii="Times New Roman" w:hAnsi="宋体" w:eastAsia="宋体" w:cs="宋体"/>
          <w:color w:val="auto"/>
          <w:szCs w:val="21"/>
          <w:highlight w:val="none"/>
          <w:u w:val="single"/>
        </w:rPr>
        <w:t xml:space="preserve"> 3 </w:t>
      </w:r>
      <w:r>
        <w:rPr>
          <w:rStyle w:val="29"/>
          <w:rFonts w:hint="eastAsia" w:ascii="Times New Roman" w:hAnsi="宋体" w:eastAsia="宋体" w:cs="宋体"/>
          <w:color w:val="auto"/>
          <w:szCs w:val="21"/>
          <w:highlight w:val="none"/>
        </w:rPr>
        <w:t xml:space="preserve">  年（建议道路工程中的排水工程为3年）；</w:t>
      </w:r>
    </w:p>
    <w:p w14:paraId="34DEDB89">
      <w:pPr>
        <w:pStyle w:val="47"/>
        <w:keepNext w:val="0"/>
        <w:keepLines w:val="0"/>
        <w:pageBreakBefore w:val="0"/>
        <w:widowControl w:val="0"/>
        <w:wordWrap/>
        <w:topLinePunct w:val="0"/>
        <w:bidi w:val="0"/>
        <w:spacing w:line="360" w:lineRule="auto"/>
        <w:ind w:firstLine="420"/>
        <w:rPr>
          <w:rStyle w:val="29"/>
          <w:rFonts w:hint="eastAsia" w:ascii="Times New Roman" w:hAnsi="宋体" w:eastAsia="宋体" w:cs="宋体"/>
          <w:color w:val="auto"/>
          <w:szCs w:val="21"/>
          <w:highlight w:val="none"/>
        </w:rPr>
      </w:pPr>
      <w:r>
        <w:rPr>
          <w:rStyle w:val="29"/>
          <w:rFonts w:hint="eastAsia" w:ascii="Times New Roman" w:hAnsi="宋体" w:eastAsia="宋体" w:cs="宋体"/>
          <w:color w:val="auto"/>
          <w:szCs w:val="21"/>
          <w:highlight w:val="none"/>
        </w:rPr>
        <w:t>10．绿化工程为单位工程竣工验收合格后  1 年；</w:t>
      </w:r>
    </w:p>
    <w:p w14:paraId="0300B94A">
      <w:pPr>
        <w:pStyle w:val="47"/>
        <w:keepNext w:val="0"/>
        <w:keepLines w:val="0"/>
        <w:pageBreakBefore w:val="0"/>
        <w:widowControl w:val="0"/>
        <w:wordWrap/>
        <w:topLinePunct w:val="0"/>
        <w:bidi w:val="0"/>
        <w:spacing w:line="360" w:lineRule="auto"/>
        <w:ind w:firstLine="420"/>
        <w:rPr>
          <w:rStyle w:val="29"/>
          <w:rFonts w:hint="eastAsia" w:ascii="Times New Roman" w:hAnsi="宋体" w:eastAsia="宋体" w:cs="宋体"/>
          <w:color w:val="auto"/>
          <w:szCs w:val="21"/>
          <w:highlight w:val="none"/>
        </w:rPr>
      </w:pPr>
      <w:r>
        <w:rPr>
          <w:rStyle w:val="29"/>
          <w:rFonts w:hint="eastAsia" w:ascii="Times New Roman" w:hAnsi="宋体" w:eastAsia="宋体" w:cs="宋体"/>
          <w:color w:val="auto"/>
          <w:szCs w:val="21"/>
          <w:highlight w:val="none"/>
        </w:rPr>
        <w:t xml:space="preserve">11. 地下防水工程为 </w:t>
      </w:r>
      <w:r>
        <w:rPr>
          <w:rStyle w:val="29"/>
          <w:rFonts w:hint="eastAsia" w:ascii="Times New Roman" w:hAnsi="宋体" w:eastAsia="宋体" w:cs="宋体"/>
          <w:color w:val="auto"/>
          <w:szCs w:val="21"/>
          <w:highlight w:val="none"/>
          <w:u w:val="single"/>
        </w:rPr>
        <w:t xml:space="preserve">  5 </w:t>
      </w:r>
      <w:r>
        <w:rPr>
          <w:rStyle w:val="29"/>
          <w:rFonts w:hint="eastAsia" w:ascii="Times New Roman" w:hAnsi="宋体" w:eastAsia="宋体" w:cs="宋体"/>
          <w:color w:val="auto"/>
          <w:szCs w:val="21"/>
          <w:highlight w:val="none"/>
        </w:rPr>
        <w:t xml:space="preserve"> 年（建议为5年）；</w:t>
      </w:r>
    </w:p>
    <w:p w14:paraId="4292B379">
      <w:pPr>
        <w:pStyle w:val="21"/>
        <w:keepNext w:val="0"/>
        <w:keepLines w:val="0"/>
        <w:pageBreakBefore w:val="0"/>
        <w:widowControl w:val="0"/>
        <w:wordWrap/>
        <w:topLinePunct w:val="0"/>
        <w:bidi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其他项目保修期限约定如下：</w:t>
      </w:r>
      <w:r>
        <w:rPr>
          <w:rFonts w:hint="eastAsia" w:ascii="宋体" w:hAnsi="宋体" w:cs="宋体"/>
          <w:color w:val="auto"/>
          <w:szCs w:val="21"/>
          <w:highlight w:val="none"/>
          <w:u w:val="single"/>
        </w:rPr>
        <w:t xml:space="preserve"> 本工程其余项目质保期均为两年，质量保修规范如国家有新规定，则按新规定执行 </w:t>
      </w:r>
      <w:r>
        <w:rPr>
          <w:rFonts w:hint="eastAsia" w:ascii="宋体" w:hAnsi="宋体" w:cs="宋体"/>
          <w:color w:val="auto"/>
          <w:szCs w:val="21"/>
          <w:highlight w:val="none"/>
        </w:rPr>
        <w:t>。</w:t>
      </w:r>
    </w:p>
    <w:p w14:paraId="2DBDEA5C">
      <w:pPr>
        <w:pStyle w:val="21"/>
        <w:keepNext w:val="0"/>
        <w:keepLines w:val="0"/>
        <w:pageBreakBefore w:val="0"/>
        <w:widowControl w:val="0"/>
        <w:wordWrap/>
        <w:topLinePunct w:val="0"/>
        <w:bidi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质量保修期自工程竣工验收合格之日起计算。 </w:t>
      </w:r>
    </w:p>
    <w:p w14:paraId="72149736">
      <w:pPr>
        <w:pStyle w:val="45"/>
        <w:keepNext w:val="0"/>
        <w:keepLines w:val="0"/>
        <w:pageBreakBefore w:val="0"/>
        <w:widowControl w:val="0"/>
        <w:wordWrap/>
        <w:topLinePunct w:val="0"/>
        <w:bidi w:val="0"/>
        <w:spacing w:line="400" w:lineRule="exact"/>
        <w:ind w:firstLine="420" w:firstLineChars="200"/>
        <w:outlineLvl w:val="9"/>
        <w:rPr>
          <w:rFonts w:ascii="宋体" w:hAnsi="宋体" w:cs="宋体"/>
          <w:color w:val="auto"/>
          <w:szCs w:val="21"/>
          <w:highlight w:val="none"/>
        </w:rPr>
      </w:pPr>
      <w:bookmarkStart w:id="2315" w:name="_Toc15923"/>
      <w:r>
        <w:rPr>
          <w:rFonts w:hint="eastAsia" w:ascii="宋体" w:hAnsi="宋体" w:cs="宋体"/>
          <w:color w:val="auto"/>
          <w:szCs w:val="21"/>
          <w:highlight w:val="none"/>
        </w:rPr>
        <w:t>三、缺陷责任期</w:t>
      </w:r>
      <w:bookmarkEnd w:id="2315"/>
    </w:p>
    <w:p w14:paraId="13ABF88A">
      <w:pPr>
        <w:pStyle w:val="21"/>
        <w:keepNext w:val="0"/>
        <w:keepLines w:val="0"/>
        <w:pageBreakBefore w:val="0"/>
        <w:widowControl w:val="0"/>
        <w:wordWrap/>
        <w:topLinePunct w:val="0"/>
        <w:bidi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工程缺陷责任期为</w:t>
      </w:r>
      <w:r>
        <w:rPr>
          <w:rFonts w:hint="eastAsia" w:ascii="宋体" w:hAnsi="宋体" w:cs="宋体"/>
          <w:color w:val="auto"/>
          <w:szCs w:val="21"/>
          <w:highlight w:val="none"/>
          <w:u w:val="single"/>
        </w:rPr>
        <w:t xml:space="preserve"> 24 </w:t>
      </w:r>
      <w:r>
        <w:rPr>
          <w:rFonts w:hint="eastAsia" w:ascii="宋体" w:hAnsi="宋体" w:cs="宋体"/>
          <w:color w:val="auto"/>
          <w:szCs w:val="21"/>
          <w:highlight w:val="none"/>
        </w:rPr>
        <w:t>个月（最长不超过24个月），缺陷责任期自工程竣工验收合格之日起计算。单位工程先于全部工程进行验收，单位工程缺陷责任期自单位工程验收合格之日起算。</w:t>
      </w:r>
    </w:p>
    <w:p w14:paraId="458923CA">
      <w:pPr>
        <w:pStyle w:val="21"/>
        <w:keepNext w:val="0"/>
        <w:keepLines w:val="0"/>
        <w:pageBreakBefore w:val="0"/>
        <w:widowControl w:val="0"/>
        <w:wordWrap/>
        <w:topLinePunct w:val="0"/>
        <w:bidi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缺陷责任期终止后，发包人应退还剩余的质量保证金。</w:t>
      </w:r>
    </w:p>
    <w:p w14:paraId="6598D9D0">
      <w:pPr>
        <w:pStyle w:val="45"/>
        <w:keepNext w:val="0"/>
        <w:keepLines w:val="0"/>
        <w:pageBreakBefore w:val="0"/>
        <w:widowControl w:val="0"/>
        <w:wordWrap/>
        <w:topLinePunct w:val="0"/>
        <w:bidi w:val="0"/>
        <w:spacing w:line="400" w:lineRule="exact"/>
        <w:ind w:firstLine="420" w:firstLineChars="200"/>
        <w:outlineLvl w:val="9"/>
        <w:rPr>
          <w:rFonts w:ascii="宋体" w:hAnsi="宋体" w:cs="宋体"/>
          <w:color w:val="auto"/>
          <w:szCs w:val="21"/>
          <w:highlight w:val="none"/>
        </w:rPr>
      </w:pPr>
      <w:bookmarkStart w:id="2316" w:name="_Toc15183"/>
      <w:r>
        <w:rPr>
          <w:rFonts w:hint="eastAsia" w:ascii="宋体" w:hAnsi="宋体" w:cs="宋体"/>
          <w:color w:val="auto"/>
          <w:szCs w:val="21"/>
          <w:highlight w:val="none"/>
        </w:rPr>
        <w:t>四、质量保修责任</w:t>
      </w:r>
      <w:bookmarkEnd w:id="2316"/>
    </w:p>
    <w:p w14:paraId="2D2FE143">
      <w:pPr>
        <w:pStyle w:val="21"/>
        <w:keepNext w:val="0"/>
        <w:keepLines w:val="0"/>
        <w:pageBreakBefore w:val="0"/>
        <w:widowControl w:val="0"/>
        <w:wordWrap/>
        <w:topLinePunct w:val="0"/>
        <w:bidi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1．属于保修范围、内容的项目，承包人应当在接到保修通知之日起</w:t>
      </w:r>
      <w:r>
        <w:rPr>
          <w:rFonts w:hint="eastAsia" w:ascii="宋体" w:hAnsi="宋体" w:cs="宋体"/>
          <w:color w:val="auto"/>
          <w:szCs w:val="21"/>
          <w:highlight w:val="none"/>
          <w:u w:val="single"/>
        </w:rPr>
        <w:t xml:space="preserve">  三 </w:t>
      </w:r>
      <w:r>
        <w:rPr>
          <w:rFonts w:hint="eastAsia" w:ascii="宋体" w:hAnsi="宋体" w:cs="宋体"/>
          <w:color w:val="auto"/>
          <w:szCs w:val="21"/>
          <w:highlight w:val="none"/>
        </w:rPr>
        <w:t>天内派人保修。承包人不在约定期限内派人保修的，发包人可以委托他人修理，修理费用从</w:t>
      </w:r>
      <w:r>
        <w:rPr>
          <w:rFonts w:hint="eastAsia" w:ascii="宋体" w:hAnsi="宋体" w:cs="宋体"/>
          <w:color w:val="auto"/>
          <w:szCs w:val="21"/>
          <w:highlight w:val="none"/>
          <w:lang w:eastAsia="zh-CN"/>
        </w:rPr>
        <w:t>质量保证金</w:t>
      </w:r>
      <w:r>
        <w:rPr>
          <w:rFonts w:hint="eastAsia" w:ascii="宋体" w:hAnsi="宋体" w:cs="宋体"/>
          <w:color w:val="auto"/>
          <w:szCs w:val="21"/>
          <w:highlight w:val="none"/>
        </w:rPr>
        <w:t>内扣除。</w:t>
      </w:r>
    </w:p>
    <w:p w14:paraId="1EBCA79C">
      <w:pPr>
        <w:pStyle w:val="21"/>
        <w:keepNext w:val="0"/>
        <w:keepLines w:val="0"/>
        <w:pageBreakBefore w:val="0"/>
        <w:widowControl w:val="0"/>
        <w:wordWrap/>
        <w:topLinePunct w:val="0"/>
        <w:bidi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2．发生紧急事故需抢修的，承包人在接到事故通知后，应当立即到达事故现场抢修。</w:t>
      </w:r>
    </w:p>
    <w:p w14:paraId="532EDAD5">
      <w:pPr>
        <w:pStyle w:val="21"/>
        <w:keepNext w:val="0"/>
        <w:keepLines w:val="0"/>
        <w:pageBreakBefore w:val="0"/>
        <w:widowControl w:val="0"/>
        <w:wordWrap/>
        <w:topLinePunct w:val="0"/>
        <w:bidi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5F190A17">
      <w:pPr>
        <w:pStyle w:val="21"/>
        <w:keepNext w:val="0"/>
        <w:keepLines w:val="0"/>
        <w:pageBreakBefore w:val="0"/>
        <w:widowControl w:val="0"/>
        <w:wordWrap/>
        <w:topLinePunct w:val="0"/>
        <w:bidi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4．质量保修完成后，由发包人组织验收。</w:t>
      </w:r>
    </w:p>
    <w:p w14:paraId="603FB120">
      <w:pPr>
        <w:pStyle w:val="45"/>
        <w:keepNext w:val="0"/>
        <w:keepLines w:val="0"/>
        <w:pageBreakBefore w:val="0"/>
        <w:widowControl w:val="0"/>
        <w:wordWrap/>
        <w:topLinePunct w:val="0"/>
        <w:bidi w:val="0"/>
        <w:spacing w:line="400" w:lineRule="exact"/>
        <w:ind w:firstLine="420" w:firstLineChars="200"/>
        <w:outlineLvl w:val="9"/>
        <w:rPr>
          <w:rFonts w:ascii="宋体" w:hAnsi="宋体" w:cs="宋体"/>
          <w:color w:val="auto"/>
          <w:szCs w:val="21"/>
          <w:highlight w:val="none"/>
        </w:rPr>
      </w:pPr>
      <w:bookmarkStart w:id="2317" w:name="_Toc30389"/>
      <w:r>
        <w:rPr>
          <w:rFonts w:hint="eastAsia" w:ascii="宋体" w:hAnsi="宋体" w:cs="宋体"/>
          <w:color w:val="auto"/>
          <w:szCs w:val="21"/>
          <w:highlight w:val="none"/>
        </w:rPr>
        <w:t>五、保修费用</w:t>
      </w:r>
      <w:bookmarkEnd w:id="2317"/>
    </w:p>
    <w:p w14:paraId="12B3C674">
      <w:pPr>
        <w:pStyle w:val="21"/>
        <w:keepNext w:val="0"/>
        <w:keepLines w:val="0"/>
        <w:pageBreakBefore w:val="0"/>
        <w:widowControl w:val="0"/>
        <w:wordWrap/>
        <w:topLinePunct w:val="0"/>
        <w:bidi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保修费用由造成质量缺陷的责任方承担。</w:t>
      </w:r>
    </w:p>
    <w:p w14:paraId="6AD0EF09">
      <w:pPr>
        <w:pStyle w:val="42"/>
        <w:keepNext w:val="0"/>
        <w:keepLines w:val="0"/>
        <w:pageBreakBefore w:val="0"/>
        <w:widowControl w:val="0"/>
        <w:numPr>
          <w:ilvl w:val="0"/>
          <w:numId w:val="8"/>
        </w:numPr>
        <w:wordWrap/>
        <w:topLinePunct w:val="0"/>
        <w:bidi w:val="0"/>
        <w:spacing w:line="400" w:lineRule="exact"/>
        <w:rPr>
          <w:rFonts w:ascii="宋体" w:hAnsi="宋体" w:cs="宋体"/>
          <w:color w:val="auto"/>
          <w:highlight w:val="none"/>
          <w:u w:val="single"/>
        </w:rPr>
      </w:pPr>
      <w:r>
        <w:rPr>
          <w:rFonts w:hint="eastAsia" w:ascii="宋体" w:hAnsi="宋体" w:cs="宋体"/>
          <w:color w:val="auto"/>
          <w:highlight w:val="none"/>
        </w:rPr>
        <w:t xml:space="preserve">双方约定的其他工程质量保修事项：  1. </w:t>
      </w:r>
      <w:r>
        <w:rPr>
          <w:rFonts w:hint="eastAsia" w:ascii="宋体" w:hAnsi="宋体" w:cs="宋体"/>
          <w:color w:val="auto"/>
          <w:highlight w:val="none"/>
          <w:u w:val="single"/>
        </w:rPr>
        <w:t>承包人未按照法律法规有关规定和合同约定履行质量保修义务的，发包人有权从质量保证金中扣留用于质量保修的各项支出。</w:t>
      </w:r>
    </w:p>
    <w:p w14:paraId="0A64A48C">
      <w:pPr>
        <w:pStyle w:val="42"/>
        <w:keepNext w:val="0"/>
        <w:keepLines w:val="0"/>
        <w:pageBreakBefore w:val="0"/>
        <w:widowControl w:val="0"/>
        <w:numPr>
          <w:ilvl w:val="0"/>
          <w:numId w:val="9"/>
        </w:numPr>
        <w:wordWrap/>
        <w:topLinePunct w:val="0"/>
        <w:bidi w:val="0"/>
        <w:spacing w:line="400" w:lineRule="exact"/>
        <w:rPr>
          <w:rFonts w:ascii="宋体" w:hAnsi="宋体" w:cs="宋体"/>
          <w:color w:val="auto"/>
          <w:highlight w:val="none"/>
          <w:u w:val="single"/>
        </w:rPr>
      </w:pPr>
      <w:r>
        <w:rPr>
          <w:rFonts w:hint="eastAsia" w:ascii="宋体" w:hAnsi="宋体" w:cs="宋体"/>
          <w:color w:val="auto"/>
          <w:highlight w:val="none"/>
          <w:u w:val="single"/>
          <w:lang w:eastAsia="zh-CN"/>
        </w:rPr>
        <w:t>质量保证金</w:t>
      </w:r>
      <w:r>
        <w:rPr>
          <w:rFonts w:hint="eastAsia" w:ascii="宋体" w:hAnsi="宋体" w:cs="宋体"/>
          <w:color w:val="auto"/>
          <w:highlight w:val="none"/>
          <w:u w:val="single"/>
        </w:rPr>
        <w:t>比例：工程结算价的</w:t>
      </w:r>
      <w:r>
        <w:rPr>
          <w:rFonts w:hint="eastAsia" w:ascii="宋体" w:hAnsi="宋体" w:cs="宋体"/>
          <w:color w:val="auto"/>
          <w:highlight w:val="none"/>
          <w:u w:val="single"/>
          <w:lang w:val="en-US" w:eastAsia="zh-CN"/>
        </w:rPr>
        <w:t>3</w:t>
      </w:r>
      <w:r>
        <w:rPr>
          <w:rFonts w:hint="eastAsia" w:ascii="宋体" w:hAnsi="宋体" w:cs="宋体"/>
          <w:color w:val="auto"/>
          <w:highlight w:val="none"/>
          <w:u w:val="single"/>
        </w:rPr>
        <w:t>%。</w:t>
      </w:r>
    </w:p>
    <w:p w14:paraId="109CBD80">
      <w:pPr>
        <w:pStyle w:val="42"/>
        <w:keepNext w:val="0"/>
        <w:keepLines w:val="0"/>
        <w:pageBreakBefore w:val="0"/>
        <w:widowControl w:val="0"/>
        <w:numPr>
          <w:ilvl w:val="0"/>
          <w:numId w:val="9"/>
        </w:numPr>
        <w:wordWrap/>
        <w:topLinePunct w:val="0"/>
        <w:bidi w:val="0"/>
        <w:spacing w:line="400" w:lineRule="exact"/>
        <w:rPr>
          <w:rFonts w:ascii="宋体" w:hAnsi="宋体" w:cs="宋体"/>
          <w:color w:val="auto"/>
          <w:highlight w:val="none"/>
        </w:rPr>
      </w:pPr>
      <w:r>
        <w:rPr>
          <w:rFonts w:hint="eastAsia" w:ascii="宋体" w:hAnsi="宋体" w:cs="宋体"/>
          <w:color w:val="auto"/>
          <w:highlight w:val="none"/>
          <w:u w:val="single"/>
          <w:lang w:eastAsia="zh-CN"/>
        </w:rPr>
        <w:t>质量保证金</w:t>
      </w:r>
      <w:r>
        <w:rPr>
          <w:rFonts w:hint="eastAsia" w:ascii="宋体" w:hAnsi="宋体" w:cs="宋体"/>
          <w:color w:val="auto"/>
          <w:highlight w:val="none"/>
          <w:u w:val="single"/>
        </w:rPr>
        <w:t>返还：发包人在工程竣工验收合格之日起满两年后14天内将保修金（无息）的返回给承包人，</w:t>
      </w:r>
      <w:r>
        <w:rPr>
          <w:rFonts w:hint="eastAsia" w:ascii="宋体" w:hAnsi="宋体" w:cs="宋体"/>
          <w:color w:val="auto"/>
          <w:highlight w:val="none"/>
          <w:u w:val="single"/>
          <w:lang w:eastAsia="zh-CN"/>
        </w:rPr>
        <w:t>质量保证金</w:t>
      </w:r>
      <w:r>
        <w:rPr>
          <w:rFonts w:hint="eastAsia" w:ascii="宋体" w:hAnsi="宋体" w:cs="宋体"/>
          <w:color w:val="auto"/>
          <w:highlight w:val="none"/>
          <w:u w:val="single"/>
        </w:rPr>
        <w:t xml:space="preserve">的返还，并不能免除承包人按照合同约定应承担的质量保修责任和应履行的质量保修义务  </w:t>
      </w:r>
      <w:r>
        <w:rPr>
          <w:rFonts w:hint="eastAsia" w:ascii="宋体" w:hAnsi="宋体" w:cs="宋体"/>
          <w:color w:val="auto"/>
          <w:highlight w:val="none"/>
        </w:rPr>
        <w:t>。</w:t>
      </w:r>
    </w:p>
    <w:p w14:paraId="644281D4">
      <w:pPr>
        <w:pStyle w:val="21"/>
        <w:keepNext w:val="0"/>
        <w:keepLines w:val="0"/>
        <w:pageBreakBefore w:val="0"/>
        <w:widowControl w:val="0"/>
        <w:wordWrap/>
        <w:topLinePunct w:val="0"/>
        <w:bidi w:val="0"/>
        <w:spacing w:line="3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工程质量保修书由发包人、承包人在工程竣工验收前共同签署，作为施工合同附件，其有效期限至保修期满。</w:t>
      </w:r>
    </w:p>
    <w:p w14:paraId="321EA6D8">
      <w:pPr>
        <w:pStyle w:val="21"/>
        <w:keepNext w:val="0"/>
        <w:keepLines w:val="0"/>
        <w:pageBreakBefore w:val="0"/>
        <w:widowControl w:val="0"/>
        <w:wordWrap/>
        <w:topLinePunct w:val="0"/>
        <w:bidi w:val="0"/>
        <w:spacing w:line="320" w:lineRule="exact"/>
        <w:ind w:firstLine="420" w:firstLineChars="200"/>
        <w:rPr>
          <w:rFonts w:ascii="宋体" w:hAnsi="宋体" w:cs="宋体"/>
          <w:color w:val="auto"/>
          <w:szCs w:val="21"/>
          <w:highlight w:val="none"/>
        </w:rPr>
      </w:pPr>
    </w:p>
    <w:p w14:paraId="42AA8A7C">
      <w:pPr>
        <w:pStyle w:val="20"/>
        <w:keepNext w:val="0"/>
        <w:keepLines w:val="0"/>
        <w:pageBreakBefore w:val="0"/>
        <w:widowControl w:val="0"/>
        <w:wordWrap/>
        <w:topLinePunct w:val="0"/>
        <w:bidi w:val="0"/>
        <w:ind w:left="63" w:right="63"/>
        <w:rPr>
          <w:rFonts w:hint="eastAsia"/>
          <w:color w:val="auto"/>
          <w:highlight w:val="none"/>
          <w:lang w:val="en-US" w:eastAsia="zh-CN"/>
        </w:rPr>
      </w:pPr>
    </w:p>
    <w:p w14:paraId="50009CF8">
      <w:pPr>
        <w:pStyle w:val="42"/>
        <w:keepNext w:val="0"/>
        <w:keepLines w:val="0"/>
        <w:pageBreakBefore w:val="0"/>
        <w:widowControl w:val="0"/>
        <w:wordWrap/>
        <w:topLinePunct w:val="0"/>
        <w:bidi w:val="0"/>
        <w:spacing w:line="320" w:lineRule="exact"/>
        <w:ind w:left="0" w:leftChars="0" w:firstLine="0" w:firstLineChars="0"/>
        <w:rPr>
          <w:rFonts w:hint="default" w:ascii="宋体" w:hAnsi="宋体" w:eastAsia="宋体" w:cs="宋体"/>
          <w:color w:val="auto"/>
          <w:highlight w:val="none"/>
          <w:u w:val="single"/>
          <w:lang w:val="en-US" w:eastAsia="zh-CN"/>
        </w:rPr>
      </w:pPr>
      <w:r>
        <w:rPr>
          <w:rFonts w:hint="eastAsia" w:ascii="宋体" w:hAnsi="宋体" w:cs="宋体"/>
          <w:color w:val="auto"/>
          <w:highlight w:val="none"/>
        </w:rPr>
        <w:t>发包人(公章)：</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none"/>
          <w:lang w:val="en-US" w:eastAsia="zh-CN"/>
        </w:rPr>
        <w:t xml:space="preserve">                </w:t>
      </w:r>
      <w:r>
        <w:rPr>
          <w:rFonts w:hint="eastAsia" w:ascii="宋体" w:hAnsi="宋体" w:cs="宋体"/>
          <w:color w:val="auto"/>
          <w:highlight w:val="none"/>
        </w:rPr>
        <w:t>承包人(公章)：</w:t>
      </w:r>
      <w:r>
        <w:rPr>
          <w:rFonts w:hint="eastAsia" w:ascii="宋体" w:hAnsi="宋体" w:cs="宋体"/>
          <w:color w:val="auto"/>
          <w:highlight w:val="none"/>
          <w:u w:val="single"/>
          <w:lang w:val="en-US" w:eastAsia="zh-CN"/>
        </w:rPr>
        <w:t xml:space="preserve">  </w:t>
      </w:r>
    </w:p>
    <w:p w14:paraId="22DA710D">
      <w:pPr>
        <w:pStyle w:val="42"/>
        <w:keepNext w:val="0"/>
        <w:keepLines w:val="0"/>
        <w:pageBreakBefore w:val="0"/>
        <w:widowControl w:val="0"/>
        <w:wordWrap/>
        <w:topLinePunct w:val="0"/>
        <w:bidi w:val="0"/>
        <w:spacing w:line="320" w:lineRule="exact"/>
        <w:ind w:left="0" w:leftChars="0" w:firstLine="0" w:firstLineChars="0"/>
        <w:rPr>
          <w:rFonts w:ascii="宋体" w:hAnsi="宋体" w:cs="宋体"/>
          <w:color w:val="auto"/>
          <w:highlight w:val="none"/>
        </w:rPr>
      </w:pPr>
      <w:r>
        <w:rPr>
          <w:rFonts w:hint="eastAsia" w:ascii="宋体" w:hAnsi="宋体" w:cs="宋体"/>
          <w:color w:val="auto"/>
          <w:highlight w:val="none"/>
        </w:rPr>
        <w:t xml:space="preserve"> </w:t>
      </w:r>
    </w:p>
    <w:p w14:paraId="674669BD">
      <w:pPr>
        <w:pStyle w:val="42"/>
        <w:keepNext w:val="0"/>
        <w:keepLines w:val="0"/>
        <w:pageBreakBefore w:val="0"/>
        <w:widowControl w:val="0"/>
        <w:wordWrap/>
        <w:topLinePunct w:val="0"/>
        <w:bidi w:val="0"/>
        <w:spacing w:line="320" w:lineRule="exact"/>
        <w:ind w:left="0" w:leftChars="0" w:firstLine="0" w:firstLineChars="0"/>
        <w:rPr>
          <w:rFonts w:hint="eastAsia" w:ascii="宋体" w:hAnsi="宋体" w:eastAsia="宋体" w:cs="宋体"/>
          <w:color w:val="auto"/>
          <w:highlight w:val="none"/>
          <w:lang w:eastAsia="zh-CN"/>
        </w:rPr>
      </w:pPr>
      <w:r>
        <w:rPr>
          <w:rFonts w:hint="eastAsia" w:ascii="宋体" w:hAnsi="宋体" w:cs="宋体"/>
          <w:color w:val="auto"/>
          <w:highlight w:val="none"/>
        </w:rPr>
        <w:t>地  址：</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 xml:space="preserve"> </w:t>
      </w:r>
      <w:r>
        <w:rPr>
          <w:rFonts w:hint="eastAsia" w:ascii="宋体" w:hAnsi="宋体" w:cs="宋体"/>
          <w:color w:val="auto"/>
          <w:highlight w:val="none"/>
          <w:lang w:val="en-US" w:eastAsia="zh-CN"/>
        </w:rPr>
        <w:t xml:space="preserve">  </w:t>
      </w:r>
      <w:r>
        <w:rPr>
          <w:rFonts w:hint="eastAsia" w:ascii="宋体" w:hAnsi="宋体" w:cs="宋体"/>
          <w:color w:val="auto"/>
          <w:highlight w:val="none"/>
        </w:rPr>
        <w:t xml:space="preserve">   </w:t>
      </w:r>
      <w:r>
        <w:rPr>
          <w:rFonts w:hint="eastAsia" w:ascii="宋体" w:hAnsi="宋体" w:cs="宋体"/>
          <w:color w:val="auto"/>
          <w:highlight w:val="none"/>
          <w:lang w:val="en-US" w:eastAsia="zh-CN"/>
        </w:rPr>
        <w:t xml:space="preserve">          </w:t>
      </w:r>
      <w:r>
        <w:rPr>
          <w:rFonts w:hint="eastAsia" w:ascii="宋体" w:hAnsi="宋体" w:cs="宋体"/>
          <w:color w:val="auto"/>
          <w:highlight w:val="none"/>
        </w:rPr>
        <w:t>地  址：</w:t>
      </w:r>
      <w:r>
        <w:rPr>
          <w:rFonts w:hint="eastAsia" w:ascii="宋体" w:hAnsi="宋体"/>
          <w:color w:val="auto"/>
          <w:highlight w:val="none"/>
          <w:u w:val="single"/>
          <w:lang w:val="en-US" w:eastAsia="zh-CN"/>
        </w:rPr>
        <w:t xml:space="preserve"> </w:t>
      </w:r>
    </w:p>
    <w:p w14:paraId="3EE7E3F3">
      <w:pPr>
        <w:pStyle w:val="42"/>
        <w:keepNext w:val="0"/>
        <w:keepLines w:val="0"/>
        <w:pageBreakBefore w:val="0"/>
        <w:widowControl w:val="0"/>
        <w:wordWrap/>
        <w:topLinePunct w:val="0"/>
        <w:bidi w:val="0"/>
        <w:spacing w:line="320" w:lineRule="exact"/>
        <w:ind w:left="0" w:leftChars="0" w:firstLine="0" w:firstLineChars="0"/>
        <w:rPr>
          <w:rFonts w:hint="eastAsia" w:ascii="宋体" w:hAnsi="宋体" w:eastAsia="宋体" w:cs="宋体"/>
          <w:color w:val="auto"/>
          <w:highlight w:val="none"/>
          <w:lang w:eastAsia="zh-CN"/>
        </w:rPr>
      </w:pPr>
      <w:r>
        <w:rPr>
          <w:rFonts w:hint="eastAsia" w:ascii="宋体" w:hAnsi="宋体" w:cs="宋体"/>
          <w:color w:val="auto"/>
          <w:highlight w:val="none"/>
        </w:rPr>
        <w:t>法定代表人</w:t>
      </w:r>
      <w:r>
        <w:rPr>
          <w:rFonts w:hint="eastAsia" w:ascii="宋体" w:hAnsi="宋体" w:cs="宋体"/>
          <w:color w:val="auto"/>
          <w:highlight w:val="none"/>
          <w:lang w:eastAsia="zh-CN"/>
        </w:rPr>
        <w:t>或</w:t>
      </w:r>
      <w:r>
        <w:rPr>
          <w:rFonts w:hint="eastAsia" w:ascii="宋体" w:hAnsi="宋体" w:cs="宋体"/>
          <w:color w:val="auto"/>
          <w:highlight w:val="none"/>
        </w:rPr>
        <w:t xml:space="preserve">委托代理人    </w:t>
      </w:r>
      <w:r>
        <w:rPr>
          <w:rFonts w:hint="eastAsia" w:ascii="宋体" w:hAnsi="宋体" w:cs="宋体"/>
          <w:color w:val="auto"/>
          <w:highlight w:val="none"/>
          <w:lang w:val="en-US" w:eastAsia="zh-CN"/>
        </w:rPr>
        <w:t xml:space="preserve">                   </w:t>
      </w:r>
      <w:r>
        <w:rPr>
          <w:rFonts w:hint="eastAsia" w:ascii="宋体" w:hAnsi="宋体" w:cs="宋体"/>
          <w:color w:val="auto"/>
          <w:highlight w:val="none"/>
        </w:rPr>
        <w:t xml:space="preserve"> 法定代表人</w:t>
      </w:r>
      <w:r>
        <w:rPr>
          <w:rFonts w:hint="eastAsia" w:ascii="宋体" w:hAnsi="宋体" w:cs="宋体"/>
          <w:color w:val="auto"/>
          <w:highlight w:val="none"/>
          <w:lang w:eastAsia="zh-CN"/>
        </w:rPr>
        <w:t>或</w:t>
      </w:r>
      <w:r>
        <w:rPr>
          <w:rFonts w:hint="eastAsia" w:ascii="宋体" w:hAnsi="宋体" w:cs="宋体"/>
          <w:color w:val="auto"/>
          <w:highlight w:val="none"/>
        </w:rPr>
        <w:t>委托代理人</w:t>
      </w:r>
    </w:p>
    <w:p w14:paraId="62ABC13A">
      <w:pPr>
        <w:pStyle w:val="42"/>
        <w:keepNext w:val="0"/>
        <w:keepLines w:val="0"/>
        <w:pageBreakBefore w:val="0"/>
        <w:widowControl w:val="0"/>
        <w:wordWrap/>
        <w:topLinePunct w:val="0"/>
        <w:bidi w:val="0"/>
        <w:spacing w:line="320" w:lineRule="exact"/>
        <w:ind w:left="0" w:leftChars="0" w:firstLine="0" w:firstLineChars="0"/>
        <w:rPr>
          <w:rFonts w:hint="eastAsia" w:ascii="宋体" w:hAnsi="宋体" w:eastAsia="宋体" w:cs="宋体"/>
          <w:color w:val="auto"/>
          <w:highlight w:val="none"/>
          <w:lang w:val="en-US" w:eastAsia="zh-CN"/>
        </w:rPr>
      </w:pPr>
      <w:r>
        <w:rPr>
          <w:rFonts w:hint="eastAsia" w:ascii="宋体" w:hAnsi="宋体" w:cs="宋体"/>
          <w:color w:val="auto"/>
          <w:highlight w:val="none"/>
        </w:rPr>
        <w:t>(签字</w:t>
      </w:r>
      <w:r>
        <w:rPr>
          <w:rFonts w:hint="eastAsia" w:ascii="宋体" w:hAnsi="宋体" w:cs="宋体"/>
          <w:color w:val="auto"/>
          <w:highlight w:val="none"/>
          <w:lang w:eastAsia="zh-CN"/>
        </w:rPr>
        <w:t>或盖章</w:t>
      </w:r>
      <w:r>
        <w:rPr>
          <w:rFonts w:hint="eastAsia" w:ascii="宋体" w:hAnsi="宋体" w:cs="宋体"/>
          <w:color w:val="auto"/>
          <w:highlight w:val="none"/>
        </w:rPr>
        <w:t>)：</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r>
        <w:rPr>
          <w:rFonts w:hint="eastAsia" w:ascii="宋体" w:hAnsi="宋体" w:cs="宋体"/>
          <w:color w:val="auto"/>
          <w:highlight w:val="none"/>
          <w:lang w:val="en-US" w:eastAsia="zh-CN"/>
        </w:rPr>
        <w:t xml:space="preserve">                </w:t>
      </w:r>
      <w:r>
        <w:rPr>
          <w:rFonts w:hint="eastAsia" w:ascii="宋体" w:hAnsi="宋体" w:cs="宋体"/>
          <w:color w:val="auto"/>
          <w:highlight w:val="none"/>
        </w:rPr>
        <w:t>(签字</w:t>
      </w:r>
      <w:r>
        <w:rPr>
          <w:rFonts w:hint="eastAsia" w:ascii="宋体" w:hAnsi="宋体" w:cs="宋体"/>
          <w:color w:val="auto"/>
          <w:highlight w:val="none"/>
          <w:lang w:eastAsia="zh-CN"/>
        </w:rPr>
        <w:t>或盖章</w:t>
      </w:r>
      <w:r>
        <w:rPr>
          <w:rFonts w:hint="eastAsia" w:ascii="宋体" w:hAnsi="宋体" w:cs="宋体"/>
          <w:color w:val="auto"/>
          <w:highlight w:val="none"/>
        </w:rPr>
        <w:t>)：</w:t>
      </w:r>
      <w:r>
        <w:rPr>
          <w:rFonts w:hint="eastAsia" w:ascii="宋体" w:hAnsi="宋体" w:cs="宋体"/>
          <w:color w:val="auto"/>
          <w:highlight w:val="none"/>
          <w:u w:val="single"/>
          <w:lang w:val="en-US" w:eastAsia="zh-CN"/>
        </w:rPr>
        <w:t xml:space="preserve">   </w:t>
      </w:r>
    </w:p>
    <w:p w14:paraId="05E2CC1C">
      <w:pPr>
        <w:pStyle w:val="42"/>
        <w:keepNext w:val="0"/>
        <w:keepLines w:val="0"/>
        <w:pageBreakBefore w:val="0"/>
        <w:widowControl w:val="0"/>
        <w:wordWrap/>
        <w:topLinePunct w:val="0"/>
        <w:bidi w:val="0"/>
        <w:spacing w:line="320" w:lineRule="exact"/>
        <w:ind w:left="0" w:leftChars="0" w:firstLine="0" w:firstLineChars="0"/>
        <w:rPr>
          <w:rFonts w:ascii="宋体" w:hAnsi="宋体" w:cs="宋体"/>
          <w:color w:val="auto"/>
          <w:highlight w:val="none"/>
        </w:rPr>
      </w:pPr>
      <w:r>
        <w:rPr>
          <w:rFonts w:hint="eastAsia" w:ascii="宋体" w:hAnsi="宋体" w:cs="宋体"/>
          <w:color w:val="auto"/>
          <w:highlight w:val="none"/>
        </w:rPr>
        <w:t>电  话：</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 xml:space="preserve">     </w:t>
      </w:r>
      <w:r>
        <w:rPr>
          <w:rFonts w:hint="eastAsia" w:ascii="宋体" w:hAnsi="宋体" w:cs="宋体"/>
          <w:color w:val="auto"/>
          <w:highlight w:val="none"/>
          <w:lang w:val="en-US" w:eastAsia="zh-CN"/>
        </w:rPr>
        <w:t xml:space="preserve">                </w:t>
      </w:r>
      <w:r>
        <w:rPr>
          <w:rFonts w:hint="eastAsia" w:ascii="宋体" w:hAnsi="宋体" w:cs="宋体"/>
          <w:color w:val="auto"/>
          <w:highlight w:val="none"/>
        </w:rPr>
        <w:t>电  话：</w:t>
      </w:r>
      <w:r>
        <w:rPr>
          <w:rFonts w:hint="eastAsia" w:ascii="宋体" w:hAnsi="宋体" w:cs="宋体"/>
          <w:color w:val="auto"/>
          <w:highlight w:val="none"/>
          <w:u w:val="single"/>
        </w:rPr>
        <w:t></w:t>
      </w:r>
    </w:p>
    <w:p w14:paraId="451B2C78">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2D35C062">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br w:type="page"/>
      </w:r>
      <w:r>
        <w:rPr>
          <w:rFonts w:hint="eastAsia" w:ascii="宋体" w:hAnsi="宋体" w:eastAsia="宋体" w:cs="宋体"/>
          <w:color w:val="auto"/>
          <w:sz w:val="21"/>
          <w:szCs w:val="21"/>
          <w:highlight w:val="none"/>
        </w:rPr>
        <w:t>附件4：</w:t>
      </w:r>
    </w:p>
    <w:p w14:paraId="53B92A2B">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主要建设工程文件目录</w:t>
      </w:r>
    </w:p>
    <w:p w14:paraId="133C9516">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bl>
      <w:tblPr>
        <w:tblStyle w:val="27"/>
        <w:tblpPr w:leftFromText="180" w:rightFromText="180" w:vertAnchor="text" w:horzAnchor="page" w:tblpX="1430" w:tblpY="14"/>
        <w:tblOverlap w:val="never"/>
        <w:tblW w:w="872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067"/>
        <w:gridCol w:w="1450"/>
        <w:gridCol w:w="1243"/>
        <w:gridCol w:w="1450"/>
        <w:gridCol w:w="1564"/>
      </w:tblGrid>
      <w:tr w14:paraId="5BBC4D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953" w:type="dxa"/>
            <w:tcBorders>
              <w:top w:val="single" w:color="auto" w:sz="12" w:space="0"/>
              <w:bottom w:val="double" w:color="auto" w:sz="6" w:space="0"/>
            </w:tcBorders>
            <w:noWrap w:val="0"/>
            <w:vAlign w:val="center"/>
          </w:tcPr>
          <w:p w14:paraId="4FA791EA">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文件名称</w:t>
            </w:r>
          </w:p>
        </w:tc>
        <w:tc>
          <w:tcPr>
            <w:tcW w:w="1067" w:type="dxa"/>
            <w:tcBorders>
              <w:top w:val="single" w:color="auto" w:sz="12" w:space="0"/>
              <w:bottom w:val="double" w:color="auto" w:sz="6" w:space="0"/>
            </w:tcBorders>
            <w:noWrap w:val="0"/>
            <w:vAlign w:val="center"/>
          </w:tcPr>
          <w:p w14:paraId="559433BE">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套数</w:t>
            </w:r>
          </w:p>
        </w:tc>
        <w:tc>
          <w:tcPr>
            <w:tcW w:w="1450" w:type="dxa"/>
            <w:tcBorders>
              <w:top w:val="single" w:color="auto" w:sz="12" w:space="0"/>
              <w:bottom w:val="double" w:color="auto" w:sz="6" w:space="0"/>
            </w:tcBorders>
            <w:noWrap w:val="0"/>
            <w:vAlign w:val="center"/>
          </w:tcPr>
          <w:p w14:paraId="0A7DF4B3">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费用（元）</w:t>
            </w:r>
          </w:p>
        </w:tc>
        <w:tc>
          <w:tcPr>
            <w:tcW w:w="1243" w:type="dxa"/>
            <w:tcBorders>
              <w:top w:val="single" w:color="auto" w:sz="12" w:space="0"/>
              <w:bottom w:val="double" w:color="auto" w:sz="6" w:space="0"/>
            </w:tcBorders>
            <w:noWrap w:val="0"/>
            <w:vAlign w:val="center"/>
          </w:tcPr>
          <w:p w14:paraId="16564843">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质量</w:t>
            </w:r>
          </w:p>
        </w:tc>
        <w:tc>
          <w:tcPr>
            <w:tcW w:w="1450" w:type="dxa"/>
            <w:tcBorders>
              <w:top w:val="single" w:color="auto" w:sz="12" w:space="0"/>
              <w:bottom w:val="double" w:color="auto" w:sz="6" w:space="0"/>
            </w:tcBorders>
            <w:noWrap w:val="0"/>
            <w:vAlign w:val="top"/>
          </w:tcPr>
          <w:p w14:paraId="1AC2EB92">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移交时间</w:t>
            </w:r>
          </w:p>
        </w:tc>
        <w:tc>
          <w:tcPr>
            <w:tcW w:w="1564" w:type="dxa"/>
            <w:tcBorders>
              <w:top w:val="single" w:color="auto" w:sz="12" w:space="0"/>
              <w:bottom w:val="double" w:color="auto" w:sz="6" w:space="0"/>
            </w:tcBorders>
            <w:noWrap w:val="0"/>
            <w:vAlign w:val="top"/>
          </w:tcPr>
          <w:p w14:paraId="43509EA5">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责任人</w:t>
            </w:r>
          </w:p>
        </w:tc>
      </w:tr>
      <w:tr w14:paraId="742339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top w:val="double" w:color="auto" w:sz="6" w:space="0"/>
              <w:bottom w:val="single" w:color="auto" w:sz="6" w:space="0"/>
            </w:tcBorders>
            <w:noWrap w:val="0"/>
            <w:vAlign w:val="center"/>
          </w:tcPr>
          <w:p w14:paraId="28AEA3F0">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tcBorders>
              <w:top w:val="double" w:color="auto" w:sz="6" w:space="0"/>
              <w:bottom w:val="single" w:color="auto" w:sz="6" w:space="0"/>
            </w:tcBorders>
            <w:noWrap w:val="0"/>
            <w:vAlign w:val="center"/>
          </w:tcPr>
          <w:p w14:paraId="38BFE6CE">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tcBorders>
              <w:top w:val="double" w:color="auto" w:sz="6" w:space="0"/>
              <w:bottom w:val="single" w:color="auto" w:sz="6" w:space="0"/>
            </w:tcBorders>
            <w:noWrap w:val="0"/>
            <w:vAlign w:val="center"/>
          </w:tcPr>
          <w:p w14:paraId="36141E41">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tcBorders>
              <w:top w:val="double" w:color="auto" w:sz="6" w:space="0"/>
              <w:bottom w:val="single" w:color="auto" w:sz="6" w:space="0"/>
            </w:tcBorders>
            <w:noWrap w:val="0"/>
            <w:vAlign w:val="center"/>
          </w:tcPr>
          <w:p w14:paraId="2576C7F4">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tcBorders>
              <w:top w:val="double" w:color="auto" w:sz="6" w:space="0"/>
              <w:bottom w:val="single" w:color="auto" w:sz="6" w:space="0"/>
            </w:tcBorders>
            <w:noWrap w:val="0"/>
            <w:vAlign w:val="center"/>
          </w:tcPr>
          <w:p w14:paraId="282B15C5">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tcBorders>
              <w:top w:val="double" w:color="auto" w:sz="6" w:space="0"/>
              <w:bottom w:val="single" w:color="auto" w:sz="6" w:space="0"/>
            </w:tcBorders>
            <w:noWrap w:val="0"/>
            <w:vAlign w:val="center"/>
          </w:tcPr>
          <w:p w14:paraId="43348F9F">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444A5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top w:val="nil"/>
            </w:tcBorders>
            <w:noWrap w:val="0"/>
            <w:vAlign w:val="center"/>
          </w:tcPr>
          <w:p w14:paraId="1E5C661F">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tcBorders>
              <w:top w:val="nil"/>
            </w:tcBorders>
            <w:noWrap w:val="0"/>
            <w:vAlign w:val="center"/>
          </w:tcPr>
          <w:p w14:paraId="2C288853">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tcBorders>
              <w:top w:val="nil"/>
            </w:tcBorders>
            <w:noWrap w:val="0"/>
            <w:vAlign w:val="center"/>
          </w:tcPr>
          <w:p w14:paraId="02D9173C">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tcBorders>
              <w:top w:val="nil"/>
            </w:tcBorders>
            <w:noWrap w:val="0"/>
            <w:vAlign w:val="center"/>
          </w:tcPr>
          <w:p w14:paraId="1C4EB9BE">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tcBorders>
              <w:top w:val="nil"/>
            </w:tcBorders>
            <w:noWrap w:val="0"/>
            <w:vAlign w:val="center"/>
          </w:tcPr>
          <w:p w14:paraId="7612C169">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tcBorders>
              <w:top w:val="nil"/>
            </w:tcBorders>
            <w:noWrap w:val="0"/>
            <w:vAlign w:val="center"/>
          </w:tcPr>
          <w:p w14:paraId="30DDD380">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EB625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center"/>
          </w:tcPr>
          <w:p w14:paraId="2F86BC8F">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noWrap w:val="0"/>
            <w:vAlign w:val="center"/>
          </w:tcPr>
          <w:p w14:paraId="194E4B9B">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417E0EFC">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noWrap w:val="0"/>
            <w:vAlign w:val="center"/>
          </w:tcPr>
          <w:p w14:paraId="4A2F69C4">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0332753D">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noWrap w:val="0"/>
            <w:vAlign w:val="center"/>
          </w:tcPr>
          <w:p w14:paraId="7426B302">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1E1DE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center"/>
          </w:tcPr>
          <w:p w14:paraId="767884A4">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noWrap w:val="0"/>
            <w:vAlign w:val="center"/>
          </w:tcPr>
          <w:p w14:paraId="024AE856">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3E544DF6">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noWrap w:val="0"/>
            <w:vAlign w:val="center"/>
          </w:tcPr>
          <w:p w14:paraId="0860BA9B">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131E6C65">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noWrap w:val="0"/>
            <w:vAlign w:val="center"/>
          </w:tcPr>
          <w:p w14:paraId="188462DC">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822EC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center"/>
          </w:tcPr>
          <w:p w14:paraId="2752FADA">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noWrap w:val="0"/>
            <w:vAlign w:val="center"/>
          </w:tcPr>
          <w:p w14:paraId="03E3A2ED">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7D416A77">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noWrap w:val="0"/>
            <w:vAlign w:val="center"/>
          </w:tcPr>
          <w:p w14:paraId="76D74880">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25F47BCE">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noWrap w:val="0"/>
            <w:vAlign w:val="center"/>
          </w:tcPr>
          <w:p w14:paraId="6F185942">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CD7C0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center"/>
          </w:tcPr>
          <w:p w14:paraId="09DC2F86">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noWrap w:val="0"/>
            <w:vAlign w:val="center"/>
          </w:tcPr>
          <w:p w14:paraId="6EF6E096">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459E5A0B">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noWrap w:val="0"/>
            <w:vAlign w:val="center"/>
          </w:tcPr>
          <w:p w14:paraId="0B94AF1D">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7C26315C">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noWrap w:val="0"/>
            <w:vAlign w:val="center"/>
          </w:tcPr>
          <w:p w14:paraId="79646368">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9505F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center"/>
          </w:tcPr>
          <w:p w14:paraId="150EAD72">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noWrap w:val="0"/>
            <w:vAlign w:val="center"/>
          </w:tcPr>
          <w:p w14:paraId="681975E2">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16A3C0A2">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noWrap w:val="0"/>
            <w:vAlign w:val="center"/>
          </w:tcPr>
          <w:p w14:paraId="558F1C1F">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1090C22C">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noWrap w:val="0"/>
            <w:vAlign w:val="center"/>
          </w:tcPr>
          <w:p w14:paraId="2F6EAC75">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F483B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center"/>
          </w:tcPr>
          <w:p w14:paraId="35BC834E">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noWrap w:val="0"/>
            <w:vAlign w:val="center"/>
          </w:tcPr>
          <w:p w14:paraId="464B6076">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383A8072">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noWrap w:val="0"/>
            <w:vAlign w:val="center"/>
          </w:tcPr>
          <w:p w14:paraId="0CD63DD4">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7C6A48DA">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noWrap w:val="0"/>
            <w:vAlign w:val="center"/>
          </w:tcPr>
          <w:p w14:paraId="5C9253C7">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C7C3D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34EC9BBB">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0F73D460">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5967D154">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597C4527">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7463074C">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3B194677">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13B165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center"/>
          </w:tcPr>
          <w:p w14:paraId="4144BAD0">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67" w:type="dxa"/>
            <w:noWrap w:val="0"/>
            <w:vAlign w:val="center"/>
          </w:tcPr>
          <w:p w14:paraId="6B6740B9">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13DFF590">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243" w:type="dxa"/>
            <w:noWrap w:val="0"/>
            <w:vAlign w:val="center"/>
          </w:tcPr>
          <w:p w14:paraId="58C697DE">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50" w:type="dxa"/>
            <w:noWrap w:val="0"/>
            <w:vAlign w:val="center"/>
          </w:tcPr>
          <w:p w14:paraId="5AF0E729">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564" w:type="dxa"/>
            <w:noWrap w:val="0"/>
            <w:vAlign w:val="center"/>
          </w:tcPr>
          <w:p w14:paraId="3C24963F">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A83FB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0BD03905">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0B87E794">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25672F70">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17073CE2">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559274E0">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3312A731">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716B06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05D255D5">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0D5D4389">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20EABE27">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71B1959F">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3D74D0D1">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15E6B849">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778FF4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1A37FEDB">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3DFD054B">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5C774B65">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251C346A">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7F8ED1C3">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500A3269">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3D9A25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43642CC1">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77D906E4">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016EBDB3">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08B7227A">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7224672B">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629A5289">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79929C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616FC1EC">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0631E520">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068EC69E">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7B5D7118">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0153CEF1">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61E835CC">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324A31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6BF06954">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42087EDC">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5B71C93B">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2482DF4C">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24F613CF">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1B5C4B50">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7C3F8C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289F56CD">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40C910FB">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6E8243C1">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65ACFB7D">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0F102D0C">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6A2DC75D">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34D7B3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131FCDFA">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2B99524C">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485ABCA7">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65BF303A">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7CFCB54D">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45C28F07">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06C053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0445C0E0">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67" w:type="dxa"/>
            <w:noWrap w:val="0"/>
            <w:vAlign w:val="top"/>
          </w:tcPr>
          <w:p w14:paraId="07E54150">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4944A743">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243" w:type="dxa"/>
            <w:noWrap w:val="0"/>
            <w:vAlign w:val="top"/>
          </w:tcPr>
          <w:p w14:paraId="33D37297">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50" w:type="dxa"/>
            <w:noWrap w:val="0"/>
            <w:vAlign w:val="top"/>
          </w:tcPr>
          <w:p w14:paraId="1D6E2F35">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564" w:type="dxa"/>
            <w:noWrap w:val="0"/>
            <w:vAlign w:val="top"/>
          </w:tcPr>
          <w:p w14:paraId="5D29DD32">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bl>
    <w:p w14:paraId="267387E0">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1"/>
          <w:szCs w:val="21"/>
          <w:highlight w:val="none"/>
        </w:rPr>
        <w:t>附</w:t>
      </w:r>
      <w:bookmarkStart w:id="2318" w:name="_Toc296347226"/>
      <w:bookmarkStart w:id="2319" w:name="_Toc296891055"/>
      <w:bookmarkStart w:id="2320" w:name="_Toc296944566"/>
      <w:bookmarkStart w:id="2321" w:name="_Toc296346728"/>
      <w:bookmarkStart w:id="2322" w:name="_Toc296503227"/>
      <w:bookmarkStart w:id="2323" w:name="_Toc267261698"/>
      <w:bookmarkStart w:id="2324" w:name="_Toc296891267"/>
      <w:r>
        <w:rPr>
          <w:rFonts w:hint="eastAsia" w:ascii="宋体" w:hAnsi="宋体" w:eastAsia="宋体" w:cs="宋体"/>
          <w:color w:val="auto"/>
          <w:sz w:val="21"/>
          <w:szCs w:val="21"/>
          <w:highlight w:val="none"/>
        </w:rPr>
        <w:t>件5：</w:t>
      </w:r>
    </w:p>
    <w:bookmarkEnd w:id="2318"/>
    <w:bookmarkEnd w:id="2319"/>
    <w:bookmarkEnd w:id="2320"/>
    <w:bookmarkEnd w:id="2321"/>
    <w:bookmarkEnd w:id="2322"/>
    <w:bookmarkEnd w:id="2323"/>
    <w:bookmarkEnd w:id="2324"/>
    <w:p w14:paraId="7E6CBCE8">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承包人用于本工程施工的机械设备表</w:t>
      </w:r>
    </w:p>
    <w:tbl>
      <w:tblPr>
        <w:tblStyle w:val="27"/>
        <w:tblW w:w="85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29"/>
        <w:gridCol w:w="1418"/>
        <w:gridCol w:w="850"/>
        <w:gridCol w:w="1058"/>
        <w:gridCol w:w="880"/>
        <w:gridCol w:w="806"/>
        <w:gridCol w:w="1310"/>
        <w:gridCol w:w="906"/>
        <w:gridCol w:w="652"/>
      </w:tblGrid>
      <w:tr w14:paraId="454A5D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629" w:type="dxa"/>
            <w:tcBorders>
              <w:top w:val="single" w:color="auto" w:sz="12" w:space="0"/>
              <w:bottom w:val="double" w:color="auto" w:sz="6" w:space="0"/>
            </w:tcBorders>
            <w:noWrap w:val="0"/>
            <w:vAlign w:val="center"/>
          </w:tcPr>
          <w:p w14:paraId="5B305C82">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序号</w:t>
            </w:r>
          </w:p>
        </w:tc>
        <w:tc>
          <w:tcPr>
            <w:tcW w:w="1418" w:type="dxa"/>
            <w:tcBorders>
              <w:top w:val="single" w:color="auto" w:sz="12" w:space="0"/>
              <w:bottom w:val="double" w:color="auto" w:sz="6" w:space="0"/>
            </w:tcBorders>
            <w:noWrap w:val="0"/>
            <w:vAlign w:val="center"/>
          </w:tcPr>
          <w:p w14:paraId="4A90F6F9">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机械或设备名称</w:t>
            </w:r>
          </w:p>
        </w:tc>
        <w:tc>
          <w:tcPr>
            <w:tcW w:w="850" w:type="dxa"/>
            <w:tcBorders>
              <w:top w:val="single" w:color="auto" w:sz="12" w:space="0"/>
              <w:bottom w:val="double" w:color="auto" w:sz="6" w:space="0"/>
            </w:tcBorders>
            <w:noWrap w:val="0"/>
            <w:vAlign w:val="center"/>
          </w:tcPr>
          <w:p w14:paraId="0647E0D2">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规格型号</w:t>
            </w:r>
          </w:p>
        </w:tc>
        <w:tc>
          <w:tcPr>
            <w:tcW w:w="1058" w:type="dxa"/>
            <w:tcBorders>
              <w:top w:val="single" w:color="auto" w:sz="12" w:space="0"/>
              <w:bottom w:val="double" w:color="auto" w:sz="6" w:space="0"/>
            </w:tcBorders>
            <w:noWrap w:val="0"/>
            <w:vAlign w:val="center"/>
          </w:tcPr>
          <w:p w14:paraId="177E779A">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数量</w:t>
            </w:r>
          </w:p>
        </w:tc>
        <w:tc>
          <w:tcPr>
            <w:tcW w:w="880" w:type="dxa"/>
            <w:tcBorders>
              <w:top w:val="single" w:color="auto" w:sz="12" w:space="0"/>
              <w:bottom w:val="double" w:color="auto" w:sz="6" w:space="0"/>
            </w:tcBorders>
            <w:noWrap w:val="0"/>
            <w:vAlign w:val="center"/>
          </w:tcPr>
          <w:p w14:paraId="165894F1">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产地</w:t>
            </w:r>
          </w:p>
        </w:tc>
        <w:tc>
          <w:tcPr>
            <w:tcW w:w="806" w:type="dxa"/>
            <w:tcBorders>
              <w:top w:val="single" w:color="auto" w:sz="12" w:space="0"/>
              <w:bottom w:val="double" w:color="auto" w:sz="6" w:space="0"/>
            </w:tcBorders>
            <w:noWrap w:val="0"/>
            <w:vAlign w:val="center"/>
          </w:tcPr>
          <w:p w14:paraId="36FF1DE0">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制造年份</w:t>
            </w:r>
          </w:p>
        </w:tc>
        <w:tc>
          <w:tcPr>
            <w:tcW w:w="1310" w:type="dxa"/>
            <w:tcBorders>
              <w:top w:val="single" w:color="auto" w:sz="12" w:space="0"/>
              <w:bottom w:val="double" w:color="auto" w:sz="6" w:space="0"/>
            </w:tcBorders>
            <w:noWrap w:val="0"/>
            <w:vAlign w:val="center"/>
          </w:tcPr>
          <w:p w14:paraId="4D7F9B7D">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额定功率(kW)</w:t>
            </w:r>
          </w:p>
        </w:tc>
        <w:tc>
          <w:tcPr>
            <w:tcW w:w="906" w:type="dxa"/>
            <w:tcBorders>
              <w:top w:val="single" w:color="auto" w:sz="12" w:space="0"/>
              <w:bottom w:val="double" w:color="auto" w:sz="6" w:space="0"/>
            </w:tcBorders>
            <w:noWrap w:val="0"/>
            <w:vAlign w:val="center"/>
          </w:tcPr>
          <w:p w14:paraId="5EA3D81F">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生产能力</w:t>
            </w:r>
          </w:p>
        </w:tc>
        <w:tc>
          <w:tcPr>
            <w:tcW w:w="652" w:type="dxa"/>
            <w:tcBorders>
              <w:top w:val="single" w:color="auto" w:sz="12" w:space="0"/>
              <w:bottom w:val="double" w:color="auto" w:sz="6" w:space="0"/>
            </w:tcBorders>
            <w:noWrap w:val="0"/>
            <w:vAlign w:val="center"/>
          </w:tcPr>
          <w:p w14:paraId="54BED0E0">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备注</w:t>
            </w:r>
          </w:p>
        </w:tc>
      </w:tr>
      <w:tr w14:paraId="5A5873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tcBorders>
              <w:top w:val="double" w:color="auto" w:sz="6" w:space="0"/>
              <w:bottom w:val="single" w:color="auto" w:sz="6" w:space="0"/>
            </w:tcBorders>
            <w:noWrap w:val="0"/>
            <w:vAlign w:val="center"/>
          </w:tcPr>
          <w:p w14:paraId="69CC51D5">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tcBorders>
              <w:top w:val="double" w:color="auto" w:sz="6" w:space="0"/>
              <w:bottom w:val="single" w:color="auto" w:sz="6" w:space="0"/>
            </w:tcBorders>
            <w:noWrap w:val="0"/>
            <w:vAlign w:val="center"/>
          </w:tcPr>
          <w:p w14:paraId="1AC83C07">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double" w:color="auto" w:sz="6" w:space="0"/>
              <w:bottom w:val="single" w:color="auto" w:sz="6" w:space="0"/>
            </w:tcBorders>
            <w:noWrap w:val="0"/>
            <w:vAlign w:val="center"/>
          </w:tcPr>
          <w:p w14:paraId="2828DFBC">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tcBorders>
              <w:top w:val="double" w:color="auto" w:sz="6" w:space="0"/>
              <w:bottom w:val="single" w:color="auto" w:sz="6" w:space="0"/>
            </w:tcBorders>
            <w:noWrap w:val="0"/>
            <w:vAlign w:val="center"/>
          </w:tcPr>
          <w:p w14:paraId="7A03C948">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tcBorders>
              <w:top w:val="double" w:color="auto" w:sz="6" w:space="0"/>
              <w:bottom w:val="single" w:color="auto" w:sz="6" w:space="0"/>
            </w:tcBorders>
            <w:noWrap w:val="0"/>
            <w:vAlign w:val="center"/>
          </w:tcPr>
          <w:p w14:paraId="7B36950C">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tcBorders>
              <w:top w:val="double" w:color="auto" w:sz="6" w:space="0"/>
              <w:bottom w:val="single" w:color="auto" w:sz="6" w:space="0"/>
            </w:tcBorders>
            <w:noWrap w:val="0"/>
            <w:vAlign w:val="center"/>
          </w:tcPr>
          <w:p w14:paraId="4A1B7424">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tcBorders>
              <w:top w:val="double" w:color="auto" w:sz="6" w:space="0"/>
              <w:bottom w:val="single" w:color="auto" w:sz="6" w:space="0"/>
            </w:tcBorders>
            <w:noWrap w:val="0"/>
            <w:vAlign w:val="center"/>
          </w:tcPr>
          <w:p w14:paraId="2256F48D">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tcBorders>
              <w:top w:val="double" w:color="auto" w:sz="6" w:space="0"/>
              <w:bottom w:val="single" w:color="auto" w:sz="6" w:space="0"/>
            </w:tcBorders>
            <w:noWrap w:val="0"/>
            <w:vAlign w:val="center"/>
          </w:tcPr>
          <w:p w14:paraId="3F5141AB">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tcBorders>
              <w:top w:val="double" w:color="auto" w:sz="6" w:space="0"/>
              <w:bottom w:val="single" w:color="auto" w:sz="6" w:space="0"/>
            </w:tcBorders>
            <w:noWrap w:val="0"/>
            <w:vAlign w:val="center"/>
          </w:tcPr>
          <w:p w14:paraId="1CC5DF2B">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35395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tcBorders>
              <w:top w:val="nil"/>
            </w:tcBorders>
            <w:noWrap w:val="0"/>
            <w:vAlign w:val="center"/>
          </w:tcPr>
          <w:p w14:paraId="28E9012D">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tcBorders>
              <w:top w:val="nil"/>
            </w:tcBorders>
            <w:noWrap w:val="0"/>
            <w:vAlign w:val="center"/>
          </w:tcPr>
          <w:p w14:paraId="10581AEB">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tcBorders>
              <w:top w:val="nil"/>
            </w:tcBorders>
            <w:noWrap w:val="0"/>
            <w:vAlign w:val="center"/>
          </w:tcPr>
          <w:p w14:paraId="4F2F7FED">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tcBorders>
              <w:top w:val="nil"/>
            </w:tcBorders>
            <w:noWrap w:val="0"/>
            <w:vAlign w:val="center"/>
          </w:tcPr>
          <w:p w14:paraId="2C58F38F">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tcBorders>
              <w:top w:val="nil"/>
            </w:tcBorders>
            <w:noWrap w:val="0"/>
            <w:vAlign w:val="center"/>
          </w:tcPr>
          <w:p w14:paraId="2EA2001C">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tcBorders>
              <w:top w:val="nil"/>
            </w:tcBorders>
            <w:noWrap w:val="0"/>
            <w:vAlign w:val="center"/>
          </w:tcPr>
          <w:p w14:paraId="32D7A412">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tcBorders>
              <w:top w:val="nil"/>
            </w:tcBorders>
            <w:noWrap w:val="0"/>
            <w:vAlign w:val="center"/>
          </w:tcPr>
          <w:p w14:paraId="606732CC">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tcBorders>
              <w:top w:val="nil"/>
            </w:tcBorders>
            <w:noWrap w:val="0"/>
            <w:vAlign w:val="center"/>
          </w:tcPr>
          <w:p w14:paraId="3A7177EA">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tcBorders>
              <w:top w:val="nil"/>
            </w:tcBorders>
            <w:noWrap w:val="0"/>
            <w:vAlign w:val="center"/>
          </w:tcPr>
          <w:p w14:paraId="6D78EA39">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4D89F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748CA78C">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15ECF4B2">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35665EBD">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noWrap w:val="0"/>
            <w:vAlign w:val="center"/>
          </w:tcPr>
          <w:p w14:paraId="77019F05">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noWrap w:val="0"/>
            <w:vAlign w:val="center"/>
          </w:tcPr>
          <w:p w14:paraId="764AEE65">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noWrap w:val="0"/>
            <w:vAlign w:val="center"/>
          </w:tcPr>
          <w:p w14:paraId="64371D62">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noWrap w:val="0"/>
            <w:vAlign w:val="center"/>
          </w:tcPr>
          <w:p w14:paraId="71E55812">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noWrap w:val="0"/>
            <w:vAlign w:val="center"/>
          </w:tcPr>
          <w:p w14:paraId="309C4786">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noWrap w:val="0"/>
            <w:vAlign w:val="center"/>
          </w:tcPr>
          <w:p w14:paraId="018C4B34">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155EFA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65F360AF">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20CE901C">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7C982DCA">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noWrap w:val="0"/>
            <w:vAlign w:val="center"/>
          </w:tcPr>
          <w:p w14:paraId="20121B0A">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noWrap w:val="0"/>
            <w:vAlign w:val="center"/>
          </w:tcPr>
          <w:p w14:paraId="4F8F3CA0">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noWrap w:val="0"/>
            <w:vAlign w:val="center"/>
          </w:tcPr>
          <w:p w14:paraId="10A1B3EB">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noWrap w:val="0"/>
            <w:vAlign w:val="center"/>
          </w:tcPr>
          <w:p w14:paraId="08F61A83">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noWrap w:val="0"/>
            <w:vAlign w:val="center"/>
          </w:tcPr>
          <w:p w14:paraId="0E537B94">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noWrap w:val="0"/>
            <w:vAlign w:val="center"/>
          </w:tcPr>
          <w:p w14:paraId="42E866D0">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95C56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5F08547C">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01D43D1B">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7645FAF2">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noWrap w:val="0"/>
            <w:vAlign w:val="center"/>
          </w:tcPr>
          <w:p w14:paraId="110309D4">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noWrap w:val="0"/>
            <w:vAlign w:val="center"/>
          </w:tcPr>
          <w:p w14:paraId="2C7D1C8C">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noWrap w:val="0"/>
            <w:vAlign w:val="center"/>
          </w:tcPr>
          <w:p w14:paraId="7496A12D">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noWrap w:val="0"/>
            <w:vAlign w:val="center"/>
          </w:tcPr>
          <w:p w14:paraId="2E0FE4B0">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noWrap w:val="0"/>
            <w:vAlign w:val="center"/>
          </w:tcPr>
          <w:p w14:paraId="64DA0020">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noWrap w:val="0"/>
            <w:vAlign w:val="center"/>
          </w:tcPr>
          <w:p w14:paraId="3EF47161">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4C413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0C01C6A6">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0A5420C0">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1BDDD4FC">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noWrap w:val="0"/>
            <w:vAlign w:val="center"/>
          </w:tcPr>
          <w:p w14:paraId="0C4918CC">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noWrap w:val="0"/>
            <w:vAlign w:val="center"/>
          </w:tcPr>
          <w:p w14:paraId="5F36488B">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noWrap w:val="0"/>
            <w:vAlign w:val="center"/>
          </w:tcPr>
          <w:p w14:paraId="367622FE">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noWrap w:val="0"/>
            <w:vAlign w:val="center"/>
          </w:tcPr>
          <w:p w14:paraId="1FB97052">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noWrap w:val="0"/>
            <w:vAlign w:val="center"/>
          </w:tcPr>
          <w:p w14:paraId="49B1A63C">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noWrap w:val="0"/>
            <w:vAlign w:val="center"/>
          </w:tcPr>
          <w:p w14:paraId="553F72E3">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4F782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58591BCC">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7365EA02">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1D478A19">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noWrap w:val="0"/>
            <w:vAlign w:val="center"/>
          </w:tcPr>
          <w:p w14:paraId="6E86BC50">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noWrap w:val="0"/>
            <w:vAlign w:val="center"/>
          </w:tcPr>
          <w:p w14:paraId="58A4163C">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noWrap w:val="0"/>
            <w:vAlign w:val="center"/>
          </w:tcPr>
          <w:p w14:paraId="5FD71999">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noWrap w:val="0"/>
            <w:vAlign w:val="center"/>
          </w:tcPr>
          <w:p w14:paraId="28831428">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noWrap w:val="0"/>
            <w:vAlign w:val="center"/>
          </w:tcPr>
          <w:p w14:paraId="229D71F2">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noWrap w:val="0"/>
            <w:vAlign w:val="center"/>
          </w:tcPr>
          <w:p w14:paraId="7A286B14">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121D3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44DE010B">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7CDD135D">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47E193AC">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noWrap w:val="0"/>
            <w:vAlign w:val="center"/>
          </w:tcPr>
          <w:p w14:paraId="76E791BA">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noWrap w:val="0"/>
            <w:vAlign w:val="center"/>
          </w:tcPr>
          <w:p w14:paraId="53D8F3A5">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noWrap w:val="0"/>
            <w:vAlign w:val="center"/>
          </w:tcPr>
          <w:p w14:paraId="4244EEF4">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noWrap w:val="0"/>
            <w:vAlign w:val="center"/>
          </w:tcPr>
          <w:p w14:paraId="5A07B5F6">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noWrap w:val="0"/>
            <w:vAlign w:val="center"/>
          </w:tcPr>
          <w:p w14:paraId="69AC43D6">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noWrap w:val="0"/>
            <w:vAlign w:val="center"/>
          </w:tcPr>
          <w:p w14:paraId="46C20729">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93D07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6BC70866">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361FA151">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1EAC6489">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0ACC8985">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334BB894">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64C373A7">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6333F868">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519F179A">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22EFF242">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38E947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center"/>
          </w:tcPr>
          <w:p w14:paraId="7BB7BA48">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470FE7DB">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50" w:type="dxa"/>
            <w:noWrap w:val="0"/>
            <w:vAlign w:val="center"/>
          </w:tcPr>
          <w:p w14:paraId="487D76CA">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058" w:type="dxa"/>
            <w:noWrap w:val="0"/>
            <w:vAlign w:val="center"/>
          </w:tcPr>
          <w:p w14:paraId="6B94CA73">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80" w:type="dxa"/>
            <w:noWrap w:val="0"/>
            <w:vAlign w:val="center"/>
          </w:tcPr>
          <w:p w14:paraId="335A4CD0">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806" w:type="dxa"/>
            <w:noWrap w:val="0"/>
            <w:vAlign w:val="center"/>
          </w:tcPr>
          <w:p w14:paraId="06A80AC3">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310" w:type="dxa"/>
            <w:noWrap w:val="0"/>
            <w:vAlign w:val="center"/>
          </w:tcPr>
          <w:p w14:paraId="1FC44C0D">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6" w:type="dxa"/>
            <w:noWrap w:val="0"/>
            <w:vAlign w:val="center"/>
          </w:tcPr>
          <w:p w14:paraId="0E7A691F">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652" w:type="dxa"/>
            <w:noWrap w:val="0"/>
            <w:vAlign w:val="center"/>
          </w:tcPr>
          <w:p w14:paraId="621BDA27">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76F54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6B0E9CFF">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2383CBFE">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21FE00AC">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067103C8">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43FF16E4">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6AE40999">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6E61EBD4">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1F314A7A">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60B4A42E">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6D5C79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0F5A5167">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1F64A77F">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37E139A1">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72077655">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3203F34D">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0617B665">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1A9C8E03">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51C1E99F">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1AE75120">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36EC51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34BB0AEC">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599D4448">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6D86B564">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1294D05E">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20E8B683">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379477D2">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75765577">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20D78A9D">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5476626E">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7857A4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6ABB34D9">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7DF98152">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1CE57FD2">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492F4572">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2BD85816">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0BECD4F4">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6106CE1C">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221708D4">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3C1D2863">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3A4DC8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26B2BA32">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5F2A914B">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772F5D0D">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4AE0E1C7">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3B11FFD6">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129AE585">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1AB896C8">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718097CE">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52452A83">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1E8B8A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48430B56">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738ACB79">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6221A35B">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77206D15">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26ABF95B">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0FCBDDCE">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19F0F488">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785FAB30">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756D8030">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0E13D1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70D30F12">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5819B825">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25E5A614">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4E24A9A2">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1282D6E9">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220AF3A9">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4B0B0FE5">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41D63587">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23B2BCC7">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786CAA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47DA7D7E">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2D4F00C4">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3B66F1C4">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629A4AF3">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124B5911">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1848469E">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4D4A9F22">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49B05547">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6DA3E13C">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r w14:paraId="0FDB65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29" w:type="dxa"/>
            <w:noWrap w:val="0"/>
            <w:vAlign w:val="top"/>
          </w:tcPr>
          <w:p w14:paraId="6E9D2263">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418" w:type="dxa"/>
            <w:noWrap w:val="0"/>
            <w:vAlign w:val="top"/>
          </w:tcPr>
          <w:p w14:paraId="586D2D58">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50" w:type="dxa"/>
            <w:noWrap w:val="0"/>
            <w:vAlign w:val="top"/>
          </w:tcPr>
          <w:p w14:paraId="4F162462">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058" w:type="dxa"/>
            <w:noWrap w:val="0"/>
            <w:vAlign w:val="top"/>
          </w:tcPr>
          <w:p w14:paraId="47C99FED">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80" w:type="dxa"/>
            <w:noWrap w:val="0"/>
            <w:vAlign w:val="top"/>
          </w:tcPr>
          <w:p w14:paraId="4E0FF4D7">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806" w:type="dxa"/>
            <w:noWrap w:val="0"/>
            <w:vAlign w:val="top"/>
          </w:tcPr>
          <w:p w14:paraId="2A26CB29">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1310" w:type="dxa"/>
            <w:noWrap w:val="0"/>
            <w:vAlign w:val="top"/>
          </w:tcPr>
          <w:p w14:paraId="6760F474">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906" w:type="dxa"/>
            <w:noWrap w:val="0"/>
            <w:vAlign w:val="top"/>
          </w:tcPr>
          <w:p w14:paraId="2E3120E5">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c>
          <w:tcPr>
            <w:tcW w:w="652" w:type="dxa"/>
            <w:noWrap w:val="0"/>
            <w:vAlign w:val="top"/>
          </w:tcPr>
          <w:p w14:paraId="10D6FD20">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tc>
      </w:tr>
    </w:tbl>
    <w:p w14:paraId="29A54B02">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4BD2FC9E">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15CF8D33">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3B35D052">
      <w:pPr>
        <w:pStyle w:val="9"/>
        <w:keepNext w:val="0"/>
        <w:keepLines w:val="0"/>
        <w:pageBreakBefore w:val="0"/>
        <w:widowControl w:val="0"/>
        <w:wordWrap/>
        <w:topLinePunct w:val="0"/>
        <w:bidi w:val="0"/>
        <w:rPr>
          <w:rFonts w:hint="eastAsia" w:ascii="宋体" w:hAnsi="宋体" w:eastAsia="宋体" w:cs="宋体"/>
          <w:color w:val="auto"/>
          <w:sz w:val="21"/>
          <w:szCs w:val="21"/>
          <w:highlight w:val="none"/>
        </w:rPr>
      </w:pPr>
    </w:p>
    <w:p w14:paraId="141AD453">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附件6：</w:t>
      </w:r>
    </w:p>
    <w:p w14:paraId="06F61551">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承包人主要施工管理人员表</w:t>
      </w:r>
    </w:p>
    <w:tbl>
      <w:tblPr>
        <w:tblStyle w:val="27"/>
        <w:tblW w:w="87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148"/>
        <w:gridCol w:w="941"/>
        <w:gridCol w:w="1134"/>
        <w:gridCol w:w="3660"/>
      </w:tblGrid>
      <w:tr w14:paraId="3E4A8E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058FA1E3">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名    称</w:t>
            </w:r>
          </w:p>
        </w:tc>
        <w:tc>
          <w:tcPr>
            <w:tcW w:w="1148" w:type="dxa"/>
            <w:tcBorders>
              <w:top w:val="single" w:color="auto" w:sz="12" w:space="0"/>
              <w:bottom w:val="double" w:color="auto" w:sz="6" w:space="0"/>
            </w:tcBorders>
            <w:noWrap w:val="0"/>
            <w:vAlign w:val="center"/>
          </w:tcPr>
          <w:p w14:paraId="7AB25174">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姓名</w:t>
            </w:r>
          </w:p>
        </w:tc>
        <w:tc>
          <w:tcPr>
            <w:tcW w:w="941" w:type="dxa"/>
            <w:tcBorders>
              <w:top w:val="single" w:color="auto" w:sz="12" w:space="0"/>
              <w:bottom w:val="double" w:color="auto" w:sz="6" w:space="0"/>
            </w:tcBorders>
            <w:noWrap w:val="0"/>
            <w:vAlign w:val="center"/>
          </w:tcPr>
          <w:p w14:paraId="42A4C598">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职务</w:t>
            </w:r>
          </w:p>
        </w:tc>
        <w:tc>
          <w:tcPr>
            <w:tcW w:w="1134" w:type="dxa"/>
            <w:tcBorders>
              <w:top w:val="single" w:color="auto" w:sz="12" w:space="0"/>
              <w:bottom w:val="double" w:color="auto" w:sz="6" w:space="0"/>
            </w:tcBorders>
            <w:noWrap w:val="0"/>
            <w:vAlign w:val="center"/>
          </w:tcPr>
          <w:p w14:paraId="4214C031">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职称</w:t>
            </w:r>
          </w:p>
        </w:tc>
        <w:tc>
          <w:tcPr>
            <w:tcW w:w="3660" w:type="dxa"/>
            <w:tcBorders>
              <w:top w:val="single" w:color="auto" w:sz="12" w:space="0"/>
              <w:bottom w:val="double" w:color="auto" w:sz="6" w:space="0"/>
            </w:tcBorders>
            <w:noWrap w:val="0"/>
            <w:vAlign w:val="center"/>
          </w:tcPr>
          <w:p w14:paraId="33A5F4CF">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主要资历、经验及承担过的项目</w:t>
            </w:r>
          </w:p>
        </w:tc>
      </w:tr>
      <w:tr w14:paraId="377811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54" w:type="dxa"/>
            <w:gridSpan w:val="5"/>
            <w:tcBorders>
              <w:top w:val="double" w:color="auto" w:sz="6" w:space="0"/>
              <w:bottom w:val="single" w:color="auto" w:sz="6" w:space="0"/>
            </w:tcBorders>
            <w:noWrap w:val="0"/>
            <w:vAlign w:val="center"/>
          </w:tcPr>
          <w:p w14:paraId="4DB26E9D">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一、总部人员</w:t>
            </w:r>
          </w:p>
        </w:tc>
      </w:tr>
      <w:tr w14:paraId="6B3490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7E0261C3">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项目主管</w:t>
            </w:r>
          </w:p>
        </w:tc>
        <w:tc>
          <w:tcPr>
            <w:tcW w:w="1148" w:type="dxa"/>
            <w:tcBorders>
              <w:top w:val="nil"/>
            </w:tcBorders>
            <w:noWrap w:val="0"/>
            <w:vAlign w:val="center"/>
          </w:tcPr>
          <w:p w14:paraId="170ACEA4">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tcBorders>
              <w:top w:val="nil"/>
            </w:tcBorders>
            <w:noWrap w:val="0"/>
            <w:vAlign w:val="center"/>
          </w:tcPr>
          <w:p w14:paraId="3E0B5D5A">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tcBorders>
              <w:top w:val="nil"/>
            </w:tcBorders>
            <w:noWrap w:val="0"/>
            <w:vAlign w:val="center"/>
          </w:tcPr>
          <w:p w14:paraId="14F19A4F">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tcBorders>
              <w:top w:val="nil"/>
            </w:tcBorders>
            <w:noWrap w:val="0"/>
            <w:vAlign w:val="center"/>
          </w:tcPr>
          <w:p w14:paraId="49F4D29D">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02280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103F1B4B">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48" w:type="dxa"/>
            <w:noWrap w:val="0"/>
            <w:vAlign w:val="center"/>
          </w:tcPr>
          <w:p w14:paraId="73614666">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2258463E">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1DF4BFA6">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70F9ABF9">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FF5A9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279C2D5A">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其他人员</w:t>
            </w:r>
          </w:p>
        </w:tc>
        <w:tc>
          <w:tcPr>
            <w:tcW w:w="1148" w:type="dxa"/>
            <w:noWrap w:val="0"/>
            <w:vAlign w:val="center"/>
          </w:tcPr>
          <w:p w14:paraId="0BCF1FC1">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6ECCE44A">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18994C34">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663977BF">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9C1BB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02DCC2DA">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48" w:type="dxa"/>
            <w:noWrap w:val="0"/>
            <w:vAlign w:val="center"/>
          </w:tcPr>
          <w:p w14:paraId="1C5DE6FE">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38D0AA18">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0C3252A6">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2C3CB46C">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1999C1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754" w:type="dxa"/>
            <w:gridSpan w:val="5"/>
            <w:tcBorders>
              <w:top w:val="single" w:color="auto" w:sz="6" w:space="0"/>
              <w:bottom w:val="single" w:color="auto" w:sz="6" w:space="0"/>
            </w:tcBorders>
            <w:noWrap w:val="0"/>
            <w:vAlign w:val="center"/>
          </w:tcPr>
          <w:p w14:paraId="5FE931E4">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二、现场人员</w:t>
            </w:r>
          </w:p>
        </w:tc>
      </w:tr>
      <w:tr w14:paraId="394BF7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135C002">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项目经理</w:t>
            </w:r>
          </w:p>
        </w:tc>
        <w:tc>
          <w:tcPr>
            <w:tcW w:w="1148" w:type="dxa"/>
            <w:noWrap w:val="0"/>
            <w:vAlign w:val="center"/>
          </w:tcPr>
          <w:p w14:paraId="0E0E4406">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1D9060B3">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09CCBD85">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4DE6A2BB">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17BA11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042EBD2">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项目副经理</w:t>
            </w:r>
          </w:p>
        </w:tc>
        <w:tc>
          <w:tcPr>
            <w:tcW w:w="1148" w:type="dxa"/>
            <w:noWrap w:val="0"/>
            <w:vAlign w:val="center"/>
          </w:tcPr>
          <w:p w14:paraId="1B66F379">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39EB271E">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707654A9">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0585E1C2">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C91D8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70729BE">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技术负责人</w:t>
            </w:r>
          </w:p>
        </w:tc>
        <w:tc>
          <w:tcPr>
            <w:tcW w:w="1148" w:type="dxa"/>
            <w:noWrap w:val="0"/>
            <w:vAlign w:val="center"/>
          </w:tcPr>
          <w:p w14:paraId="237281D4">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6843AD39">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3FE10EA9">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1B82302B">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B54FA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4BF4C68">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造价管理</w:t>
            </w:r>
          </w:p>
        </w:tc>
        <w:tc>
          <w:tcPr>
            <w:tcW w:w="1148" w:type="dxa"/>
            <w:noWrap w:val="0"/>
            <w:vAlign w:val="center"/>
          </w:tcPr>
          <w:p w14:paraId="4C438CED">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75CA5711">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2F1C3C49">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3B3639E4">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630F2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700648A">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质量管理</w:t>
            </w:r>
          </w:p>
        </w:tc>
        <w:tc>
          <w:tcPr>
            <w:tcW w:w="1148" w:type="dxa"/>
            <w:noWrap w:val="0"/>
            <w:vAlign w:val="center"/>
          </w:tcPr>
          <w:p w14:paraId="30EF083D">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66C7FA04">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76BBDCE0">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30DB6826">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9643B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3C50AA3">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材料管理</w:t>
            </w:r>
          </w:p>
        </w:tc>
        <w:tc>
          <w:tcPr>
            <w:tcW w:w="1148" w:type="dxa"/>
            <w:noWrap w:val="0"/>
            <w:vAlign w:val="center"/>
          </w:tcPr>
          <w:p w14:paraId="3E564A16">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43E7B9FD">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17CDC67E">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04956B31">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F5E87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24C44AC">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计划管理</w:t>
            </w:r>
          </w:p>
        </w:tc>
        <w:tc>
          <w:tcPr>
            <w:tcW w:w="1148" w:type="dxa"/>
            <w:noWrap w:val="0"/>
            <w:vAlign w:val="center"/>
          </w:tcPr>
          <w:p w14:paraId="5057B801">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44A5DF88">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4424E3F6">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1F4B7E89">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6213C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BB86D97">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安全管理</w:t>
            </w:r>
          </w:p>
        </w:tc>
        <w:tc>
          <w:tcPr>
            <w:tcW w:w="1148" w:type="dxa"/>
            <w:noWrap w:val="0"/>
            <w:vAlign w:val="center"/>
          </w:tcPr>
          <w:p w14:paraId="2C997CE9">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44461F14">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0AFF0082">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478EA730">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7B3B7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0DC45310">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其他人员</w:t>
            </w:r>
          </w:p>
        </w:tc>
        <w:tc>
          <w:tcPr>
            <w:tcW w:w="1148" w:type="dxa"/>
            <w:noWrap w:val="0"/>
            <w:vAlign w:val="center"/>
          </w:tcPr>
          <w:p w14:paraId="6EAA9681">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13C4DDD1">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3FDBE332">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25BD6109">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CC206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1BF7FE53">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48" w:type="dxa"/>
            <w:tcBorders>
              <w:bottom w:val="nil"/>
            </w:tcBorders>
            <w:noWrap w:val="0"/>
            <w:vAlign w:val="center"/>
          </w:tcPr>
          <w:p w14:paraId="134269A7">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tcBorders>
              <w:bottom w:val="nil"/>
            </w:tcBorders>
            <w:noWrap w:val="0"/>
            <w:vAlign w:val="center"/>
          </w:tcPr>
          <w:p w14:paraId="2CB3988A">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tcBorders>
              <w:bottom w:val="nil"/>
            </w:tcBorders>
            <w:noWrap w:val="0"/>
            <w:vAlign w:val="center"/>
          </w:tcPr>
          <w:p w14:paraId="0E46D8A5">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tcBorders>
              <w:bottom w:val="nil"/>
            </w:tcBorders>
            <w:noWrap w:val="0"/>
            <w:vAlign w:val="center"/>
          </w:tcPr>
          <w:p w14:paraId="14BFAA31">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F04C2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5D0A97C7">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48" w:type="dxa"/>
            <w:noWrap w:val="0"/>
            <w:vAlign w:val="center"/>
          </w:tcPr>
          <w:p w14:paraId="224B4A39">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111178F6">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68102E0C">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192E52A8">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F3E6D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22F0390C">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48" w:type="dxa"/>
            <w:noWrap w:val="0"/>
            <w:vAlign w:val="center"/>
          </w:tcPr>
          <w:p w14:paraId="509DFE90">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6A3DD32A">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1AEEADA6">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493728D3">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E4066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717100A0">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48" w:type="dxa"/>
            <w:noWrap w:val="0"/>
            <w:vAlign w:val="center"/>
          </w:tcPr>
          <w:p w14:paraId="1164DC24">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noWrap w:val="0"/>
            <w:vAlign w:val="center"/>
          </w:tcPr>
          <w:p w14:paraId="71B15E2B">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noWrap w:val="0"/>
            <w:vAlign w:val="center"/>
          </w:tcPr>
          <w:p w14:paraId="74DE0DFE">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noWrap w:val="0"/>
            <w:vAlign w:val="center"/>
          </w:tcPr>
          <w:p w14:paraId="1C6CB434">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C9DA6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70C58B7B">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48" w:type="dxa"/>
            <w:tcBorders>
              <w:bottom w:val="single" w:color="auto" w:sz="12" w:space="0"/>
            </w:tcBorders>
            <w:noWrap w:val="0"/>
            <w:vAlign w:val="center"/>
          </w:tcPr>
          <w:p w14:paraId="3BF29EF6">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41" w:type="dxa"/>
            <w:tcBorders>
              <w:bottom w:val="single" w:color="auto" w:sz="12" w:space="0"/>
            </w:tcBorders>
            <w:noWrap w:val="0"/>
            <w:vAlign w:val="center"/>
          </w:tcPr>
          <w:p w14:paraId="75548956">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134" w:type="dxa"/>
            <w:tcBorders>
              <w:bottom w:val="single" w:color="auto" w:sz="12" w:space="0"/>
            </w:tcBorders>
            <w:noWrap w:val="0"/>
            <w:vAlign w:val="center"/>
          </w:tcPr>
          <w:p w14:paraId="30D1E57E">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660" w:type="dxa"/>
            <w:tcBorders>
              <w:bottom w:val="single" w:color="auto" w:sz="12" w:space="0"/>
            </w:tcBorders>
            <w:noWrap w:val="0"/>
            <w:vAlign w:val="center"/>
          </w:tcPr>
          <w:p w14:paraId="139D5CF7">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bl>
    <w:p w14:paraId="373687F6">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1"/>
          <w:szCs w:val="21"/>
          <w:highlight w:val="none"/>
        </w:rPr>
        <w:t>附件7：</w:t>
      </w:r>
    </w:p>
    <w:p w14:paraId="2A38FEB9">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分包人主要施工管理人员表</w:t>
      </w:r>
    </w:p>
    <w:tbl>
      <w:tblPr>
        <w:tblStyle w:val="27"/>
        <w:tblW w:w="862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63"/>
        <w:gridCol w:w="1418"/>
        <w:gridCol w:w="928"/>
        <w:gridCol w:w="902"/>
        <w:gridCol w:w="3814"/>
      </w:tblGrid>
      <w:tr w14:paraId="75047E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12" w:space="0"/>
              <w:bottom w:val="double" w:color="auto" w:sz="6" w:space="0"/>
            </w:tcBorders>
            <w:noWrap w:val="0"/>
            <w:vAlign w:val="center"/>
          </w:tcPr>
          <w:p w14:paraId="5B951069">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名    称</w:t>
            </w:r>
          </w:p>
        </w:tc>
        <w:tc>
          <w:tcPr>
            <w:tcW w:w="1418" w:type="dxa"/>
            <w:tcBorders>
              <w:top w:val="single" w:color="auto" w:sz="12" w:space="0"/>
              <w:bottom w:val="double" w:color="auto" w:sz="6" w:space="0"/>
            </w:tcBorders>
            <w:noWrap w:val="0"/>
            <w:vAlign w:val="center"/>
          </w:tcPr>
          <w:p w14:paraId="511AD0BC">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姓名</w:t>
            </w:r>
          </w:p>
        </w:tc>
        <w:tc>
          <w:tcPr>
            <w:tcW w:w="928" w:type="dxa"/>
            <w:tcBorders>
              <w:top w:val="single" w:color="auto" w:sz="12" w:space="0"/>
              <w:bottom w:val="double" w:color="auto" w:sz="6" w:space="0"/>
            </w:tcBorders>
            <w:noWrap w:val="0"/>
            <w:vAlign w:val="center"/>
          </w:tcPr>
          <w:p w14:paraId="556AE386">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职务</w:t>
            </w:r>
          </w:p>
        </w:tc>
        <w:tc>
          <w:tcPr>
            <w:tcW w:w="902" w:type="dxa"/>
            <w:tcBorders>
              <w:top w:val="single" w:color="auto" w:sz="12" w:space="0"/>
              <w:bottom w:val="double" w:color="auto" w:sz="6" w:space="0"/>
            </w:tcBorders>
            <w:noWrap w:val="0"/>
            <w:vAlign w:val="center"/>
          </w:tcPr>
          <w:p w14:paraId="43223B4C">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职称</w:t>
            </w:r>
          </w:p>
        </w:tc>
        <w:tc>
          <w:tcPr>
            <w:tcW w:w="3814" w:type="dxa"/>
            <w:tcBorders>
              <w:top w:val="single" w:color="auto" w:sz="12" w:space="0"/>
              <w:bottom w:val="double" w:color="auto" w:sz="6" w:space="0"/>
            </w:tcBorders>
            <w:noWrap w:val="0"/>
            <w:vAlign w:val="center"/>
          </w:tcPr>
          <w:p w14:paraId="2EAFF8DD">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主要资历、经验及承担过的项目</w:t>
            </w:r>
          </w:p>
        </w:tc>
      </w:tr>
      <w:tr w14:paraId="0282BE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625" w:type="dxa"/>
            <w:gridSpan w:val="5"/>
            <w:tcBorders>
              <w:top w:val="double" w:color="auto" w:sz="6" w:space="0"/>
              <w:bottom w:val="single" w:color="auto" w:sz="6" w:space="0"/>
            </w:tcBorders>
            <w:noWrap w:val="0"/>
            <w:vAlign w:val="center"/>
          </w:tcPr>
          <w:p w14:paraId="18A1107D">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一、总部人员</w:t>
            </w:r>
          </w:p>
        </w:tc>
      </w:tr>
      <w:tr w14:paraId="5DFB4E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nil"/>
              <w:bottom w:val="nil"/>
            </w:tcBorders>
            <w:noWrap w:val="0"/>
            <w:vAlign w:val="center"/>
          </w:tcPr>
          <w:p w14:paraId="41B6FFE5">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项目主管</w:t>
            </w:r>
          </w:p>
        </w:tc>
        <w:tc>
          <w:tcPr>
            <w:tcW w:w="1418" w:type="dxa"/>
            <w:tcBorders>
              <w:top w:val="nil"/>
            </w:tcBorders>
            <w:noWrap w:val="0"/>
            <w:vAlign w:val="center"/>
          </w:tcPr>
          <w:p w14:paraId="16D77000">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tcBorders>
              <w:top w:val="nil"/>
            </w:tcBorders>
            <w:noWrap w:val="0"/>
            <w:vAlign w:val="center"/>
          </w:tcPr>
          <w:p w14:paraId="700B53EC">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tcBorders>
              <w:top w:val="nil"/>
            </w:tcBorders>
            <w:noWrap w:val="0"/>
            <w:vAlign w:val="center"/>
          </w:tcPr>
          <w:p w14:paraId="5EB175B3">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tcBorders>
              <w:top w:val="nil"/>
            </w:tcBorders>
            <w:noWrap w:val="0"/>
            <w:vAlign w:val="center"/>
          </w:tcPr>
          <w:p w14:paraId="1E7D35CF">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5D5C2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nil"/>
            </w:tcBorders>
            <w:noWrap w:val="0"/>
            <w:vAlign w:val="center"/>
          </w:tcPr>
          <w:p w14:paraId="0FC4F498">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482C0900">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7913504F">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01DDB14F">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334027F3">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510E2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nil"/>
              <w:bottom w:val="nil"/>
            </w:tcBorders>
            <w:noWrap w:val="0"/>
            <w:vAlign w:val="center"/>
          </w:tcPr>
          <w:p w14:paraId="23449A9D">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其他人员</w:t>
            </w:r>
          </w:p>
        </w:tc>
        <w:tc>
          <w:tcPr>
            <w:tcW w:w="1418" w:type="dxa"/>
            <w:noWrap w:val="0"/>
            <w:vAlign w:val="center"/>
          </w:tcPr>
          <w:p w14:paraId="0D0BF6C3">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281E078D">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1CFF0F50">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21941BBD">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F2747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nil"/>
              <w:bottom w:val="nil"/>
            </w:tcBorders>
            <w:noWrap w:val="0"/>
            <w:vAlign w:val="center"/>
          </w:tcPr>
          <w:p w14:paraId="3647F017">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17430567">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3BFB104E">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72D4A68C">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46D2EDE3">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52A4CE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625" w:type="dxa"/>
            <w:gridSpan w:val="5"/>
            <w:tcBorders>
              <w:top w:val="single" w:color="auto" w:sz="6" w:space="0"/>
              <w:bottom w:val="single" w:color="auto" w:sz="6" w:space="0"/>
            </w:tcBorders>
            <w:noWrap w:val="0"/>
            <w:vAlign w:val="center"/>
          </w:tcPr>
          <w:p w14:paraId="112C7436">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二、现场人员</w:t>
            </w:r>
          </w:p>
        </w:tc>
      </w:tr>
      <w:tr w14:paraId="7E4CE0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64D1747B">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项目经理</w:t>
            </w:r>
          </w:p>
        </w:tc>
        <w:tc>
          <w:tcPr>
            <w:tcW w:w="1418" w:type="dxa"/>
            <w:noWrap w:val="0"/>
            <w:vAlign w:val="center"/>
          </w:tcPr>
          <w:p w14:paraId="33854769">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35F3CB69">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46504DB5">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51E2801F">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6C7ED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6B4814A9">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项目副经理</w:t>
            </w:r>
          </w:p>
        </w:tc>
        <w:tc>
          <w:tcPr>
            <w:tcW w:w="1418" w:type="dxa"/>
            <w:noWrap w:val="0"/>
            <w:vAlign w:val="center"/>
          </w:tcPr>
          <w:p w14:paraId="0497EA3F">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269C95B5">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118CE1BA">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08AF0E0D">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289F86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4C7B7BA7">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技术负责人</w:t>
            </w:r>
          </w:p>
        </w:tc>
        <w:tc>
          <w:tcPr>
            <w:tcW w:w="1418" w:type="dxa"/>
            <w:noWrap w:val="0"/>
            <w:vAlign w:val="center"/>
          </w:tcPr>
          <w:p w14:paraId="2A823436">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0FB7E626">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24496E83">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2F4A39FA">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25313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605AC78D">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造价管理</w:t>
            </w:r>
          </w:p>
        </w:tc>
        <w:tc>
          <w:tcPr>
            <w:tcW w:w="1418" w:type="dxa"/>
            <w:noWrap w:val="0"/>
            <w:vAlign w:val="center"/>
          </w:tcPr>
          <w:p w14:paraId="345649AF">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11EADFC5">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4426E5F0">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12BD3DA1">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7C910D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50F4DADC">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质量管理</w:t>
            </w:r>
          </w:p>
        </w:tc>
        <w:tc>
          <w:tcPr>
            <w:tcW w:w="1418" w:type="dxa"/>
            <w:noWrap w:val="0"/>
            <w:vAlign w:val="center"/>
          </w:tcPr>
          <w:p w14:paraId="286D7162">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079759AC">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247090BC">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3A4F6A43">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18FFB2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0E2F6278">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材料管理</w:t>
            </w:r>
          </w:p>
        </w:tc>
        <w:tc>
          <w:tcPr>
            <w:tcW w:w="1418" w:type="dxa"/>
            <w:noWrap w:val="0"/>
            <w:vAlign w:val="center"/>
          </w:tcPr>
          <w:p w14:paraId="6368036B">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04503506">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17039A91">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3F524565">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66A041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7AD030FE">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计划管理</w:t>
            </w:r>
          </w:p>
        </w:tc>
        <w:tc>
          <w:tcPr>
            <w:tcW w:w="1418" w:type="dxa"/>
            <w:noWrap w:val="0"/>
            <w:vAlign w:val="center"/>
          </w:tcPr>
          <w:p w14:paraId="67B1F01B">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62150B2B">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4DA0860C">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71EB1C61">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4D7F06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tcBorders>
              <w:top w:val="single" w:color="auto" w:sz="6" w:space="0"/>
              <w:bottom w:val="single" w:color="auto" w:sz="6" w:space="0"/>
            </w:tcBorders>
            <w:noWrap w:val="0"/>
            <w:vAlign w:val="center"/>
          </w:tcPr>
          <w:p w14:paraId="55092D7F">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安全管理</w:t>
            </w:r>
          </w:p>
        </w:tc>
        <w:tc>
          <w:tcPr>
            <w:tcW w:w="1418" w:type="dxa"/>
            <w:noWrap w:val="0"/>
            <w:vAlign w:val="center"/>
          </w:tcPr>
          <w:p w14:paraId="7D7CB996">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443B5044">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69CF5A2C">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7162E25B">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9F4E3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restart"/>
            <w:tcBorders>
              <w:top w:val="single" w:color="auto" w:sz="6" w:space="0"/>
            </w:tcBorders>
            <w:noWrap w:val="0"/>
            <w:vAlign w:val="center"/>
          </w:tcPr>
          <w:p w14:paraId="768228AE">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其他人员</w:t>
            </w:r>
          </w:p>
        </w:tc>
        <w:tc>
          <w:tcPr>
            <w:tcW w:w="1418" w:type="dxa"/>
            <w:noWrap w:val="0"/>
            <w:vAlign w:val="center"/>
          </w:tcPr>
          <w:p w14:paraId="1CA648F1">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23F13374">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52A7DAB5">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244A88DF">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D0C43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noWrap w:val="0"/>
            <w:vAlign w:val="center"/>
          </w:tcPr>
          <w:p w14:paraId="5559DB2B">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tcBorders>
              <w:bottom w:val="nil"/>
            </w:tcBorders>
            <w:noWrap w:val="0"/>
            <w:vAlign w:val="center"/>
          </w:tcPr>
          <w:p w14:paraId="78BE067C">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tcBorders>
              <w:bottom w:val="nil"/>
            </w:tcBorders>
            <w:noWrap w:val="0"/>
            <w:vAlign w:val="center"/>
          </w:tcPr>
          <w:p w14:paraId="4B66B283">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tcBorders>
              <w:bottom w:val="nil"/>
            </w:tcBorders>
            <w:noWrap w:val="0"/>
            <w:vAlign w:val="center"/>
          </w:tcPr>
          <w:p w14:paraId="79ED7985">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tcBorders>
              <w:bottom w:val="nil"/>
            </w:tcBorders>
            <w:noWrap w:val="0"/>
            <w:vAlign w:val="center"/>
          </w:tcPr>
          <w:p w14:paraId="52EA2CED">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14E5F4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noWrap w:val="0"/>
            <w:vAlign w:val="center"/>
          </w:tcPr>
          <w:p w14:paraId="1D12F738">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5C04DF66">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0C5E24E9">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29628986">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7DFA134B">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117FFC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noWrap w:val="0"/>
            <w:vAlign w:val="center"/>
          </w:tcPr>
          <w:p w14:paraId="66E7B333">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024D33CD">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2D5F33E7">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6116075B">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3CD50A10">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394A34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noWrap w:val="0"/>
            <w:vAlign w:val="center"/>
          </w:tcPr>
          <w:p w14:paraId="7DF9B81B">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noWrap w:val="0"/>
            <w:vAlign w:val="center"/>
          </w:tcPr>
          <w:p w14:paraId="6794C9A1">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noWrap w:val="0"/>
            <w:vAlign w:val="center"/>
          </w:tcPr>
          <w:p w14:paraId="48BE5C5B">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noWrap w:val="0"/>
            <w:vAlign w:val="center"/>
          </w:tcPr>
          <w:p w14:paraId="438ABBFE">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noWrap w:val="0"/>
            <w:vAlign w:val="center"/>
          </w:tcPr>
          <w:p w14:paraId="6CCB2F97">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r w14:paraId="04628C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63" w:type="dxa"/>
            <w:vMerge w:val="continue"/>
            <w:tcBorders>
              <w:bottom w:val="single" w:color="auto" w:sz="12" w:space="0"/>
            </w:tcBorders>
            <w:noWrap w:val="0"/>
            <w:vAlign w:val="center"/>
          </w:tcPr>
          <w:p w14:paraId="1A5D99A7">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1418" w:type="dxa"/>
            <w:tcBorders>
              <w:bottom w:val="single" w:color="auto" w:sz="12" w:space="0"/>
            </w:tcBorders>
            <w:noWrap w:val="0"/>
            <w:vAlign w:val="center"/>
          </w:tcPr>
          <w:p w14:paraId="78E35914">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28" w:type="dxa"/>
            <w:tcBorders>
              <w:bottom w:val="single" w:color="auto" w:sz="12" w:space="0"/>
            </w:tcBorders>
            <w:noWrap w:val="0"/>
            <w:vAlign w:val="center"/>
          </w:tcPr>
          <w:p w14:paraId="4A50C2AC">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902" w:type="dxa"/>
            <w:tcBorders>
              <w:bottom w:val="single" w:color="auto" w:sz="12" w:space="0"/>
            </w:tcBorders>
            <w:noWrap w:val="0"/>
            <w:vAlign w:val="center"/>
          </w:tcPr>
          <w:p w14:paraId="4DBA021F">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c>
          <w:tcPr>
            <w:tcW w:w="3814" w:type="dxa"/>
            <w:tcBorders>
              <w:bottom w:val="single" w:color="auto" w:sz="12" w:space="0"/>
            </w:tcBorders>
            <w:noWrap w:val="0"/>
            <w:vAlign w:val="center"/>
          </w:tcPr>
          <w:p w14:paraId="7A4D6799">
            <w:pPr>
              <w:pStyle w:val="9"/>
              <w:keepNext w:val="0"/>
              <w:keepLines w:val="0"/>
              <w:pageBreakBefore w:val="0"/>
              <w:widowControl w:val="0"/>
              <w:kinsoku/>
              <w:wordWrap/>
              <w:overflowPunct/>
              <w:topLinePunct w:val="0"/>
              <w:bidi w:val="0"/>
              <w:snapToGrid/>
              <w:spacing w:after="0" w:line="360" w:lineRule="exact"/>
              <w:ind w:left="0" w:leftChars="0" w:right="0" w:rightChars="0"/>
              <w:rPr>
                <w:rFonts w:hint="eastAsia" w:ascii="宋体" w:hAnsi="宋体" w:eastAsia="宋体" w:cs="宋体"/>
                <w:color w:val="auto"/>
                <w:kern w:val="2"/>
                <w:sz w:val="21"/>
                <w:szCs w:val="21"/>
                <w:highlight w:val="none"/>
                <w:lang w:val="en-US" w:eastAsia="zh-CN"/>
              </w:rPr>
            </w:pPr>
          </w:p>
        </w:tc>
      </w:tr>
    </w:tbl>
    <w:p w14:paraId="68F0D2A0">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1"/>
          <w:szCs w:val="21"/>
          <w:highlight w:val="none"/>
        </w:rPr>
        <w:t>附件8：</w:t>
      </w:r>
    </w:p>
    <w:p w14:paraId="0193C597">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履约担保</w:t>
      </w:r>
    </w:p>
    <w:p w14:paraId="144D98B5">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（发包人名称）：</w:t>
      </w:r>
    </w:p>
    <w:p w14:paraId="6933D4CB">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0CCA25A3">
      <w:pPr>
        <w:keepNext w:val="0"/>
        <w:keepLines w:val="0"/>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（发包人名称，以下简称“发包人”）与</w:t>
      </w:r>
    </w:p>
    <w:p w14:paraId="1843E64C">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（承包人名称）（以下称“承包人”）于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（工程名称）施工及有关事项协商一致共同签订《建设工程施工合同》。我方愿意无条件地、不可撤销地就承包人履行与你方签订的合同，向你方提供连带责任担保。 </w:t>
      </w:r>
    </w:p>
    <w:p w14:paraId="2C167172">
      <w:pPr>
        <w:keepNext w:val="0"/>
        <w:keepLines w:val="0"/>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担保金额人民币（大写）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A699561">
      <w:pPr>
        <w:keepNext w:val="0"/>
        <w:keepLines w:val="0"/>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担保有效期自你方与承包人签订的合同生效之日起至你方签发或应签发工程接收证书之日止。</w:t>
      </w:r>
    </w:p>
    <w:p w14:paraId="396B005C">
      <w:pPr>
        <w:keepNext w:val="0"/>
        <w:keepLines w:val="0"/>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在本担保有效期内，因承包人违反合同约定的义务给你方造成经济损失时，我方在收到你方以书面形式提出的在担保金额内的赔偿要求后，在7天内无条件支付。</w:t>
      </w:r>
    </w:p>
    <w:p w14:paraId="2BFFB368">
      <w:pPr>
        <w:keepNext w:val="0"/>
        <w:keepLines w:val="0"/>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你方和承包人按合同约定变更合同时，我方承担本担保规定的义务不变。</w:t>
      </w:r>
    </w:p>
    <w:p w14:paraId="178FFAF1">
      <w:pPr>
        <w:keepNext w:val="0"/>
        <w:keepLines w:val="0"/>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因本保函发生的纠纷，可由双方协商解决，协商不成的，任何一方均可提请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仲裁委员会仲裁。</w:t>
      </w:r>
    </w:p>
    <w:p w14:paraId="2E4DD333">
      <w:pPr>
        <w:keepNext w:val="0"/>
        <w:keepLines w:val="0"/>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本保函自我方法定代表人（或其授权代理人）签字并加盖公章之日起生效。</w:t>
      </w:r>
    </w:p>
    <w:p w14:paraId="5A683C4E">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51B11C4C">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 保 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14:paraId="257C290C">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71AAECC6">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p>
    <w:p w14:paraId="4BB2D1D5">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14:paraId="5CA58D98">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 xml:space="preserve">                                      </w:t>
      </w:r>
    </w:p>
    <w:p w14:paraId="4896C4F2">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 xml:space="preserve">                                      </w:t>
      </w:r>
    </w:p>
    <w:p w14:paraId="5F842784">
      <w:pPr>
        <w:keepNext w:val="0"/>
        <w:keepLines w:val="0"/>
        <w:pageBreakBefore w:val="0"/>
        <w:widowControl w:val="0"/>
        <w:kinsoku/>
        <w:wordWrap/>
        <w:overflowPunct/>
        <w:topLinePunct w:val="0"/>
        <w:bidi w:val="0"/>
        <w:snapToGrid/>
        <w:spacing w:line="360" w:lineRule="exact"/>
        <w:ind w:left="0" w:leftChars="0" w:right="0" w:rightChars="0"/>
        <w:jc w:val="left"/>
        <w:rPr>
          <w:rFonts w:hint="eastAsia" w:ascii="宋体" w:hAnsi="宋体" w:eastAsia="宋体" w:cs="宋体"/>
          <w:color w:val="auto"/>
          <w:sz w:val="21"/>
          <w:szCs w:val="21"/>
          <w:highlight w:val="none"/>
          <w:u w:val="single"/>
        </w:rPr>
      </w:pPr>
    </w:p>
    <w:p w14:paraId="56816643">
      <w:pPr>
        <w:keepNext w:val="0"/>
        <w:keepLines w:val="0"/>
        <w:pageBreakBefore w:val="0"/>
        <w:widowControl w:val="0"/>
        <w:kinsoku/>
        <w:wordWrap/>
        <w:overflowPunct/>
        <w:topLinePunct w:val="0"/>
        <w:bidi w:val="0"/>
        <w:snapToGrid/>
        <w:spacing w:line="360" w:lineRule="exact"/>
        <w:ind w:left="1329" w:leftChars="0" w:right="0" w:rightChars="0" w:hanging="1329" w:hangingChars="6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725B9DEE">
      <w:pPr>
        <w:keepNext w:val="0"/>
        <w:keepLines w:val="0"/>
        <w:pageBreakBefore w:val="0"/>
        <w:widowControl w:val="0"/>
        <w:kinsoku/>
        <w:wordWrap/>
        <w:overflowPunct/>
        <w:topLinePunct w:val="0"/>
        <w:bidi w:val="0"/>
        <w:snapToGrid/>
        <w:spacing w:line="360" w:lineRule="exact"/>
        <w:ind w:left="1329" w:leftChars="0" w:right="0" w:rightChars="0" w:hanging="1329" w:hangingChars="633"/>
        <w:rPr>
          <w:rFonts w:hint="eastAsia" w:ascii="宋体" w:hAnsi="宋体" w:eastAsia="宋体" w:cs="宋体"/>
          <w:color w:val="auto"/>
          <w:sz w:val="21"/>
          <w:szCs w:val="21"/>
          <w:highlight w:val="none"/>
        </w:rPr>
      </w:pPr>
    </w:p>
    <w:p w14:paraId="067A4565">
      <w:pPr>
        <w:keepNext w:val="0"/>
        <w:keepLines w:val="0"/>
        <w:pageBreakBefore w:val="0"/>
        <w:widowControl w:val="0"/>
        <w:kinsoku/>
        <w:wordWrap/>
        <w:overflowPunct/>
        <w:topLinePunct w:val="0"/>
        <w:bidi w:val="0"/>
        <w:snapToGrid/>
        <w:spacing w:line="360" w:lineRule="exact"/>
        <w:ind w:left="1329" w:leftChars="0" w:right="0" w:rightChars="0" w:hanging="1329" w:hangingChars="633"/>
        <w:rPr>
          <w:rFonts w:hint="eastAsia" w:ascii="宋体" w:hAnsi="宋体" w:eastAsia="宋体" w:cs="宋体"/>
          <w:color w:val="auto"/>
          <w:sz w:val="21"/>
          <w:szCs w:val="21"/>
          <w:highlight w:val="none"/>
        </w:rPr>
      </w:pPr>
    </w:p>
    <w:p w14:paraId="2BBE1F81">
      <w:pPr>
        <w:keepNext w:val="0"/>
        <w:keepLines w:val="0"/>
        <w:pageBreakBefore w:val="0"/>
        <w:widowControl w:val="0"/>
        <w:kinsoku/>
        <w:wordWrap/>
        <w:overflowPunct/>
        <w:topLinePunct w:val="0"/>
        <w:bidi w:val="0"/>
        <w:snapToGrid/>
        <w:spacing w:line="360" w:lineRule="exact"/>
        <w:ind w:left="1329" w:leftChars="0" w:right="0" w:rightChars="0" w:hanging="1329" w:hangingChars="633"/>
        <w:rPr>
          <w:rFonts w:hint="eastAsia" w:ascii="宋体" w:hAnsi="宋体" w:eastAsia="宋体" w:cs="宋体"/>
          <w:color w:val="auto"/>
          <w:sz w:val="21"/>
          <w:szCs w:val="21"/>
          <w:highlight w:val="none"/>
        </w:rPr>
      </w:pPr>
    </w:p>
    <w:p w14:paraId="4CED926E">
      <w:pPr>
        <w:keepNext w:val="0"/>
        <w:keepLines w:val="0"/>
        <w:pageBreakBefore w:val="0"/>
        <w:widowControl w:val="0"/>
        <w:kinsoku/>
        <w:wordWrap/>
        <w:overflowPunct/>
        <w:topLinePunct w:val="0"/>
        <w:bidi w:val="0"/>
        <w:snapToGrid/>
        <w:spacing w:line="360" w:lineRule="exact"/>
        <w:ind w:left="1329" w:leftChars="0" w:right="0" w:rightChars="0" w:hanging="1329" w:hangingChars="633"/>
        <w:rPr>
          <w:rFonts w:hint="eastAsia" w:ascii="宋体" w:hAnsi="宋体" w:eastAsia="宋体" w:cs="宋体"/>
          <w:color w:val="auto"/>
          <w:sz w:val="21"/>
          <w:szCs w:val="21"/>
          <w:highlight w:val="none"/>
        </w:rPr>
      </w:pPr>
    </w:p>
    <w:p w14:paraId="7884F57E">
      <w:pPr>
        <w:keepNext w:val="0"/>
        <w:keepLines w:val="0"/>
        <w:pageBreakBefore w:val="0"/>
        <w:widowControl w:val="0"/>
        <w:kinsoku/>
        <w:wordWrap/>
        <w:overflowPunct/>
        <w:topLinePunct w:val="0"/>
        <w:bidi w:val="0"/>
        <w:snapToGrid/>
        <w:spacing w:line="360" w:lineRule="exact"/>
        <w:ind w:left="1329" w:leftChars="0" w:right="0" w:rightChars="0" w:hanging="1329" w:hangingChars="633"/>
        <w:rPr>
          <w:rFonts w:hint="eastAsia" w:ascii="宋体" w:hAnsi="宋体" w:eastAsia="宋体" w:cs="宋体"/>
          <w:color w:val="auto"/>
          <w:sz w:val="21"/>
          <w:szCs w:val="21"/>
          <w:highlight w:val="none"/>
        </w:rPr>
      </w:pPr>
    </w:p>
    <w:p w14:paraId="1A7C3D2B">
      <w:pPr>
        <w:keepNext w:val="0"/>
        <w:keepLines w:val="0"/>
        <w:pageBreakBefore w:val="0"/>
        <w:widowControl w:val="0"/>
        <w:kinsoku/>
        <w:wordWrap/>
        <w:overflowPunct/>
        <w:topLinePunct w:val="0"/>
        <w:bidi w:val="0"/>
        <w:snapToGrid/>
        <w:spacing w:line="360" w:lineRule="exact"/>
        <w:ind w:left="1329" w:leftChars="0" w:right="0" w:rightChars="0" w:hanging="1329" w:hangingChars="633"/>
        <w:rPr>
          <w:rFonts w:hint="eastAsia" w:ascii="宋体" w:hAnsi="宋体" w:eastAsia="宋体" w:cs="宋体"/>
          <w:color w:val="auto"/>
          <w:sz w:val="21"/>
          <w:szCs w:val="21"/>
          <w:highlight w:val="none"/>
        </w:rPr>
      </w:pPr>
    </w:p>
    <w:p w14:paraId="34C52B17">
      <w:pPr>
        <w:keepNext w:val="0"/>
        <w:keepLines w:val="0"/>
        <w:pageBreakBefore w:val="0"/>
        <w:widowControl w:val="0"/>
        <w:kinsoku/>
        <w:wordWrap/>
        <w:overflowPunct/>
        <w:topLinePunct w:val="0"/>
        <w:bidi w:val="0"/>
        <w:snapToGrid/>
        <w:spacing w:line="360" w:lineRule="exact"/>
        <w:ind w:left="1329" w:leftChars="0" w:right="0" w:rightChars="0" w:hanging="1329" w:hangingChars="633"/>
        <w:rPr>
          <w:rFonts w:hint="eastAsia" w:ascii="宋体" w:hAnsi="宋体" w:eastAsia="宋体" w:cs="宋体"/>
          <w:color w:val="auto"/>
          <w:sz w:val="21"/>
          <w:szCs w:val="21"/>
          <w:highlight w:val="none"/>
        </w:rPr>
      </w:pPr>
    </w:p>
    <w:p w14:paraId="61A75DCC">
      <w:pPr>
        <w:keepNext w:val="0"/>
        <w:keepLines w:val="0"/>
        <w:pageBreakBefore w:val="0"/>
        <w:widowControl w:val="0"/>
        <w:kinsoku/>
        <w:wordWrap/>
        <w:overflowPunct/>
        <w:topLinePunct w:val="0"/>
        <w:bidi w:val="0"/>
        <w:snapToGrid/>
        <w:spacing w:line="360" w:lineRule="exact"/>
        <w:ind w:left="1329" w:leftChars="0" w:right="0" w:rightChars="0" w:hanging="1329" w:hangingChars="633"/>
        <w:rPr>
          <w:rFonts w:hint="eastAsia" w:ascii="宋体" w:hAnsi="宋体" w:eastAsia="宋体" w:cs="宋体"/>
          <w:color w:val="auto"/>
          <w:sz w:val="21"/>
          <w:szCs w:val="21"/>
          <w:highlight w:val="none"/>
        </w:rPr>
      </w:pPr>
    </w:p>
    <w:p w14:paraId="11E32662">
      <w:pPr>
        <w:keepNext w:val="0"/>
        <w:keepLines w:val="0"/>
        <w:pageBreakBefore w:val="0"/>
        <w:widowControl w:val="0"/>
        <w:kinsoku/>
        <w:wordWrap/>
        <w:overflowPunct/>
        <w:topLinePunct w:val="0"/>
        <w:bidi w:val="0"/>
        <w:snapToGrid/>
        <w:spacing w:line="360" w:lineRule="exact"/>
        <w:ind w:left="1329" w:leftChars="0" w:right="0" w:rightChars="0" w:hanging="1329" w:hangingChars="633"/>
        <w:rPr>
          <w:rFonts w:hint="eastAsia" w:ascii="宋体" w:hAnsi="宋体" w:eastAsia="宋体" w:cs="宋体"/>
          <w:color w:val="auto"/>
          <w:sz w:val="21"/>
          <w:szCs w:val="21"/>
          <w:highlight w:val="none"/>
        </w:rPr>
      </w:pPr>
    </w:p>
    <w:p w14:paraId="61E979BF">
      <w:pPr>
        <w:keepNext w:val="0"/>
        <w:keepLines w:val="0"/>
        <w:pageBreakBefore w:val="0"/>
        <w:widowControl w:val="0"/>
        <w:kinsoku/>
        <w:wordWrap/>
        <w:overflowPunct/>
        <w:topLinePunct w:val="0"/>
        <w:bidi w:val="0"/>
        <w:snapToGrid/>
        <w:spacing w:line="360" w:lineRule="exact"/>
        <w:ind w:left="1329" w:leftChars="0" w:right="0" w:rightChars="0" w:hanging="1329" w:hangingChars="633"/>
        <w:rPr>
          <w:rFonts w:hint="eastAsia" w:ascii="宋体" w:hAnsi="宋体" w:eastAsia="宋体" w:cs="宋体"/>
          <w:color w:val="auto"/>
          <w:sz w:val="21"/>
          <w:szCs w:val="21"/>
          <w:highlight w:val="none"/>
        </w:rPr>
      </w:pPr>
    </w:p>
    <w:p w14:paraId="686E5652">
      <w:pPr>
        <w:pStyle w:val="9"/>
        <w:keepNext w:val="0"/>
        <w:keepLines w:val="0"/>
        <w:pageBreakBefore w:val="0"/>
        <w:widowControl w:val="0"/>
        <w:wordWrap/>
        <w:topLinePunct w:val="0"/>
        <w:bidi w:val="0"/>
        <w:rPr>
          <w:rFonts w:hint="eastAsia" w:ascii="宋体" w:hAnsi="宋体" w:eastAsia="宋体" w:cs="宋体"/>
          <w:color w:val="auto"/>
          <w:sz w:val="21"/>
          <w:szCs w:val="21"/>
          <w:highlight w:val="none"/>
        </w:rPr>
      </w:pPr>
    </w:p>
    <w:p w14:paraId="275C40C1">
      <w:pPr>
        <w:pStyle w:val="9"/>
        <w:keepNext w:val="0"/>
        <w:keepLines w:val="0"/>
        <w:pageBreakBefore w:val="0"/>
        <w:widowControl w:val="0"/>
        <w:wordWrap/>
        <w:topLinePunct w:val="0"/>
        <w:bidi w:val="0"/>
        <w:rPr>
          <w:rFonts w:hint="eastAsia" w:ascii="宋体" w:hAnsi="宋体" w:eastAsia="宋体" w:cs="宋体"/>
          <w:color w:val="auto"/>
          <w:sz w:val="21"/>
          <w:szCs w:val="21"/>
          <w:highlight w:val="none"/>
        </w:rPr>
      </w:pPr>
    </w:p>
    <w:p w14:paraId="7E6C5291">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w:t>
      </w:r>
      <w:bookmarkStart w:id="2325" w:name="_Toc296347231"/>
      <w:bookmarkStart w:id="2326" w:name="_Toc296891272"/>
      <w:bookmarkStart w:id="2327" w:name="_Toc296346733"/>
      <w:bookmarkStart w:id="2328" w:name="_Toc296503232"/>
      <w:bookmarkStart w:id="2329" w:name="_Toc296944571"/>
      <w:bookmarkStart w:id="2330" w:name="_Toc296891060"/>
      <w:bookmarkStart w:id="2331" w:name="_Toc267261702"/>
      <w:r>
        <w:rPr>
          <w:rFonts w:hint="eastAsia" w:ascii="宋体" w:hAnsi="宋体" w:eastAsia="宋体" w:cs="宋体"/>
          <w:color w:val="auto"/>
          <w:sz w:val="21"/>
          <w:szCs w:val="21"/>
          <w:highlight w:val="none"/>
        </w:rPr>
        <w:t>件9 ：</w:t>
      </w:r>
    </w:p>
    <w:bookmarkEnd w:id="2325"/>
    <w:bookmarkEnd w:id="2326"/>
    <w:bookmarkEnd w:id="2327"/>
    <w:bookmarkEnd w:id="2328"/>
    <w:bookmarkEnd w:id="2329"/>
    <w:bookmarkEnd w:id="2330"/>
    <w:bookmarkEnd w:id="2331"/>
    <w:p w14:paraId="2DB1918B">
      <w:pPr>
        <w:keepNext w:val="0"/>
        <w:keepLines w:val="0"/>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预付款担保</w:t>
      </w:r>
    </w:p>
    <w:p w14:paraId="229947B3">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（发包人名称）：</w:t>
      </w:r>
    </w:p>
    <w:p w14:paraId="1620CACB">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45C0290E">
      <w:pPr>
        <w:keepNext w:val="0"/>
        <w:keepLines w:val="0"/>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（承包人名称）（以下称“承包人”）与</w:t>
      </w:r>
    </w:p>
    <w:p w14:paraId="4EDD39A9">
      <w:pPr>
        <w:keepNext w:val="0"/>
        <w:keepLines w:val="0"/>
        <w:pageBreakBefore w:val="0"/>
        <w:widowControl w:val="0"/>
        <w:kinsoku/>
        <w:wordWrap/>
        <w:overflowPunct/>
        <w:topLinePunct w:val="0"/>
        <w:bidi w:val="0"/>
        <w:snapToGrid/>
        <w:spacing w:line="360" w:lineRule="exact"/>
        <w:ind w:left="0" w:leftChars="0" w:right="0" w:rightChars="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bookmarkStart w:id="2332" w:name="_Toc29110"/>
      <w:bookmarkStart w:id="2333" w:name="_Toc10563"/>
      <w:bookmarkStart w:id="2334" w:name="_Toc19561"/>
      <w:bookmarkStart w:id="2335" w:name="_Toc23079"/>
      <w:r>
        <w:rPr>
          <w:rFonts w:hint="eastAsia" w:ascii="宋体" w:hAnsi="宋体" w:eastAsia="宋体" w:cs="宋体"/>
          <w:color w:val="auto"/>
          <w:sz w:val="21"/>
          <w:szCs w:val="21"/>
          <w:highlight w:val="none"/>
        </w:rPr>
        <w:t>（发包人名称）（以下简称“发包人”）</w:t>
      </w:r>
      <w:bookmarkEnd w:id="2332"/>
      <w:bookmarkEnd w:id="2333"/>
      <w:bookmarkEnd w:id="2334"/>
      <w:bookmarkEnd w:id="2335"/>
    </w:p>
    <w:p w14:paraId="0BE465D2">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日签订的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（工程名称）《建设工程施工合同》，承包人按约定的金额向你方提交一份预付款担保，即有权得到你方支付相等金额的预付款。我方愿意就你方提供给承包人的预付款为承包人提供连带责任担保。</w:t>
      </w:r>
    </w:p>
    <w:p w14:paraId="668C430B">
      <w:pPr>
        <w:keepNext w:val="0"/>
        <w:keepLines w:val="0"/>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担保金额人民币（大写）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2CD9CE7">
      <w:pPr>
        <w:keepNext w:val="0"/>
        <w:keepLines w:val="0"/>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担保有效期自预付款支付给承包人起生效，至你方签发的进度款支付证书说明已完全扣清止。</w:t>
      </w:r>
    </w:p>
    <w:p w14:paraId="328B6341">
      <w:pPr>
        <w:keepNext w:val="0"/>
        <w:keepLines w:val="0"/>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27800B14">
      <w:pPr>
        <w:keepNext w:val="0"/>
        <w:keepLines w:val="0"/>
        <w:pageBreakBefore w:val="0"/>
        <w:widowControl w:val="0"/>
        <w:kinsoku/>
        <w:wordWrap/>
        <w:overflowPunct/>
        <w:topLinePunct w:val="0"/>
        <w:bidi w:val="0"/>
        <w:snapToGrid/>
        <w:spacing w:line="360" w:lineRule="exact"/>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你方和承包人按合同约定变更合同时，我方承担本保函规定的义务不变。</w:t>
      </w:r>
    </w:p>
    <w:p w14:paraId="6B734788">
      <w:pPr>
        <w:keepNext w:val="0"/>
        <w:keepLines w:val="0"/>
        <w:pageBreakBefore w:val="0"/>
        <w:widowControl w:val="0"/>
        <w:kinsoku/>
        <w:wordWrap/>
        <w:overflowPunct/>
        <w:topLinePunct w:val="0"/>
        <w:bidi w:val="0"/>
        <w:snapToGrid/>
        <w:spacing w:line="360" w:lineRule="exact"/>
        <w:ind w:left="0" w:leftChars="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因本保函发生的纠纷，可由双方协商解决，协商不成的，任何一方均可提请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仲裁委员会仲裁。</w:t>
      </w:r>
    </w:p>
    <w:p w14:paraId="267686DC">
      <w:pPr>
        <w:keepNext w:val="0"/>
        <w:keepLines w:val="0"/>
        <w:pageBreakBefore w:val="0"/>
        <w:widowControl w:val="0"/>
        <w:kinsoku/>
        <w:wordWrap/>
        <w:overflowPunct/>
        <w:topLinePunct w:val="0"/>
        <w:bidi w:val="0"/>
        <w:snapToGrid/>
        <w:spacing w:line="360" w:lineRule="exact"/>
        <w:ind w:left="0" w:leftChars="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本保函自我方法定代表人（或其授权代理人）签字并加盖公章之日起生效。</w:t>
      </w:r>
    </w:p>
    <w:p w14:paraId="2C301526">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2828925E">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p>
    <w:p w14:paraId="0394FF66">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担保人：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14:paraId="17BD7324">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4541E123">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p>
    <w:p w14:paraId="371EC27D">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p>
    <w:p w14:paraId="653B3B7C">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p>
    <w:p w14:paraId="5F04A0F8">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p>
    <w:p w14:paraId="735F00D0">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203C4AFD">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u w:val="single"/>
        </w:rPr>
      </w:pPr>
    </w:p>
    <w:p w14:paraId="486CA43F">
      <w:pPr>
        <w:keepNext w:val="0"/>
        <w:keepLines w:val="0"/>
        <w:pageBreakBefore w:val="0"/>
        <w:widowControl w:val="0"/>
        <w:kinsoku/>
        <w:wordWrap/>
        <w:overflowPunct/>
        <w:topLinePunct w:val="0"/>
        <w:bidi w:val="0"/>
        <w:snapToGrid/>
        <w:spacing w:line="360" w:lineRule="exact"/>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339639D2">
      <w:pPr>
        <w:keepNext w:val="0"/>
        <w:keepLines w:val="0"/>
        <w:pageBreakBefore w:val="0"/>
        <w:widowControl w:val="0"/>
        <w:wordWrap/>
        <w:topLinePunct w:val="0"/>
        <w:bidi w:val="0"/>
        <w:spacing w:line="440" w:lineRule="exact"/>
        <w:rPr>
          <w:rFonts w:hint="eastAsia" w:ascii="宋体" w:hAnsi="宋体" w:eastAsia="宋体" w:cs="宋体"/>
          <w:color w:val="auto"/>
          <w:sz w:val="21"/>
          <w:szCs w:val="21"/>
          <w:highlight w:val="none"/>
        </w:rPr>
      </w:pPr>
      <w:r>
        <w:rPr>
          <w:rFonts w:eastAsia="仿宋_GB2312"/>
          <w:b/>
          <w:color w:val="auto"/>
          <w:sz w:val="30"/>
          <w:szCs w:val="30"/>
          <w:highlight w:val="none"/>
        </w:rPr>
        <w:br w:type="page"/>
      </w:r>
      <w:r>
        <w:rPr>
          <w:rFonts w:hint="eastAsia" w:ascii="宋体" w:hAnsi="宋体" w:eastAsia="宋体" w:cs="宋体"/>
          <w:color w:val="auto"/>
          <w:sz w:val="21"/>
          <w:szCs w:val="21"/>
          <w:highlight w:val="none"/>
        </w:rPr>
        <w:t>附件10</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14:paraId="12284FB9">
      <w:pPr>
        <w:keepNext w:val="0"/>
        <w:keepLines w:val="0"/>
        <w:pageBreakBefore w:val="0"/>
        <w:widowControl w:val="0"/>
        <w:wordWrap/>
        <w:topLinePunct w:val="0"/>
        <w:bidi w:val="0"/>
        <w:spacing w:before="120" w:beforeLines="50" w:after="120" w:afterLines="50"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支付担保</w:t>
      </w:r>
    </w:p>
    <w:p w14:paraId="3F165ADD">
      <w:pPr>
        <w:keepNext w:val="0"/>
        <w:keepLines w:val="0"/>
        <w:pageBreakBefore w:val="0"/>
        <w:widowControl w:val="0"/>
        <w:wordWrap/>
        <w:topLinePunct w:val="0"/>
        <w:bidi w:val="0"/>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w:t>
      </w:r>
    </w:p>
    <w:p w14:paraId="679C9CB7">
      <w:pPr>
        <w:keepNext w:val="0"/>
        <w:keepLines w:val="0"/>
        <w:pageBreakBefore w:val="0"/>
        <w:widowControl w:val="0"/>
        <w:wordWrap/>
        <w:topLinePunct w:val="0"/>
        <w:bidi w:val="0"/>
        <w:spacing w:line="440" w:lineRule="exact"/>
        <w:jc w:val="left"/>
        <w:rPr>
          <w:rFonts w:hint="eastAsia" w:ascii="宋体" w:hAnsi="宋体" w:eastAsia="宋体" w:cs="宋体"/>
          <w:color w:val="auto"/>
          <w:sz w:val="21"/>
          <w:szCs w:val="21"/>
          <w:highlight w:val="none"/>
        </w:rPr>
      </w:pPr>
    </w:p>
    <w:p w14:paraId="1D3FE84D">
      <w:pPr>
        <w:keepNext w:val="0"/>
        <w:keepLines w:val="0"/>
        <w:pageBreakBefore w:val="0"/>
        <w:widowControl w:val="0"/>
        <w:wordWrap/>
        <w:topLinePunct w:val="0"/>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鉴于你方作为承包人已经与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（发包人名称）（以下称“发包人”）于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日签订了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（工程名称）《建设工程施工合同》（以下称“主合同”），应发包人的申请，我方愿就发包人履行主合同约定的工程款支付义务以保证的方式向你方提供如下担保：</w:t>
      </w:r>
    </w:p>
    <w:p w14:paraId="66927A6B">
      <w:pPr>
        <w:keepNext w:val="0"/>
        <w:keepLines w:val="0"/>
        <w:pageBreakBefore w:val="0"/>
        <w:widowControl w:val="0"/>
        <w:wordWrap/>
        <w:topLinePunct w:val="0"/>
        <w:bidi w:val="0"/>
        <w:spacing w:line="360" w:lineRule="auto"/>
        <w:ind w:firstLine="420" w:firstLineChars="200"/>
        <w:jc w:val="left"/>
        <w:outlineLvl w:val="9"/>
        <w:rPr>
          <w:rFonts w:hint="eastAsia" w:ascii="宋体" w:hAnsi="宋体" w:eastAsia="宋体" w:cs="宋体"/>
          <w:color w:val="auto"/>
          <w:sz w:val="21"/>
          <w:szCs w:val="21"/>
          <w:highlight w:val="none"/>
        </w:rPr>
      </w:pPr>
      <w:bookmarkStart w:id="2336" w:name="_Toc11400"/>
      <w:bookmarkStart w:id="2337" w:name="_Toc31131"/>
      <w:bookmarkStart w:id="2338" w:name="_Toc20380"/>
      <w:bookmarkStart w:id="2339" w:name="_Toc25964"/>
      <w:r>
        <w:rPr>
          <w:rFonts w:hint="eastAsia" w:ascii="宋体" w:hAnsi="宋体" w:eastAsia="宋体" w:cs="宋体"/>
          <w:color w:val="auto"/>
          <w:sz w:val="21"/>
          <w:szCs w:val="21"/>
          <w:highlight w:val="none"/>
        </w:rPr>
        <w:t>一、保证的范围及保证金额</w:t>
      </w:r>
      <w:bookmarkEnd w:id="2336"/>
      <w:bookmarkEnd w:id="2337"/>
      <w:bookmarkEnd w:id="2338"/>
      <w:bookmarkEnd w:id="2339"/>
    </w:p>
    <w:p w14:paraId="040ADDA1">
      <w:pPr>
        <w:keepNext w:val="0"/>
        <w:keepLines w:val="0"/>
        <w:pageBreakBefore w:val="0"/>
        <w:widowControl w:val="0"/>
        <w:wordWrap/>
        <w:topLinePunct w:val="0"/>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我方的保证范围是主合同约定的工程款。</w:t>
      </w:r>
    </w:p>
    <w:p w14:paraId="6FBADF99">
      <w:pPr>
        <w:keepNext w:val="0"/>
        <w:keepLines w:val="0"/>
        <w:pageBreakBefore w:val="0"/>
        <w:widowControl w:val="0"/>
        <w:wordWrap/>
        <w:topLinePunct w:val="0"/>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本保函所称主合同约定的工程款是指主合同约定的除工程质量保证金以外的合同价款。</w:t>
      </w:r>
    </w:p>
    <w:p w14:paraId="0AAD72A8">
      <w:pPr>
        <w:keepNext w:val="0"/>
        <w:keepLines w:val="0"/>
        <w:pageBreakBefore w:val="0"/>
        <w:widowControl w:val="0"/>
        <w:wordWrap/>
        <w:topLinePunct w:val="0"/>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我方保证的金额是主合同约定的工程款的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%，数额最高不超过人民币元（大写：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397FB28">
      <w:pPr>
        <w:keepNext w:val="0"/>
        <w:keepLines w:val="0"/>
        <w:pageBreakBefore w:val="0"/>
        <w:widowControl w:val="0"/>
        <w:wordWrap/>
        <w:topLinePunct w:val="0"/>
        <w:bidi w:val="0"/>
        <w:spacing w:line="360" w:lineRule="auto"/>
        <w:ind w:firstLine="420" w:firstLineChars="200"/>
        <w:jc w:val="left"/>
        <w:outlineLvl w:val="9"/>
        <w:rPr>
          <w:rFonts w:hint="eastAsia" w:ascii="宋体" w:hAnsi="宋体" w:eastAsia="宋体" w:cs="宋体"/>
          <w:color w:val="auto"/>
          <w:sz w:val="21"/>
          <w:szCs w:val="21"/>
          <w:highlight w:val="none"/>
        </w:rPr>
      </w:pPr>
      <w:bookmarkStart w:id="2340" w:name="_Toc13918"/>
      <w:bookmarkStart w:id="2341" w:name="_Toc10162"/>
      <w:bookmarkStart w:id="2342" w:name="_Toc31793"/>
      <w:bookmarkStart w:id="2343" w:name="_Toc16286"/>
      <w:r>
        <w:rPr>
          <w:rFonts w:hint="eastAsia" w:ascii="宋体" w:hAnsi="宋体" w:eastAsia="宋体" w:cs="宋体"/>
          <w:color w:val="auto"/>
          <w:sz w:val="21"/>
          <w:szCs w:val="21"/>
          <w:highlight w:val="none"/>
        </w:rPr>
        <w:t>二、保证的方式及保证期间</w:t>
      </w:r>
      <w:bookmarkEnd w:id="2340"/>
      <w:bookmarkEnd w:id="2341"/>
      <w:bookmarkEnd w:id="2342"/>
      <w:bookmarkEnd w:id="2343"/>
    </w:p>
    <w:p w14:paraId="34C48C16">
      <w:pPr>
        <w:keepNext w:val="0"/>
        <w:keepLines w:val="0"/>
        <w:pageBreakBefore w:val="0"/>
        <w:widowControl w:val="0"/>
        <w:wordWrap/>
        <w:topLinePunct w:val="0"/>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我方保证的方式为：连带责任保证。</w:t>
      </w:r>
    </w:p>
    <w:p w14:paraId="4ACE1FBB">
      <w:pPr>
        <w:keepNext w:val="0"/>
        <w:keepLines w:val="0"/>
        <w:pageBreakBefore w:val="0"/>
        <w:widowControl w:val="0"/>
        <w:wordWrap/>
        <w:topLinePunct w:val="0"/>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我方保证的期间为：自本合同生效之日起至主合同约定的工程款支付完毕之日后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日内。</w:t>
      </w:r>
    </w:p>
    <w:p w14:paraId="75CE5871">
      <w:pPr>
        <w:keepNext w:val="0"/>
        <w:keepLines w:val="0"/>
        <w:pageBreakBefore w:val="0"/>
        <w:widowControl w:val="0"/>
        <w:wordWrap/>
        <w:topLinePunct w:val="0"/>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你方与发包人协议变更工程款支付日期的，经我方书面同意后，保证期间按照变更后的支付日期做相应调整。</w:t>
      </w:r>
    </w:p>
    <w:p w14:paraId="6DB5FB4C">
      <w:pPr>
        <w:keepNext w:val="0"/>
        <w:keepLines w:val="0"/>
        <w:pageBreakBefore w:val="0"/>
        <w:widowControl w:val="0"/>
        <w:wordWrap/>
        <w:topLinePunct w:val="0"/>
        <w:bidi w:val="0"/>
        <w:spacing w:line="360" w:lineRule="auto"/>
        <w:ind w:firstLine="420" w:firstLineChars="200"/>
        <w:jc w:val="left"/>
        <w:outlineLvl w:val="9"/>
        <w:rPr>
          <w:rFonts w:hint="eastAsia" w:ascii="宋体" w:hAnsi="宋体" w:eastAsia="宋体" w:cs="宋体"/>
          <w:color w:val="auto"/>
          <w:sz w:val="21"/>
          <w:szCs w:val="21"/>
          <w:highlight w:val="none"/>
        </w:rPr>
      </w:pPr>
      <w:bookmarkStart w:id="2344" w:name="_Toc28829"/>
      <w:bookmarkStart w:id="2345" w:name="_Toc3217"/>
      <w:bookmarkStart w:id="2346" w:name="_Toc30010"/>
      <w:bookmarkStart w:id="2347" w:name="_Toc30478"/>
      <w:r>
        <w:rPr>
          <w:rFonts w:hint="eastAsia" w:ascii="宋体" w:hAnsi="宋体" w:eastAsia="宋体" w:cs="宋体"/>
          <w:color w:val="auto"/>
          <w:sz w:val="21"/>
          <w:szCs w:val="21"/>
          <w:highlight w:val="none"/>
        </w:rPr>
        <w:t>三、承担保证责任的形式</w:t>
      </w:r>
      <w:bookmarkEnd w:id="2344"/>
      <w:bookmarkEnd w:id="2345"/>
      <w:bookmarkEnd w:id="2346"/>
      <w:bookmarkEnd w:id="2347"/>
    </w:p>
    <w:p w14:paraId="73EA49E2">
      <w:pPr>
        <w:keepNext w:val="0"/>
        <w:keepLines w:val="0"/>
        <w:pageBreakBefore w:val="0"/>
        <w:widowControl w:val="0"/>
        <w:wordWrap/>
        <w:topLinePunct w:val="0"/>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我方承担保证责任的形式是代为支付。发包人未按主合同约定向你方支付工程款的，由我方在保证金额内代为支付。</w:t>
      </w:r>
    </w:p>
    <w:p w14:paraId="215B41FE">
      <w:pPr>
        <w:keepNext w:val="0"/>
        <w:keepLines w:val="0"/>
        <w:pageBreakBefore w:val="0"/>
        <w:widowControl w:val="0"/>
        <w:wordWrap/>
        <w:topLinePunct w:val="0"/>
        <w:bidi w:val="0"/>
        <w:spacing w:line="360" w:lineRule="auto"/>
        <w:ind w:firstLine="420" w:firstLineChars="200"/>
        <w:jc w:val="left"/>
        <w:outlineLvl w:val="9"/>
        <w:rPr>
          <w:rFonts w:hint="eastAsia" w:ascii="宋体" w:hAnsi="宋体" w:eastAsia="宋体" w:cs="宋体"/>
          <w:color w:val="auto"/>
          <w:sz w:val="21"/>
          <w:szCs w:val="21"/>
          <w:highlight w:val="none"/>
        </w:rPr>
      </w:pPr>
      <w:bookmarkStart w:id="2348" w:name="_Toc19016"/>
      <w:bookmarkStart w:id="2349" w:name="_Toc11312"/>
      <w:bookmarkStart w:id="2350" w:name="_Toc17037"/>
      <w:bookmarkStart w:id="2351" w:name="_Toc4883"/>
      <w:r>
        <w:rPr>
          <w:rFonts w:hint="eastAsia" w:ascii="宋体" w:hAnsi="宋体" w:eastAsia="宋体" w:cs="宋体"/>
          <w:color w:val="auto"/>
          <w:sz w:val="21"/>
          <w:szCs w:val="21"/>
          <w:highlight w:val="none"/>
        </w:rPr>
        <w:t>四、代偿的安排</w:t>
      </w:r>
      <w:bookmarkEnd w:id="2348"/>
      <w:bookmarkEnd w:id="2349"/>
      <w:bookmarkEnd w:id="2350"/>
      <w:bookmarkEnd w:id="2351"/>
    </w:p>
    <w:p w14:paraId="30CDF85B">
      <w:pPr>
        <w:keepNext w:val="0"/>
        <w:keepLines w:val="0"/>
        <w:pageBreakBefore w:val="0"/>
        <w:widowControl w:val="0"/>
        <w:wordWrap/>
        <w:topLinePunct w:val="0"/>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你方要求我方承担保证责任的，应向我方发出书面索赔通知及发包人未支付主合同约定工程款的证明材料。索赔通知应写明要求索赔的金额，支付款项应到达的账号。</w:t>
      </w:r>
    </w:p>
    <w:p w14:paraId="77885C19">
      <w:pPr>
        <w:keepNext w:val="0"/>
        <w:keepLines w:val="0"/>
        <w:pageBreakBefore w:val="0"/>
        <w:widowControl w:val="0"/>
        <w:wordWrap/>
        <w:topLinePunct w:val="0"/>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273C0730">
      <w:pPr>
        <w:keepNext w:val="0"/>
        <w:keepLines w:val="0"/>
        <w:pageBreakBefore w:val="0"/>
        <w:widowControl w:val="0"/>
        <w:wordWrap/>
        <w:topLinePunct w:val="0"/>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我方收到你方的书面索赔通知及相应的证明材料后７天内无条件支付。</w:t>
      </w:r>
    </w:p>
    <w:p w14:paraId="3E7D77D9">
      <w:pPr>
        <w:keepNext w:val="0"/>
        <w:keepLines w:val="0"/>
        <w:pageBreakBefore w:val="0"/>
        <w:widowControl w:val="0"/>
        <w:wordWrap/>
        <w:topLinePunct w:val="0"/>
        <w:bidi w:val="0"/>
        <w:spacing w:line="360" w:lineRule="auto"/>
        <w:ind w:firstLine="420" w:firstLineChars="200"/>
        <w:jc w:val="left"/>
        <w:outlineLvl w:val="9"/>
        <w:rPr>
          <w:rFonts w:hint="eastAsia" w:ascii="宋体" w:hAnsi="宋体" w:eastAsia="宋体" w:cs="宋体"/>
          <w:color w:val="auto"/>
          <w:sz w:val="21"/>
          <w:szCs w:val="21"/>
          <w:highlight w:val="none"/>
        </w:rPr>
      </w:pPr>
      <w:bookmarkStart w:id="2352" w:name="_Toc29416"/>
      <w:bookmarkStart w:id="2353" w:name="_Toc1507"/>
      <w:bookmarkStart w:id="2354" w:name="_Toc25107"/>
      <w:bookmarkStart w:id="2355" w:name="_Toc30624"/>
      <w:r>
        <w:rPr>
          <w:rFonts w:hint="eastAsia" w:ascii="宋体" w:hAnsi="宋体" w:eastAsia="宋体" w:cs="宋体"/>
          <w:color w:val="auto"/>
          <w:sz w:val="21"/>
          <w:szCs w:val="21"/>
          <w:highlight w:val="none"/>
        </w:rPr>
        <w:t>五、保证责任的解除</w:t>
      </w:r>
      <w:bookmarkEnd w:id="2352"/>
      <w:bookmarkEnd w:id="2353"/>
      <w:bookmarkEnd w:id="2354"/>
      <w:bookmarkEnd w:id="2355"/>
    </w:p>
    <w:p w14:paraId="14D1E275">
      <w:pPr>
        <w:keepNext w:val="0"/>
        <w:keepLines w:val="0"/>
        <w:pageBreakBefore w:val="0"/>
        <w:widowControl w:val="0"/>
        <w:wordWrap/>
        <w:topLinePunct w:val="0"/>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在本保函承诺的保证期间内，你方未书面向我方主张保证责任的，自保证期间届满次日起，我方保证责任解除。</w:t>
      </w:r>
    </w:p>
    <w:p w14:paraId="13B3C168">
      <w:pPr>
        <w:keepNext w:val="0"/>
        <w:keepLines w:val="0"/>
        <w:pageBreakBefore w:val="0"/>
        <w:widowControl w:val="0"/>
        <w:wordWrap/>
        <w:topLinePunct w:val="0"/>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发包人按主合同约定履行了工程款的全部支付义务的，自本保函承诺的保证期间届满次日起，我方保证责任解除。</w:t>
      </w:r>
    </w:p>
    <w:p w14:paraId="569D41CD">
      <w:pPr>
        <w:keepNext w:val="0"/>
        <w:keepLines w:val="0"/>
        <w:pageBreakBefore w:val="0"/>
        <w:widowControl w:val="0"/>
        <w:wordWrap/>
        <w:topLinePunct w:val="0"/>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我方按照本保函向你方履行保证责任所支付金额达到本保函保证金额时，自我方向你方支付（支付款项从我方账户划出）之日起，保证责任即解除。</w:t>
      </w:r>
    </w:p>
    <w:p w14:paraId="5C674C2D">
      <w:pPr>
        <w:keepNext w:val="0"/>
        <w:keepLines w:val="0"/>
        <w:pageBreakBefore w:val="0"/>
        <w:widowControl w:val="0"/>
        <w:wordWrap/>
        <w:topLinePunct w:val="0"/>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按照法律法规的规定或出现应解除我方保证责任的其他情形的，我方在本保函项下的保证责任亦解除。</w:t>
      </w:r>
    </w:p>
    <w:p w14:paraId="4823E074">
      <w:pPr>
        <w:keepNext w:val="0"/>
        <w:keepLines w:val="0"/>
        <w:pageBreakBefore w:val="0"/>
        <w:widowControl w:val="0"/>
        <w:wordWrap/>
        <w:topLinePunct w:val="0"/>
        <w:bidi w:val="0"/>
        <w:spacing w:line="360" w:lineRule="auto"/>
        <w:jc w:val="left"/>
        <w:rPr>
          <w:rFonts w:hint="eastAsia" w:ascii="宋体" w:hAnsi="宋体" w:eastAsia="宋体" w:cs="宋体"/>
          <w:color w:val="auto"/>
          <w:sz w:val="21"/>
          <w:szCs w:val="21"/>
          <w:highlight w:val="none"/>
        </w:rPr>
      </w:pPr>
    </w:p>
    <w:p w14:paraId="6A45C4F5">
      <w:pPr>
        <w:keepNext w:val="0"/>
        <w:keepLines w:val="0"/>
        <w:pageBreakBefore w:val="0"/>
        <w:widowControl w:val="0"/>
        <w:wordWrap/>
        <w:topLinePunct w:val="0"/>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我方解除保证责任后，你方应自我方保证责任解除之日起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个工作日内，将本保函原件返还我方。</w:t>
      </w:r>
    </w:p>
    <w:p w14:paraId="28706656">
      <w:pPr>
        <w:keepNext w:val="0"/>
        <w:keepLines w:val="0"/>
        <w:pageBreakBefore w:val="0"/>
        <w:widowControl w:val="0"/>
        <w:wordWrap/>
        <w:topLinePunct w:val="0"/>
        <w:bidi w:val="0"/>
        <w:spacing w:line="360" w:lineRule="auto"/>
        <w:ind w:firstLine="420" w:firstLineChars="200"/>
        <w:jc w:val="left"/>
        <w:outlineLvl w:val="9"/>
        <w:rPr>
          <w:rFonts w:hint="eastAsia" w:ascii="宋体" w:hAnsi="宋体" w:eastAsia="宋体" w:cs="宋体"/>
          <w:color w:val="auto"/>
          <w:sz w:val="21"/>
          <w:szCs w:val="21"/>
          <w:highlight w:val="none"/>
        </w:rPr>
      </w:pPr>
      <w:bookmarkStart w:id="2356" w:name="_Toc14021"/>
      <w:bookmarkStart w:id="2357" w:name="_Toc23407"/>
      <w:bookmarkStart w:id="2358" w:name="_Toc3962"/>
      <w:bookmarkStart w:id="2359" w:name="_Toc11064"/>
      <w:r>
        <w:rPr>
          <w:rFonts w:hint="eastAsia" w:ascii="宋体" w:hAnsi="宋体" w:eastAsia="宋体" w:cs="宋体"/>
          <w:color w:val="auto"/>
          <w:sz w:val="21"/>
          <w:szCs w:val="21"/>
          <w:highlight w:val="none"/>
        </w:rPr>
        <w:t>六、免责条款</w:t>
      </w:r>
      <w:bookmarkEnd w:id="2356"/>
      <w:bookmarkEnd w:id="2357"/>
      <w:bookmarkEnd w:id="2358"/>
      <w:bookmarkEnd w:id="2359"/>
    </w:p>
    <w:p w14:paraId="17F12D7D">
      <w:pPr>
        <w:keepNext w:val="0"/>
        <w:keepLines w:val="0"/>
        <w:pageBreakBefore w:val="0"/>
        <w:widowControl w:val="0"/>
        <w:wordWrap/>
        <w:topLinePunct w:val="0"/>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因你方违约致使发包人不能履行义务的，我方不承担保证责任。</w:t>
      </w:r>
    </w:p>
    <w:p w14:paraId="2BF29768">
      <w:pPr>
        <w:keepNext w:val="0"/>
        <w:keepLines w:val="0"/>
        <w:pageBreakBefore w:val="0"/>
        <w:widowControl w:val="0"/>
        <w:wordWrap/>
        <w:topLinePunct w:val="0"/>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依照法律法规的规定或你方与发包人的另行约定，免除发包人部分或全部义务的，我方亦免除其相应的保证责任。</w:t>
      </w:r>
    </w:p>
    <w:p w14:paraId="4803B688">
      <w:pPr>
        <w:keepNext w:val="0"/>
        <w:keepLines w:val="0"/>
        <w:pageBreakBefore w:val="0"/>
        <w:widowControl w:val="0"/>
        <w:wordWrap/>
        <w:topLinePunct w:val="0"/>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3CE3C947">
      <w:pPr>
        <w:keepNext w:val="0"/>
        <w:keepLines w:val="0"/>
        <w:pageBreakBefore w:val="0"/>
        <w:widowControl w:val="0"/>
        <w:wordWrap/>
        <w:topLinePunct w:val="0"/>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因不可抗力造成发包人不能履行义务的，我方不承担保证责任。</w:t>
      </w:r>
    </w:p>
    <w:p w14:paraId="69F69B86">
      <w:pPr>
        <w:keepNext w:val="0"/>
        <w:keepLines w:val="0"/>
        <w:pageBreakBefore w:val="0"/>
        <w:widowControl w:val="0"/>
        <w:wordWrap/>
        <w:topLinePunct w:val="0"/>
        <w:bidi w:val="0"/>
        <w:spacing w:line="360" w:lineRule="auto"/>
        <w:ind w:firstLine="420" w:firstLineChars="200"/>
        <w:jc w:val="left"/>
        <w:outlineLvl w:val="9"/>
        <w:rPr>
          <w:rFonts w:hint="eastAsia" w:ascii="宋体" w:hAnsi="宋体" w:eastAsia="宋体" w:cs="宋体"/>
          <w:color w:val="auto"/>
          <w:sz w:val="21"/>
          <w:szCs w:val="21"/>
          <w:highlight w:val="none"/>
        </w:rPr>
      </w:pPr>
      <w:bookmarkStart w:id="2360" w:name="_Toc20106"/>
      <w:bookmarkStart w:id="2361" w:name="_Toc22034"/>
      <w:bookmarkStart w:id="2362" w:name="_Toc28001"/>
      <w:bookmarkStart w:id="2363" w:name="_Toc5169"/>
      <w:r>
        <w:rPr>
          <w:rFonts w:hint="eastAsia" w:ascii="宋体" w:hAnsi="宋体" w:eastAsia="宋体" w:cs="宋体"/>
          <w:color w:val="auto"/>
          <w:sz w:val="21"/>
          <w:szCs w:val="21"/>
          <w:highlight w:val="none"/>
        </w:rPr>
        <w:t>七、争议解决</w:t>
      </w:r>
      <w:bookmarkEnd w:id="2360"/>
      <w:bookmarkEnd w:id="2361"/>
      <w:bookmarkEnd w:id="2362"/>
      <w:bookmarkEnd w:id="2363"/>
    </w:p>
    <w:p w14:paraId="7B716719">
      <w:pPr>
        <w:keepNext w:val="0"/>
        <w:keepLines w:val="0"/>
        <w:pageBreakBefore w:val="0"/>
        <w:widowControl w:val="0"/>
        <w:wordWrap/>
        <w:topLinePunct w:val="0"/>
        <w:bidi w:val="0"/>
        <w:spacing w:after="12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因本保函或本保函相关事项发生的纠纷，可由双方协商解决，协商不成的，按下列第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种方式解决：</w:t>
      </w:r>
    </w:p>
    <w:p w14:paraId="4345EF1A">
      <w:pPr>
        <w:keepNext w:val="0"/>
        <w:keepLines w:val="0"/>
        <w:pageBreakBefore w:val="0"/>
        <w:widowControl w:val="0"/>
        <w:wordWrap/>
        <w:topLinePunct w:val="0"/>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仲裁委员会申请仲裁；</w:t>
      </w:r>
    </w:p>
    <w:p w14:paraId="6D4E10E8">
      <w:pPr>
        <w:keepNext w:val="0"/>
        <w:keepLines w:val="0"/>
        <w:pageBreakBefore w:val="0"/>
        <w:widowControl w:val="0"/>
        <w:wordWrap/>
        <w:topLinePunct w:val="0"/>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人民法院起诉。</w:t>
      </w:r>
    </w:p>
    <w:p w14:paraId="455B408D">
      <w:pPr>
        <w:keepNext w:val="0"/>
        <w:keepLines w:val="0"/>
        <w:pageBreakBefore w:val="0"/>
        <w:widowControl w:val="0"/>
        <w:wordWrap/>
        <w:topLinePunct w:val="0"/>
        <w:bidi w:val="0"/>
        <w:spacing w:line="360" w:lineRule="auto"/>
        <w:ind w:firstLine="420" w:firstLineChars="200"/>
        <w:jc w:val="left"/>
        <w:outlineLvl w:val="9"/>
        <w:rPr>
          <w:rFonts w:hint="eastAsia" w:ascii="宋体" w:hAnsi="宋体" w:eastAsia="宋体" w:cs="宋体"/>
          <w:color w:val="auto"/>
          <w:sz w:val="21"/>
          <w:szCs w:val="21"/>
          <w:highlight w:val="none"/>
        </w:rPr>
      </w:pPr>
      <w:bookmarkStart w:id="2364" w:name="_Toc14959"/>
      <w:bookmarkStart w:id="2365" w:name="_Toc29914"/>
      <w:bookmarkStart w:id="2366" w:name="_Toc5124"/>
      <w:bookmarkStart w:id="2367" w:name="_Toc24785"/>
      <w:r>
        <w:rPr>
          <w:rFonts w:hint="eastAsia" w:ascii="宋体" w:hAnsi="宋体" w:eastAsia="宋体" w:cs="宋体"/>
          <w:color w:val="auto"/>
          <w:sz w:val="21"/>
          <w:szCs w:val="21"/>
          <w:highlight w:val="none"/>
        </w:rPr>
        <w:t>八、保函的生效</w:t>
      </w:r>
      <w:bookmarkEnd w:id="2364"/>
      <w:bookmarkEnd w:id="2365"/>
      <w:bookmarkEnd w:id="2366"/>
      <w:bookmarkEnd w:id="2367"/>
    </w:p>
    <w:p w14:paraId="67433D15">
      <w:pPr>
        <w:keepNext w:val="0"/>
        <w:keepLines w:val="0"/>
        <w:pageBreakBefore w:val="0"/>
        <w:widowControl w:val="0"/>
        <w:wordWrap/>
        <w:topLinePunct w:val="0"/>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本保函自我方法定代表人（或其授权代理人）签字并加盖公章之日起生效。</w:t>
      </w:r>
    </w:p>
    <w:p w14:paraId="50DC2E94">
      <w:pPr>
        <w:keepNext w:val="0"/>
        <w:keepLines w:val="0"/>
        <w:pageBreakBefore w:val="0"/>
        <w:widowControl w:val="0"/>
        <w:wordWrap/>
        <w:topLinePunct w:val="0"/>
        <w:bidi w:val="0"/>
        <w:spacing w:line="360" w:lineRule="auto"/>
        <w:ind w:firstLine="420" w:firstLineChars="200"/>
        <w:jc w:val="left"/>
        <w:rPr>
          <w:rFonts w:hint="eastAsia" w:ascii="宋体" w:hAnsi="宋体" w:eastAsia="宋体" w:cs="宋体"/>
          <w:color w:val="auto"/>
          <w:sz w:val="21"/>
          <w:szCs w:val="21"/>
          <w:highlight w:val="none"/>
        </w:rPr>
      </w:pPr>
    </w:p>
    <w:p w14:paraId="2FC7ED87">
      <w:pPr>
        <w:keepNext w:val="0"/>
        <w:keepLines w:val="0"/>
        <w:pageBreakBefore w:val="0"/>
        <w:widowControl w:val="0"/>
        <w:wordWrap/>
        <w:topLinePunct w:val="0"/>
        <w:bidi w:val="0"/>
        <w:spacing w:line="360" w:lineRule="auto"/>
        <w:ind w:right="600"/>
        <w:jc w:val="left"/>
        <w:rPr>
          <w:rFonts w:hint="eastAsia" w:ascii="宋体" w:hAnsi="宋体" w:eastAsia="宋体" w:cs="宋体"/>
          <w:color w:val="auto"/>
          <w:sz w:val="21"/>
          <w:szCs w:val="21"/>
          <w:highlight w:val="none"/>
        </w:rPr>
      </w:pPr>
    </w:p>
    <w:p w14:paraId="6E545AF3">
      <w:pPr>
        <w:keepNext w:val="0"/>
        <w:keepLines w:val="0"/>
        <w:pageBreakBefore w:val="0"/>
        <w:widowControl w:val="0"/>
        <w:wordWrap/>
        <w:topLinePunct w:val="0"/>
        <w:bidi w:val="0"/>
        <w:spacing w:line="360" w:lineRule="auto"/>
        <w:ind w:right="6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担保人：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（盖章）</w:t>
      </w:r>
    </w:p>
    <w:p w14:paraId="556DA831">
      <w:pPr>
        <w:keepNext w:val="0"/>
        <w:keepLines w:val="0"/>
        <w:pageBreakBefore w:val="0"/>
        <w:widowControl w:val="0"/>
        <w:wordWrap/>
        <w:topLinePunct w:val="0"/>
        <w:bidi w:val="0"/>
        <w:spacing w:line="360" w:lineRule="auto"/>
        <w:ind w:right="1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7175BF6F">
      <w:pPr>
        <w:keepNext w:val="0"/>
        <w:keepLines w:val="0"/>
        <w:pageBreakBefore w:val="0"/>
        <w:widowControl w:val="0"/>
        <w:wordWrap/>
        <w:topLinePunct w:val="0"/>
        <w:bidi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p>
    <w:p w14:paraId="5196A904">
      <w:pPr>
        <w:keepNext w:val="0"/>
        <w:keepLines w:val="0"/>
        <w:pageBreakBefore w:val="0"/>
        <w:widowControl w:val="0"/>
        <w:wordWrap/>
        <w:topLinePunct w:val="0"/>
        <w:bidi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14:paraId="14A6AAC1">
      <w:pPr>
        <w:keepNext w:val="0"/>
        <w:keepLines w:val="0"/>
        <w:pageBreakBefore w:val="0"/>
        <w:widowControl w:val="0"/>
        <w:wordWrap/>
        <w:topLinePunct w:val="0"/>
        <w:bidi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 xml:space="preserve">                                        </w:t>
      </w:r>
    </w:p>
    <w:p w14:paraId="6B23BCFD">
      <w:pPr>
        <w:keepNext w:val="0"/>
        <w:keepLines w:val="0"/>
        <w:pageBreakBefore w:val="0"/>
        <w:widowControl w:val="0"/>
        <w:wordWrap/>
        <w:topLinePunct w:val="0"/>
        <w:bidi w:val="0"/>
        <w:spacing w:line="360" w:lineRule="auto"/>
        <w:ind w:right="150" w:firstLine="420" w:firstLineChars="200"/>
        <w:jc w:val="left"/>
        <w:rPr>
          <w:rFonts w:hint="eastAsia" w:ascii="宋体" w:hAnsi="宋体" w:eastAsia="宋体" w:cs="宋体"/>
          <w:color w:val="auto"/>
          <w:sz w:val="21"/>
          <w:szCs w:val="21"/>
          <w:highlight w:val="none"/>
          <w:u w:val="single"/>
        </w:rPr>
      </w:pPr>
    </w:p>
    <w:p w14:paraId="3017E026">
      <w:pPr>
        <w:keepNext w:val="0"/>
        <w:keepLines w:val="0"/>
        <w:pageBreakBefore w:val="0"/>
        <w:widowControl w:val="0"/>
        <w:wordWrap/>
        <w:topLinePunct w:val="0"/>
        <w:bidi w:val="0"/>
        <w:spacing w:line="360" w:lineRule="auto"/>
        <w:ind w:right="15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109B0B28">
      <w:pPr>
        <w:keepNext w:val="0"/>
        <w:keepLines w:val="0"/>
        <w:pageBreakBefore w:val="0"/>
        <w:widowControl w:val="0"/>
        <w:wordWrap/>
        <w:topLinePunct w:val="0"/>
        <w:bidi w:val="0"/>
        <w:spacing w:line="440" w:lineRule="exact"/>
        <w:rPr>
          <w:rFonts w:eastAsia="黑体"/>
          <w:color w:val="auto"/>
          <w:sz w:val="30"/>
          <w:szCs w:val="30"/>
          <w:highlight w:val="none"/>
        </w:rPr>
      </w:pPr>
      <w:r>
        <w:rPr>
          <w:rFonts w:eastAsia="仿宋_GB2312"/>
          <w:color w:val="auto"/>
          <w:sz w:val="30"/>
          <w:szCs w:val="30"/>
          <w:highlight w:val="none"/>
        </w:rPr>
        <w:br w:type="page"/>
      </w:r>
      <w:r>
        <w:rPr>
          <w:rFonts w:hint="eastAsia" w:ascii="宋体" w:hAnsi="宋体" w:eastAsia="宋体" w:cs="宋体"/>
          <w:color w:val="auto"/>
          <w:sz w:val="21"/>
          <w:szCs w:val="21"/>
          <w:highlight w:val="none"/>
        </w:rPr>
        <w:t>附件11：</w:t>
      </w:r>
    </w:p>
    <w:p w14:paraId="485C0C9E">
      <w:pPr>
        <w:keepNext w:val="0"/>
        <w:keepLines w:val="0"/>
        <w:pageBreakBefore w:val="0"/>
        <w:widowControl w:val="0"/>
        <w:wordWrap/>
        <w:topLinePunct w:val="0"/>
        <w:bidi w:val="0"/>
        <w:spacing w:before="120" w:beforeLines="50" w:after="120" w:afterLines="50" w:line="440" w:lineRule="exact"/>
        <w:jc w:val="center"/>
        <w:outlineLvl w:val="9"/>
        <w:rPr>
          <w:rFonts w:hint="eastAsia" w:ascii="宋体" w:hAnsi="宋体" w:eastAsia="宋体" w:cs="宋体"/>
          <w:color w:val="auto"/>
          <w:sz w:val="21"/>
          <w:szCs w:val="21"/>
          <w:highlight w:val="none"/>
        </w:rPr>
      </w:pPr>
      <w:bookmarkStart w:id="2368" w:name="_Toc32186"/>
      <w:bookmarkStart w:id="2369" w:name="_Toc18176"/>
      <w:bookmarkStart w:id="2370" w:name="_Toc20900"/>
      <w:bookmarkStart w:id="2371" w:name="_Toc15518"/>
      <w:r>
        <w:rPr>
          <w:rFonts w:hint="eastAsia" w:ascii="宋体" w:hAnsi="宋体" w:eastAsia="宋体" w:cs="宋体"/>
          <w:color w:val="auto"/>
          <w:sz w:val="21"/>
          <w:szCs w:val="21"/>
          <w:highlight w:val="none"/>
        </w:rPr>
        <w:t>11-1：材料暂估价表</w:t>
      </w:r>
      <w:bookmarkEnd w:id="2368"/>
      <w:bookmarkEnd w:id="2369"/>
      <w:bookmarkEnd w:id="2370"/>
      <w:bookmarkEnd w:id="2371"/>
    </w:p>
    <w:tbl>
      <w:tblPr>
        <w:tblStyle w:val="27"/>
        <w:tblW w:w="867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303"/>
      </w:tblGrid>
      <w:tr w14:paraId="6DDE4B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58750A2A">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序号</w:t>
            </w:r>
          </w:p>
        </w:tc>
        <w:tc>
          <w:tcPr>
            <w:tcW w:w="1984" w:type="dxa"/>
            <w:tcBorders>
              <w:top w:val="single" w:color="auto" w:sz="12" w:space="0"/>
              <w:bottom w:val="double" w:color="auto" w:sz="6" w:space="0"/>
            </w:tcBorders>
            <w:noWrap w:val="0"/>
            <w:vAlign w:val="top"/>
          </w:tcPr>
          <w:p w14:paraId="585FF61C">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名称</w:t>
            </w:r>
          </w:p>
        </w:tc>
        <w:tc>
          <w:tcPr>
            <w:tcW w:w="851" w:type="dxa"/>
            <w:tcBorders>
              <w:top w:val="single" w:color="auto" w:sz="12" w:space="0"/>
              <w:bottom w:val="double" w:color="auto" w:sz="6" w:space="0"/>
            </w:tcBorders>
            <w:noWrap w:val="0"/>
            <w:vAlign w:val="top"/>
          </w:tcPr>
          <w:p w14:paraId="54F5A65F">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单位</w:t>
            </w:r>
          </w:p>
        </w:tc>
        <w:tc>
          <w:tcPr>
            <w:tcW w:w="774" w:type="dxa"/>
            <w:tcBorders>
              <w:top w:val="single" w:color="auto" w:sz="12" w:space="0"/>
              <w:bottom w:val="double" w:color="auto" w:sz="6" w:space="0"/>
            </w:tcBorders>
            <w:noWrap w:val="0"/>
            <w:vAlign w:val="top"/>
          </w:tcPr>
          <w:p w14:paraId="22265E52">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数量</w:t>
            </w:r>
          </w:p>
        </w:tc>
        <w:tc>
          <w:tcPr>
            <w:tcW w:w="1352" w:type="dxa"/>
            <w:tcBorders>
              <w:top w:val="single" w:color="auto" w:sz="12" w:space="0"/>
              <w:bottom w:val="double" w:color="auto" w:sz="6" w:space="0"/>
            </w:tcBorders>
            <w:noWrap w:val="0"/>
            <w:vAlign w:val="top"/>
          </w:tcPr>
          <w:p w14:paraId="419B435F">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单价</w:t>
            </w:r>
            <w:r>
              <w:rPr>
                <w:rFonts w:hint="eastAsia" w:ascii="等线" w:hAnsi="等线" w:eastAsia="仿宋_GB2312"/>
                <w:color w:val="auto"/>
                <w:kern w:val="2"/>
                <w:sz w:val="24"/>
                <w:szCs w:val="24"/>
                <w:highlight w:val="none"/>
                <w:lang w:val="en-US" w:eastAsia="zh-CN"/>
              </w:rPr>
              <w:t>（元）</w:t>
            </w:r>
          </w:p>
        </w:tc>
        <w:tc>
          <w:tcPr>
            <w:tcW w:w="1418" w:type="dxa"/>
            <w:tcBorders>
              <w:top w:val="single" w:color="auto" w:sz="12" w:space="0"/>
              <w:bottom w:val="double" w:color="auto" w:sz="6" w:space="0"/>
            </w:tcBorders>
            <w:noWrap w:val="0"/>
            <w:vAlign w:val="top"/>
          </w:tcPr>
          <w:p w14:paraId="02F64FBF">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合价</w:t>
            </w:r>
            <w:r>
              <w:rPr>
                <w:rFonts w:hint="eastAsia" w:ascii="等线" w:hAnsi="等线" w:eastAsia="仿宋_GB2312"/>
                <w:color w:val="auto"/>
                <w:kern w:val="2"/>
                <w:sz w:val="24"/>
                <w:szCs w:val="24"/>
                <w:highlight w:val="none"/>
                <w:lang w:val="en-US" w:eastAsia="zh-CN"/>
              </w:rPr>
              <w:t>（元）</w:t>
            </w:r>
          </w:p>
        </w:tc>
        <w:tc>
          <w:tcPr>
            <w:tcW w:w="1303" w:type="dxa"/>
            <w:tcBorders>
              <w:top w:val="single" w:color="auto" w:sz="12" w:space="0"/>
              <w:bottom w:val="double" w:color="auto" w:sz="6" w:space="0"/>
            </w:tcBorders>
            <w:noWrap w:val="0"/>
            <w:vAlign w:val="top"/>
          </w:tcPr>
          <w:p w14:paraId="08F524EC">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备注</w:t>
            </w:r>
          </w:p>
        </w:tc>
      </w:tr>
      <w:tr w14:paraId="47FC1C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14:paraId="5103FAFB">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984" w:type="dxa"/>
            <w:tcBorders>
              <w:top w:val="double" w:color="auto" w:sz="6" w:space="0"/>
              <w:bottom w:val="single" w:color="auto" w:sz="6" w:space="0"/>
            </w:tcBorders>
            <w:noWrap w:val="0"/>
            <w:vAlign w:val="top"/>
          </w:tcPr>
          <w:p w14:paraId="31E34698">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851" w:type="dxa"/>
            <w:tcBorders>
              <w:top w:val="double" w:color="auto" w:sz="6" w:space="0"/>
              <w:bottom w:val="single" w:color="auto" w:sz="6" w:space="0"/>
            </w:tcBorders>
            <w:noWrap w:val="0"/>
            <w:vAlign w:val="top"/>
          </w:tcPr>
          <w:p w14:paraId="07E9D35C">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774" w:type="dxa"/>
            <w:tcBorders>
              <w:top w:val="double" w:color="auto" w:sz="6" w:space="0"/>
              <w:bottom w:val="single" w:color="auto" w:sz="6" w:space="0"/>
            </w:tcBorders>
            <w:noWrap w:val="0"/>
            <w:vAlign w:val="top"/>
          </w:tcPr>
          <w:p w14:paraId="0F799979">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52" w:type="dxa"/>
            <w:tcBorders>
              <w:top w:val="double" w:color="auto" w:sz="6" w:space="0"/>
              <w:bottom w:val="single" w:color="auto" w:sz="6" w:space="0"/>
            </w:tcBorders>
            <w:noWrap w:val="0"/>
            <w:vAlign w:val="top"/>
          </w:tcPr>
          <w:p w14:paraId="35D2AE1E">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418" w:type="dxa"/>
            <w:tcBorders>
              <w:top w:val="double" w:color="auto" w:sz="6" w:space="0"/>
              <w:bottom w:val="single" w:color="auto" w:sz="6" w:space="0"/>
            </w:tcBorders>
            <w:noWrap w:val="0"/>
            <w:vAlign w:val="top"/>
          </w:tcPr>
          <w:p w14:paraId="5524B02F">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03" w:type="dxa"/>
            <w:tcBorders>
              <w:top w:val="double" w:color="auto" w:sz="6" w:space="0"/>
              <w:bottom w:val="single" w:color="auto" w:sz="6" w:space="0"/>
            </w:tcBorders>
            <w:noWrap w:val="0"/>
            <w:vAlign w:val="top"/>
          </w:tcPr>
          <w:p w14:paraId="1B8C91DF">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r>
      <w:tr w14:paraId="28E375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201D810F">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984" w:type="dxa"/>
            <w:tcBorders>
              <w:top w:val="nil"/>
            </w:tcBorders>
            <w:noWrap w:val="0"/>
            <w:vAlign w:val="top"/>
          </w:tcPr>
          <w:p w14:paraId="6E6FE1A7">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851" w:type="dxa"/>
            <w:tcBorders>
              <w:top w:val="nil"/>
            </w:tcBorders>
            <w:noWrap w:val="0"/>
            <w:vAlign w:val="top"/>
          </w:tcPr>
          <w:p w14:paraId="4790B72A">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774" w:type="dxa"/>
            <w:tcBorders>
              <w:top w:val="nil"/>
            </w:tcBorders>
            <w:noWrap w:val="0"/>
            <w:vAlign w:val="top"/>
          </w:tcPr>
          <w:p w14:paraId="7FA1F17B">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52" w:type="dxa"/>
            <w:tcBorders>
              <w:top w:val="nil"/>
            </w:tcBorders>
            <w:noWrap w:val="0"/>
            <w:vAlign w:val="top"/>
          </w:tcPr>
          <w:p w14:paraId="3F1906CC">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418" w:type="dxa"/>
            <w:tcBorders>
              <w:top w:val="nil"/>
            </w:tcBorders>
            <w:noWrap w:val="0"/>
            <w:vAlign w:val="top"/>
          </w:tcPr>
          <w:p w14:paraId="24211618">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03" w:type="dxa"/>
            <w:tcBorders>
              <w:top w:val="nil"/>
            </w:tcBorders>
            <w:noWrap w:val="0"/>
            <w:vAlign w:val="top"/>
          </w:tcPr>
          <w:p w14:paraId="3168D128">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r>
      <w:tr w14:paraId="2A724D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BFDB793">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39E26E5A">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49B4AF80">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63057587">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1316222C">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2DBFDA28">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68830392">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r>
      <w:tr w14:paraId="6F7D73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4658A89">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5745FFBA">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7887BDC2">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30061089">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38674DBB">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7E474CCA">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22C8B30F">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r>
      <w:tr w14:paraId="482773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9B1AF9C">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74C9D8B5">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03D12E75">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6BDA6BE">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08DBFA94">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B4B59F8">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500DBA9E">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r>
      <w:tr w14:paraId="6BB432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4A737B4">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1FF34480">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75023B48">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0BDC40C">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72281651">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3305372C">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56EAC649">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r>
      <w:tr w14:paraId="6FFAA6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409504D">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7ED5C1BA">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535E3F3">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39545BA8">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261A2474">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56AFB6FC">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62E66287">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r>
      <w:tr w14:paraId="23991C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58B3009">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7F66D029">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36219B18">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A38DCD8">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4E970DA9">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5339C4E5">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1C67AA5">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r>
      <w:tr w14:paraId="3BAD76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3B8F844">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43F9ECA6">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37C27D0">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22C0316">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494E70B2">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6931E27F">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CCA49F9">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r>
      <w:tr w14:paraId="25F38D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5D6BCF9">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15AB3797">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624EB0BD">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6EA5E241">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169418B5">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6E82A919">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4BD2C8A5">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r>
      <w:tr w14:paraId="7BF594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CD1CD1C">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7D12FDC5">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4B854258">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39ED2940">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3C5FEBAA">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5159E421">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D8AF451">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r>
      <w:tr w14:paraId="78B5F6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BA0B906">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1FC1D79A">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3CC7B9EC">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062D1B7D">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1A732973">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661B3503">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3A244A5">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r>
      <w:tr w14:paraId="76A501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39DEB03">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1E0A3E89">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3274E33E">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70D41AD3">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3F9D0B36">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1285EA5E">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0D20A951">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r>
      <w:tr w14:paraId="152325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24262E6">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3394315F">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63589C5F">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281A3C6A">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768BF859">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4B9B0661">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985CFD6">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r>
      <w:tr w14:paraId="7F2760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882B752">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40500EE9">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7A44691">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5A120438">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2AB69A85">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D4AC80E">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5E13126C">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r>
      <w:tr w14:paraId="2DC10D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DFDEEFD">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64730C01">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69E40F79">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65A8B6BA">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4ABEE39">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54A1D661">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28E03095">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r>
      <w:tr w14:paraId="2D1614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52CF601">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7F9C5C19">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214A0CD">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CAA0DC1">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9BC8B59">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72BA0F47">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521332E2">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r>
      <w:tr w14:paraId="5040DE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A064EAF">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579FDD3C">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87CF1DE">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50F66E1F">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6CD8ABA1">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6FC55967">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08B19D51">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r>
      <w:tr w14:paraId="5020EC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29377E8">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4602F779">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35EBDAFD">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2ED8089A">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4C42D7D5">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576C0984">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16B772F6">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r>
      <w:tr w14:paraId="0C6B76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465C85D">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60990E61">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4158F0B2">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6E3E88D6">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30F21814">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71CC6E4C">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05E5A393">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r>
      <w:tr w14:paraId="41B09D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A1B3672">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49A314DB">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DF09516">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53B56DBD">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06D8098E">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118963F">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061D11CF">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r>
      <w:tr w14:paraId="0A5A28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3D48B2E">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24F9FE0B">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6262D2E">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0ABF9C1D">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1E0F4005">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580E7D9D">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17288547">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r>
      <w:tr w14:paraId="3F2EA2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78C2466">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184B9768">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1EEE633">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74121EC7">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0337C319">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57F94009">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71DF588">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r>
      <w:tr w14:paraId="241898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327FEC9">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59AAE855">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42F27005">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0C3CF725">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6D80C536">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45D277E0">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860FDA1">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r>
      <w:tr w14:paraId="66AF28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0613630">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6CCBE434">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5F9CEE54">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3BB4B8C8">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38515C6F">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62FBE35C">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3EC41DFA">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r>
    </w:tbl>
    <w:p w14:paraId="3DCADB40">
      <w:pPr>
        <w:keepNext w:val="0"/>
        <w:keepLines w:val="0"/>
        <w:pageBreakBefore w:val="0"/>
        <w:widowControl w:val="0"/>
        <w:wordWrap/>
        <w:topLinePunct w:val="0"/>
        <w:bidi w:val="0"/>
        <w:spacing w:before="120" w:beforeLines="50" w:after="120" w:afterLines="50" w:line="440" w:lineRule="exact"/>
        <w:rPr>
          <w:rFonts w:hint="eastAsia" w:eastAsia="黑体"/>
          <w:color w:val="auto"/>
          <w:sz w:val="30"/>
          <w:szCs w:val="30"/>
          <w:highlight w:val="none"/>
        </w:rPr>
      </w:pPr>
    </w:p>
    <w:p w14:paraId="28EA42DD">
      <w:pPr>
        <w:keepNext w:val="0"/>
        <w:keepLines w:val="0"/>
        <w:pageBreakBefore w:val="0"/>
        <w:widowControl w:val="0"/>
        <w:wordWrap/>
        <w:topLinePunct w:val="0"/>
        <w:bidi w:val="0"/>
        <w:spacing w:before="120" w:beforeLines="50" w:after="120" w:afterLines="50"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11-2：工程设备暂估价表</w:t>
      </w:r>
    </w:p>
    <w:tbl>
      <w:tblPr>
        <w:tblStyle w:val="27"/>
        <w:tblW w:w="867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303"/>
      </w:tblGrid>
      <w:tr w14:paraId="3151B6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28716C00">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序号</w:t>
            </w:r>
          </w:p>
        </w:tc>
        <w:tc>
          <w:tcPr>
            <w:tcW w:w="1984" w:type="dxa"/>
            <w:tcBorders>
              <w:top w:val="single" w:color="auto" w:sz="12" w:space="0"/>
              <w:bottom w:val="double" w:color="auto" w:sz="6" w:space="0"/>
            </w:tcBorders>
            <w:noWrap w:val="0"/>
            <w:vAlign w:val="top"/>
          </w:tcPr>
          <w:p w14:paraId="412EEF11">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名称</w:t>
            </w:r>
          </w:p>
        </w:tc>
        <w:tc>
          <w:tcPr>
            <w:tcW w:w="851" w:type="dxa"/>
            <w:tcBorders>
              <w:top w:val="single" w:color="auto" w:sz="12" w:space="0"/>
              <w:bottom w:val="double" w:color="auto" w:sz="6" w:space="0"/>
            </w:tcBorders>
            <w:noWrap w:val="0"/>
            <w:vAlign w:val="top"/>
          </w:tcPr>
          <w:p w14:paraId="4EC744FC">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单位</w:t>
            </w:r>
          </w:p>
        </w:tc>
        <w:tc>
          <w:tcPr>
            <w:tcW w:w="774" w:type="dxa"/>
            <w:tcBorders>
              <w:top w:val="single" w:color="auto" w:sz="12" w:space="0"/>
              <w:bottom w:val="double" w:color="auto" w:sz="6" w:space="0"/>
            </w:tcBorders>
            <w:noWrap w:val="0"/>
            <w:vAlign w:val="top"/>
          </w:tcPr>
          <w:p w14:paraId="68CD9FB6">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数量</w:t>
            </w:r>
          </w:p>
        </w:tc>
        <w:tc>
          <w:tcPr>
            <w:tcW w:w="1352" w:type="dxa"/>
            <w:tcBorders>
              <w:top w:val="single" w:color="auto" w:sz="12" w:space="0"/>
              <w:bottom w:val="double" w:color="auto" w:sz="6" w:space="0"/>
            </w:tcBorders>
            <w:noWrap w:val="0"/>
            <w:vAlign w:val="top"/>
          </w:tcPr>
          <w:p w14:paraId="5398910A">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单价</w:t>
            </w:r>
            <w:r>
              <w:rPr>
                <w:rFonts w:hint="eastAsia" w:ascii="等线" w:hAnsi="等线" w:eastAsia="仿宋_GB2312"/>
                <w:color w:val="auto"/>
                <w:kern w:val="2"/>
                <w:sz w:val="24"/>
                <w:szCs w:val="24"/>
                <w:highlight w:val="none"/>
                <w:lang w:val="en-US" w:eastAsia="zh-CN"/>
              </w:rPr>
              <w:t>（元）</w:t>
            </w:r>
          </w:p>
        </w:tc>
        <w:tc>
          <w:tcPr>
            <w:tcW w:w="1418" w:type="dxa"/>
            <w:tcBorders>
              <w:top w:val="single" w:color="auto" w:sz="12" w:space="0"/>
              <w:bottom w:val="double" w:color="auto" w:sz="6" w:space="0"/>
            </w:tcBorders>
            <w:noWrap w:val="0"/>
            <w:vAlign w:val="top"/>
          </w:tcPr>
          <w:p w14:paraId="05FDF92A">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合价</w:t>
            </w:r>
            <w:r>
              <w:rPr>
                <w:rFonts w:hint="eastAsia" w:ascii="等线" w:hAnsi="等线" w:eastAsia="仿宋_GB2312"/>
                <w:color w:val="auto"/>
                <w:kern w:val="2"/>
                <w:sz w:val="24"/>
                <w:szCs w:val="24"/>
                <w:highlight w:val="none"/>
                <w:lang w:val="en-US" w:eastAsia="zh-CN"/>
              </w:rPr>
              <w:t>（元）</w:t>
            </w:r>
          </w:p>
        </w:tc>
        <w:tc>
          <w:tcPr>
            <w:tcW w:w="1303" w:type="dxa"/>
            <w:tcBorders>
              <w:top w:val="single" w:color="auto" w:sz="12" w:space="0"/>
              <w:bottom w:val="double" w:color="auto" w:sz="6" w:space="0"/>
            </w:tcBorders>
            <w:noWrap w:val="0"/>
            <w:vAlign w:val="top"/>
          </w:tcPr>
          <w:p w14:paraId="7712257F">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备注</w:t>
            </w:r>
          </w:p>
        </w:tc>
      </w:tr>
      <w:tr w14:paraId="49EE7A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14:paraId="3F3AC880">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984" w:type="dxa"/>
            <w:tcBorders>
              <w:top w:val="double" w:color="auto" w:sz="6" w:space="0"/>
              <w:bottom w:val="single" w:color="auto" w:sz="6" w:space="0"/>
            </w:tcBorders>
            <w:noWrap w:val="0"/>
            <w:vAlign w:val="top"/>
          </w:tcPr>
          <w:p w14:paraId="1CD63DD2">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851" w:type="dxa"/>
            <w:tcBorders>
              <w:top w:val="double" w:color="auto" w:sz="6" w:space="0"/>
              <w:bottom w:val="single" w:color="auto" w:sz="6" w:space="0"/>
            </w:tcBorders>
            <w:noWrap w:val="0"/>
            <w:vAlign w:val="top"/>
          </w:tcPr>
          <w:p w14:paraId="78545A84">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774" w:type="dxa"/>
            <w:tcBorders>
              <w:top w:val="double" w:color="auto" w:sz="6" w:space="0"/>
              <w:bottom w:val="single" w:color="auto" w:sz="6" w:space="0"/>
            </w:tcBorders>
            <w:noWrap w:val="0"/>
            <w:vAlign w:val="top"/>
          </w:tcPr>
          <w:p w14:paraId="7833F39D">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52" w:type="dxa"/>
            <w:tcBorders>
              <w:top w:val="double" w:color="auto" w:sz="6" w:space="0"/>
              <w:bottom w:val="single" w:color="auto" w:sz="6" w:space="0"/>
            </w:tcBorders>
            <w:noWrap w:val="0"/>
            <w:vAlign w:val="top"/>
          </w:tcPr>
          <w:p w14:paraId="27ED86FA">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418" w:type="dxa"/>
            <w:tcBorders>
              <w:top w:val="double" w:color="auto" w:sz="6" w:space="0"/>
              <w:bottom w:val="single" w:color="auto" w:sz="6" w:space="0"/>
            </w:tcBorders>
            <w:noWrap w:val="0"/>
            <w:vAlign w:val="top"/>
          </w:tcPr>
          <w:p w14:paraId="38BE9371">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03" w:type="dxa"/>
            <w:tcBorders>
              <w:top w:val="double" w:color="auto" w:sz="6" w:space="0"/>
              <w:bottom w:val="single" w:color="auto" w:sz="6" w:space="0"/>
            </w:tcBorders>
            <w:noWrap w:val="0"/>
            <w:vAlign w:val="top"/>
          </w:tcPr>
          <w:p w14:paraId="277FF4E6">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r>
      <w:tr w14:paraId="411C84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5C8F1CB9">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984" w:type="dxa"/>
            <w:tcBorders>
              <w:top w:val="nil"/>
            </w:tcBorders>
            <w:noWrap w:val="0"/>
            <w:vAlign w:val="top"/>
          </w:tcPr>
          <w:p w14:paraId="4B0AD201">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851" w:type="dxa"/>
            <w:tcBorders>
              <w:top w:val="nil"/>
            </w:tcBorders>
            <w:noWrap w:val="0"/>
            <w:vAlign w:val="top"/>
          </w:tcPr>
          <w:p w14:paraId="72081B24">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774" w:type="dxa"/>
            <w:tcBorders>
              <w:top w:val="nil"/>
            </w:tcBorders>
            <w:noWrap w:val="0"/>
            <w:vAlign w:val="top"/>
          </w:tcPr>
          <w:p w14:paraId="0309E180">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52" w:type="dxa"/>
            <w:tcBorders>
              <w:top w:val="nil"/>
            </w:tcBorders>
            <w:noWrap w:val="0"/>
            <w:vAlign w:val="top"/>
          </w:tcPr>
          <w:p w14:paraId="1DE53126">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418" w:type="dxa"/>
            <w:tcBorders>
              <w:top w:val="nil"/>
            </w:tcBorders>
            <w:noWrap w:val="0"/>
            <w:vAlign w:val="top"/>
          </w:tcPr>
          <w:p w14:paraId="424E082F">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03" w:type="dxa"/>
            <w:tcBorders>
              <w:top w:val="nil"/>
            </w:tcBorders>
            <w:noWrap w:val="0"/>
            <w:vAlign w:val="top"/>
          </w:tcPr>
          <w:p w14:paraId="54001774">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r>
      <w:tr w14:paraId="5835A2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A515937">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2CC23E85">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5129E66E">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6FFB0B5F">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4DE192D3">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377E8D84">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50D8F260">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r>
      <w:tr w14:paraId="3C06BD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8CC2B6B">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42C80072">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39BFEEA0">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76BBA490">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8B4AAC8">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779BDADB">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4A77DD77">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r>
      <w:tr w14:paraId="4D1B3A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EC4754C">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19F5A1C9">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78E19193">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21EE6775">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0F7A12D5">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2DC62C4F">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27F64CBC">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r>
      <w:tr w14:paraId="6E40D9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26D0E7F">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3A907E79">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7E2B3E7">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677FDEEC">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2DBF9C59">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862C86B">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3DDE4AA8">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r>
      <w:tr w14:paraId="78CAAE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A904AD5">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79D26E98">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0445957E">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2B44958E">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1218875D">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7DA15D02">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0CC2CB39">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r>
      <w:tr w14:paraId="4C185B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A3C7D5F">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17CC165C">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58517B85">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0E4F4AE1">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12550D49">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2DFBE44E">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658E260A">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r>
      <w:tr w14:paraId="18F199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3281855">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10E553E1">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5C09F426">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7056739F">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0277179B">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3EC81555">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330C5C7E">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r>
      <w:tr w14:paraId="6FF373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24C7AAD">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3305E5EA">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5A1452D9">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637D4B88">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6A407FD8">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107E1076">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5CB7B9C">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r>
      <w:tr w14:paraId="507B5D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04E0138">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631F0CC9">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7F671C5C">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210EB7FC">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1EC8ACE0">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4C01779F">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3E7A79F5">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r>
      <w:tr w14:paraId="07ACA7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A223CE7">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086DF56B">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23FB0C6">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4512DBF1">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4232244E">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77AD9E5A">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64021CC">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r>
      <w:tr w14:paraId="5A8E99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4FDF368">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5EF2FCB7">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6535117">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64426F30">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674A2869">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7B1E0E2F">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0F384F12">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r>
      <w:tr w14:paraId="29D936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EAA2294">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5A37A7FB">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6ED6543E">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72E4B3D5">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53026593">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1966B589">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456FD8EF">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r>
      <w:tr w14:paraId="2F0F14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C0AA35F">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34D24293">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3FF9FDD3">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64176FB6">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751FDEDD">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8F139B2">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4B8D7AA1">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r>
      <w:tr w14:paraId="2D035C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B0383F9">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018E9FF0">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58EF6B43">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79CAC1CB">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68E537A2">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BF7A46E">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5F90A535">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r>
      <w:tr w14:paraId="4BC5AC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F88F6C4">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06DDCC03">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09D12C5D">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34B01647">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1EF7BD83">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5B3B3723">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8E527A6">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r>
      <w:tr w14:paraId="7E30F5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A1D5C99">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57F94575">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1A8494CE">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5804B5B8">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23E5B3CA">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2B530A64">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048A8FCB">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r>
      <w:tr w14:paraId="3FFA46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B6EBA53">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5AE72061">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4503F922">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55030484">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3EA1C6DF">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A7EFFE1">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7FAA4F06">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r>
      <w:tr w14:paraId="527B33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CC0F2A0">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02EA46EE">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0715BA14">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3DDDCF3A">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2360542C">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74EE0481">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53E57EF3">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r>
      <w:tr w14:paraId="184073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439519A">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55E0AA02">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402226D7">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30B35C10">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74B654B1">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3196009D">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2F42B85C">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r>
      <w:tr w14:paraId="379427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2263CEF">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7BA612B3">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33330F03">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7ADA2399">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133E7512">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562F2057">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5BE1876F">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r>
      <w:tr w14:paraId="0F7194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EFC9F4D">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6A37BFEE">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745F55BC">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72EBE9ED">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7E1C47A0">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694E71C9">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307D9FEA">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r>
      <w:tr w14:paraId="24EC14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2116A98">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54174A0F">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2CAD0CF3">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1BAD4B66">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07F8D82B">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65F5A1F7">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4ECD5363">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r>
      <w:tr w14:paraId="662BD3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20B1DCE">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984" w:type="dxa"/>
            <w:noWrap w:val="0"/>
            <w:vAlign w:val="top"/>
          </w:tcPr>
          <w:p w14:paraId="77CCC8D3">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851" w:type="dxa"/>
            <w:noWrap w:val="0"/>
            <w:vAlign w:val="top"/>
          </w:tcPr>
          <w:p w14:paraId="0981354B">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774" w:type="dxa"/>
            <w:noWrap w:val="0"/>
            <w:vAlign w:val="top"/>
          </w:tcPr>
          <w:p w14:paraId="6BACE8F3">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52" w:type="dxa"/>
            <w:noWrap w:val="0"/>
            <w:vAlign w:val="top"/>
          </w:tcPr>
          <w:p w14:paraId="0AA86EA6">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418" w:type="dxa"/>
            <w:noWrap w:val="0"/>
            <w:vAlign w:val="top"/>
          </w:tcPr>
          <w:p w14:paraId="0EE8B225">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c>
          <w:tcPr>
            <w:tcW w:w="1303" w:type="dxa"/>
            <w:noWrap w:val="0"/>
            <w:vAlign w:val="top"/>
          </w:tcPr>
          <w:p w14:paraId="57BAC239">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p>
        </w:tc>
      </w:tr>
    </w:tbl>
    <w:p w14:paraId="43DD8EE3">
      <w:pPr>
        <w:keepNext w:val="0"/>
        <w:keepLines w:val="0"/>
        <w:pageBreakBefore w:val="0"/>
        <w:widowControl w:val="0"/>
        <w:wordWrap/>
        <w:topLinePunct w:val="0"/>
        <w:bidi w:val="0"/>
        <w:spacing w:line="440" w:lineRule="exact"/>
        <w:rPr>
          <w:rFonts w:eastAsia="仿宋_GB2312"/>
          <w:color w:val="auto"/>
          <w:sz w:val="30"/>
          <w:szCs w:val="30"/>
          <w:highlight w:val="none"/>
        </w:rPr>
      </w:pPr>
    </w:p>
    <w:p w14:paraId="7B3B4ACD">
      <w:pPr>
        <w:keepNext w:val="0"/>
        <w:keepLines w:val="0"/>
        <w:pageBreakBefore w:val="0"/>
        <w:widowControl w:val="0"/>
        <w:wordWrap/>
        <w:topLinePunct w:val="0"/>
        <w:bidi w:val="0"/>
        <w:spacing w:before="120" w:beforeLines="50" w:after="120" w:afterLines="50" w:line="440" w:lineRule="exact"/>
        <w:jc w:val="center"/>
        <w:rPr>
          <w:rFonts w:eastAsia="黑体"/>
          <w:color w:val="auto"/>
          <w:sz w:val="30"/>
          <w:szCs w:val="30"/>
          <w:highlight w:val="none"/>
        </w:rPr>
      </w:pPr>
      <w:r>
        <w:rPr>
          <w:rFonts w:eastAsia="仿宋_GB2312"/>
          <w:color w:val="auto"/>
          <w:sz w:val="30"/>
          <w:szCs w:val="30"/>
          <w:highlight w:val="none"/>
        </w:rPr>
        <w:br w:type="page"/>
      </w:r>
      <w:r>
        <w:rPr>
          <w:rFonts w:hint="eastAsia" w:ascii="宋体" w:hAnsi="宋体" w:eastAsia="宋体" w:cs="宋体"/>
          <w:color w:val="auto"/>
          <w:sz w:val="21"/>
          <w:szCs w:val="21"/>
          <w:highlight w:val="none"/>
        </w:rPr>
        <w:t>11-3：专业工程暂估价表</w:t>
      </w:r>
    </w:p>
    <w:tbl>
      <w:tblPr>
        <w:tblStyle w:val="27"/>
        <w:tblW w:w="867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395"/>
        <w:gridCol w:w="1417"/>
      </w:tblGrid>
      <w:tr w14:paraId="4F2B19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double" w:color="auto" w:sz="6" w:space="0"/>
            </w:tcBorders>
            <w:noWrap w:val="0"/>
            <w:vAlign w:val="top"/>
          </w:tcPr>
          <w:p w14:paraId="1B139D24">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序号</w:t>
            </w:r>
          </w:p>
        </w:tc>
        <w:tc>
          <w:tcPr>
            <w:tcW w:w="1984" w:type="dxa"/>
            <w:tcBorders>
              <w:top w:val="single" w:color="auto" w:sz="12" w:space="0"/>
              <w:bottom w:val="double" w:color="auto" w:sz="6" w:space="0"/>
            </w:tcBorders>
            <w:noWrap w:val="0"/>
            <w:vAlign w:val="top"/>
          </w:tcPr>
          <w:p w14:paraId="663A7D76">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专业工程名称</w:t>
            </w:r>
          </w:p>
        </w:tc>
        <w:tc>
          <w:tcPr>
            <w:tcW w:w="4395" w:type="dxa"/>
            <w:tcBorders>
              <w:top w:val="single" w:color="auto" w:sz="12" w:space="0"/>
              <w:bottom w:val="double" w:color="auto" w:sz="6" w:space="0"/>
            </w:tcBorders>
            <w:noWrap w:val="0"/>
            <w:vAlign w:val="top"/>
          </w:tcPr>
          <w:p w14:paraId="0D4A824D">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工程内容</w:t>
            </w:r>
          </w:p>
        </w:tc>
        <w:tc>
          <w:tcPr>
            <w:tcW w:w="1417" w:type="dxa"/>
            <w:tcBorders>
              <w:top w:val="single" w:color="auto" w:sz="12" w:space="0"/>
              <w:bottom w:val="double" w:color="auto" w:sz="6" w:space="0"/>
            </w:tcBorders>
            <w:noWrap w:val="0"/>
            <w:vAlign w:val="top"/>
          </w:tcPr>
          <w:p w14:paraId="45796218">
            <w:pPr>
              <w:pStyle w:val="9"/>
              <w:keepNext w:val="0"/>
              <w:keepLines w:val="0"/>
              <w:pageBreakBefore w:val="0"/>
              <w:widowControl w:val="0"/>
              <w:wordWrap/>
              <w:topLinePunct w:val="0"/>
              <w:bidi w:val="0"/>
              <w:spacing w:after="0" w:line="440" w:lineRule="exact"/>
              <w:ind w:left="63" w:right="63"/>
              <w:rPr>
                <w:rFonts w:ascii="等线" w:hAnsi="等线" w:eastAsia="仿宋_GB2312"/>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金额</w:t>
            </w:r>
          </w:p>
        </w:tc>
      </w:tr>
      <w:tr w14:paraId="139F56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bottom w:val="single" w:color="auto" w:sz="6" w:space="0"/>
            </w:tcBorders>
            <w:noWrap w:val="0"/>
            <w:vAlign w:val="top"/>
          </w:tcPr>
          <w:p w14:paraId="40C4218B">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1984" w:type="dxa"/>
            <w:tcBorders>
              <w:top w:val="double" w:color="auto" w:sz="6" w:space="0"/>
              <w:bottom w:val="single" w:color="auto" w:sz="6" w:space="0"/>
            </w:tcBorders>
            <w:noWrap w:val="0"/>
            <w:vAlign w:val="top"/>
          </w:tcPr>
          <w:p w14:paraId="480AF528">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4395" w:type="dxa"/>
            <w:tcBorders>
              <w:top w:val="double" w:color="auto" w:sz="6" w:space="0"/>
              <w:bottom w:val="single" w:color="auto" w:sz="6" w:space="0"/>
            </w:tcBorders>
            <w:noWrap w:val="0"/>
            <w:vAlign w:val="top"/>
          </w:tcPr>
          <w:p w14:paraId="6F803667">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1417" w:type="dxa"/>
            <w:tcBorders>
              <w:top w:val="double" w:color="auto" w:sz="6" w:space="0"/>
              <w:bottom w:val="single" w:color="auto" w:sz="6" w:space="0"/>
            </w:tcBorders>
            <w:noWrap w:val="0"/>
            <w:vAlign w:val="top"/>
          </w:tcPr>
          <w:p w14:paraId="580B560B">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r>
      <w:tr w14:paraId="24368B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top"/>
          </w:tcPr>
          <w:p w14:paraId="24B32E1F">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1984" w:type="dxa"/>
            <w:tcBorders>
              <w:top w:val="nil"/>
            </w:tcBorders>
            <w:noWrap w:val="0"/>
            <w:vAlign w:val="top"/>
          </w:tcPr>
          <w:p w14:paraId="4A02E010">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4395" w:type="dxa"/>
            <w:tcBorders>
              <w:top w:val="nil"/>
            </w:tcBorders>
            <w:noWrap w:val="0"/>
            <w:vAlign w:val="top"/>
          </w:tcPr>
          <w:p w14:paraId="575F17C4">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1417" w:type="dxa"/>
            <w:tcBorders>
              <w:top w:val="nil"/>
            </w:tcBorders>
            <w:noWrap w:val="0"/>
            <w:vAlign w:val="top"/>
          </w:tcPr>
          <w:p w14:paraId="631FAC74">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r>
      <w:tr w14:paraId="365C10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top"/>
          </w:tcPr>
          <w:p w14:paraId="578AEF89">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1984" w:type="dxa"/>
            <w:tcBorders>
              <w:top w:val="nil"/>
            </w:tcBorders>
            <w:noWrap w:val="0"/>
            <w:vAlign w:val="top"/>
          </w:tcPr>
          <w:p w14:paraId="69C38718">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4395" w:type="dxa"/>
            <w:tcBorders>
              <w:top w:val="nil"/>
            </w:tcBorders>
            <w:noWrap w:val="0"/>
            <w:vAlign w:val="top"/>
          </w:tcPr>
          <w:p w14:paraId="1B433B52">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1417" w:type="dxa"/>
            <w:tcBorders>
              <w:top w:val="nil"/>
            </w:tcBorders>
            <w:noWrap w:val="0"/>
            <w:vAlign w:val="top"/>
          </w:tcPr>
          <w:p w14:paraId="12D3D1C3">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r>
      <w:tr w14:paraId="4940FD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4BA2E4CB">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1CEA8A26">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13F5F7B0">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0001D2BF">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r>
      <w:tr w14:paraId="4B1D8A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63E75152">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26B79D61">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326B968C">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5F70B881">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r>
      <w:tr w14:paraId="6091C0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0A6E9729">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55F4D7B3">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47A5015C">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5C4AA08C">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r>
      <w:tr w14:paraId="046453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17BD0E5F">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59F5E8B3">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5F17B877">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5C158548">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r>
      <w:tr w14:paraId="2A24DE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7311C413">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0351D62B">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1D2E8823">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372F772C">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r>
      <w:tr w14:paraId="59DA0D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45FDA552">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6E30998E">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172D77FE">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07FFD4C9">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r>
      <w:tr w14:paraId="173481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767A6F5B">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31E16D78">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293162ED">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3E20AC3A">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r>
      <w:tr w14:paraId="578D31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19F1B64D">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227DC547">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087583C6">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4A590365">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r>
      <w:tr w14:paraId="688234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5F859958">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60DBAA03">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2622584E">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51296DC3">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r>
      <w:tr w14:paraId="348712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4CC3A78C">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3D0295C9">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7898B30F">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0DCE5A9E">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r>
      <w:tr w14:paraId="0CF114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0A90A884">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044E0F2D">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08DF2B7E">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2C90404B">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r>
      <w:tr w14:paraId="0ABCE9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47EE1D9F">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22354233">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66005D71">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35F2CFDE">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r>
      <w:tr w14:paraId="4CE2A9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0C268DE2">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32343A68">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14E3D443">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0C307874">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r>
      <w:tr w14:paraId="5AFBB6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6F714901">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71A63E3F">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5292C61D">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755B1BB0">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r>
      <w:tr w14:paraId="4462D0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24630D55">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386FCA95">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6092850A">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5E96CCB9">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r>
      <w:tr w14:paraId="35ECD3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49BC928D">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7D2648ED">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0B5B076A">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2E965C82">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r>
      <w:tr w14:paraId="32EB9B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59A57DC7">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7FD34245">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0B7642A5">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33E78B55">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r>
      <w:tr w14:paraId="3EB130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416F5597">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2A423B8C">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0D85C2A3">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247C549C">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r>
      <w:tr w14:paraId="7C4F43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3859825A">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1E67F5E0">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59AE9F67">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4B7C9596">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r>
      <w:tr w14:paraId="60FAA1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3A82B646">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566A5673">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6A40D5B4">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5A12CE82">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r>
      <w:tr w14:paraId="69846C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57E4F949">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284B5284">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683A47BF">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353BB2D4">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r>
      <w:tr w14:paraId="042313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31D8CEA7">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3DEF389F">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7EEAA893">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392D93D3">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r>
      <w:tr w14:paraId="3959D8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0453321A">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1984" w:type="dxa"/>
            <w:noWrap w:val="0"/>
            <w:vAlign w:val="top"/>
          </w:tcPr>
          <w:p w14:paraId="38B7EC0F">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4395" w:type="dxa"/>
            <w:noWrap w:val="0"/>
            <w:vAlign w:val="top"/>
          </w:tcPr>
          <w:p w14:paraId="3CC01BC7">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c>
          <w:tcPr>
            <w:tcW w:w="1417" w:type="dxa"/>
            <w:noWrap w:val="0"/>
            <w:vAlign w:val="top"/>
          </w:tcPr>
          <w:p w14:paraId="153B9B62">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p>
        </w:tc>
      </w:tr>
      <w:tr w14:paraId="7D6E0B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675" w:type="dxa"/>
            <w:gridSpan w:val="4"/>
            <w:noWrap w:val="0"/>
            <w:vAlign w:val="top"/>
          </w:tcPr>
          <w:p w14:paraId="00809607">
            <w:pPr>
              <w:pStyle w:val="9"/>
              <w:keepNext w:val="0"/>
              <w:keepLines w:val="0"/>
              <w:pageBreakBefore w:val="0"/>
              <w:widowControl w:val="0"/>
              <w:wordWrap/>
              <w:topLinePunct w:val="0"/>
              <w:bidi w:val="0"/>
              <w:spacing w:after="0" w:line="440" w:lineRule="exact"/>
              <w:ind w:left="63" w:right="63"/>
              <w:rPr>
                <w:rFonts w:ascii="等线" w:hAnsi="等线"/>
                <w:color w:val="auto"/>
                <w:kern w:val="2"/>
                <w:sz w:val="24"/>
                <w:szCs w:val="24"/>
                <w:highlight w:val="none"/>
                <w:lang w:val="en-US" w:eastAsia="zh-CN"/>
              </w:rPr>
            </w:pPr>
            <w:r>
              <w:rPr>
                <w:rFonts w:ascii="等线" w:hAnsi="等线" w:eastAsia="仿宋_GB2312"/>
                <w:color w:val="auto"/>
                <w:kern w:val="2"/>
                <w:sz w:val="24"/>
                <w:szCs w:val="24"/>
                <w:highlight w:val="none"/>
                <w:lang w:val="en-US" w:eastAsia="zh-CN"/>
              </w:rPr>
              <w:t>小计：</w:t>
            </w:r>
          </w:p>
        </w:tc>
      </w:tr>
    </w:tbl>
    <w:p w14:paraId="754AD564">
      <w:pPr>
        <w:keepNext w:val="0"/>
        <w:keepLines w:val="0"/>
        <w:pageBreakBefore w:val="0"/>
        <w:widowControl w:val="0"/>
        <w:wordWrap/>
        <w:topLinePunct w:val="0"/>
        <w:bidi w:val="0"/>
        <w:spacing w:line="480" w:lineRule="auto"/>
        <w:rPr>
          <w:rFonts w:hAnsi="宋体"/>
          <w:color w:val="auto"/>
          <w:highlight w:val="none"/>
        </w:rPr>
      </w:pPr>
    </w:p>
    <w:p w14:paraId="24F29F06">
      <w:pPr>
        <w:pStyle w:val="2"/>
        <w:keepNext w:val="0"/>
        <w:keepLines w:val="0"/>
        <w:pageBreakBefore w:val="0"/>
        <w:widowControl w:val="0"/>
        <w:tabs>
          <w:tab w:val="left" w:pos="567"/>
        </w:tabs>
        <w:wordWrap/>
        <w:topLinePunct w:val="0"/>
        <w:bidi w:val="0"/>
        <w:ind w:left="0" w:leftChars="0" w:firstLine="0" w:firstLineChars="0"/>
        <w:jc w:val="center"/>
        <w:outlineLvl w:val="0"/>
        <w:rPr>
          <w:rFonts w:hint="eastAsia" w:ascii="宋体" w:hAnsi="宋体" w:eastAsia="宋体" w:cs="宋体"/>
          <w:b/>
          <w:bCs/>
          <w:color w:val="auto"/>
          <w:highlight w:val="none"/>
        </w:rPr>
      </w:pPr>
      <w:bookmarkStart w:id="2372" w:name="_Toc24304"/>
      <w:bookmarkStart w:id="2373" w:name="_Toc2274"/>
      <w:r>
        <w:rPr>
          <w:rFonts w:hint="eastAsia" w:ascii="宋体" w:hAnsi="宋体" w:eastAsia="宋体" w:cs="宋体"/>
          <w:b/>
          <w:bCs/>
          <w:color w:val="auto"/>
          <w:kern w:val="44"/>
          <w:sz w:val="32"/>
          <w:szCs w:val="32"/>
          <w:highlight w:val="none"/>
        </w:rPr>
        <w:t xml:space="preserve">第六章 </w:t>
      </w:r>
      <w:bookmarkEnd w:id="157"/>
      <w:bookmarkEnd w:id="158"/>
      <w:bookmarkStart w:id="2374" w:name="_Toc13185"/>
      <w:r>
        <w:rPr>
          <w:rFonts w:hint="eastAsia" w:ascii="宋体" w:hAnsi="宋体" w:eastAsia="宋体" w:cs="宋体"/>
          <w:b/>
          <w:bCs/>
          <w:color w:val="auto"/>
          <w:sz w:val="32"/>
          <w:szCs w:val="32"/>
          <w:highlight w:val="none"/>
        </w:rPr>
        <w:t>响应文件（格式）</w:t>
      </w:r>
      <w:bookmarkEnd w:id="2372"/>
      <w:bookmarkEnd w:id="2373"/>
      <w:bookmarkEnd w:id="2374"/>
    </w:p>
    <w:p w14:paraId="68BB77F7">
      <w:pPr>
        <w:keepNext w:val="0"/>
        <w:keepLines w:val="0"/>
        <w:pageBreakBefore w:val="0"/>
        <w:widowControl w:val="0"/>
        <w:wordWrap/>
        <w:topLinePunct w:val="0"/>
        <w:bidi w:val="0"/>
        <w:rPr>
          <w:rFonts w:hint="eastAsia" w:ascii="宋体" w:hAnsi="宋体" w:eastAsia="宋体" w:cs="宋体"/>
          <w:color w:val="auto"/>
          <w:highlight w:val="none"/>
        </w:rPr>
      </w:pPr>
    </w:p>
    <w:p w14:paraId="67617D30">
      <w:pPr>
        <w:pStyle w:val="12"/>
        <w:keepNext w:val="0"/>
        <w:keepLines w:val="0"/>
        <w:pageBreakBefore w:val="0"/>
        <w:widowControl w:val="0"/>
        <w:wordWrap/>
        <w:topLinePunct w:val="0"/>
        <w:bidi w:val="0"/>
        <w:jc w:val="both"/>
        <w:rPr>
          <w:rFonts w:hint="eastAsia" w:ascii="宋体" w:hAnsi="宋体" w:eastAsia="宋体" w:cs="宋体"/>
          <w:b/>
          <w:color w:val="auto"/>
          <w:sz w:val="32"/>
          <w:highlight w:val="none"/>
          <w:lang w:eastAsia="zh-CN"/>
        </w:rPr>
      </w:pPr>
      <w:bookmarkStart w:id="2375" w:name="_Toc21496"/>
      <w:bookmarkStart w:id="2376" w:name="_Toc18351"/>
      <w:bookmarkStart w:id="2377" w:name="_Toc497927069"/>
      <w:r>
        <w:rPr>
          <w:rFonts w:hint="eastAsia" w:ascii="宋体" w:hAnsi="宋体" w:eastAsia="宋体" w:cs="宋体"/>
          <w:b/>
          <w:color w:val="auto"/>
          <w:sz w:val="32"/>
          <w:highlight w:val="none"/>
          <w:lang w:eastAsia="zh-CN"/>
        </w:rPr>
        <w:t>一、响应文件标记</w:t>
      </w:r>
      <w:bookmarkEnd w:id="2375"/>
      <w:bookmarkEnd w:id="2376"/>
      <w:bookmarkEnd w:id="2377"/>
    </w:p>
    <w:p w14:paraId="3B0A7AFC">
      <w:pPr>
        <w:keepNext w:val="0"/>
        <w:keepLines w:val="0"/>
        <w:pageBreakBefore w:val="0"/>
        <w:widowControl w:val="0"/>
        <w:wordWrap/>
        <w:topLinePunct w:val="0"/>
        <w:bidi w:val="0"/>
        <w:adjustRightInd w:val="0"/>
        <w:snapToGrid w:val="0"/>
        <w:rPr>
          <w:rFonts w:hint="eastAsia" w:ascii="宋体" w:hAnsi="宋体" w:eastAsia="宋体" w:cs="宋体"/>
          <w:b/>
          <w:color w:val="auto"/>
          <w:sz w:val="44"/>
          <w:szCs w:val="44"/>
          <w:highlight w:val="none"/>
        </w:rPr>
      </w:pPr>
    </w:p>
    <w:p w14:paraId="47C63FC0">
      <w:pPr>
        <w:pStyle w:val="31"/>
        <w:keepNext w:val="0"/>
        <w:keepLines w:val="0"/>
        <w:pageBreakBefore w:val="0"/>
        <w:widowControl w:val="0"/>
        <w:wordWrap/>
        <w:topLinePunct w:val="0"/>
        <w:bidi w:val="0"/>
        <w:rPr>
          <w:rFonts w:hint="eastAsia" w:ascii="宋体" w:hAnsi="宋体" w:eastAsia="宋体" w:cs="宋体"/>
          <w:color w:val="auto"/>
          <w:highlight w:val="none"/>
        </w:rPr>
      </w:pPr>
    </w:p>
    <w:p w14:paraId="6DAA7CCF">
      <w:pPr>
        <w:keepNext w:val="0"/>
        <w:keepLines w:val="0"/>
        <w:pageBreakBefore w:val="0"/>
        <w:widowControl w:val="0"/>
        <w:wordWrap/>
        <w:topLinePunct w:val="0"/>
        <w:bidi w:val="0"/>
        <w:snapToGrid w:val="0"/>
        <w:spacing w:before="156" w:beforeLines="50" w:after="50"/>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响 应 文 件</w:t>
      </w:r>
    </w:p>
    <w:p w14:paraId="6E53CEEE">
      <w:pPr>
        <w:keepNext w:val="0"/>
        <w:keepLines w:val="0"/>
        <w:pageBreakBefore w:val="0"/>
        <w:widowControl w:val="0"/>
        <w:wordWrap/>
        <w:topLinePunct w:val="0"/>
        <w:bidi w:val="0"/>
        <w:snapToGrid w:val="0"/>
        <w:spacing w:before="156" w:beforeLines="50" w:after="50"/>
        <w:ind w:firstLine="480" w:firstLineChars="150"/>
        <w:jc w:val="both"/>
        <w:rPr>
          <w:rFonts w:hint="eastAsia" w:ascii="宋体" w:hAnsi="宋体" w:eastAsia="宋体" w:cs="宋体"/>
          <w:b/>
          <w:color w:val="auto"/>
          <w:sz w:val="28"/>
          <w:szCs w:val="28"/>
          <w:highlight w:val="none"/>
        </w:rPr>
      </w:pPr>
      <w:r>
        <w:rPr>
          <w:rFonts w:hint="eastAsia" w:ascii="宋体" w:hAnsi="宋体" w:eastAsia="宋体" w:cs="宋体"/>
          <w:color w:val="auto"/>
          <w:sz w:val="32"/>
          <w:szCs w:val="32"/>
          <w:highlight w:val="none"/>
          <w:lang w:val="en-US" w:eastAsia="zh-CN"/>
        </w:rPr>
        <w:t xml:space="preserve">                       </w:t>
      </w:r>
    </w:p>
    <w:p w14:paraId="04396AD0">
      <w:pPr>
        <w:keepNext w:val="0"/>
        <w:keepLines w:val="0"/>
        <w:pageBreakBefore w:val="0"/>
        <w:widowControl w:val="0"/>
        <w:wordWrap/>
        <w:topLinePunct w:val="0"/>
        <w:bidi w:val="0"/>
        <w:snapToGrid w:val="0"/>
        <w:spacing w:before="156" w:beforeLines="50" w:after="50"/>
        <w:ind w:firstLine="422" w:firstLineChars="150"/>
        <w:rPr>
          <w:rFonts w:hint="eastAsia" w:ascii="宋体" w:hAnsi="宋体" w:eastAsia="宋体" w:cs="宋体"/>
          <w:b/>
          <w:color w:val="auto"/>
          <w:sz w:val="28"/>
          <w:szCs w:val="28"/>
          <w:highlight w:val="none"/>
        </w:rPr>
      </w:pPr>
    </w:p>
    <w:p w14:paraId="72DE435B">
      <w:pPr>
        <w:keepNext w:val="0"/>
        <w:keepLines w:val="0"/>
        <w:pageBreakBefore w:val="0"/>
        <w:widowControl w:val="0"/>
        <w:wordWrap/>
        <w:topLinePunct w:val="0"/>
        <w:bidi w:val="0"/>
        <w:snapToGrid w:val="0"/>
        <w:spacing w:before="156" w:beforeLines="50" w:after="50"/>
        <w:ind w:firstLine="422" w:firstLineChars="150"/>
        <w:rPr>
          <w:rFonts w:hint="eastAsia" w:ascii="宋体" w:hAnsi="宋体" w:eastAsia="宋体" w:cs="宋体"/>
          <w:b/>
          <w:color w:val="auto"/>
          <w:sz w:val="28"/>
          <w:szCs w:val="28"/>
          <w:highlight w:val="none"/>
        </w:rPr>
      </w:pPr>
    </w:p>
    <w:p w14:paraId="2510027D">
      <w:pPr>
        <w:keepNext w:val="0"/>
        <w:keepLines w:val="0"/>
        <w:pageBreakBefore w:val="0"/>
        <w:widowControl w:val="0"/>
        <w:wordWrap/>
        <w:topLinePunct w:val="0"/>
        <w:bidi w:val="0"/>
        <w:snapToGrid w:val="0"/>
        <w:spacing w:before="156" w:beforeLines="50" w:after="50"/>
        <w:ind w:left="4317" w:leftChars="1330" w:hanging="1524" w:hangingChars="542"/>
        <w:rPr>
          <w:rFonts w:hint="eastAsia" w:ascii="宋体" w:hAnsi="宋体" w:eastAsia="宋体" w:cs="宋体"/>
          <w:b/>
          <w:bCs w:val="0"/>
          <w:color w:val="auto"/>
          <w:sz w:val="28"/>
          <w:szCs w:val="28"/>
          <w:highlight w:val="none"/>
          <w:u w:val="single"/>
          <w:lang w:eastAsia="zh-CN"/>
        </w:rPr>
      </w:pPr>
      <w:r>
        <w:rPr>
          <w:rFonts w:hint="eastAsia" w:ascii="宋体" w:hAnsi="宋体" w:eastAsia="宋体" w:cs="宋体"/>
          <w:b/>
          <w:bCs w:val="0"/>
          <w:color w:val="auto"/>
          <w:sz w:val="28"/>
          <w:szCs w:val="28"/>
          <w:highlight w:val="none"/>
        </w:rPr>
        <w:t>项目名称：</w:t>
      </w:r>
      <w:r>
        <w:rPr>
          <w:rFonts w:hint="eastAsia" w:ascii="宋体" w:hAnsi="宋体" w:cs="宋体"/>
          <w:b/>
          <w:bCs/>
          <w:color w:val="auto"/>
          <w:sz w:val="28"/>
          <w:szCs w:val="28"/>
          <w:highlight w:val="none"/>
          <w:u w:val="single"/>
          <w:lang w:val="en-US" w:eastAsia="zh-CN"/>
        </w:rPr>
        <w:t xml:space="preserve">                     </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color w:val="auto"/>
          <w:sz w:val="18"/>
          <w:szCs w:val="18"/>
          <w:highlight w:val="none"/>
        </w:rPr>
        <w:t xml:space="preserve">  </w:t>
      </w:r>
    </w:p>
    <w:p w14:paraId="413FA204">
      <w:pPr>
        <w:keepNext w:val="0"/>
        <w:keepLines w:val="0"/>
        <w:pageBreakBefore w:val="0"/>
        <w:widowControl w:val="0"/>
        <w:wordWrap/>
        <w:topLinePunct w:val="0"/>
        <w:bidi w:val="0"/>
        <w:snapToGrid w:val="0"/>
        <w:spacing w:before="156" w:beforeLines="50" w:after="50"/>
        <w:ind w:firstLine="2704" w:firstLineChars="962"/>
        <w:rPr>
          <w:rFonts w:hint="eastAsia" w:ascii="宋体" w:hAnsi="宋体" w:eastAsia="宋体" w:cs="宋体"/>
          <w:b/>
          <w:bCs w:val="0"/>
          <w:color w:val="auto"/>
          <w:sz w:val="28"/>
          <w:szCs w:val="28"/>
          <w:highlight w:val="none"/>
        </w:rPr>
      </w:pPr>
    </w:p>
    <w:p w14:paraId="6B40AEA6">
      <w:pPr>
        <w:keepNext w:val="0"/>
        <w:keepLines w:val="0"/>
        <w:pageBreakBefore w:val="0"/>
        <w:widowControl w:val="0"/>
        <w:wordWrap/>
        <w:topLinePunct w:val="0"/>
        <w:bidi w:val="0"/>
        <w:snapToGrid w:val="0"/>
        <w:spacing w:before="156" w:beforeLines="50" w:after="50"/>
        <w:ind w:left="4317" w:leftChars="1330" w:hanging="1524" w:hangingChars="542"/>
        <w:rPr>
          <w:rFonts w:hint="default"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rPr>
        <w:t>项目编号：</w:t>
      </w:r>
      <w:r>
        <w:rPr>
          <w:rFonts w:hint="eastAsia" w:ascii="宋体" w:hAnsi="宋体" w:cs="宋体"/>
          <w:b/>
          <w:bCs w:val="0"/>
          <w:color w:val="auto"/>
          <w:sz w:val="28"/>
          <w:szCs w:val="28"/>
          <w:highlight w:val="none"/>
          <w:u w:val="single"/>
          <w:lang w:val="en-US" w:eastAsia="zh-CN"/>
        </w:rPr>
        <w:t xml:space="preserve">                       </w:t>
      </w:r>
    </w:p>
    <w:p w14:paraId="0B8B1EFF">
      <w:pPr>
        <w:keepNext w:val="0"/>
        <w:keepLines w:val="0"/>
        <w:pageBreakBefore w:val="0"/>
        <w:widowControl w:val="0"/>
        <w:wordWrap/>
        <w:topLinePunct w:val="0"/>
        <w:bidi w:val="0"/>
        <w:rPr>
          <w:rFonts w:hint="eastAsia" w:ascii="宋体" w:hAnsi="宋体" w:eastAsia="宋体" w:cs="宋体"/>
          <w:b/>
          <w:color w:val="auto"/>
          <w:highlight w:val="none"/>
        </w:rPr>
      </w:pPr>
    </w:p>
    <w:p w14:paraId="2BEA8FBC">
      <w:pPr>
        <w:keepNext w:val="0"/>
        <w:keepLines w:val="0"/>
        <w:pageBreakBefore w:val="0"/>
        <w:widowControl w:val="0"/>
        <w:wordWrap/>
        <w:topLinePunct w:val="0"/>
        <w:bidi w:val="0"/>
        <w:spacing w:line="400" w:lineRule="exact"/>
        <w:ind w:firstLine="2704" w:firstLineChars="962"/>
        <w:rPr>
          <w:rFonts w:hint="eastAsia" w:ascii="宋体" w:hAnsi="宋体" w:eastAsia="宋体" w:cs="宋体"/>
          <w:b/>
          <w:color w:val="auto"/>
          <w:sz w:val="28"/>
          <w:szCs w:val="28"/>
          <w:highlight w:val="none"/>
        </w:rPr>
      </w:pPr>
    </w:p>
    <w:p w14:paraId="31EAFD0F">
      <w:pPr>
        <w:pStyle w:val="31"/>
        <w:keepNext w:val="0"/>
        <w:keepLines w:val="0"/>
        <w:pageBreakBefore w:val="0"/>
        <w:widowControl w:val="0"/>
        <w:wordWrap/>
        <w:topLinePunct w:val="0"/>
        <w:bidi w:val="0"/>
        <w:rPr>
          <w:rFonts w:hint="eastAsia" w:ascii="宋体" w:hAnsi="宋体" w:eastAsia="宋体" w:cs="宋体"/>
          <w:b/>
          <w:color w:val="auto"/>
          <w:sz w:val="28"/>
          <w:szCs w:val="28"/>
          <w:highlight w:val="none"/>
        </w:rPr>
      </w:pPr>
    </w:p>
    <w:p w14:paraId="0583EA7C">
      <w:pPr>
        <w:pStyle w:val="31"/>
        <w:keepNext w:val="0"/>
        <w:keepLines w:val="0"/>
        <w:pageBreakBefore w:val="0"/>
        <w:widowControl w:val="0"/>
        <w:wordWrap/>
        <w:topLinePunct w:val="0"/>
        <w:bidi w:val="0"/>
        <w:rPr>
          <w:rFonts w:hint="eastAsia" w:ascii="宋体" w:hAnsi="宋体" w:eastAsia="宋体" w:cs="宋体"/>
          <w:b/>
          <w:color w:val="auto"/>
          <w:sz w:val="28"/>
          <w:szCs w:val="28"/>
          <w:highlight w:val="none"/>
        </w:rPr>
      </w:pPr>
    </w:p>
    <w:p w14:paraId="695FA92D">
      <w:pPr>
        <w:keepNext w:val="0"/>
        <w:keepLines w:val="0"/>
        <w:pageBreakBefore w:val="0"/>
        <w:widowControl w:val="0"/>
        <w:wordWrap/>
        <w:topLinePunct w:val="0"/>
        <w:bidi w:val="0"/>
        <w:snapToGrid w:val="0"/>
        <w:spacing w:before="156" w:beforeLines="50" w:after="50"/>
        <w:jc w:val="center"/>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采购代理机构：</w:t>
      </w:r>
      <w:r>
        <w:rPr>
          <w:rFonts w:hint="eastAsia" w:ascii="宋体" w:hAnsi="宋体" w:eastAsia="宋体" w:cs="宋体"/>
          <w:b/>
          <w:color w:val="auto"/>
          <w:sz w:val="28"/>
          <w:szCs w:val="28"/>
          <w:highlight w:val="none"/>
          <w:u w:val="single"/>
        </w:rPr>
        <w:t xml:space="preserve"> </w:t>
      </w:r>
      <w:r>
        <w:rPr>
          <w:rFonts w:hint="eastAsia" w:ascii="宋体" w:hAnsi="宋体" w:cs="宋体"/>
          <w:b/>
          <w:color w:val="auto"/>
          <w:sz w:val="28"/>
          <w:szCs w:val="28"/>
          <w:highlight w:val="none"/>
          <w:u w:val="single"/>
          <w:lang w:eastAsia="zh-CN"/>
        </w:rPr>
        <w:t>广西晟鑫项目管理有限公司</w:t>
      </w:r>
    </w:p>
    <w:p w14:paraId="6EB09288">
      <w:pPr>
        <w:keepNext w:val="0"/>
        <w:keepLines w:val="0"/>
        <w:pageBreakBefore w:val="0"/>
        <w:widowControl w:val="0"/>
        <w:wordWrap/>
        <w:topLinePunct w:val="0"/>
        <w:bidi w:val="0"/>
        <w:outlineLvl w:val="9"/>
        <w:rPr>
          <w:rFonts w:hint="eastAsia" w:eastAsia="宋体"/>
          <w:color w:val="auto"/>
          <w:highlight w:val="none"/>
          <w:lang w:val="en-US" w:eastAsia="zh-CN"/>
        </w:rPr>
      </w:pPr>
    </w:p>
    <w:p w14:paraId="1EA879E3">
      <w:pPr>
        <w:keepNext w:val="0"/>
        <w:keepLines w:val="0"/>
        <w:pageBreakBefore w:val="0"/>
        <w:widowControl w:val="0"/>
        <w:wordWrap/>
        <w:topLinePunct w:val="0"/>
        <w:bidi w:val="0"/>
        <w:outlineLvl w:val="9"/>
        <w:rPr>
          <w:rFonts w:hint="eastAsia" w:eastAsia="宋体"/>
          <w:color w:val="auto"/>
          <w:highlight w:val="none"/>
          <w:lang w:val="en-US" w:eastAsia="zh-CN"/>
        </w:rPr>
      </w:pPr>
    </w:p>
    <w:p w14:paraId="406E3F69">
      <w:pPr>
        <w:keepNext w:val="0"/>
        <w:keepLines w:val="0"/>
        <w:pageBreakBefore w:val="0"/>
        <w:widowControl w:val="0"/>
        <w:wordWrap/>
        <w:topLinePunct w:val="0"/>
        <w:bidi w:val="0"/>
        <w:outlineLvl w:val="9"/>
        <w:rPr>
          <w:rFonts w:hint="eastAsia" w:eastAsia="宋体"/>
          <w:color w:val="auto"/>
          <w:highlight w:val="none"/>
          <w:lang w:val="en-US" w:eastAsia="zh-CN"/>
        </w:rPr>
      </w:pPr>
    </w:p>
    <w:p w14:paraId="719419A5">
      <w:pPr>
        <w:keepNext w:val="0"/>
        <w:keepLines w:val="0"/>
        <w:pageBreakBefore w:val="0"/>
        <w:widowControl w:val="0"/>
        <w:wordWrap/>
        <w:topLinePunct w:val="0"/>
        <w:bidi w:val="0"/>
        <w:outlineLvl w:val="9"/>
        <w:rPr>
          <w:rFonts w:hint="eastAsia" w:eastAsia="宋体"/>
          <w:color w:val="auto"/>
          <w:highlight w:val="none"/>
          <w:lang w:val="en-US" w:eastAsia="zh-CN"/>
        </w:rPr>
      </w:pPr>
    </w:p>
    <w:p w14:paraId="7A7F5C64">
      <w:pPr>
        <w:keepNext w:val="0"/>
        <w:keepLines w:val="0"/>
        <w:pageBreakBefore w:val="0"/>
        <w:widowControl w:val="0"/>
        <w:wordWrap/>
        <w:topLinePunct w:val="0"/>
        <w:bidi w:val="0"/>
        <w:outlineLvl w:val="9"/>
        <w:rPr>
          <w:rFonts w:hint="eastAsia" w:eastAsia="宋体"/>
          <w:color w:val="auto"/>
          <w:highlight w:val="none"/>
          <w:lang w:val="en-US" w:eastAsia="zh-CN"/>
        </w:rPr>
      </w:pPr>
    </w:p>
    <w:p w14:paraId="4EE5B1E8">
      <w:pPr>
        <w:keepNext w:val="0"/>
        <w:keepLines w:val="0"/>
        <w:pageBreakBefore w:val="0"/>
        <w:widowControl w:val="0"/>
        <w:wordWrap/>
        <w:topLinePunct w:val="0"/>
        <w:bidi w:val="0"/>
        <w:outlineLvl w:val="9"/>
        <w:rPr>
          <w:rFonts w:hint="eastAsia" w:eastAsia="宋体"/>
          <w:color w:val="auto"/>
          <w:highlight w:val="none"/>
          <w:lang w:val="en-US" w:eastAsia="zh-CN"/>
        </w:rPr>
      </w:pPr>
    </w:p>
    <w:p w14:paraId="67ABD058">
      <w:pPr>
        <w:keepNext w:val="0"/>
        <w:keepLines w:val="0"/>
        <w:pageBreakBefore w:val="0"/>
        <w:widowControl w:val="0"/>
        <w:wordWrap/>
        <w:topLinePunct w:val="0"/>
        <w:bidi w:val="0"/>
        <w:outlineLvl w:val="9"/>
        <w:rPr>
          <w:rFonts w:hint="eastAsia" w:eastAsia="宋体"/>
          <w:color w:val="auto"/>
          <w:highlight w:val="none"/>
          <w:lang w:val="en-US" w:eastAsia="zh-CN"/>
        </w:rPr>
      </w:pPr>
    </w:p>
    <w:p w14:paraId="047E4843">
      <w:pPr>
        <w:pStyle w:val="10"/>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宋体" w:hAnsi="宋体" w:eastAsia="宋体" w:cs="宋体"/>
          <w:bCs/>
          <w:color w:val="auto"/>
          <w:sz w:val="24"/>
          <w:szCs w:val="24"/>
          <w:highlight w:val="none"/>
        </w:rPr>
      </w:pPr>
      <w:bookmarkStart w:id="2378" w:name="_Toc20319_WPSOffice_Level2"/>
      <w:bookmarkStart w:id="2379" w:name="_Toc4932_WPSOffice_Level2"/>
      <w:r>
        <w:rPr>
          <w:rFonts w:hint="eastAsia" w:ascii="宋体" w:hAnsi="宋体" w:eastAsia="宋体" w:cs="宋体"/>
          <w:bCs/>
          <w:color w:val="auto"/>
          <w:sz w:val="24"/>
          <w:szCs w:val="24"/>
          <w:highlight w:val="none"/>
          <w:lang w:eastAsia="zh-CN"/>
        </w:rPr>
        <w:t>磋商供应商</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公章</w:t>
      </w:r>
      <w:r>
        <w:rPr>
          <w:rFonts w:hint="eastAsia" w:ascii="宋体" w:hAnsi="宋体" w:eastAsia="宋体" w:cs="宋体"/>
          <w:bCs/>
          <w:color w:val="auto"/>
          <w:sz w:val="24"/>
          <w:szCs w:val="24"/>
          <w:highlight w:val="none"/>
          <w:lang w:val="en-US" w:eastAsia="zh-CN"/>
        </w:rPr>
        <w:t>(CA签章)</w:t>
      </w:r>
      <w:r>
        <w:rPr>
          <w:rFonts w:hint="eastAsia" w:ascii="宋体" w:hAnsi="宋体" w:eastAsia="宋体" w:cs="宋体"/>
          <w:bCs/>
          <w:color w:val="auto"/>
          <w:sz w:val="24"/>
          <w:szCs w:val="24"/>
          <w:highlight w:val="none"/>
        </w:rPr>
        <w:t>、自然人除外</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u w:val="single"/>
        </w:rPr>
        <w:t xml:space="preserve">                       </w:t>
      </w:r>
      <w:bookmarkEnd w:id="2378"/>
      <w:bookmarkEnd w:id="2379"/>
      <w:r>
        <w:rPr>
          <w:rFonts w:hint="eastAsia" w:ascii="宋体" w:hAnsi="宋体" w:eastAsia="宋体" w:cs="宋体"/>
          <w:bCs/>
          <w:color w:val="auto"/>
          <w:sz w:val="24"/>
          <w:szCs w:val="24"/>
          <w:highlight w:val="none"/>
          <w:u w:val="single"/>
        </w:rPr>
        <w:t xml:space="preserve">       </w:t>
      </w:r>
    </w:p>
    <w:p w14:paraId="7BA744D8">
      <w:pPr>
        <w:pStyle w:val="12"/>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color w:val="auto"/>
          <w:sz w:val="24"/>
          <w:szCs w:val="24"/>
          <w:highlight w:val="none"/>
          <w:lang w:val="en-US" w:eastAsia="zh-CN"/>
        </w:rPr>
      </w:pPr>
      <w:bookmarkStart w:id="2380" w:name="_Toc9622_WPSOffice_Level2"/>
      <w:bookmarkStart w:id="2381" w:name="_Toc32056_WPSOffice_Level2"/>
      <w:r>
        <w:rPr>
          <w:rFonts w:hint="eastAsia" w:ascii="宋体" w:hAnsi="宋体" w:eastAsia="宋体" w:cs="宋体"/>
          <w:color w:val="auto"/>
          <w:sz w:val="24"/>
          <w:szCs w:val="24"/>
          <w:highlight w:val="none"/>
        </w:rPr>
        <w:t>法定代表人、负责人、自然人或相应的委托代理人签字</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或盖章</w:t>
      </w:r>
      <w:r>
        <w:rPr>
          <w:rFonts w:hint="eastAsia" w:ascii="宋体" w:hAnsi="宋体" w:eastAsia="宋体" w:cs="宋体"/>
          <w:color w:val="auto"/>
          <w:sz w:val="24"/>
          <w:szCs w:val="24"/>
          <w:highlight w:val="none"/>
          <w:lang w:val="en-US" w:eastAsia="zh-CN"/>
        </w:rPr>
        <w:t>(CA签章)]</w:t>
      </w:r>
    </w:p>
    <w:p w14:paraId="65FE0F3C">
      <w:pPr>
        <w:pStyle w:val="10"/>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（属自然人的应在签名处加盖大拇指指印</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lang w:val="en-US" w:eastAsia="zh-CN"/>
        </w:rPr>
        <w:t>个人CA签章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007AE39A">
      <w:pPr>
        <w:pStyle w:val="10"/>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bookmarkEnd w:id="2380"/>
      <w:bookmarkEnd w:id="2381"/>
      <w:r>
        <w:rPr>
          <w:rFonts w:hint="eastAsia" w:ascii="宋体" w:hAnsi="宋体" w:eastAsia="宋体" w:cs="宋体"/>
          <w:bCs/>
          <w:color w:val="auto"/>
          <w:sz w:val="24"/>
          <w:szCs w:val="24"/>
          <w:highlight w:val="none"/>
          <w:u w:val="single"/>
        </w:rPr>
        <w:t xml:space="preserve">                                                </w:t>
      </w:r>
    </w:p>
    <w:p w14:paraId="5B806E89">
      <w:pPr>
        <w:pStyle w:val="10"/>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宋体" w:hAnsi="宋体" w:eastAsia="宋体" w:cs="宋体"/>
          <w:bCs/>
          <w:color w:val="auto"/>
          <w:sz w:val="24"/>
          <w:szCs w:val="24"/>
          <w:highlight w:val="none"/>
        </w:rPr>
      </w:pPr>
      <w:bookmarkStart w:id="2382" w:name="_Toc26465_WPSOffice_Level2"/>
      <w:bookmarkStart w:id="2383" w:name="_Toc15933_WPSOffice_Level2"/>
      <w:r>
        <w:rPr>
          <w:rFonts w:hint="eastAsia" w:ascii="宋体" w:hAnsi="宋体" w:eastAsia="宋体" w:cs="宋体"/>
          <w:bCs/>
          <w:color w:val="auto"/>
          <w:sz w:val="24"/>
          <w:szCs w:val="24"/>
          <w:highlight w:val="none"/>
        </w:rPr>
        <w:t>日期：</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w:t>
      </w:r>
      <w:bookmarkEnd w:id="2382"/>
      <w:bookmarkEnd w:id="2383"/>
    </w:p>
    <w:p w14:paraId="2142A182">
      <w:pPr>
        <w:rPr>
          <w:rFonts w:hint="eastAsia" w:ascii="宋体" w:hAnsi="宋体" w:eastAsia="宋体" w:cs="宋体"/>
          <w:b/>
          <w:bCs/>
          <w:color w:val="auto"/>
          <w:sz w:val="32"/>
          <w:szCs w:val="32"/>
          <w:highlight w:val="none"/>
        </w:rPr>
      </w:pPr>
      <w:bookmarkStart w:id="2384" w:name="_Toc497927070"/>
      <w:bookmarkStart w:id="2385" w:name="_Toc21615"/>
      <w:bookmarkStart w:id="2386" w:name="_Toc19430"/>
      <w:r>
        <w:rPr>
          <w:rFonts w:hint="eastAsia" w:ascii="宋体" w:hAnsi="宋体" w:eastAsia="宋体" w:cs="宋体"/>
          <w:b/>
          <w:bCs/>
          <w:color w:val="auto"/>
          <w:sz w:val="32"/>
          <w:szCs w:val="32"/>
          <w:highlight w:val="none"/>
        </w:rPr>
        <w:br w:type="page"/>
      </w:r>
    </w:p>
    <w:p w14:paraId="126A6AA9">
      <w:pPr>
        <w:pStyle w:val="12"/>
        <w:keepNext w:val="0"/>
        <w:keepLines w:val="0"/>
        <w:pageBreakBefore w:val="0"/>
        <w:widowControl w:val="0"/>
        <w:wordWrap/>
        <w:topLinePunct w:val="0"/>
        <w:bidi w:val="0"/>
        <w:jc w:val="both"/>
        <w:rPr>
          <w:rFonts w:hint="eastAsia" w:ascii="宋体" w:hAnsi="宋体" w:eastAsia="宋体" w:cs="宋体"/>
          <w:b/>
          <w:color w:val="auto"/>
          <w:sz w:val="32"/>
          <w:highlight w:val="none"/>
          <w:lang w:eastAsia="zh-CN"/>
        </w:rPr>
      </w:pPr>
      <w:r>
        <w:rPr>
          <w:rFonts w:hint="eastAsia" w:ascii="宋体" w:hAnsi="宋体" w:eastAsia="宋体" w:cs="宋体"/>
          <w:b/>
          <w:color w:val="auto"/>
          <w:sz w:val="32"/>
          <w:highlight w:val="none"/>
          <w:lang w:val="en-US" w:eastAsia="zh-CN"/>
        </w:rPr>
        <w:t>二、</w:t>
      </w:r>
      <w:r>
        <w:rPr>
          <w:rFonts w:hint="eastAsia" w:ascii="宋体" w:hAnsi="宋体" w:eastAsia="宋体" w:cs="宋体"/>
          <w:b/>
          <w:color w:val="auto"/>
          <w:sz w:val="32"/>
          <w:highlight w:val="none"/>
          <w:lang w:eastAsia="zh-CN"/>
        </w:rPr>
        <w:t>响应文件组成</w:t>
      </w:r>
      <w:bookmarkEnd w:id="2384"/>
      <w:bookmarkEnd w:id="2385"/>
      <w:bookmarkEnd w:id="2386"/>
    </w:p>
    <w:p w14:paraId="162058FD">
      <w:pPr>
        <w:pStyle w:val="12"/>
        <w:keepNext w:val="0"/>
        <w:keepLines w:val="0"/>
        <w:pageBreakBefore w:val="0"/>
        <w:widowControl w:val="0"/>
        <w:wordWrap/>
        <w:topLinePunct w:val="0"/>
        <w:bidi w:val="0"/>
        <w:jc w:val="both"/>
        <w:rPr>
          <w:rFonts w:hint="eastAsia" w:ascii="宋体" w:hAnsi="宋体" w:eastAsia="宋体" w:cs="宋体"/>
          <w:color w:val="auto"/>
          <w:highlight w:val="none"/>
        </w:rPr>
      </w:pPr>
    </w:p>
    <w:p w14:paraId="5B533141">
      <w:pPr>
        <w:pStyle w:val="9"/>
        <w:keepNext w:val="0"/>
        <w:keepLines w:val="0"/>
        <w:pageBreakBefore w:val="0"/>
        <w:widowControl w:val="0"/>
        <w:numPr>
          <w:ilvl w:val="0"/>
          <w:numId w:val="0"/>
        </w:numPr>
        <w:wordWrap/>
        <w:topLinePunct w:val="0"/>
        <w:bidi w:val="0"/>
        <w:rPr>
          <w:rFonts w:hint="eastAsia" w:ascii="宋体" w:hAnsi="宋体" w:eastAsia="宋体" w:cs="宋体"/>
          <w:color w:val="auto"/>
          <w:highlight w:val="none"/>
        </w:rPr>
      </w:pPr>
    </w:p>
    <w:p w14:paraId="592A34C9">
      <w:pPr>
        <w:keepNext w:val="0"/>
        <w:keepLines w:val="0"/>
        <w:pageBreakBefore w:val="0"/>
        <w:widowControl w:val="0"/>
        <w:numPr>
          <w:ilvl w:val="0"/>
          <w:numId w:val="0"/>
        </w:numPr>
        <w:wordWrap/>
        <w:topLinePunct w:val="0"/>
        <w:bidi w:val="0"/>
        <w:spacing w:line="400" w:lineRule="exact"/>
        <w:rPr>
          <w:rFonts w:hint="eastAsia" w:ascii="宋体" w:hAnsi="宋体" w:eastAsia="宋体" w:cs="宋体"/>
          <w:b/>
          <w:bCs/>
          <w:color w:val="auto"/>
          <w:sz w:val="28"/>
          <w:szCs w:val="28"/>
          <w:highlight w:val="none"/>
        </w:rPr>
      </w:pPr>
    </w:p>
    <w:p w14:paraId="1B73E6DF">
      <w:pPr>
        <w:pStyle w:val="9"/>
        <w:keepNext w:val="0"/>
        <w:keepLines w:val="0"/>
        <w:pageBreakBefore w:val="0"/>
        <w:widowControl w:val="0"/>
        <w:wordWrap/>
        <w:topLinePunct w:val="0"/>
        <w:bidi w:val="0"/>
        <w:rPr>
          <w:rFonts w:hint="eastAsia" w:ascii="宋体" w:hAnsi="宋体" w:eastAsia="宋体" w:cs="宋体"/>
          <w:b/>
          <w:bCs/>
          <w:color w:val="auto"/>
          <w:sz w:val="28"/>
          <w:szCs w:val="28"/>
          <w:highlight w:val="none"/>
          <w:lang w:eastAsia="zh-CN"/>
        </w:rPr>
      </w:pPr>
    </w:p>
    <w:p w14:paraId="13ED9F04">
      <w:pPr>
        <w:keepNext w:val="0"/>
        <w:keepLines w:val="0"/>
        <w:pageBreakBefore w:val="0"/>
        <w:widowControl w:val="0"/>
        <w:numPr>
          <w:ilvl w:val="0"/>
          <w:numId w:val="10"/>
        </w:numPr>
        <w:wordWrap/>
        <w:topLinePunct w:val="0"/>
        <w:bidi w:val="0"/>
        <w:spacing w:line="400" w:lineRule="exact"/>
        <w:ind w:left="482" w:leftChars="0" w:firstLine="568" w:firstLineChars="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资格性响应证明材料</w:t>
      </w:r>
    </w:p>
    <w:p w14:paraId="329CB773">
      <w:pPr>
        <w:pStyle w:val="9"/>
        <w:keepNext w:val="0"/>
        <w:keepLines w:val="0"/>
        <w:pageBreakBefore w:val="0"/>
        <w:widowControl w:val="0"/>
        <w:wordWrap/>
        <w:topLinePunct w:val="0"/>
        <w:bidi w:val="0"/>
        <w:rPr>
          <w:rFonts w:hint="eastAsia" w:ascii="宋体" w:hAnsi="宋体" w:eastAsia="宋体" w:cs="宋体"/>
          <w:b/>
          <w:bCs/>
          <w:color w:val="auto"/>
          <w:sz w:val="28"/>
          <w:szCs w:val="28"/>
          <w:highlight w:val="none"/>
        </w:rPr>
      </w:pPr>
    </w:p>
    <w:p w14:paraId="2BF1C847">
      <w:pPr>
        <w:pStyle w:val="9"/>
        <w:keepNext w:val="0"/>
        <w:keepLines w:val="0"/>
        <w:pageBreakBefore w:val="0"/>
        <w:widowControl w:val="0"/>
        <w:wordWrap/>
        <w:topLinePunct w:val="0"/>
        <w:bidi w:val="0"/>
        <w:rPr>
          <w:rFonts w:hint="eastAsia" w:ascii="宋体" w:hAnsi="宋体" w:eastAsia="宋体" w:cs="宋体"/>
          <w:b/>
          <w:bCs/>
          <w:color w:val="auto"/>
          <w:sz w:val="28"/>
          <w:szCs w:val="28"/>
          <w:highlight w:val="none"/>
        </w:rPr>
      </w:pPr>
    </w:p>
    <w:p w14:paraId="0612E0AF">
      <w:pPr>
        <w:keepNext w:val="0"/>
        <w:keepLines w:val="0"/>
        <w:pageBreakBefore w:val="0"/>
        <w:widowControl w:val="0"/>
        <w:numPr>
          <w:ilvl w:val="0"/>
          <w:numId w:val="10"/>
        </w:numPr>
        <w:wordWrap/>
        <w:topLinePunct w:val="0"/>
        <w:bidi w:val="0"/>
        <w:spacing w:line="400" w:lineRule="exact"/>
        <w:ind w:left="482" w:leftChars="0" w:firstLine="568" w:firstLineChars="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符合性响应证明材料</w:t>
      </w:r>
    </w:p>
    <w:p w14:paraId="3160D78E">
      <w:pPr>
        <w:pStyle w:val="9"/>
        <w:keepNext w:val="0"/>
        <w:keepLines w:val="0"/>
        <w:pageBreakBefore w:val="0"/>
        <w:widowControl w:val="0"/>
        <w:wordWrap/>
        <w:topLinePunct w:val="0"/>
        <w:bidi w:val="0"/>
        <w:rPr>
          <w:rFonts w:hint="eastAsia" w:ascii="宋体" w:hAnsi="宋体" w:eastAsia="宋体" w:cs="宋体"/>
          <w:b/>
          <w:bCs/>
          <w:color w:val="auto"/>
          <w:sz w:val="28"/>
          <w:szCs w:val="28"/>
          <w:highlight w:val="none"/>
        </w:rPr>
      </w:pPr>
    </w:p>
    <w:p w14:paraId="1480E213">
      <w:pPr>
        <w:pStyle w:val="9"/>
        <w:keepNext w:val="0"/>
        <w:keepLines w:val="0"/>
        <w:pageBreakBefore w:val="0"/>
        <w:widowControl w:val="0"/>
        <w:wordWrap/>
        <w:topLinePunct w:val="0"/>
        <w:bidi w:val="0"/>
        <w:rPr>
          <w:rFonts w:hint="eastAsia" w:ascii="宋体" w:hAnsi="宋体" w:eastAsia="宋体" w:cs="宋体"/>
          <w:b/>
          <w:bCs/>
          <w:color w:val="auto"/>
          <w:sz w:val="28"/>
          <w:szCs w:val="28"/>
          <w:highlight w:val="none"/>
        </w:rPr>
      </w:pPr>
    </w:p>
    <w:p w14:paraId="582EEB96">
      <w:pPr>
        <w:keepNext w:val="0"/>
        <w:keepLines w:val="0"/>
        <w:pageBreakBefore w:val="0"/>
        <w:widowControl w:val="0"/>
        <w:numPr>
          <w:ilvl w:val="0"/>
          <w:numId w:val="10"/>
        </w:numPr>
        <w:wordWrap/>
        <w:topLinePunct w:val="0"/>
        <w:bidi w:val="0"/>
        <w:spacing w:line="400" w:lineRule="exact"/>
        <w:ind w:left="482" w:leftChars="0" w:firstLine="568" w:firstLineChars="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其</w:t>
      </w:r>
      <w:r>
        <w:rPr>
          <w:rFonts w:hint="eastAsia" w:ascii="宋体" w:hAnsi="宋体" w:eastAsia="宋体" w:cs="宋体"/>
          <w:b/>
          <w:bCs/>
          <w:color w:val="auto"/>
          <w:sz w:val="28"/>
          <w:szCs w:val="28"/>
          <w:highlight w:val="none"/>
          <w:lang w:eastAsia="zh-CN"/>
        </w:rPr>
        <w:t>他</w:t>
      </w:r>
      <w:r>
        <w:rPr>
          <w:rFonts w:hint="eastAsia" w:ascii="宋体" w:hAnsi="宋体" w:eastAsia="宋体" w:cs="宋体"/>
          <w:b/>
          <w:bCs/>
          <w:color w:val="auto"/>
          <w:sz w:val="28"/>
          <w:szCs w:val="28"/>
          <w:highlight w:val="none"/>
        </w:rPr>
        <w:t>有效证明材料</w:t>
      </w:r>
    </w:p>
    <w:p w14:paraId="5936A632">
      <w:pPr>
        <w:pStyle w:val="31"/>
        <w:keepNext w:val="0"/>
        <w:keepLines w:val="0"/>
        <w:pageBreakBefore w:val="0"/>
        <w:widowControl w:val="0"/>
        <w:wordWrap/>
        <w:topLinePunct w:val="0"/>
        <w:bidi w:val="0"/>
        <w:rPr>
          <w:rFonts w:hint="eastAsia" w:ascii="宋体" w:hAnsi="宋体" w:eastAsia="宋体" w:cs="宋体"/>
          <w:color w:val="auto"/>
          <w:highlight w:val="none"/>
        </w:rPr>
      </w:pPr>
    </w:p>
    <w:p w14:paraId="7B000225">
      <w:pPr>
        <w:keepNext w:val="0"/>
        <w:keepLines w:val="0"/>
        <w:pageBreakBefore w:val="0"/>
        <w:widowControl w:val="0"/>
        <w:tabs>
          <w:tab w:val="left" w:pos="5040"/>
        </w:tabs>
        <w:wordWrap/>
        <w:topLinePunct w:val="0"/>
        <w:bidi w:val="0"/>
        <w:spacing w:line="400" w:lineRule="exact"/>
        <w:rPr>
          <w:rFonts w:hint="eastAsia" w:ascii="宋体" w:hAnsi="宋体" w:eastAsia="宋体" w:cs="宋体"/>
          <w:color w:val="auto"/>
          <w:szCs w:val="21"/>
          <w:highlight w:val="none"/>
        </w:rPr>
      </w:pPr>
    </w:p>
    <w:p w14:paraId="08F9670A">
      <w:pPr>
        <w:rPr>
          <w:rFonts w:hint="eastAsia" w:ascii="宋体" w:hAnsi="宋体" w:eastAsia="宋体" w:cs="宋体"/>
          <w:color w:val="auto"/>
          <w:sz w:val="32"/>
          <w:szCs w:val="32"/>
          <w:highlight w:val="none"/>
          <w:lang w:eastAsia="zh-CN"/>
        </w:rPr>
      </w:pPr>
      <w:bookmarkStart w:id="2387" w:name="_Toc497927071"/>
      <w:bookmarkStart w:id="2388" w:name="_Toc7185"/>
      <w:bookmarkStart w:id="2389" w:name="_Toc11067"/>
      <w:r>
        <w:rPr>
          <w:rFonts w:hint="eastAsia" w:ascii="宋体" w:hAnsi="宋体" w:eastAsia="宋体" w:cs="宋体"/>
          <w:color w:val="auto"/>
          <w:sz w:val="32"/>
          <w:szCs w:val="32"/>
          <w:highlight w:val="none"/>
          <w:lang w:eastAsia="zh-CN"/>
        </w:rPr>
        <w:br w:type="page"/>
      </w:r>
    </w:p>
    <w:p w14:paraId="113D7915">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1"/>
        <w:rPr>
          <w:rFonts w:hint="eastAsia" w:ascii="宋体" w:hAnsi="宋体" w:eastAsia="宋体" w:cs="宋体"/>
          <w:color w:val="auto"/>
          <w:sz w:val="32"/>
          <w:szCs w:val="32"/>
          <w:highlight w:val="none"/>
          <w:lang w:eastAsia="zh-CN"/>
        </w:rPr>
      </w:pPr>
      <w:bookmarkStart w:id="2390" w:name="_Toc32344"/>
      <w:r>
        <w:rPr>
          <w:rFonts w:hint="eastAsia" w:ascii="宋体" w:hAnsi="宋体" w:eastAsia="宋体" w:cs="宋体"/>
          <w:color w:val="auto"/>
          <w:sz w:val="32"/>
          <w:szCs w:val="32"/>
          <w:highlight w:val="none"/>
          <w:lang w:eastAsia="zh-CN"/>
        </w:rPr>
        <w:t>（</w:t>
      </w:r>
      <w:r>
        <w:rPr>
          <w:rFonts w:hint="eastAsia" w:ascii="宋体" w:hAnsi="宋体" w:cs="宋体"/>
          <w:color w:val="auto"/>
          <w:sz w:val="32"/>
          <w:szCs w:val="32"/>
          <w:highlight w:val="none"/>
          <w:lang w:eastAsia="zh-CN"/>
        </w:rPr>
        <w:t>一</w:t>
      </w:r>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rPr>
        <w:t>资格性响应证明材料目录</w:t>
      </w:r>
      <w:bookmarkEnd w:id="2387"/>
      <w:bookmarkEnd w:id="2388"/>
      <w:bookmarkEnd w:id="2389"/>
      <w:r>
        <w:rPr>
          <w:rFonts w:hint="eastAsia" w:ascii="宋体" w:hAnsi="宋体" w:eastAsia="宋体" w:cs="宋体"/>
          <w:color w:val="auto"/>
          <w:sz w:val="32"/>
          <w:szCs w:val="32"/>
          <w:highlight w:val="none"/>
          <w:lang w:eastAsia="zh-CN"/>
        </w:rPr>
        <w:t>（根据所提供内容自行编写）</w:t>
      </w:r>
      <w:bookmarkEnd w:id="2390"/>
    </w:p>
    <w:p w14:paraId="1E6CDFB8">
      <w:pPr>
        <w:keepNext w:val="0"/>
        <w:keepLines w:val="0"/>
        <w:pageBreakBefore w:val="0"/>
        <w:widowControl w:val="0"/>
        <w:tabs>
          <w:tab w:val="left" w:pos="357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供应商相应的法定代表人、负责人、自然人身份证正反两面复印件</w:t>
      </w:r>
      <w:r>
        <w:rPr>
          <w:rFonts w:hint="eastAsia" w:ascii="宋体" w:hAnsi="宋体" w:eastAsia="宋体" w:cs="宋体"/>
          <w:b/>
          <w:bCs/>
          <w:color w:val="auto"/>
          <w:sz w:val="21"/>
          <w:szCs w:val="21"/>
          <w:highlight w:val="none"/>
        </w:rPr>
        <w:t>（必须提供）</w:t>
      </w:r>
      <w:r>
        <w:rPr>
          <w:rFonts w:hint="eastAsia" w:ascii="宋体" w:hAnsi="宋体" w:eastAsia="宋体" w:cs="宋体"/>
          <w:color w:val="auto"/>
          <w:sz w:val="21"/>
          <w:szCs w:val="21"/>
          <w:highlight w:val="none"/>
        </w:rPr>
        <w:t>；</w:t>
      </w:r>
    </w:p>
    <w:p w14:paraId="4AF86022">
      <w:pPr>
        <w:keepNext w:val="0"/>
        <w:keepLines w:val="0"/>
        <w:pageBreakBefore w:val="0"/>
        <w:widowControl w:val="0"/>
        <w:tabs>
          <w:tab w:val="left" w:pos="357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.供应商的授权委托书</w:t>
      </w:r>
      <w:r>
        <w:rPr>
          <w:rFonts w:hint="eastAsia" w:ascii="宋体" w:hAnsi="宋体" w:eastAsia="宋体" w:cs="宋体"/>
          <w:color w:val="auto"/>
          <w:sz w:val="21"/>
          <w:szCs w:val="21"/>
          <w:highlight w:val="none"/>
          <w:lang w:eastAsia="zh-CN"/>
        </w:rPr>
        <w:t>原件</w:t>
      </w:r>
      <w:r>
        <w:rPr>
          <w:rFonts w:hint="eastAsia" w:ascii="宋体" w:hAnsi="宋体" w:eastAsia="宋体" w:cs="宋体"/>
          <w:color w:val="auto"/>
          <w:sz w:val="21"/>
          <w:szCs w:val="21"/>
          <w:highlight w:val="none"/>
        </w:rPr>
        <w:t>、委托代理人身份证正反面复印件以及由县级以上（含县级）社会养老保险经办机构出具的供应商为委托代理人交纳的响应文件递交截止时间前</w:t>
      </w:r>
      <w:r>
        <w:rPr>
          <w:rFonts w:hint="eastAsia" w:ascii="宋体" w:hAnsi="宋体" w:cs="宋体"/>
          <w:color w:val="auto"/>
          <w:sz w:val="21"/>
          <w:szCs w:val="21"/>
          <w:highlight w:val="none"/>
          <w:lang w:eastAsia="zh-CN"/>
        </w:rPr>
        <w:t>半年内任意一个月</w:t>
      </w:r>
      <w:r>
        <w:rPr>
          <w:rFonts w:hint="eastAsia" w:ascii="宋体" w:hAnsi="宋体" w:eastAsia="宋体" w:cs="宋体"/>
          <w:color w:val="auto"/>
          <w:sz w:val="21"/>
          <w:szCs w:val="21"/>
          <w:highlight w:val="none"/>
        </w:rPr>
        <w:t>社保证明复印件</w:t>
      </w:r>
      <w:r>
        <w:rPr>
          <w:rFonts w:hint="eastAsia" w:ascii="宋体" w:hAnsi="宋体" w:eastAsia="宋体" w:cs="宋体"/>
          <w:color w:val="auto"/>
          <w:sz w:val="21"/>
          <w:szCs w:val="21"/>
          <w:highlight w:val="none"/>
          <w:lang w:eastAsia="zh-CN"/>
        </w:rPr>
        <w:t>（委托代理时必须提供）。</w:t>
      </w:r>
      <w:r>
        <w:rPr>
          <w:rFonts w:hint="eastAsia" w:ascii="宋体" w:hAnsi="宋体" w:eastAsia="宋体" w:cs="宋体"/>
          <w:color w:val="auto"/>
          <w:sz w:val="21"/>
          <w:szCs w:val="21"/>
          <w:highlight w:val="none"/>
        </w:rPr>
        <w:t>除供应商为以下三种情形的：</w:t>
      </w:r>
    </w:p>
    <w:p w14:paraId="733EA34A">
      <w:pPr>
        <w:keepNext w:val="0"/>
        <w:keepLines w:val="0"/>
        <w:pageBreakBefore w:val="0"/>
        <w:widowControl w:val="0"/>
        <w:tabs>
          <w:tab w:val="left" w:pos="357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如供应商为截标时间前60日以内成立的公司，可以提供供应商与委托代理人签订的劳动合同复印件代替社保证明复印件；</w:t>
      </w:r>
    </w:p>
    <w:p w14:paraId="5D927C1F">
      <w:pPr>
        <w:keepNext w:val="0"/>
        <w:keepLines w:val="0"/>
        <w:pageBreakBefore w:val="0"/>
        <w:widowControl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（2）如供应商为事业单位，可以提供事业单位机构编制管理证复印件或事业单位机构为其发放工资的工资条复印件代替社保证明复印件；</w:t>
      </w:r>
    </w:p>
    <w:p w14:paraId="3C87A13F">
      <w:pPr>
        <w:keepNext w:val="0"/>
        <w:keepLines w:val="0"/>
        <w:pageBreakBefore w:val="0"/>
        <w:widowControl w:val="0"/>
        <w:wordWrap/>
        <w:topLinePunct w:val="0"/>
        <w:bidi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（3）如委托代理人为免缴纳社保人员，提供免缴纳社保的证明材料复印件及供应商与委托代理人签订的劳动合同复印件代替社保证明复印件</w:t>
      </w:r>
      <w:r>
        <w:rPr>
          <w:rFonts w:hint="eastAsia" w:ascii="宋体" w:hAnsi="宋体" w:cs="宋体"/>
          <w:color w:val="auto"/>
          <w:sz w:val="21"/>
          <w:szCs w:val="21"/>
          <w:highlight w:val="none"/>
          <w:lang w:val="en-US" w:eastAsia="zh-CN"/>
        </w:rPr>
        <w:t>；</w:t>
      </w:r>
    </w:p>
    <w:p w14:paraId="33D3AADF">
      <w:pPr>
        <w:keepNext w:val="0"/>
        <w:keepLines w:val="0"/>
        <w:pageBreakBefore w:val="0"/>
        <w:widowControl w:val="0"/>
        <w:wordWrap/>
        <w:topLinePunct w:val="0"/>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CN"/>
        </w:rPr>
        <w:t>属</w:t>
      </w:r>
      <w:r>
        <w:rPr>
          <w:rFonts w:hint="eastAsia" w:ascii="宋体" w:hAnsi="宋体" w:eastAsia="宋体" w:cs="宋体"/>
          <w:b/>
          <w:bCs/>
          <w:color w:val="auto"/>
          <w:sz w:val="21"/>
          <w:szCs w:val="21"/>
          <w:highlight w:val="none"/>
        </w:rPr>
        <w:t>自然人的应提供由县级以上（含县级）社会养老保险经办机构出具的自然人本人及委托代理人所交纳的响应文件递交截止时间前</w:t>
      </w:r>
      <w:r>
        <w:rPr>
          <w:rFonts w:hint="eastAsia" w:ascii="宋体" w:hAnsi="宋体" w:cs="宋体"/>
          <w:b/>
          <w:bCs/>
          <w:color w:val="auto"/>
          <w:sz w:val="21"/>
          <w:szCs w:val="21"/>
          <w:highlight w:val="none"/>
          <w:lang w:eastAsia="zh-CN"/>
        </w:rPr>
        <w:t>半年内任意一个月</w:t>
      </w:r>
      <w:r>
        <w:rPr>
          <w:rFonts w:hint="eastAsia" w:ascii="宋体" w:hAnsi="宋体" w:eastAsia="宋体" w:cs="宋体"/>
          <w:b/>
          <w:bCs/>
          <w:color w:val="auto"/>
          <w:sz w:val="21"/>
          <w:szCs w:val="21"/>
          <w:highlight w:val="none"/>
        </w:rPr>
        <w:t>社保证明复印件</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（委托代理时必须提供）</w:t>
      </w:r>
      <w:r>
        <w:rPr>
          <w:rFonts w:hint="eastAsia" w:ascii="宋体" w:hAnsi="宋体" w:cs="宋体"/>
          <w:color w:val="auto"/>
          <w:sz w:val="21"/>
          <w:szCs w:val="21"/>
          <w:highlight w:val="none"/>
          <w:lang w:eastAsia="zh-CN"/>
        </w:rPr>
        <w:t>。</w:t>
      </w:r>
    </w:p>
    <w:p w14:paraId="1CC38689">
      <w:pPr>
        <w:keepNext w:val="0"/>
        <w:keepLines w:val="0"/>
        <w:pageBreakBefore w:val="0"/>
        <w:widowControl w:val="0"/>
        <w:wordWrap/>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供应商参加政府采购活动前3年内在经营活动中没有重大违法记录及有关信用信息的书面声明</w:t>
      </w:r>
      <w:r>
        <w:rPr>
          <w:rFonts w:hint="eastAsia" w:ascii="宋体" w:hAnsi="宋体" w:eastAsia="宋体" w:cs="宋体"/>
          <w:b/>
          <w:bCs/>
          <w:color w:val="auto"/>
          <w:sz w:val="21"/>
          <w:szCs w:val="21"/>
          <w:highlight w:val="none"/>
        </w:rPr>
        <w:t>（必须提供）</w:t>
      </w:r>
      <w:r>
        <w:rPr>
          <w:rFonts w:hint="eastAsia" w:ascii="宋体" w:hAnsi="宋体" w:eastAsia="宋体" w:cs="宋体"/>
          <w:color w:val="auto"/>
          <w:sz w:val="21"/>
          <w:szCs w:val="21"/>
          <w:highlight w:val="none"/>
        </w:rPr>
        <w:t>；</w:t>
      </w:r>
    </w:p>
    <w:p w14:paraId="48418CEC">
      <w:pPr>
        <w:keepNext w:val="0"/>
        <w:keepLines w:val="0"/>
        <w:pageBreakBefore w:val="0"/>
        <w:widowControl w:val="0"/>
        <w:wordWrap/>
        <w:topLinePunct w:val="0"/>
        <w:bidi w:val="0"/>
        <w:spacing w:line="360" w:lineRule="auto"/>
        <w:ind w:firstLine="420" w:firstLineChars="200"/>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4.</w:t>
      </w:r>
      <w:r>
        <w:rPr>
          <w:rFonts w:hint="eastAsia" w:ascii="宋体" w:hAnsi="宋体" w:eastAsia="宋体" w:cs="宋体"/>
          <w:bCs/>
          <w:color w:val="auto"/>
          <w:kern w:val="0"/>
          <w:szCs w:val="21"/>
          <w:highlight w:val="none"/>
        </w:rPr>
        <w:t>供应商的法人或者其他组织营业执照等证明文件复印件</w:t>
      </w:r>
      <w:r>
        <w:rPr>
          <w:rFonts w:hint="eastAsia" w:ascii="宋体" w:hAnsi="宋体" w:eastAsia="宋体" w:cs="宋体"/>
          <w:b/>
          <w:bCs w:val="0"/>
          <w:color w:val="auto"/>
          <w:kern w:val="0"/>
          <w:szCs w:val="21"/>
          <w:highlight w:val="none"/>
        </w:rPr>
        <w:t>（必须提供，自然人除外）</w:t>
      </w:r>
      <w:r>
        <w:rPr>
          <w:rFonts w:hint="eastAsia" w:ascii="宋体" w:hAnsi="宋体" w:eastAsia="宋体" w:cs="宋体"/>
          <w:bCs/>
          <w:color w:val="auto"/>
          <w:kern w:val="0"/>
          <w:szCs w:val="21"/>
          <w:highlight w:val="none"/>
        </w:rPr>
        <w:t>；</w:t>
      </w:r>
    </w:p>
    <w:p w14:paraId="2AF15A5E">
      <w:pPr>
        <w:keepNext w:val="0"/>
        <w:keepLines w:val="0"/>
        <w:pageBreakBefore w:val="0"/>
        <w:widowControl w:val="0"/>
        <w:wordWrap/>
        <w:topLinePunct w:val="0"/>
        <w:bidi w:val="0"/>
        <w:spacing w:line="360" w:lineRule="auto"/>
        <w:ind w:firstLine="420" w:firstLineChars="200"/>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5.</w:t>
      </w:r>
      <w:r>
        <w:rPr>
          <w:rFonts w:hint="eastAsia" w:ascii="宋体" w:hAnsi="宋体" w:eastAsia="宋体" w:cs="宋体"/>
          <w:bCs/>
          <w:color w:val="auto"/>
          <w:kern w:val="0"/>
          <w:szCs w:val="21"/>
          <w:highlight w:val="none"/>
        </w:rPr>
        <w:t>供应商有效的资质证书复印件</w:t>
      </w:r>
      <w:r>
        <w:rPr>
          <w:rFonts w:hint="eastAsia" w:ascii="宋体" w:hAnsi="宋体" w:cs="宋体"/>
          <w:bCs/>
          <w:color w:val="auto"/>
          <w:kern w:val="0"/>
          <w:szCs w:val="21"/>
          <w:highlight w:val="none"/>
          <w:lang w:val="en-US" w:eastAsia="zh-CN"/>
        </w:rPr>
        <w:t>；项目负责人的注册二级建造师证书复印件、安全生产考核B证证书</w:t>
      </w:r>
      <w:r>
        <w:rPr>
          <w:rFonts w:hint="eastAsia" w:ascii="宋体" w:hAnsi="宋体" w:eastAsia="宋体" w:cs="宋体"/>
          <w:color w:val="auto"/>
          <w:sz w:val="21"/>
          <w:szCs w:val="21"/>
          <w:highlight w:val="none"/>
          <w:lang w:val="en-US" w:eastAsia="zh-CN"/>
        </w:rPr>
        <w:t>复印件</w:t>
      </w:r>
      <w:r>
        <w:rPr>
          <w:rFonts w:hint="eastAsia" w:ascii="宋体" w:hAnsi="宋体" w:cs="宋体"/>
          <w:bCs/>
          <w:color w:val="auto"/>
          <w:kern w:val="0"/>
          <w:szCs w:val="21"/>
          <w:highlight w:val="none"/>
          <w:lang w:val="en-US" w:eastAsia="zh-CN"/>
        </w:rPr>
        <w:t>及项目经理无在建工程承诺书（格式自拟）</w:t>
      </w:r>
      <w:r>
        <w:rPr>
          <w:rFonts w:hint="eastAsia" w:ascii="宋体" w:hAnsi="宋体" w:eastAsia="宋体" w:cs="宋体"/>
          <w:b/>
          <w:bCs w:val="0"/>
          <w:color w:val="auto"/>
          <w:kern w:val="0"/>
          <w:szCs w:val="21"/>
          <w:highlight w:val="none"/>
          <w:lang w:val="en-US" w:eastAsia="zh-CN"/>
        </w:rPr>
        <w:t>（必须提供）</w:t>
      </w:r>
      <w:r>
        <w:rPr>
          <w:rFonts w:hint="eastAsia" w:ascii="宋体" w:hAnsi="宋体" w:eastAsia="宋体" w:cs="宋体"/>
          <w:bCs/>
          <w:color w:val="auto"/>
          <w:kern w:val="0"/>
          <w:szCs w:val="21"/>
          <w:highlight w:val="none"/>
          <w:lang w:val="en-US" w:eastAsia="zh-CN"/>
        </w:rPr>
        <w:t>；</w:t>
      </w:r>
    </w:p>
    <w:p w14:paraId="000F335E">
      <w:pPr>
        <w:keepNext w:val="0"/>
        <w:keepLines w:val="0"/>
        <w:pageBreakBefore w:val="0"/>
        <w:widowControl w:val="0"/>
        <w:wordWrap/>
        <w:topLinePunct w:val="0"/>
        <w:bidi w:val="0"/>
        <w:spacing w:line="360" w:lineRule="auto"/>
        <w:ind w:firstLine="420" w:firstLineChars="200"/>
        <w:rPr>
          <w:rFonts w:hint="eastAsia" w:ascii="宋体" w:hAnsi="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6.</w:t>
      </w:r>
      <w:r>
        <w:rPr>
          <w:rFonts w:hint="eastAsia" w:ascii="宋体" w:hAnsi="宋体" w:cs="宋体"/>
          <w:bCs/>
          <w:color w:val="auto"/>
          <w:kern w:val="0"/>
          <w:szCs w:val="21"/>
          <w:highlight w:val="none"/>
        </w:rPr>
        <w:t>供应商有效的安全生产许可证书复印件</w:t>
      </w:r>
      <w:r>
        <w:rPr>
          <w:rFonts w:hint="eastAsia" w:ascii="宋体" w:hAnsi="宋体" w:eastAsia="宋体" w:cs="宋体"/>
          <w:b/>
          <w:bCs/>
          <w:color w:val="auto"/>
          <w:sz w:val="21"/>
          <w:szCs w:val="21"/>
          <w:highlight w:val="none"/>
          <w:lang w:val="en-US" w:eastAsia="zh-CN"/>
        </w:rPr>
        <w:t>（必须提供）</w:t>
      </w:r>
      <w:r>
        <w:rPr>
          <w:rFonts w:hint="eastAsia" w:ascii="宋体" w:hAnsi="宋体" w:eastAsia="宋体" w:cs="宋体"/>
          <w:bCs/>
          <w:color w:val="auto"/>
          <w:kern w:val="0"/>
          <w:szCs w:val="21"/>
          <w:highlight w:val="none"/>
        </w:rPr>
        <w:t>；</w:t>
      </w:r>
    </w:p>
    <w:p w14:paraId="602AA662">
      <w:pPr>
        <w:keepNext w:val="0"/>
        <w:keepLines w:val="0"/>
        <w:pageBreakBefore w:val="0"/>
        <w:widowControl w:val="0"/>
        <w:wordWrap/>
        <w:topLinePunct w:val="0"/>
        <w:bidi w:val="0"/>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bCs/>
          <w:color w:val="auto"/>
          <w:kern w:val="0"/>
          <w:szCs w:val="21"/>
          <w:highlight w:val="none"/>
          <w:lang w:val="en-US" w:eastAsia="zh-CN"/>
        </w:rPr>
        <w:t>7.</w:t>
      </w:r>
      <w:r>
        <w:rPr>
          <w:rFonts w:hint="eastAsia" w:ascii="宋体" w:hAnsi="宋体" w:eastAsia="宋体" w:cs="宋体"/>
          <w:bCs/>
          <w:color w:val="auto"/>
          <w:kern w:val="0"/>
          <w:sz w:val="21"/>
          <w:szCs w:val="21"/>
          <w:highlight w:val="none"/>
          <w:lang w:val="en-US" w:eastAsia="zh-CN"/>
        </w:rPr>
        <w:t>《中小企业声明函》或《残疾人福利性单位声明函》或省级以上监狱管理局、戒毒管理局（含新疆生产建设兵团）出具的属于监狱企业的证明文件复印件</w:t>
      </w:r>
      <w:r>
        <w:rPr>
          <w:rFonts w:hint="eastAsia" w:ascii="宋体" w:hAnsi="宋体" w:eastAsia="宋体" w:cs="宋体"/>
          <w:b/>
          <w:bCs w:val="0"/>
          <w:color w:val="auto"/>
          <w:kern w:val="0"/>
          <w:sz w:val="21"/>
          <w:szCs w:val="21"/>
          <w:highlight w:val="none"/>
          <w:lang w:val="en-US" w:eastAsia="zh-CN"/>
        </w:rPr>
        <w:t>（必须提供其中一项）</w:t>
      </w:r>
      <w:r>
        <w:rPr>
          <w:rFonts w:hint="eastAsia" w:ascii="宋体" w:hAnsi="宋体" w:eastAsia="宋体" w:cs="宋体"/>
          <w:b w:val="0"/>
          <w:bCs w:val="0"/>
          <w:color w:val="auto"/>
          <w:sz w:val="21"/>
          <w:szCs w:val="21"/>
          <w:highlight w:val="none"/>
          <w:lang w:val="en-US" w:eastAsia="zh-CN"/>
        </w:rPr>
        <w:t>；</w:t>
      </w:r>
    </w:p>
    <w:p w14:paraId="75467D59">
      <w:pPr>
        <w:keepNext w:val="0"/>
        <w:keepLines w:val="0"/>
        <w:pageBreakBefore w:val="0"/>
        <w:widowControl w:val="0"/>
        <w:wordWrap/>
        <w:topLinePunct w:val="0"/>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r>
        <w:rPr>
          <w:rFonts w:hint="eastAsia" w:ascii="宋体" w:hAnsi="宋体" w:cs="宋体"/>
          <w:bCs/>
          <w:color w:val="auto"/>
          <w:kern w:val="0"/>
          <w:szCs w:val="21"/>
          <w:highlight w:val="none"/>
          <w:lang w:eastAsia="zh-CN"/>
        </w:rPr>
        <w:t>供应商2024年度财务状况报告</w:t>
      </w:r>
      <w:r>
        <w:rPr>
          <w:rFonts w:hint="eastAsia" w:ascii="宋体" w:hAnsi="宋体" w:eastAsia="宋体" w:cs="宋体"/>
          <w:b/>
          <w:bCs/>
          <w:color w:val="auto"/>
          <w:sz w:val="21"/>
          <w:szCs w:val="21"/>
          <w:highlight w:val="none"/>
          <w:lang w:val="en-US" w:eastAsia="zh-CN"/>
        </w:rPr>
        <w:t>（必须提供</w:t>
      </w:r>
      <w:r>
        <w:rPr>
          <w:rFonts w:hint="eastAsia" w:ascii="宋体" w:hAnsi="宋体" w:cs="宋体"/>
          <w:b/>
          <w:bCs/>
          <w:color w:val="auto"/>
          <w:szCs w:val="21"/>
          <w:highlight w:val="none"/>
          <w:lang w:eastAsia="zh-CN"/>
        </w:rPr>
        <w:t>，</w:t>
      </w:r>
      <w:r>
        <w:rPr>
          <w:rFonts w:ascii="宋体" w:hAnsi="宋体" w:cs="宋体"/>
          <w:b/>
          <w:bCs/>
          <w:color w:val="auto"/>
          <w:szCs w:val="21"/>
          <w:highlight w:val="none"/>
        </w:rPr>
        <w:t>可</w:t>
      </w:r>
      <w:r>
        <w:rPr>
          <w:rFonts w:hint="eastAsia" w:ascii="宋体" w:hAnsi="宋体" w:cs="宋体"/>
          <w:b/>
          <w:bCs/>
          <w:color w:val="auto"/>
          <w:szCs w:val="21"/>
          <w:highlight w:val="none"/>
          <w:lang w:eastAsia="zh-CN"/>
        </w:rPr>
        <w:t>以是磋商供应商</w:t>
      </w:r>
      <w:r>
        <w:rPr>
          <w:rFonts w:ascii="宋体" w:hAnsi="宋体" w:cs="宋体"/>
          <w:b/>
          <w:bCs/>
          <w:color w:val="auto"/>
          <w:szCs w:val="21"/>
          <w:highlight w:val="none"/>
        </w:rPr>
        <w:t>自行编制也可</w:t>
      </w:r>
      <w:r>
        <w:rPr>
          <w:rFonts w:hint="eastAsia" w:ascii="宋体" w:hAnsi="宋体" w:cs="宋体"/>
          <w:b/>
          <w:bCs/>
          <w:color w:val="auto"/>
          <w:szCs w:val="21"/>
          <w:highlight w:val="none"/>
          <w:lang w:eastAsia="zh-CN"/>
        </w:rPr>
        <w:t>是</w:t>
      </w:r>
      <w:r>
        <w:rPr>
          <w:rFonts w:ascii="宋体" w:hAnsi="宋体" w:cs="宋体"/>
          <w:b/>
          <w:bCs/>
          <w:color w:val="auto"/>
          <w:szCs w:val="21"/>
          <w:highlight w:val="none"/>
        </w:rPr>
        <w:t>通过</w:t>
      </w:r>
      <w:r>
        <w:rPr>
          <w:rFonts w:hint="eastAsia" w:ascii="宋体" w:hAnsi="宋体" w:cs="宋体"/>
          <w:b/>
          <w:bCs/>
          <w:color w:val="auto"/>
          <w:szCs w:val="21"/>
          <w:highlight w:val="none"/>
          <w:lang w:eastAsia="zh-CN"/>
        </w:rPr>
        <w:t>第三方</w:t>
      </w:r>
      <w:r>
        <w:rPr>
          <w:rFonts w:ascii="宋体" w:hAnsi="宋体" w:cs="宋体"/>
          <w:b/>
          <w:bCs/>
          <w:color w:val="auto"/>
          <w:szCs w:val="21"/>
          <w:highlight w:val="none"/>
        </w:rPr>
        <w:t>审计公司编制，如为自行编制至少须提供现金流量表、负债表及利润表</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w:t>
      </w:r>
    </w:p>
    <w:p w14:paraId="07F8ACF7">
      <w:pPr>
        <w:keepNext w:val="0"/>
        <w:keepLines w:val="0"/>
        <w:pageBreakBefore w:val="0"/>
        <w:widowControl w:val="0"/>
        <w:wordWrap/>
        <w:topLinePunct w:val="0"/>
        <w:bidi w:val="0"/>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r>
        <w:rPr>
          <w:rFonts w:hint="eastAsia" w:ascii="宋体" w:hAnsi="宋体" w:cs="宋体"/>
          <w:color w:val="auto"/>
          <w:sz w:val="21"/>
          <w:szCs w:val="21"/>
          <w:highlight w:val="none"/>
          <w:lang w:val="en-US" w:eastAsia="zh-CN"/>
        </w:rPr>
        <w:t>供应商近半年内任意一个月依法缴纳税收的证明材料[增值税缴纳发票(税收完税证明)或企业所得税完税证明或税务部门出具的免税证明]复印件</w:t>
      </w:r>
      <w:r>
        <w:rPr>
          <w:rFonts w:hint="eastAsia" w:ascii="宋体" w:hAnsi="宋体" w:eastAsia="宋体" w:cs="宋体"/>
          <w:color w:val="auto"/>
          <w:sz w:val="21"/>
          <w:szCs w:val="21"/>
          <w:highlight w:val="none"/>
          <w:lang w:val="en-US" w:eastAsia="zh-CN"/>
        </w:rPr>
        <w:t>(税收完税证明)或企业所得税完税证明或税务部门出具的免税证明]复印件</w:t>
      </w:r>
      <w:r>
        <w:rPr>
          <w:rFonts w:hint="eastAsia" w:ascii="宋体" w:hAnsi="宋体" w:eastAsia="宋体" w:cs="宋体"/>
          <w:b/>
          <w:bCs/>
          <w:color w:val="auto"/>
          <w:sz w:val="21"/>
          <w:szCs w:val="21"/>
          <w:highlight w:val="none"/>
          <w:lang w:val="en-US" w:eastAsia="zh-CN"/>
        </w:rPr>
        <w:t>（必须提供）</w:t>
      </w:r>
      <w:r>
        <w:rPr>
          <w:rFonts w:hint="eastAsia" w:ascii="宋体" w:hAnsi="宋体" w:eastAsia="宋体" w:cs="宋体"/>
          <w:b w:val="0"/>
          <w:bCs w:val="0"/>
          <w:color w:val="auto"/>
          <w:sz w:val="21"/>
          <w:szCs w:val="21"/>
          <w:highlight w:val="none"/>
          <w:lang w:val="en-US" w:eastAsia="zh-CN"/>
        </w:rPr>
        <w:t>。</w:t>
      </w:r>
    </w:p>
    <w:p w14:paraId="2F20608D">
      <w:pPr>
        <w:keepNext w:val="0"/>
        <w:keepLines w:val="0"/>
        <w:pageBreakBefore w:val="0"/>
        <w:widowControl w:val="0"/>
        <w:wordWrap/>
        <w:topLinePunct w:val="0"/>
        <w:bidi w:val="0"/>
        <w:spacing w:line="440" w:lineRule="atLeast"/>
        <w:rPr>
          <w:rFonts w:hint="eastAsia" w:ascii="宋体" w:hAnsi="宋体" w:eastAsia="宋体" w:cs="宋体"/>
          <w:b/>
          <w:color w:val="auto"/>
          <w:sz w:val="28"/>
          <w:szCs w:val="28"/>
          <w:highlight w:val="none"/>
          <w:lang w:val="en-US" w:eastAsia="zh-CN"/>
        </w:rPr>
      </w:pPr>
    </w:p>
    <w:p w14:paraId="5797E132">
      <w:pPr>
        <w:keepNext w:val="0"/>
        <w:keepLines w:val="0"/>
        <w:pageBreakBefore w:val="0"/>
        <w:widowControl w:val="0"/>
        <w:wordWrap/>
        <w:topLinePunct w:val="0"/>
        <w:bidi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5B65C505">
      <w:pPr>
        <w:keepNext w:val="0"/>
        <w:keepLines w:val="0"/>
        <w:pageBreakBefore w:val="0"/>
        <w:widowControl w:val="0"/>
        <w:numPr>
          <w:ilvl w:val="0"/>
          <w:numId w:val="0"/>
        </w:numPr>
        <w:wordWrap/>
        <w:topLinePunct w:val="0"/>
        <w:bidi w:val="0"/>
        <w:spacing w:line="440" w:lineRule="atLeast"/>
        <w:outlineLvl w:val="2"/>
        <w:rPr>
          <w:rFonts w:hint="eastAsia" w:ascii="宋体" w:hAnsi="宋体" w:eastAsia="宋体" w:cs="宋体"/>
          <w:b/>
          <w:color w:val="auto"/>
          <w:sz w:val="28"/>
          <w:szCs w:val="28"/>
          <w:highlight w:val="none"/>
        </w:rPr>
      </w:pPr>
      <w:r>
        <w:rPr>
          <w:rFonts w:hint="eastAsia" w:ascii="宋体" w:hAnsi="宋体" w:cs="宋体"/>
          <w:b/>
          <w:color w:val="auto"/>
          <w:sz w:val="28"/>
          <w:szCs w:val="28"/>
          <w:highlight w:val="none"/>
          <w:lang w:val="en-US" w:eastAsia="zh-CN"/>
        </w:rPr>
        <w:t>1.</w:t>
      </w:r>
      <w:r>
        <w:rPr>
          <w:rFonts w:hint="eastAsia" w:ascii="宋体" w:hAnsi="宋体" w:eastAsia="宋体" w:cs="宋体"/>
          <w:b/>
          <w:color w:val="auto"/>
          <w:sz w:val="28"/>
          <w:szCs w:val="28"/>
          <w:highlight w:val="none"/>
        </w:rPr>
        <w:t>供应商相应的法定代表人、负责人、自然人身份证正反两面复印件（必须提供）；</w:t>
      </w:r>
    </w:p>
    <w:p w14:paraId="64C35D71">
      <w:pPr>
        <w:keepNext w:val="0"/>
        <w:keepLines w:val="0"/>
        <w:pageBreakBefore w:val="0"/>
        <w:widowControl w:val="0"/>
        <w:numPr>
          <w:ilvl w:val="0"/>
          <w:numId w:val="0"/>
        </w:numPr>
        <w:wordWrap/>
        <w:topLinePunct w:val="0"/>
        <w:bidi w:val="0"/>
        <w:spacing w:line="440" w:lineRule="atLeast"/>
        <w:outlineLvl w:val="9"/>
        <w:rPr>
          <w:rFonts w:hint="eastAsia"/>
          <w:color w:val="auto"/>
          <w:highlight w:val="none"/>
        </w:rPr>
      </w:pPr>
    </w:p>
    <w:p w14:paraId="3F6EE362">
      <w:pPr>
        <w:keepNext w:val="0"/>
        <w:keepLines w:val="0"/>
        <w:pageBreakBefore w:val="0"/>
        <w:widowControl w:val="0"/>
        <w:numPr>
          <w:ilvl w:val="0"/>
          <w:numId w:val="0"/>
        </w:numPr>
        <w:wordWrap/>
        <w:topLinePunct w:val="0"/>
        <w:bidi w:val="0"/>
        <w:spacing w:line="440" w:lineRule="atLeast"/>
        <w:outlineLvl w:val="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2</w:t>
      </w:r>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lang w:val="en-US" w:eastAsia="zh-CN"/>
        </w:rPr>
        <w:t>供应商</w:t>
      </w:r>
      <w:r>
        <w:rPr>
          <w:rFonts w:hint="eastAsia" w:ascii="宋体" w:hAnsi="宋体" w:eastAsia="宋体" w:cs="宋体"/>
          <w:b/>
          <w:color w:val="auto"/>
          <w:sz w:val="28"/>
          <w:szCs w:val="28"/>
          <w:highlight w:val="none"/>
        </w:rPr>
        <w:t>的授权委托书</w:t>
      </w:r>
      <w:r>
        <w:rPr>
          <w:rFonts w:hint="eastAsia" w:ascii="宋体" w:hAnsi="宋体" w:eastAsia="宋体" w:cs="宋体"/>
          <w:b/>
          <w:color w:val="auto"/>
          <w:sz w:val="28"/>
          <w:szCs w:val="28"/>
          <w:highlight w:val="none"/>
          <w:lang w:eastAsia="zh-CN"/>
        </w:rPr>
        <w:t>原件</w:t>
      </w:r>
      <w:r>
        <w:rPr>
          <w:rFonts w:hint="eastAsia" w:ascii="宋体" w:hAnsi="宋体" w:eastAsia="宋体" w:cs="宋体"/>
          <w:b/>
          <w:color w:val="auto"/>
          <w:sz w:val="28"/>
          <w:szCs w:val="28"/>
          <w:highlight w:val="none"/>
        </w:rPr>
        <w:t>、委托代理人身份证正反面复印件以及由县级以上（含县级）社会养老保险经办机构出具的供应商为委托代理人交纳的响应文件递交截止时间前</w:t>
      </w:r>
      <w:r>
        <w:rPr>
          <w:rFonts w:hint="eastAsia" w:ascii="宋体" w:hAnsi="宋体" w:cs="宋体"/>
          <w:b/>
          <w:color w:val="auto"/>
          <w:sz w:val="28"/>
          <w:szCs w:val="28"/>
          <w:highlight w:val="none"/>
          <w:lang w:eastAsia="zh-CN"/>
        </w:rPr>
        <w:t>半年内任意一个月</w:t>
      </w:r>
      <w:r>
        <w:rPr>
          <w:rFonts w:hint="eastAsia" w:ascii="宋体" w:hAnsi="宋体" w:eastAsia="宋体" w:cs="宋体"/>
          <w:b/>
          <w:color w:val="auto"/>
          <w:sz w:val="28"/>
          <w:szCs w:val="28"/>
          <w:highlight w:val="none"/>
        </w:rPr>
        <w:t>社保证明复印件</w:t>
      </w:r>
      <w:r>
        <w:rPr>
          <w:rFonts w:hint="eastAsia" w:ascii="宋体" w:hAnsi="宋体" w:eastAsia="宋体" w:cs="宋体"/>
          <w:b/>
          <w:color w:val="auto"/>
          <w:sz w:val="28"/>
          <w:szCs w:val="28"/>
          <w:highlight w:val="none"/>
          <w:lang w:eastAsia="zh-CN"/>
        </w:rPr>
        <w:t>（委托代理时必须提供）。</w:t>
      </w:r>
      <w:r>
        <w:rPr>
          <w:rFonts w:hint="eastAsia" w:ascii="宋体" w:hAnsi="宋体" w:eastAsia="宋体" w:cs="宋体"/>
          <w:b/>
          <w:color w:val="auto"/>
          <w:sz w:val="28"/>
          <w:szCs w:val="28"/>
          <w:highlight w:val="none"/>
        </w:rPr>
        <w:t>除供应商为以下三种情形的：</w:t>
      </w:r>
    </w:p>
    <w:p w14:paraId="05F16B42">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 如供应商为截标时间前60日以内成立的公司，可以提供供应商与委托代理人签订的劳动合同复印件代替社保证明复印件；</w:t>
      </w:r>
    </w:p>
    <w:p w14:paraId="6A129ABA">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（2）如供应商为事业单位，可以提供事业单位机构编制管理证复印件或事业单位机构为其发放工资的工资条复印件代替社保证明复印件；</w:t>
      </w:r>
    </w:p>
    <w:p w14:paraId="108350E6">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（3）如委托代理人为免缴纳社保人员，提供免缴纳社保的证明材料复印件及供应商与委托代理人签订的劳动合同复印件代替社保证明复印件。</w:t>
      </w:r>
    </w:p>
    <w:p w14:paraId="75D1DA5D">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属</w:t>
      </w:r>
      <w:r>
        <w:rPr>
          <w:rFonts w:hint="eastAsia" w:ascii="宋体" w:hAnsi="宋体" w:eastAsia="宋体" w:cs="宋体"/>
          <w:b/>
          <w:color w:val="auto"/>
          <w:sz w:val="21"/>
          <w:szCs w:val="21"/>
          <w:highlight w:val="none"/>
        </w:rPr>
        <w:t>自然人的应提供由县级以上（含县级）社会养老保险经办机构出具的自然人本人及委托代理人所交纳的响应文件递交截止时间前</w:t>
      </w:r>
      <w:r>
        <w:rPr>
          <w:rFonts w:hint="eastAsia" w:ascii="宋体" w:hAnsi="宋体" w:cs="宋体"/>
          <w:b/>
          <w:color w:val="auto"/>
          <w:sz w:val="21"/>
          <w:szCs w:val="21"/>
          <w:highlight w:val="none"/>
          <w:lang w:eastAsia="zh-CN"/>
        </w:rPr>
        <w:t>半年内任意一个月</w:t>
      </w:r>
      <w:r>
        <w:rPr>
          <w:rFonts w:hint="eastAsia" w:ascii="宋体" w:hAnsi="宋体" w:eastAsia="宋体" w:cs="宋体"/>
          <w:b/>
          <w:color w:val="auto"/>
          <w:sz w:val="21"/>
          <w:szCs w:val="21"/>
          <w:highlight w:val="none"/>
        </w:rPr>
        <w:t>社保证明复印件】（委托代理时必须提供）</w:t>
      </w:r>
    </w:p>
    <w:p w14:paraId="250E9A60">
      <w:pPr>
        <w:pStyle w:val="12"/>
        <w:keepNext w:val="0"/>
        <w:keepLines w:val="0"/>
        <w:pageBreakBefore w:val="0"/>
        <w:widowControl w:val="0"/>
        <w:wordWrap/>
        <w:topLinePunct w:val="0"/>
        <w:bidi w:val="0"/>
        <w:outlineLvl w:val="9"/>
        <w:rPr>
          <w:rFonts w:hint="eastAsia" w:ascii="宋体" w:hAnsi="宋体" w:eastAsia="宋体" w:cs="宋体"/>
          <w:b/>
          <w:color w:val="auto"/>
          <w:sz w:val="32"/>
          <w:highlight w:val="none"/>
        </w:rPr>
      </w:pPr>
      <w:r>
        <w:rPr>
          <w:rFonts w:hint="eastAsia" w:ascii="宋体" w:hAnsi="宋体" w:eastAsia="宋体" w:cs="宋体"/>
          <w:b/>
          <w:color w:val="auto"/>
          <w:sz w:val="32"/>
          <w:highlight w:val="none"/>
        </w:rPr>
        <w:t xml:space="preserve">附件：            </w:t>
      </w:r>
    </w:p>
    <w:p w14:paraId="78AC5371">
      <w:pPr>
        <w:pStyle w:val="12"/>
        <w:keepNext w:val="0"/>
        <w:keepLines w:val="0"/>
        <w:pageBreakBefore w:val="0"/>
        <w:widowControl w:val="0"/>
        <w:wordWrap/>
        <w:topLinePunct w:val="0"/>
        <w:bidi w:val="0"/>
        <w:ind w:firstLine="630" w:firstLineChars="196"/>
        <w:jc w:val="center"/>
        <w:outlineLvl w:val="9"/>
        <w:rPr>
          <w:rFonts w:hint="eastAsia" w:ascii="宋体" w:hAnsi="宋体" w:eastAsia="宋体" w:cs="宋体"/>
          <w:b/>
          <w:color w:val="auto"/>
          <w:sz w:val="32"/>
          <w:highlight w:val="none"/>
        </w:rPr>
      </w:pPr>
      <w:bookmarkStart w:id="2391" w:name="_Toc5420_WPSOffice_Level1"/>
      <w:bookmarkStart w:id="2392" w:name="_Toc964_WPSOffice_Level1"/>
      <w:r>
        <w:rPr>
          <w:rFonts w:hint="eastAsia" w:ascii="宋体" w:hAnsi="宋体" w:eastAsia="宋体" w:cs="宋体"/>
          <w:b/>
          <w:color w:val="auto"/>
          <w:sz w:val="32"/>
          <w:highlight w:val="none"/>
        </w:rPr>
        <w:t>授权委托书（格式一）</w:t>
      </w:r>
      <w:bookmarkEnd w:id="2391"/>
      <w:bookmarkEnd w:id="2392"/>
    </w:p>
    <w:p w14:paraId="35FCE388">
      <w:pPr>
        <w:pStyle w:val="12"/>
        <w:keepNext w:val="0"/>
        <w:keepLines w:val="0"/>
        <w:pageBreakBefore w:val="0"/>
        <w:widowControl w:val="0"/>
        <w:wordWrap/>
        <w:topLinePunct w:val="0"/>
        <w:bidi w:val="0"/>
        <w:outlineLvl w:val="9"/>
        <w:rPr>
          <w:rFonts w:hint="eastAsia" w:ascii="宋体" w:hAnsi="宋体" w:eastAsia="宋体" w:cs="宋体"/>
          <w:color w:val="auto"/>
          <w:highlight w:val="none"/>
        </w:rPr>
      </w:pPr>
    </w:p>
    <w:p w14:paraId="2F88A4D0">
      <w:pPr>
        <w:keepNext w:val="0"/>
        <w:keepLines w:val="0"/>
        <w:pageBreakBefore w:val="0"/>
        <w:widowControl w:val="0"/>
        <w:wordWrap/>
        <w:topLinePunct w:val="0"/>
        <w:bidi w:val="0"/>
        <w:spacing w:line="400" w:lineRule="exact"/>
        <w:outlineLvl w:val="9"/>
        <w:rPr>
          <w:rFonts w:hint="eastAsia" w:ascii="宋体" w:hAnsi="宋体" w:eastAsia="宋体" w:cs="宋体"/>
          <w:color w:val="auto"/>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eastAsia="zh-CN"/>
        </w:rPr>
        <w:t xml:space="preserve">广西晟鑫项目管理有限公司 </w:t>
      </w:r>
    </w:p>
    <w:p w14:paraId="2B4F6CF6">
      <w:pPr>
        <w:keepNext w:val="0"/>
        <w:keepLines w:val="0"/>
        <w:pageBreakBefore w:val="0"/>
        <w:widowControl w:val="0"/>
        <w:wordWrap/>
        <w:topLinePunct w:val="0"/>
        <w:bidi w:val="0"/>
        <w:spacing w:line="400" w:lineRule="exact"/>
        <w:outlineLvl w:val="9"/>
        <w:rPr>
          <w:rFonts w:hint="eastAsia" w:ascii="宋体" w:hAnsi="宋体" w:eastAsia="宋体" w:cs="宋体"/>
          <w:color w:val="auto"/>
          <w:szCs w:val="21"/>
          <w:highlight w:val="none"/>
        </w:rPr>
      </w:pPr>
    </w:p>
    <w:p w14:paraId="189FB697">
      <w:pPr>
        <w:pStyle w:val="12"/>
        <w:keepNext w:val="0"/>
        <w:keepLines w:val="0"/>
        <w:pageBreakBefore w:val="0"/>
        <w:widowControl w:val="0"/>
        <w:wordWrap/>
        <w:topLinePunct w:val="0"/>
        <w:bidi w:val="0"/>
        <w:spacing w:line="40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kern w:val="0"/>
          <w:highlight w:val="none"/>
        </w:rPr>
        <w:t>我</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（姓名）系</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（供应商名称）的法定代表人（负责人），现授权委托本单位在职职工</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 名）以我公司名义参加</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highlight w:val="none"/>
          <w:u w:val="single"/>
        </w:rPr>
        <w:t xml:space="preserve">（项目名称及项目编号）        </w:t>
      </w:r>
      <w:r>
        <w:rPr>
          <w:rFonts w:hint="eastAsia" w:ascii="宋体" w:hAnsi="宋体" w:eastAsia="宋体" w:cs="宋体"/>
          <w:color w:val="auto"/>
          <w:highlight w:val="none"/>
        </w:rPr>
        <w:t>项目的磋商活动，并代表我方全权办理针对上述项目的磋商、签约等具体事务和签署相关文件。</w:t>
      </w:r>
    </w:p>
    <w:p w14:paraId="359664F4">
      <w:pPr>
        <w:pStyle w:val="12"/>
        <w:keepNext w:val="0"/>
        <w:keepLines w:val="0"/>
        <w:pageBreakBefore w:val="0"/>
        <w:widowControl w:val="0"/>
        <w:wordWrap/>
        <w:topLinePunct w:val="0"/>
        <w:bidi w:val="0"/>
        <w:spacing w:line="40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我方对被授权人的签字事项负全部责任。</w:t>
      </w:r>
    </w:p>
    <w:p w14:paraId="5F81FE92">
      <w:pPr>
        <w:pStyle w:val="12"/>
        <w:keepNext w:val="0"/>
        <w:keepLines w:val="0"/>
        <w:pageBreakBefore w:val="0"/>
        <w:widowControl w:val="0"/>
        <w:wordWrap/>
        <w:topLinePunct w:val="0"/>
        <w:bidi w:val="0"/>
        <w:spacing w:line="400" w:lineRule="exact"/>
        <w:ind w:firstLine="420" w:firstLineChars="200"/>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授权委托代理期限：从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月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日起至</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月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日止。</w:t>
      </w:r>
    </w:p>
    <w:p w14:paraId="1931A4F9">
      <w:pPr>
        <w:pStyle w:val="12"/>
        <w:keepNext w:val="0"/>
        <w:keepLines w:val="0"/>
        <w:pageBreakBefore w:val="0"/>
        <w:widowControl w:val="0"/>
        <w:kinsoku/>
        <w:wordWrap/>
        <w:overflowPunct/>
        <w:topLinePunct w:val="0"/>
        <w:autoSpaceDE/>
        <w:autoSpaceDN/>
        <w:bidi w:val="0"/>
        <w:adjustRightInd/>
        <w:spacing w:line="380" w:lineRule="exact"/>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w:t>
      </w:r>
    </w:p>
    <w:p w14:paraId="1C2585FD">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outlineLvl w:val="9"/>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代理人无转委托权,特此委托。 </w:t>
      </w:r>
    </w:p>
    <w:p w14:paraId="0F09A0CD">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outlineLvl w:val="9"/>
        <w:rPr>
          <w:rFonts w:hint="eastAsia" w:ascii="宋体" w:hAnsi="宋体" w:eastAsia="宋体" w:cs="宋体"/>
          <w:color w:val="auto"/>
          <w:kern w:val="0"/>
          <w:highlight w:val="none"/>
        </w:rPr>
      </w:pPr>
    </w:p>
    <w:p w14:paraId="7260876A">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我已在下面签字，以资证明。</w:t>
      </w:r>
    </w:p>
    <w:p w14:paraId="7037CC6F">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outlineLvl w:val="9"/>
        <w:rPr>
          <w:rFonts w:hint="eastAsia" w:ascii="宋体" w:hAnsi="宋体" w:eastAsia="宋体" w:cs="宋体"/>
          <w:color w:val="auto"/>
          <w:szCs w:val="21"/>
          <w:highlight w:val="none"/>
        </w:rPr>
      </w:pPr>
    </w:p>
    <w:p w14:paraId="15CC21B3">
      <w:pPr>
        <w:keepNext w:val="0"/>
        <w:keepLines w:val="0"/>
        <w:pageBreakBefore w:val="0"/>
        <w:widowControl w:val="0"/>
        <w:kinsoku/>
        <w:wordWrap/>
        <w:overflowPunct/>
        <w:topLinePunct w:val="0"/>
        <w:autoSpaceDE/>
        <w:autoSpaceDN/>
        <w:bidi w:val="0"/>
        <w:adjustRightInd/>
        <w:snapToGrid w:val="0"/>
        <w:spacing w:line="380" w:lineRule="exact"/>
        <w:ind w:left="0" w:leftChars="0" w:firstLine="1880" w:firstLineChars="0"/>
        <w:textAlignment w:val="auto"/>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[公章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5D535106">
      <w:pPr>
        <w:keepNext w:val="0"/>
        <w:keepLines w:val="0"/>
        <w:pageBreakBefore w:val="0"/>
        <w:widowControl w:val="0"/>
        <w:kinsoku/>
        <w:wordWrap/>
        <w:overflowPunct/>
        <w:topLinePunct w:val="0"/>
        <w:autoSpaceDE/>
        <w:autoSpaceDN/>
        <w:bidi w:val="0"/>
        <w:adjustRightInd/>
        <w:snapToGrid w:val="0"/>
        <w:spacing w:line="380" w:lineRule="exact"/>
        <w:ind w:left="0" w:leftChars="0" w:firstLine="1880" w:firstLineChars="0"/>
        <w:textAlignment w:val="auto"/>
        <w:outlineLvl w:val="9"/>
        <w:rPr>
          <w:rFonts w:hint="eastAsia" w:ascii="宋体" w:hAnsi="宋体" w:eastAsia="宋体" w:cs="宋体"/>
          <w:color w:val="auto"/>
          <w:szCs w:val="21"/>
          <w:highlight w:val="none"/>
        </w:rPr>
      </w:pPr>
    </w:p>
    <w:p w14:paraId="6F272543">
      <w:pPr>
        <w:keepNext w:val="0"/>
        <w:keepLines w:val="0"/>
        <w:pageBreakBefore w:val="0"/>
        <w:widowControl w:val="0"/>
        <w:kinsoku/>
        <w:wordWrap/>
        <w:overflowPunct/>
        <w:topLinePunct w:val="0"/>
        <w:autoSpaceDE/>
        <w:autoSpaceDN/>
        <w:bidi w:val="0"/>
        <w:adjustRightInd/>
        <w:snapToGrid w:val="0"/>
        <w:spacing w:line="380" w:lineRule="exact"/>
        <w:ind w:left="0" w:leftChars="0" w:firstLine="188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法定代表人（负责人）签字（或</w:t>
      </w:r>
      <w:r>
        <w:rPr>
          <w:rFonts w:hint="eastAsia" w:ascii="宋体" w:hAnsi="宋体" w:eastAsia="宋体" w:cs="宋体"/>
          <w:color w:val="auto"/>
          <w:szCs w:val="21"/>
          <w:highlight w:val="none"/>
          <w:lang w:eastAsia="zh-CN"/>
        </w:rPr>
        <w:t>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1BF86103">
      <w:pPr>
        <w:keepNext w:val="0"/>
        <w:keepLines w:val="0"/>
        <w:pageBreakBefore w:val="0"/>
        <w:widowControl w:val="0"/>
        <w:kinsoku/>
        <w:wordWrap/>
        <w:overflowPunct/>
        <w:topLinePunct w:val="0"/>
        <w:autoSpaceDE/>
        <w:autoSpaceDN/>
        <w:bidi w:val="0"/>
        <w:adjustRightInd/>
        <w:snapToGrid w:val="0"/>
        <w:spacing w:line="380" w:lineRule="exact"/>
        <w:ind w:firstLine="1890" w:firstLineChars="900"/>
        <w:textAlignment w:val="auto"/>
        <w:outlineLvl w:val="9"/>
        <w:rPr>
          <w:rFonts w:hint="eastAsia" w:ascii="宋体" w:hAnsi="宋体" w:eastAsia="宋体" w:cs="宋体"/>
          <w:color w:val="auto"/>
          <w:szCs w:val="21"/>
          <w:highlight w:val="none"/>
        </w:rPr>
      </w:pPr>
    </w:p>
    <w:p w14:paraId="4C4D91AE">
      <w:pPr>
        <w:keepNext w:val="0"/>
        <w:keepLines w:val="0"/>
        <w:pageBreakBefore w:val="0"/>
        <w:widowControl w:val="0"/>
        <w:kinsoku/>
        <w:wordWrap/>
        <w:overflowPunct/>
        <w:topLinePunct w:val="0"/>
        <w:autoSpaceDE/>
        <w:autoSpaceDN/>
        <w:bidi w:val="0"/>
        <w:adjustRightInd/>
        <w:snapToGrid w:val="0"/>
        <w:spacing w:line="380" w:lineRule="exact"/>
        <w:ind w:firstLine="4200" w:firstLineChars="20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highlight w:val="none"/>
        </w:rPr>
        <w:t>日          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4AD825A1">
      <w:pPr>
        <w:pStyle w:val="12"/>
        <w:keepNext w:val="0"/>
        <w:keepLines w:val="0"/>
        <w:pageBreakBefore w:val="0"/>
        <w:widowControl w:val="0"/>
        <w:wordWrap/>
        <w:topLinePunct w:val="0"/>
        <w:bidi w:val="0"/>
        <w:jc w:val="both"/>
        <w:outlineLvl w:val="9"/>
        <w:rPr>
          <w:rFonts w:hint="eastAsia" w:ascii="宋体" w:hAnsi="宋体" w:eastAsia="宋体" w:cs="宋体"/>
          <w:b/>
          <w:color w:val="auto"/>
          <w:szCs w:val="21"/>
          <w:highlight w:val="none"/>
        </w:rPr>
      </w:pPr>
      <w:bookmarkStart w:id="2393" w:name="_Toc21370_WPSOffice_Level1"/>
      <w:bookmarkStart w:id="2394" w:name="_Toc6975_WPSOffice_Level1"/>
      <w:r>
        <w:rPr>
          <w:rFonts w:hint="eastAsia" w:ascii="宋体" w:hAnsi="宋体" w:eastAsia="宋体" w:cs="宋体"/>
          <w:b/>
          <w:color w:val="auto"/>
          <w:szCs w:val="21"/>
          <w:highlight w:val="none"/>
        </w:rPr>
        <w:t>附：委托代理人身份证正反面复印件</w:t>
      </w:r>
    </w:p>
    <w:p w14:paraId="185C02A6">
      <w:pPr>
        <w:pStyle w:val="7"/>
        <w:rPr>
          <w:rFonts w:hint="eastAsia"/>
          <w:color w:val="auto"/>
        </w:rPr>
      </w:pPr>
    </w:p>
    <w:p w14:paraId="033C6AFD">
      <w:pPr>
        <w:jc w:val="center"/>
        <w:rPr>
          <w:rFonts w:hint="eastAsia" w:ascii="宋体" w:hAnsi="宋体" w:eastAsia="宋体" w:cs="宋体"/>
          <w:b/>
          <w:color w:val="auto"/>
          <w:sz w:val="32"/>
          <w:highlight w:val="none"/>
        </w:rPr>
      </w:pPr>
      <w:r>
        <w:rPr>
          <w:rFonts w:hint="eastAsia" w:ascii="宋体" w:hAnsi="宋体" w:eastAsia="宋体" w:cs="宋体"/>
          <w:b/>
          <w:color w:val="auto"/>
          <w:szCs w:val="21"/>
          <w:highlight w:val="none"/>
        </w:rPr>
        <w:br w:type="page"/>
      </w:r>
      <w:r>
        <w:rPr>
          <w:rFonts w:hint="eastAsia" w:ascii="宋体" w:hAnsi="宋体" w:eastAsia="宋体" w:cs="宋体"/>
          <w:b/>
          <w:color w:val="auto"/>
          <w:sz w:val="32"/>
          <w:highlight w:val="none"/>
        </w:rPr>
        <w:t>授权委托书（格式二）</w:t>
      </w:r>
      <w:bookmarkEnd w:id="2393"/>
      <w:bookmarkEnd w:id="2394"/>
    </w:p>
    <w:p w14:paraId="73DB8F3A">
      <w:pPr>
        <w:pStyle w:val="12"/>
        <w:keepNext w:val="0"/>
        <w:keepLines w:val="0"/>
        <w:pageBreakBefore w:val="0"/>
        <w:widowControl w:val="0"/>
        <w:wordWrap/>
        <w:topLinePunct w:val="0"/>
        <w:bidi w:val="0"/>
        <w:jc w:val="both"/>
        <w:outlineLvl w:val="9"/>
        <w:rPr>
          <w:rFonts w:hint="eastAsia" w:ascii="宋体" w:hAnsi="宋体" w:eastAsia="宋体" w:cs="宋体"/>
          <w:b/>
          <w:color w:val="auto"/>
          <w:sz w:val="32"/>
          <w:highlight w:val="none"/>
        </w:rPr>
      </w:pPr>
    </w:p>
    <w:p w14:paraId="77A033F4">
      <w:pPr>
        <w:pStyle w:val="12"/>
        <w:keepNext w:val="0"/>
        <w:keepLines w:val="0"/>
        <w:pageBreakBefore w:val="0"/>
        <w:widowControl w:val="0"/>
        <w:wordWrap/>
        <w:topLinePunct w:val="0"/>
        <w:bidi w:val="0"/>
        <w:jc w:val="both"/>
        <w:outlineLvl w:val="9"/>
        <w:rPr>
          <w:rFonts w:hint="eastAsia" w:ascii="宋体" w:hAnsi="宋体" w:eastAsia="宋体" w:cs="宋体"/>
          <w:color w:val="auto"/>
          <w:szCs w:val="21"/>
          <w:highlight w:val="none"/>
          <w:u w:val="single"/>
        </w:rPr>
      </w:pPr>
      <w:r>
        <w:rPr>
          <w:rFonts w:hint="eastAsia" w:ascii="宋体" w:hAnsi="宋体" w:eastAsia="宋体" w:cs="宋体"/>
          <w:b/>
          <w:color w:val="auto"/>
          <w:szCs w:val="21"/>
          <w:highlight w:val="none"/>
        </w:rPr>
        <w:t>致</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hAnsi="宋体" w:cs="宋体"/>
          <w:color w:val="auto"/>
          <w:szCs w:val="21"/>
          <w:highlight w:val="none"/>
          <w:u w:val="single"/>
          <w:lang w:eastAsia="zh-CN"/>
        </w:rPr>
        <w:t xml:space="preserve">广西晟鑫项目管理有限公司 </w:t>
      </w:r>
    </w:p>
    <w:p w14:paraId="5F4DA068">
      <w:pPr>
        <w:keepNext w:val="0"/>
        <w:keepLines w:val="0"/>
        <w:pageBreakBefore w:val="0"/>
        <w:widowControl w:val="0"/>
        <w:wordWrap/>
        <w:topLinePunct w:val="0"/>
        <w:bidi w:val="0"/>
        <w:outlineLvl w:val="9"/>
        <w:rPr>
          <w:rFonts w:hint="eastAsia" w:ascii="宋体" w:hAnsi="宋体" w:eastAsia="宋体" w:cs="宋体"/>
          <w:color w:val="auto"/>
          <w:highlight w:val="none"/>
        </w:rPr>
      </w:pPr>
    </w:p>
    <w:p w14:paraId="46BBC1C0">
      <w:pPr>
        <w:pStyle w:val="12"/>
        <w:keepNext w:val="0"/>
        <w:keepLines w:val="0"/>
        <w:pageBreakBefore w:val="0"/>
        <w:widowControl w:val="0"/>
        <w:wordWrap/>
        <w:topLinePunct w:val="0"/>
        <w:bidi w:val="0"/>
        <w:spacing w:line="34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kern w:val="0"/>
          <w:highlight w:val="none"/>
        </w:rPr>
        <w:t>我</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（姓名）系自然人，现授权委托</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 名）以本人名义参加</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highlight w:val="none"/>
          <w:u w:val="single"/>
        </w:rPr>
        <w:t xml:space="preserve">（项目名称及项目编号）        </w:t>
      </w:r>
      <w:r>
        <w:rPr>
          <w:rFonts w:hint="eastAsia" w:ascii="宋体" w:hAnsi="宋体" w:eastAsia="宋体" w:cs="宋体"/>
          <w:color w:val="auto"/>
          <w:highlight w:val="none"/>
        </w:rPr>
        <w:t>项目的磋商活动，并代表本人全权办理针对上述项目的磋商、签约等具体事务和签署相关文件。</w:t>
      </w:r>
    </w:p>
    <w:p w14:paraId="6CDFC4F1">
      <w:pPr>
        <w:pStyle w:val="12"/>
        <w:keepNext w:val="0"/>
        <w:keepLines w:val="0"/>
        <w:pageBreakBefore w:val="0"/>
        <w:widowControl w:val="0"/>
        <w:wordWrap/>
        <w:topLinePunct w:val="0"/>
        <w:bidi w:val="0"/>
        <w:spacing w:line="34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本人对被授权人的签字事项负全部责任。</w:t>
      </w:r>
    </w:p>
    <w:p w14:paraId="144A56A9">
      <w:pPr>
        <w:pStyle w:val="12"/>
        <w:keepNext w:val="0"/>
        <w:keepLines w:val="0"/>
        <w:pageBreakBefore w:val="0"/>
        <w:widowControl w:val="0"/>
        <w:wordWrap/>
        <w:topLinePunct w:val="0"/>
        <w:bidi w:val="0"/>
        <w:spacing w:line="340" w:lineRule="exact"/>
        <w:ind w:firstLine="420" w:firstLineChars="200"/>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授权委托代理期限：从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月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日起至</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月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日止。</w:t>
      </w:r>
    </w:p>
    <w:p w14:paraId="58692AEB">
      <w:pPr>
        <w:pStyle w:val="12"/>
        <w:keepNext w:val="0"/>
        <w:keepLines w:val="0"/>
        <w:pageBreakBefore w:val="0"/>
        <w:widowControl w:val="0"/>
        <w:wordWrap/>
        <w:topLinePunct w:val="0"/>
        <w:bidi w:val="0"/>
        <w:spacing w:line="340" w:lineRule="exact"/>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w:t>
      </w:r>
    </w:p>
    <w:p w14:paraId="0C671DC1">
      <w:pPr>
        <w:keepNext w:val="0"/>
        <w:keepLines w:val="0"/>
        <w:pageBreakBefore w:val="0"/>
        <w:widowControl w:val="0"/>
        <w:wordWrap/>
        <w:topLinePunct w:val="0"/>
        <w:bidi w:val="0"/>
        <w:spacing w:line="340" w:lineRule="exact"/>
        <w:ind w:firstLine="420" w:firstLineChars="200"/>
        <w:outlineLvl w:val="9"/>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代理人无转委托权,特此委托。 </w:t>
      </w:r>
    </w:p>
    <w:p w14:paraId="21F1FF4B">
      <w:pPr>
        <w:keepNext w:val="0"/>
        <w:keepLines w:val="0"/>
        <w:pageBreakBefore w:val="0"/>
        <w:widowControl w:val="0"/>
        <w:wordWrap/>
        <w:topLinePunct w:val="0"/>
        <w:bidi w:val="0"/>
        <w:spacing w:line="340" w:lineRule="exact"/>
        <w:ind w:firstLine="420" w:firstLineChars="200"/>
        <w:outlineLvl w:val="9"/>
        <w:rPr>
          <w:rFonts w:hint="eastAsia" w:ascii="宋体" w:hAnsi="宋体" w:eastAsia="宋体" w:cs="宋体"/>
          <w:color w:val="auto"/>
          <w:kern w:val="0"/>
          <w:highlight w:val="none"/>
        </w:rPr>
      </w:pPr>
    </w:p>
    <w:p w14:paraId="3B82B9A4">
      <w:pPr>
        <w:keepNext w:val="0"/>
        <w:keepLines w:val="0"/>
        <w:pageBreakBefore w:val="0"/>
        <w:widowControl w:val="0"/>
        <w:wordWrap/>
        <w:topLinePunct w:val="0"/>
        <w:bidi w:val="0"/>
        <w:spacing w:line="34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我已在下面签字，以资证明。</w:t>
      </w:r>
    </w:p>
    <w:p w14:paraId="40522366">
      <w:pPr>
        <w:keepNext w:val="0"/>
        <w:keepLines w:val="0"/>
        <w:pageBreakBefore w:val="0"/>
        <w:widowControl w:val="0"/>
        <w:wordWrap/>
        <w:topLinePunct w:val="0"/>
        <w:bidi w:val="0"/>
        <w:spacing w:line="340" w:lineRule="exact"/>
        <w:ind w:firstLine="420" w:firstLineChars="200"/>
        <w:outlineLvl w:val="9"/>
        <w:rPr>
          <w:rFonts w:hint="eastAsia" w:ascii="宋体" w:hAnsi="宋体" w:eastAsia="宋体" w:cs="宋体"/>
          <w:color w:val="auto"/>
          <w:szCs w:val="21"/>
          <w:highlight w:val="none"/>
        </w:rPr>
      </w:pPr>
    </w:p>
    <w:p w14:paraId="4E3B30DA">
      <w:pPr>
        <w:keepNext w:val="0"/>
        <w:keepLines w:val="0"/>
        <w:pageBreakBefore w:val="0"/>
        <w:widowControl w:val="0"/>
        <w:wordWrap/>
        <w:topLinePunct w:val="0"/>
        <w:bidi w:val="0"/>
        <w:snapToGrid w:val="0"/>
        <w:spacing w:line="340" w:lineRule="exact"/>
        <w:ind w:left="0" w:leftChars="0" w:firstLine="1879" w:firstLineChars="895"/>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自然人签字并在签名处加盖大拇指指印</w:t>
      </w:r>
      <w:r>
        <w:rPr>
          <w:rFonts w:hint="eastAsia" w:ascii="宋体" w:hAnsi="宋体" w:eastAsia="宋体" w:cs="宋体"/>
          <w:color w:val="auto"/>
          <w:szCs w:val="21"/>
          <w:highlight w:val="none"/>
          <w:lang w:eastAsia="zh-CN"/>
        </w:rPr>
        <w:t>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18153003">
      <w:pPr>
        <w:keepNext w:val="0"/>
        <w:keepLines w:val="0"/>
        <w:pageBreakBefore w:val="0"/>
        <w:widowControl w:val="0"/>
        <w:wordWrap/>
        <w:topLinePunct w:val="0"/>
        <w:bidi w:val="0"/>
        <w:snapToGrid w:val="0"/>
        <w:spacing w:line="340" w:lineRule="exact"/>
        <w:ind w:left="0" w:leftChars="0" w:firstLine="1879" w:firstLineChars="895"/>
        <w:outlineLvl w:val="9"/>
        <w:rPr>
          <w:rFonts w:hint="eastAsia" w:ascii="宋体" w:hAnsi="宋体" w:eastAsia="宋体" w:cs="宋体"/>
          <w:color w:val="auto"/>
          <w:szCs w:val="21"/>
          <w:highlight w:val="none"/>
        </w:rPr>
      </w:pPr>
    </w:p>
    <w:p w14:paraId="0E346F93">
      <w:pPr>
        <w:keepNext w:val="0"/>
        <w:keepLines w:val="0"/>
        <w:pageBreakBefore w:val="0"/>
        <w:widowControl w:val="0"/>
        <w:wordWrap/>
        <w:topLinePunct w:val="0"/>
        <w:bidi w:val="0"/>
        <w:snapToGrid w:val="0"/>
        <w:spacing w:line="340" w:lineRule="exact"/>
        <w:ind w:left="0" w:leftChars="0" w:firstLine="5025" w:firstLineChars="2393"/>
        <w:outlineLvl w:val="9"/>
        <w:rPr>
          <w:rFonts w:hint="eastAsia" w:ascii="宋体" w:hAnsi="宋体" w:eastAsia="宋体" w:cs="宋体"/>
          <w:color w:val="auto"/>
          <w:szCs w:val="21"/>
          <w:highlight w:val="none"/>
        </w:rPr>
      </w:pPr>
      <w:r>
        <w:rPr>
          <w:rFonts w:hint="eastAsia" w:ascii="宋体" w:hAnsi="宋体" w:eastAsia="宋体" w:cs="宋体"/>
          <w:color w:val="auto"/>
          <w:highlight w:val="none"/>
        </w:rPr>
        <w:t>日          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2CCC6119">
      <w:pPr>
        <w:pStyle w:val="12"/>
        <w:keepNext w:val="0"/>
        <w:keepLines w:val="0"/>
        <w:pageBreakBefore w:val="0"/>
        <w:widowControl w:val="0"/>
        <w:wordWrap/>
        <w:topLinePunct w:val="0"/>
        <w:bidi w:val="0"/>
        <w:spacing w:line="400" w:lineRule="exact"/>
        <w:ind w:left="420" w:leftChars="200"/>
        <w:outlineLvl w:val="9"/>
        <w:rPr>
          <w:rFonts w:hint="eastAsia" w:ascii="宋体" w:hAnsi="宋体" w:eastAsia="宋体" w:cs="宋体"/>
          <w:color w:val="auto"/>
          <w:szCs w:val="21"/>
          <w:highlight w:val="none"/>
        </w:rPr>
      </w:pPr>
    </w:p>
    <w:p w14:paraId="057556CF">
      <w:pPr>
        <w:pStyle w:val="12"/>
        <w:keepNext w:val="0"/>
        <w:keepLines w:val="0"/>
        <w:pageBreakBefore w:val="0"/>
        <w:widowControl w:val="0"/>
        <w:wordWrap/>
        <w:topLinePunct w:val="0"/>
        <w:bidi w:val="0"/>
        <w:spacing w:line="400" w:lineRule="exact"/>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附：委托代理人身份证正反面复印件</w:t>
      </w:r>
    </w:p>
    <w:p w14:paraId="5038650D">
      <w:pPr>
        <w:keepNext w:val="0"/>
        <w:keepLines w:val="0"/>
        <w:pageBreakBefore w:val="0"/>
        <w:widowControl w:val="0"/>
        <w:wordWrap/>
        <w:topLinePunct w:val="0"/>
        <w:bidi w:val="0"/>
        <w:outlineLvl w:val="9"/>
        <w:rPr>
          <w:rFonts w:hint="eastAsia" w:ascii="宋体" w:hAnsi="宋体" w:eastAsia="宋体" w:cs="宋体"/>
          <w:b/>
          <w:color w:val="auto"/>
          <w:szCs w:val="21"/>
          <w:highlight w:val="none"/>
        </w:rPr>
      </w:pPr>
    </w:p>
    <w:p w14:paraId="740901A2">
      <w:pPr>
        <w:pStyle w:val="9"/>
        <w:keepNext w:val="0"/>
        <w:keepLines w:val="0"/>
        <w:pageBreakBefore w:val="0"/>
        <w:widowControl w:val="0"/>
        <w:wordWrap/>
        <w:topLinePunct w:val="0"/>
        <w:bidi w:val="0"/>
        <w:outlineLvl w:val="9"/>
        <w:rPr>
          <w:rFonts w:hint="eastAsia" w:ascii="宋体" w:hAnsi="宋体" w:eastAsia="宋体" w:cs="宋体"/>
          <w:b/>
          <w:color w:val="auto"/>
          <w:szCs w:val="21"/>
          <w:highlight w:val="none"/>
        </w:rPr>
      </w:pPr>
    </w:p>
    <w:p w14:paraId="57EF6046">
      <w:pPr>
        <w:keepNext w:val="0"/>
        <w:keepLines w:val="0"/>
        <w:pageBreakBefore w:val="0"/>
        <w:widowControl w:val="0"/>
        <w:numPr>
          <w:ilvl w:val="0"/>
          <w:numId w:val="0"/>
        </w:numPr>
        <w:wordWrap/>
        <w:topLinePunct w:val="0"/>
        <w:bidi w:val="0"/>
        <w:spacing w:line="440" w:lineRule="atLeast"/>
        <w:outlineLvl w:val="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w:t>
      </w:r>
      <w:r>
        <w:rPr>
          <w:rFonts w:hint="eastAsia" w:ascii="宋体" w:hAnsi="宋体" w:eastAsia="宋体" w:cs="宋体"/>
          <w:b/>
          <w:color w:val="auto"/>
          <w:kern w:val="2"/>
          <w:sz w:val="28"/>
          <w:szCs w:val="28"/>
          <w:highlight w:val="none"/>
          <w:lang w:val="en-US" w:eastAsia="zh-CN" w:bidi="ar-SA"/>
        </w:rPr>
        <w:t>供应商</w:t>
      </w:r>
      <w:r>
        <w:rPr>
          <w:rFonts w:hint="eastAsia" w:ascii="宋体" w:hAnsi="宋体" w:eastAsia="宋体" w:cs="宋体"/>
          <w:b/>
          <w:color w:val="auto"/>
          <w:sz w:val="28"/>
          <w:szCs w:val="28"/>
          <w:highlight w:val="none"/>
        </w:rPr>
        <w:t>参加政府采购活动前3年内在经营活动中没有重大违法记录及有关信用信息的书面声明（必须提供）；</w:t>
      </w:r>
    </w:p>
    <w:p w14:paraId="776F6502">
      <w:pPr>
        <w:pStyle w:val="12"/>
        <w:keepNext w:val="0"/>
        <w:keepLines w:val="0"/>
        <w:pageBreakBefore w:val="0"/>
        <w:widowControl w:val="0"/>
        <w:wordWrap/>
        <w:topLinePunct w:val="0"/>
        <w:bidi w:val="0"/>
        <w:spacing w:line="400" w:lineRule="exact"/>
        <w:ind w:left="420" w:leftChars="200" w:firstLine="157" w:firstLineChars="49"/>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 附件：</w:t>
      </w:r>
    </w:p>
    <w:p w14:paraId="352B8683">
      <w:pPr>
        <w:pStyle w:val="12"/>
        <w:keepNext w:val="0"/>
        <w:keepLines w:val="0"/>
        <w:pageBreakBefore w:val="0"/>
        <w:widowControl w:val="0"/>
        <w:wordWrap/>
        <w:topLinePunct w:val="0"/>
        <w:bidi w:val="0"/>
        <w:spacing w:line="400" w:lineRule="exact"/>
        <w:jc w:val="center"/>
        <w:outlineLvl w:val="9"/>
        <w:rPr>
          <w:rFonts w:hint="eastAsia" w:ascii="宋体" w:hAnsi="宋体" w:eastAsia="宋体" w:cs="宋体"/>
          <w:b/>
          <w:color w:val="auto"/>
          <w:sz w:val="32"/>
          <w:szCs w:val="32"/>
          <w:highlight w:val="none"/>
        </w:rPr>
      </w:pPr>
      <w:bookmarkStart w:id="2395" w:name="_Toc30890_WPSOffice_Level1"/>
      <w:bookmarkStart w:id="2396" w:name="_Toc30304_WPSOffice_Level1"/>
      <w:r>
        <w:rPr>
          <w:rFonts w:hint="eastAsia" w:ascii="宋体" w:hAnsi="宋体" w:eastAsia="宋体" w:cs="宋体"/>
          <w:b/>
          <w:color w:val="auto"/>
          <w:sz w:val="32"/>
          <w:szCs w:val="32"/>
          <w:highlight w:val="none"/>
        </w:rPr>
        <w:t>声   明</w:t>
      </w:r>
      <w:bookmarkEnd w:id="2395"/>
      <w:bookmarkEnd w:id="2396"/>
    </w:p>
    <w:p w14:paraId="3408EAEA">
      <w:pPr>
        <w:pStyle w:val="12"/>
        <w:keepNext w:val="0"/>
        <w:keepLines w:val="0"/>
        <w:pageBreakBefore w:val="0"/>
        <w:widowControl w:val="0"/>
        <w:wordWrap/>
        <w:topLinePunct w:val="0"/>
        <w:bidi w:val="0"/>
        <w:spacing w:line="400" w:lineRule="exact"/>
        <w:jc w:val="both"/>
        <w:outlineLvl w:val="9"/>
        <w:rPr>
          <w:rFonts w:hint="eastAsia" w:ascii="宋体" w:hAnsi="宋体" w:eastAsia="宋体" w:cs="宋体"/>
          <w:b/>
          <w:color w:val="auto"/>
          <w:sz w:val="32"/>
          <w:szCs w:val="32"/>
          <w:highlight w:val="none"/>
        </w:rPr>
      </w:pPr>
    </w:p>
    <w:p w14:paraId="66655BC3">
      <w:pPr>
        <w:pStyle w:val="12"/>
        <w:keepNext w:val="0"/>
        <w:keepLines w:val="0"/>
        <w:pageBreakBefore w:val="0"/>
        <w:widowControl w:val="0"/>
        <w:wordWrap/>
        <w:topLinePunct w:val="0"/>
        <w:bidi w:val="0"/>
        <w:spacing w:line="400" w:lineRule="exact"/>
        <w:jc w:val="both"/>
        <w:outlineLvl w:val="9"/>
        <w:rPr>
          <w:rFonts w:hint="eastAsia" w:ascii="宋体" w:hAnsi="宋体" w:eastAsia="宋体" w:cs="宋体"/>
          <w:color w:val="auto"/>
          <w:szCs w:val="21"/>
          <w:highlight w:val="none"/>
          <w:u w:val="single"/>
        </w:rPr>
      </w:pPr>
      <w:r>
        <w:rPr>
          <w:rFonts w:hint="eastAsia" w:ascii="宋体" w:hAnsi="宋体" w:eastAsia="宋体" w:cs="宋体"/>
          <w:b/>
          <w:color w:val="auto"/>
          <w:szCs w:val="21"/>
          <w:highlight w:val="none"/>
        </w:rPr>
        <w:t>致</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hAnsi="宋体" w:cs="宋体"/>
          <w:color w:val="auto"/>
          <w:szCs w:val="21"/>
          <w:highlight w:val="none"/>
          <w:u w:val="single"/>
          <w:lang w:eastAsia="zh-CN"/>
        </w:rPr>
        <w:t xml:space="preserve">广西晟鑫项目管理有限公司 </w:t>
      </w:r>
    </w:p>
    <w:p w14:paraId="08691958">
      <w:pPr>
        <w:keepNext w:val="0"/>
        <w:keepLines w:val="0"/>
        <w:pageBreakBefore w:val="0"/>
        <w:widowControl w:val="0"/>
        <w:wordWrap/>
        <w:topLinePunct w:val="0"/>
        <w:bidi w:val="0"/>
        <w:outlineLvl w:val="9"/>
        <w:rPr>
          <w:rFonts w:hint="eastAsia" w:ascii="宋体" w:hAnsi="宋体" w:eastAsia="宋体" w:cs="宋体"/>
          <w:color w:val="auto"/>
          <w:szCs w:val="21"/>
          <w:highlight w:val="none"/>
          <w:u w:val="single"/>
        </w:rPr>
      </w:pPr>
    </w:p>
    <w:p w14:paraId="6ED87007">
      <w:pPr>
        <w:pStyle w:val="12"/>
        <w:keepNext w:val="0"/>
        <w:keepLines w:val="0"/>
        <w:pageBreakBefore w:val="0"/>
        <w:widowControl w:val="0"/>
        <w:wordWrap/>
        <w:topLinePunct w:val="0"/>
        <w:bidi w:val="0"/>
        <w:spacing w:line="40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63C58220">
      <w:pPr>
        <w:keepNext w:val="0"/>
        <w:keepLines w:val="0"/>
        <w:pageBreakBefore w:val="0"/>
        <w:widowControl w:val="0"/>
        <w:wordWrap/>
        <w:topLinePunct w:val="0"/>
        <w:bidi w:val="0"/>
        <w:outlineLvl w:val="9"/>
        <w:rPr>
          <w:rFonts w:hint="eastAsia" w:ascii="宋体" w:hAnsi="宋体" w:eastAsia="宋体" w:cs="宋体"/>
          <w:color w:val="auto"/>
          <w:highlight w:val="none"/>
        </w:rPr>
      </w:pPr>
    </w:p>
    <w:p w14:paraId="1791B154">
      <w:pPr>
        <w:keepNext w:val="0"/>
        <w:keepLines w:val="0"/>
        <w:pageBreakBefore w:val="0"/>
        <w:widowControl w:val="0"/>
        <w:wordWrap/>
        <w:topLinePunct w:val="0"/>
        <w:bidi w:val="0"/>
        <w:snapToGrid w:val="0"/>
        <w:spacing w:line="400" w:lineRule="exact"/>
        <w:ind w:firstLine="1890" w:firstLineChars="900"/>
        <w:outlineLvl w:val="9"/>
        <w:rPr>
          <w:rFonts w:hint="eastAsia" w:ascii="宋体" w:hAnsi="宋体" w:eastAsia="宋体" w:cs="宋体"/>
          <w:color w:val="auto"/>
          <w:highlight w:val="non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，自然人</w:t>
      </w:r>
      <w:r>
        <w:rPr>
          <w:rFonts w:hint="eastAsia" w:ascii="宋体" w:hAnsi="宋体" w:eastAsia="宋体" w:cs="宋体"/>
          <w:color w:val="auto"/>
          <w:szCs w:val="21"/>
          <w:highlight w:val="none"/>
          <w:lang w:eastAsia="zh-CN"/>
        </w:rPr>
        <w:t>签字或个人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22601A1D">
      <w:pPr>
        <w:pStyle w:val="12"/>
        <w:keepNext w:val="0"/>
        <w:keepLines w:val="0"/>
        <w:pageBreakBefore w:val="0"/>
        <w:widowControl w:val="0"/>
        <w:wordWrap/>
        <w:topLinePunct w:val="0"/>
        <w:bidi w:val="0"/>
        <w:ind w:firstLine="3990" w:firstLineChars="1900"/>
        <w:outlineLvl w:val="9"/>
        <w:rPr>
          <w:rFonts w:hint="eastAsia" w:ascii="宋体" w:hAnsi="宋体" w:eastAsia="宋体" w:cs="宋体"/>
          <w:color w:val="auto"/>
          <w:highlight w:val="none"/>
        </w:rPr>
      </w:pPr>
    </w:p>
    <w:p w14:paraId="7EAC71D7">
      <w:pPr>
        <w:pStyle w:val="12"/>
        <w:keepNext w:val="0"/>
        <w:keepLines w:val="0"/>
        <w:pageBreakBefore w:val="0"/>
        <w:widowControl w:val="0"/>
        <w:wordWrap/>
        <w:topLinePunct w:val="0"/>
        <w:bidi w:val="0"/>
        <w:ind w:firstLine="3990" w:firstLineChars="1900"/>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5D69BDBB">
      <w:pPr>
        <w:pStyle w:val="7"/>
        <w:rPr>
          <w:rFonts w:hint="eastAsia"/>
          <w:color w:val="auto"/>
        </w:rPr>
      </w:pPr>
    </w:p>
    <w:p w14:paraId="35C6F8F7">
      <w:pP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br w:type="page"/>
      </w:r>
    </w:p>
    <w:p w14:paraId="5A9AB4F6">
      <w:pPr>
        <w:keepNext w:val="0"/>
        <w:keepLines w:val="0"/>
        <w:pageBreakBefore w:val="0"/>
        <w:widowControl w:val="0"/>
        <w:numPr>
          <w:ilvl w:val="0"/>
          <w:numId w:val="0"/>
        </w:numPr>
        <w:wordWrap/>
        <w:topLinePunct w:val="0"/>
        <w:bidi w:val="0"/>
        <w:spacing w:line="440" w:lineRule="atLeast"/>
        <w:outlineLvl w:val="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4</w:t>
      </w:r>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lang w:val="en-US" w:eastAsia="zh-CN"/>
        </w:rPr>
        <w:t>供应商</w:t>
      </w:r>
      <w:r>
        <w:rPr>
          <w:rFonts w:hint="eastAsia" w:ascii="宋体" w:hAnsi="宋体" w:eastAsia="宋体" w:cs="宋体"/>
          <w:b/>
          <w:color w:val="auto"/>
          <w:sz w:val="28"/>
          <w:szCs w:val="28"/>
          <w:highlight w:val="none"/>
        </w:rPr>
        <w:t>的法人或者其他组织营业执照等证明文件复印件（必须提供，自然人除外）；</w:t>
      </w:r>
    </w:p>
    <w:p w14:paraId="4ADA1F86">
      <w:pPr>
        <w:keepNext w:val="0"/>
        <w:keepLines w:val="0"/>
        <w:pageBreakBefore w:val="0"/>
        <w:widowControl w:val="0"/>
        <w:tabs>
          <w:tab w:val="left" w:pos="1305"/>
        </w:tabs>
        <w:wordWrap/>
        <w:topLinePunct w:val="0"/>
        <w:bidi w:val="0"/>
        <w:spacing w:line="340" w:lineRule="exact"/>
        <w:outlineLvl w:val="9"/>
        <w:rPr>
          <w:rFonts w:hint="eastAsia" w:ascii="宋体" w:hAnsi="宋体" w:eastAsia="宋体" w:cs="宋体"/>
          <w:b/>
          <w:color w:val="auto"/>
          <w:szCs w:val="21"/>
          <w:highlight w:val="none"/>
        </w:rPr>
      </w:pPr>
    </w:p>
    <w:p w14:paraId="04C77A74">
      <w:pPr>
        <w:keepNext w:val="0"/>
        <w:keepLines w:val="0"/>
        <w:pageBreakBefore w:val="0"/>
        <w:widowControl w:val="0"/>
        <w:tabs>
          <w:tab w:val="left" w:pos="1305"/>
        </w:tabs>
        <w:wordWrap/>
        <w:topLinePunct w:val="0"/>
        <w:bidi w:val="0"/>
        <w:spacing w:line="400" w:lineRule="exact"/>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rPr>
        <w:t>；供应商为事业单位，应提供有效的“事业单位法人证书”；供应商为非企业专业服务机构的，应提供执业许可证等证明文件；供应商为个体工商户，应提供有效的“个体工商户营业执照”。</w:t>
      </w:r>
    </w:p>
    <w:p w14:paraId="48CEED0D">
      <w:pPr>
        <w:keepNext w:val="0"/>
        <w:keepLines w:val="0"/>
        <w:pageBreakBefore w:val="0"/>
        <w:widowControl w:val="0"/>
        <w:wordWrap/>
        <w:topLinePunct w:val="0"/>
        <w:bidi w:val="0"/>
        <w:outlineLvl w:val="9"/>
        <w:rPr>
          <w:rFonts w:hint="eastAsia" w:ascii="宋体" w:hAnsi="宋体" w:eastAsia="宋体" w:cs="宋体"/>
          <w:b/>
          <w:bCs/>
          <w:color w:val="auto"/>
          <w:sz w:val="28"/>
          <w:szCs w:val="28"/>
          <w:highlight w:val="none"/>
        </w:rPr>
      </w:pPr>
    </w:p>
    <w:p w14:paraId="39272095">
      <w:pPr>
        <w:keepNext w:val="0"/>
        <w:keepLines w:val="0"/>
        <w:pageBreakBefore w:val="0"/>
        <w:widowControl w:val="0"/>
        <w:numPr>
          <w:ilvl w:val="0"/>
          <w:numId w:val="0"/>
        </w:numPr>
        <w:wordWrap/>
        <w:topLinePunct w:val="0"/>
        <w:bidi w:val="0"/>
        <w:spacing w:line="440" w:lineRule="atLeast"/>
        <w:outlineLvl w:val="2"/>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5.</w:t>
      </w:r>
      <w:r>
        <w:rPr>
          <w:rFonts w:hint="eastAsia" w:ascii="宋体" w:hAnsi="宋体" w:cs="宋体"/>
          <w:b/>
          <w:color w:val="auto"/>
          <w:sz w:val="28"/>
          <w:szCs w:val="28"/>
          <w:highlight w:val="none"/>
          <w:lang w:val="en-US" w:eastAsia="zh-CN"/>
        </w:rPr>
        <w:t>供应商有效的资质证书复印件；项目负责人的注册二级建造师证书复印件、安全生产考核B证证书复印件及项目经理无在建工程承诺书（格式自拟）</w:t>
      </w:r>
      <w:r>
        <w:rPr>
          <w:rFonts w:hint="eastAsia" w:ascii="宋体" w:hAnsi="宋体" w:eastAsia="宋体" w:cs="宋体"/>
          <w:b/>
          <w:color w:val="auto"/>
          <w:sz w:val="28"/>
          <w:szCs w:val="28"/>
          <w:highlight w:val="none"/>
          <w:lang w:val="en-US" w:eastAsia="zh-CN"/>
        </w:rPr>
        <w:t>（必须提供）；</w:t>
      </w:r>
    </w:p>
    <w:p w14:paraId="7738632A">
      <w:pPr>
        <w:keepNext w:val="0"/>
        <w:keepLines w:val="0"/>
        <w:pageBreakBefore w:val="0"/>
        <w:widowControl w:val="0"/>
        <w:wordWrap/>
        <w:topLinePunct w:val="0"/>
        <w:bidi w:val="0"/>
        <w:outlineLvl w:val="9"/>
        <w:rPr>
          <w:rFonts w:hint="eastAsia"/>
          <w:color w:val="auto"/>
          <w:highlight w:val="none"/>
          <w:lang w:val="en-US" w:eastAsia="zh-CN"/>
        </w:rPr>
      </w:pPr>
    </w:p>
    <w:p w14:paraId="2AF0D795">
      <w:pPr>
        <w:keepNext w:val="0"/>
        <w:keepLines w:val="0"/>
        <w:pageBreakBefore w:val="0"/>
        <w:widowControl w:val="0"/>
        <w:numPr>
          <w:ilvl w:val="0"/>
          <w:numId w:val="0"/>
        </w:numPr>
        <w:wordWrap/>
        <w:topLinePunct w:val="0"/>
        <w:bidi w:val="0"/>
        <w:spacing w:line="440" w:lineRule="atLeast"/>
        <w:outlineLvl w:val="9"/>
        <w:rPr>
          <w:rFonts w:hint="eastAsia" w:ascii="宋体" w:hAnsi="宋体" w:cs="宋体"/>
          <w:b/>
          <w:color w:val="auto"/>
          <w:sz w:val="28"/>
          <w:szCs w:val="28"/>
          <w:highlight w:val="none"/>
          <w:lang w:val="en-US" w:eastAsia="zh-CN"/>
        </w:rPr>
      </w:pPr>
      <w:r>
        <w:rPr>
          <w:rFonts w:hint="eastAsia" w:ascii="宋体" w:hAnsi="宋体" w:eastAsia="宋体" w:cs="宋体"/>
          <w:b/>
          <w:bCs/>
          <w:iCs/>
          <w:color w:val="auto"/>
          <w:kern w:val="2"/>
          <w:sz w:val="28"/>
          <w:szCs w:val="28"/>
          <w:highlight w:val="none"/>
          <w:lang w:val="en-US" w:eastAsia="zh-CN" w:bidi="ar-SA"/>
        </w:rPr>
        <w:t>6.</w:t>
      </w:r>
      <w:r>
        <w:rPr>
          <w:rFonts w:hint="eastAsia" w:ascii="宋体" w:hAnsi="宋体" w:eastAsia="宋体" w:cs="宋体"/>
          <w:b/>
          <w:color w:val="auto"/>
          <w:sz w:val="28"/>
          <w:szCs w:val="28"/>
          <w:highlight w:val="none"/>
          <w:lang w:val="en-US" w:eastAsia="zh-CN"/>
        </w:rPr>
        <w:t>供应商有效的安全生产许可证书复印件（必须提供）</w:t>
      </w:r>
      <w:r>
        <w:rPr>
          <w:rFonts w:hint="eastAsia" w:ascii="宋体" w:hAnsi="宋体" w:cs="宋体"/>
          <w:b/>
          <w:color w:val="auto"/>
          <w:sz w:val="28"/>
          <w:szCs w:val="28"/>
          <w:highlight w:val="none"/>
          <w:lang w:val="en-US" w:eastAsia="zh-CN"/>
        </w:rPr>
        <w:t>；</w:t>
      </w:r>
    </w:p>
    <w:p w14:paraId="7BED092D">
      <w:pPr>
        <w:keepNext w:val="0"/>
        <w:keepLines w:val="0"/>
        <w:pageBreakBefore w:val="0"/>
        <w:widowControl w:val="0"/>
        <w:wordWrap/>
        <w:topLinePunct w:val="0"/>
        <w:bidi w:val="0"/>
        <w:outlineLvl w:val="9"/>
        <w:rPr>
          <w:rFonts w:hint="eastAsia" w:ascii="宋体" w:hAnsi="宋体" w:cs="宋体"/>
          <w:b/>
          <w:bCs/>
          <w:iCs/>
          <w:color w:val="auto"/>
          <w:kern w:val="2"/>
          <w:sz w:val="28"/>
          <w:szCs w:val="28"/>
          <w:highlight w:val="none"/>
          <w:lang w:val="en-US" w:eastAsia="zh-CN" w:bidi="ar-SA"/>
        </w:rPr>
      </w:pPr>
    </w:p>
    <w:p w14:paraId="4CC665CF">
      <w:pPr>
        <w:keepNext w:val="0"/>
        <w:keepLines w:val="0"/>
        <w:pageBreakBefore w:val="0"/>
        <w:widowControl w:val="0"/>
        <w:numPr>
          <w:ilvl w:val="0"/>
          <w:numId w:val="0"/>
        </w:numPr>
        <w:wordWrap/>
        <w:topLinePunct w:val="0"/>
        <w:bidi w:val="0"/>
        <w:spacing w:line="440" w:lineRule="atLeast"/>
        <w:outlineLvl w:val="2"/>
        <w:rPr>
          <w:rFonts w:hint="eastAsia" w:ascii="宋体" w:hAnsi="宋体" w:eastAsia="宋体" w:cs="宋体"/>
          <w:b/>
          <w:bCs/>
          <w:iCs/>
          <w:color w:val="auto"/>
          <w:kern w:val="2"/>
          <w:sz w:val="28"/>
          <w:szCs w:val="28"/>
          <w:highlight w:val="none"/>
          <w:lang w:val="en-US" w:eastAsia="zh-CN" w:bidi="ar-SA"/>
        </w:rPr>
      </w:pPr>
      <w:r>
        <w:rPr>
          <w:rFonts w:hint="eastAsia" w:ascii="宋体" w:hAnsi="宋体" w:cs="宋体"/>
          <w:b/>
          <w:bCs/>
          <w:iCs/>
          <w:color w:val="auto"/>
          <w:kern w:val="2"/>
          <w:sz w:val="28"/>
          <w:szCs w:val="28"/>
          <w:highlight w:val="none"/>
          <w:lang w:val="en-US" w:eastAsia="zh-CN" w:bidi="ar-SA"/>
        </w:rPr>
        <w:t>7.</w:t>
      </w:r>
      <w:r>
        <w:rPr>
          <w:rFonts w:hint="eastAsia" w:ascii="宋体" w:hAnsi="宋体" w:eastAsia="宋体" w:cs="宋体"/>
          <w:b/>
          <w:bCs/>
          <w:iCs/>
          <w:color w:val="auto"/>
          <w:kern w:val="2"/>
          <w:sz w:val="28"/>
          <w:szCs w:val="28"/>
          <w:highlight w:val="none"/>
          <w:lang w:val="en-US" w:eastAsia="zh-CN" w:bidi="ar-SA"/>
        </w:rPr>
        <w:t>《</w:t>
      </w:r>
      <w:r>
        <w:rPr>
          <w:rFonts w:hint="eastAsia" w:ascii="宋体" w:hAnsi="宋体" w:eastAsia="宋体" w:cs="宋体"/>
          <w:b/>
          <w:color w:val="auto"/>
          <w:sz w:val="28"/>
          <w:szCs w:val="28"/>
          <w:highlight w:val="none"/>
          <w:lang w:val="en-US" w:eastAsia="zh-CN"/>
        </w:rPr>
        <w:t>中小企业</w:t>
      </w:r>
      <w:r>
        <w:rPr>
          <w:rFonts w:hint="eastAsia" w:ascii="宋体" w:hAnsi="宋体" w:eastAsia="宋体" w:cs="宋体"/>
          <w:b/>
          <w:bCs/>
          <w:iCs/>
          <w:color w:val="auto"/>
          <w:kern w:val="2"/>
          <w:sz w:val="28"/>
          <w:szCs w:val="28"/>
          <w:highlight w:val="none"/>
          <w:lang w:val="en-US" w:eastAsia="zh-CN" w:bidi="ar-SA"/>
        </w:rPr>
        <w:t>声明函》或《残疾人福利性单位声明函》或省级以上监狱管理局、戒毒管理局（含新疆生产建设兵团）出具的属于监狱企业的证明文件复印件（必须提供其中一项）；</w:t>
      </w:r>
    </w:p>
    <w:p w14:paraId="7DF8F374">
      <w:pPr>
        <w:keepNext w:val="0"/>
        <w:keepLines w:val="0"/>
        <w:pageBreakBefore w:val="0"/>
        <w:widowControl w:val="0"/>
        <w:wordWrap/>
        <w:topLinePunct w:val="0"/>
        <w:bidi w:val="0"/>
        <w:jc w:val="center"/>
        <w:outlineLvl w:val="9"/>
        <w:rPr>
          <w:rStyle w:val="48"/>
          <w:rFonts w:ascii="宋体" w:hAnsi="宋体" w:cs="宋体"/>
          <w:b/>
          <w:bCs/>
          <w:color w:val="auto"/>
          <w:kern w:val="0"/>
          <w:sz w:val="21"/>
          <w:szCs w:val="21"/>
          <w:highlight w:val="none"/>
        </w:rPr>
      </w:pPr>
    </w:p>
    <w:p w14:paraId="6DB5D52D">
      <w:pPr>
        <w:keepNext w:val="0"/>
        <w:keepLines w:val="0"/>
        <w:pageBreakBefore w:val="0"/>
        <w:widowControl w:val="0"/>
        <w:wordWrap/>
        <w:topLinePunct w:val="0"/>
        <w:bidi w:val="0"/>
        <w:jc w:val="center"/>
        <w:outlineLvl w:val="9"/>
        <w:rPr>
          <w:rStyle w:val="48"/>
          <w:rFonts w:ascii="宋体" w:hAnsi="宋体" w:cs="宋体"/>
          <w:b/>
          <w:bCs/>
          <w:color w:val="auto"/>
          <w:kern w:val="0"/>
          <w:sz w:val="24"/>
          <w:szCs w:val="24"/>
          <w:highlight w:val="none"/>
        </w:rPr>
      </w:pPr>
      <w:r>
        <w:rPr>
          <w:rStyle w:val="48"/>
          <w:rFonts w:hint="eastAsia" w:ascii="宋体" w:hAnsi="宋体" w:cs="宋体"/>
          <w:b/>
          <w:bCs/>
          <w:color w:val="auto"/>
          <w:kern w:val="0"/>
          <w:sz w:val="24"/>
          <w:szCs w:val="24"/>
          <w:highlight w:val="none"/>
          <w:lang w:eastAsia="zh-CN"/>
        </w:rPr>
        <w:t>（</w:t>
      </w:r>
      <w:r>
        <w:rPr>
          <w:rStyle w:val="48"/>
          <w:rFonts w:hint="eastAsia" w:ascii="宋体" w:hAnsi="宋体" w:cs="宋体"/>
          <w:b/>
          <w:bCs/>
          <w:color w:val="auto"/>
          <w:kern w:val="0"/>
          <w:sz w:val="24"/>
          <w:szCs w:val="24"/>
          <w:highlight w:val="none"/>
          <w:lang w:val="en-US" w:eastAsia="zh-CN"/>
        </w:rPr>
        <w:t>1</w:t>
      </w:r>
      <w:r>
        <w:rPr>
          <w:rStyle w:val="48"/>
          <w:rFonts w:hint="eastAsia" w:ascii="宋体" w:hAnsi="宋体" w:cs="宋体"/>
          <w:b/>
          <w:bCs/>
          <w:color w:val="auto"/>
          <w:kern w:val="0"/>
          <w:sz w:val="24"/>
          <w:szCs w:val="24"/>
          <w:highlight w:val="none"/>
          <w:lang w:eastAsia="zh-CN"/>
        </w:rPr>
        <w:t>）</w:t>
      </w:r>
      <w:r>
        <w:rPr>
          <w:rStyle w:val="48"/>
          <w:rFonts w:hint="eastAsia" w:ascii="宋体" w:hAnsi="宋体" w:cs="宋体"/>
          <w:b/>
          <w:bCs/>
          <w:color w:val="auto"/>
          <w:kern w:val="0"/>
          <w:sz w:val="24"/>
          <w:szCs w:val="24"/>
          <w:highlight w:val="none"/>
          <w:lang w:val="en-US" w:eastAsia="zh-CN"/>
        </w:rPr>
        <w:t>中小</w:t>
      </w:r>
      <w:r>
        <w:rPr>
          <w:rStyle w:val="48"/>
          <w:rFonts w:ascii="宋体" w:hAnsi="宋体" w:cs="宋体"/>
          <w:b/>
          <w:bCs/>
          <w:color w:val="auto"/>
          <w:kern w:val="0"/>
          <w:sz w:val="24"/>
          <w:szCs w:val="24"/>
          <w:highlight w:val="none"/>
        </w:rPr>
        <w:t>企业声明函（</w:t>
      </w:r>
      <w:r>
        <w:rPr>
          <w:rStyle w:val="48"/>
          <w:rFonts w:hint="eastAsia" w:ascii="宋体" w:hAnsi="宋体" w:cs="宋体"/>
          <w:b/>
          <w:bCs/>
          <w:color w:val="auto"/>
          <w:kern w:val="0"/>
          <w:sz w:val="24"/>
          <w:szCs w:val="24"/>
          <w:highlight w:val="none"/>
        </w:rPr>
        <w:t>工程</w:t>
      </w:r>
      <w:r>
        <w:rPr>
          <w:rStyle w:val="48"/>
          <w:rFonts w:ascii="宋体" w:hAnsi="宋体" w:cs="宋体"/>
          <w:b/>
          <w:bCs/>
          <w:color w:val="auto"/>
          <w:kern w:val="0"/>
          <w:sz w:val="24"/>
          <w:szCs w:val="24"/>
          <w:highlight w:val="none"/>
        </w:rPr>
        <w:t>）</w:t>
      </w:r>
    </w:p>
    <w:p w14:paraId="6F4B297A">
      <w:pPr>
        <w:pStyle w:val="49"/>
        <w:keepNext w:val="0"/>
        <w:keepLines w:val="0"/>
        <w:pageBreakBefore w:val="0"/>
        <w:widowControl w:val="0"/>
        <w:wordWrap/>
        <w:topLinePunct w:val="0"/>
        <w:bidi w:val="0"/>
        <w:ind w:left="63" w:right="63"/>
        <w:outlineLvl w:val="9"/>
        <w:rPr>
          <w:color w:val="auto"/>
          <w:sz w:val="21"/>
          <w:szCs w:val="21"/>
          <w:highlight w:val="none"/>
        </w:rPr>
      </w:pPr>
    </w:p>
    <w:p w14:paraId="0D3DBC69">
      <w:pPr>
        <w:keepNext w:val="0"/>
        <w:keepLines w:val="0"/>
        <w:pageBreakBefore w:val="0"/>
        <w:widowControl w:val="0"/>
        <w:kinsoku/>
        <w:wordWrap/>
        <w:overflowPunct/>
        <w:topLinePunct w:val="0"/>
        <w:autoSpaceDE/>
        <w:autoSpaceDN/>
        <w:bidi w:val="0"/>
        <w:adjustRightInd/>
        <w:snapToGrid/>
        <w:spacing w:line="360" w:lineRule="exact"/>
        <w:ind w:firstLine="482"/>
        <w:jc w:val="left"/>
        <w:textAlignment w:val="auto"/>
        <w:outlineLvl w:val="9"/>
        <w:rPr>
          <w:rStyle w:val="48"/>
          <w:rFonts w:ascii="宋体" w:hAnsi="宋体"/>
          <w:color w:val="auto"/>
          <w:kern w:val="0"/>
          <w:sz w:val="21"/>
          <w:szCs w:val="21"/>
          <w:highlight w:val="none"/>
        </w:rPr>
      </w:pPr>
      <w:r>
        <w:rPr>
          <w:rStyle w:val="48"/>
          <w:rFonts w:ascii="宋体" w:hAnsi="宋体"/>
          <w:color w:val="auto"/>
          <w:kern w:val="0"/>
          <w:sz w:val="21"/>
          <w:szCs w:val="21"/>
          <w:highlight w:val="none"/>
        </w:rPr>
        <w:t>本公司郑重声明，根据《政府采购促进中小企业发展管理办法》（财库﹝2020﹞46 号）的规定，本公司参加</w:t>
      </w:r>
      <w:r>
        <w:rPr>
          <w:rStyle w:val="48"/>
          <w:rFonts w:ascii="宋体" w:hAnsi="宋体"/>
          <w:color w:val="auto"/>
          <w:kern w:val="0"/>
          <w:sz w:val="21"/>
          <w:szCs w:val="21"/>
          <w:highlight w:val="none"/>
          <w:u w:val="single" w:color="000000"/>
        </w:rPr>
        <w:t>（单位名称）</w:t>
      </w:r>
      <w:r>
        <w:rPr>
          <w:rStyle w:val="48"/>
          <w:rFonts w:ascii="宋体" w:hAnsi="宋体"/>
          <w:color w:val="auto"/>
          <w:kern w:val="0"/>
          <w:sz w:val="21"/>
          <w:szCs w:val="21"/>
          <w:highlight w:val="none"/>
        </w:rPr>
        <w:t>的</w:t>
      </w:r>
      <w:r>
        <w:rPr>
          <w:rStyle w:val="48"/>
          <w:rFonts w:ascii="宋体" w:hAnsi="宋体"/>
          <w:color w:val="auto"/>
          <w:kern w:val="0"/>
          <w:sz w:val="21"/>
          <w:szCs w:val="21"/>
          <w:highlight w:val="none"/>
          <w:u w:val="single" w:color="000000"/>
        </w:rPr>
        <w:t>（项目名称）</w:t>
      </w:r>
      <w:r>
        <w:rPr>
          <w:rStyle w:val="48"/>
          <w:rFonts w:ascii="宋体" w:hAnsi="宋体"/>
          <w:color w:val="auto"/>
          <w:kern w:val="0"/>
          <w:sz w:val="21"/>
          <w:szCs w:val="21"/>
          <w:highlight w:val="none"/>
        </w:rPr>
        <w:t>采购活动，</w:t>
      </w:r>
      <w:r>
        <w:rPr>
          <w:rStyle w:val="48"/>
          <w:rFonts w:hint="eastAsia" w:ascii="宋体" w:hAnsi="宋体" w:eastAsia="宋体"/>
          <w:color w:val="auto"/>
          <w:kern w:val="0"/>
          <w:sz w:val="21"/>
          <w:szCs w:val="21"/>
          <w:highlight w:val="none"/>
          <w:lang w:val="en-US" w:eastAsia="zh-CN"/>
        </w:rPr>
        <w:t>工程的施工单位</w:t>
      </w:r>
      <w:r>
        <w:rPr>
          <w:rStyle w:val="48"/>
          <w:rFonts w:ascii="宋体" w:hAnsi="宋体"/>
          <w:color w:val="auto"/>
          <w:kern w:val="0"/>
          <w:sz w:val="21"/>
          <w:szCs w:val="21"/>
          <w:highlight w:val="none"/>
        </w:rPr>
        <w:t>全部</w:t>
      </w:r>
      <w:r>
        <w:rPr>
          <w:rStyle w:val="48"/>
          <w:rFonts w:hint="eastAsia" w:ascii="宋体" w:hAnsi="宋体" w:eastAsia="宋体"/>
          <w:color w:val="auto"/>
          <w:kern w:val="0"/>
          <w:sz w:val="21"/>
          <w:szCs w:val="21"/>
          <w:highlight w:val="none"/>
          <w:lang w:val="en-US" w:eastAsia="zh-CN"/>
        </w:rPr>
        <w:t>为</w:t>
      </w:r>
      <w:r>
        <w:rPr>
          <w:rStyle w:val="48"/>
          <w:rFonts w:ascii="宋体" w:hAnsi="宋体"/>
          <w:color w:val="auto"/>
          <w:kern w:val="0"/>
          <w:sz w:val="21"/>
          <w:szCs w:val="21"/>
          <w:highlight w:val="none"/>
        </w:rPr>
        <w:t>符合政策要求的中小企业。相关企业（含联合体中的中小企业、签订分包意向协议的中小企业）的具体情况如下：</w:t>
      </w:r>
    </w:p>
    <w:p w14:paraId="3DB1E270">
      <w:pPr>
        <w:keepNext w:val="0"/>
        <w:keepLines w:val="0"/>
        <w:pageBreakBefore w:val="0"/>
        <w:widowControl w:val="0"/>
        <w:kinsoku/>
        <w:wordWrap/>
        <w:overflowPunct/>
        <w:topLinePunct w:val="0"/>
        <w:autoSpaceDE/>
        <w:autoSpaceDN/>
        <w:bidi w:val="0"/>
        <w:adjustRightInd/>
        <w:snapToGrid/>
        <w:spacing w:line="360" w:lineRule="exact"/>
        <w:ind w:firstLine="482"/>
        <w:jc w:val="left"/>
        <w:textAlignment w:val="auto"/>
        <w:outlineLvl w:val="9"/>
        <w:rPr>
          <w:rStyle w:val="48"/>
          <w:rFonts w:ascii="宋体" w:hAnsi="宋体"/>
          <w:color w:val="auto"/>
          <w:kern w:val="0"/>
          <w:sz w:val="21"/>
          <w:szCs w:val="21"/>
          <w:highlight w:val="none"/>
        </w:rPr>
      </w:pPr>
      <w:r>
        <w:rPr>
          <w:rStyle w:val="48"/>
          <w:rFonts w:ascii="宋体" w:hAnsi="宋体"/>
          <w:color w:val="auto"/>
          <w:kern w:val="0"/>
          <w:sz w:val="21"/>
          <w:szCs w:val="21"/>
          <w:highlight w:val="none"/>
        </w:rPr>
        <w:t xml:space="preserve">1. </w:t>
      </w:r>
      <w:r>
        <w:rPr>
          <w:rStyle w:val="48"/>
          <w:rFonts w:ascii="宋体" w:hAnsi="宋体"/>
          <w:color w:val="auto"/>
          <w:kern w:val="0"/>
          <w:sz w:val="21"/>
          <w:szCs w:val="21"/>
          <w:highlight w:val="none"/>
          <w:u w:val="single" w:color="000000"/>
        </w:rPr>
        <w:t xml:space="preserve">（标的名称） </w:t>
      </w:r>
      <w:r>
        <w:rPr>
          <w:rStyle w:val="48"/>
          <w:rFonts w:ascii="宋体" w:hAnsi="宋体"/>
          <w:color w:val="auto"/>
          <w:kern w:val="0"/>
          <w:sz w:val="21"/>
          <w:szCs w:val="21"/>
          <w:highlight w:val="none"/>
        </w:rPr>
        <w:t xml:space="preserve">，属于 </w:t>
      </w:r>
      <w:r>
        <w:rPr>
          <w:rStyle w:val="48"/>
          <w:rFonts w:ascii="宋体" w:hAnsi="宋体"/>
          <w:color w:val="auto"/>
          <w:kern w:val="0"/>
          <w:sz w:val="21"/>
          <w:szCs w:val="21"/>
          <w:highlight w:val="none"/>
          <w:u w:val="single" w:color="000000"/>
        </w:rPr>
        <w:t>（</w:t>
      </w:r>
      <w:r>
        <w:rPr>
          <w:rStyle w:val="48"/>
          <w:rFonts w:hint="eastAsia" w:ascii="宋体" w:hAnsi="宋体"/>
          <w:color w:val="auto"/>
          <w:kern w:val="0"/>
          <w:sz w:val="21"/>
          <w:szCs w:val="21"/>
          <w:highlight w:val="none"/>
          <w:u w:val="single" w:color="000000"/>
        </w:rPr>
        <w:t>招标</w:t>
      </w:r>
      <w:r>
        <w:rPr>
          <w:rStyle w:val="48"/>
          <w:rFonts w:ascii="宋体" w:hAnsi="宋体"/>
          <w:color w:val="auto"/>
          <w:kern w:val="0"/>
          <w:sz w:val="21"/>
          <w:szCs w:val="21"/>
          <w:highlight w:val="none"/>
          <w:u w:val="single" w:color="000000"/>
        </w:rPr>
        <w:t xml:space="preserve">文件中明确的所属行业） </w:t>
      </w:r>
      <w:r>
        <w:rPr>
          <w:rStyle w:val="48"/>
          <w:rFonts w:ascii="宋体" w:hAnsi="宋体"/>
          <w:color w:val="auto"/>
          <w:kern w:val="0"/>
          <w:sz w:val="21"/>
          <w:szCs w:val="21"/>
          <w:highlight w:val="none"/>
        </w:rPr>
        <w:t>； 承接企业为</w:t>
      </w:r>
      <w:r>
        <w:rPr>
          <w:rStyle w:val="48"/>
          <w:rFonts w:ascii="宋体" w:hAnsi="宋体"/>
          <w:color w:val="auto"/>
          <w:kern w:val="0"/>
          <w:sz w:val="21"/>
          <w:szCs w:val="21"/>
          <w:highlight w:val="none"/>
          <w:u w:val="single" w:color="000000"/>
        </w:rPr>
        <w:t>（企业名称）</w:t>
      </w:r>
      <w:r>
        <w:rPr>
          <w:rStyle w:val="48"/>
          <w:rFonts w:ascii="宋体" w:hAnsi="宋体"/>
          <w:color w:val="auto"/>
          <w:kern w:val="0"/>
          <w:sz w:val="21"/>
          <w:szCs w:val="21"/>
          <w:highlight w:val="none"/>
        </w:rPr>
        <w:t>，从业人员</w:t>
      </w:r>
      <w:r>
        <w:rPr>
          <w:rStyle w:val="48"/>
          <w:rFonts w:ascii="宋体" w:hAnsi="宋体"/>
          <w:color w:val="auto"/>
          <w:kern w:val="0"/>
          <w:sz w:val="21"/>
          <w:szCs w:val="21"/>
          <w:highlight w:val="none"/>
          <w:u w:val="single" w:color="000000"/>
        </w:rPr>
        <w:t xml:space="preserve">    </w:t>
      </w:r>
      <w:r>
        <w:rPr>
          <w:rStyle w:val="48"/>
          <w:rFonts w:ascii="宋体" w:hAnsi="宋体"/>
          <w:color w:val="auto"/>
          <w:kern w:val="0"/>
          <w:sz w:val="21"/>
          <w:szCs w:val="21"/>
          <w:highlight w:val="none"/>
        </w:rPr>
        <w:t>人，营业收入为</w:t>
      </w:r>
      <w:r>
        <w:rPr>
          <w:rStyle w:val="48"/>
          <w:rFonts w:ascii="宋体" w:hAnsi="宋体"/>
          <w:color w:val="auto"/>
          <w:kern w:val="0"/>
          <w:sz w:val="21"/>
          <w:szCs w:val="21"/>
          <w:highlight w:val="none"/>
          <w:u w:val="single" w:color="000000"/>
        </w:rPr>
        <w:t xml:space="preserve">    </w:t>
      </w:r>
      <w:r>
        <w:rPr>
          <w:rStyle w:val="48"/>
          <w:rFonts w:ascii="宋体" w:hAnsi="宋体"/>
          <w:color w:val="auto"/>
          <w:kern w:val="0"/>
          <w:sz w:val="21"/>
          <w:szCs w:val="21"/>
          <w:highlight w:val="none"/>
        </w:rPr>
        <w:t>万元，资产总额为</w:t>
      </w:r>
      <w:r>
        <w:rPr>
          <w:rStyle w:val="48"/>
          <w:rFonts w:ascii="宋体" w:hAnsi="宋体"/>
          <w:color w:val="auto"/>
          <w:kern w:val="0"/>
          <w:sz w:val="21"/>
          <w:szCs w:val="21"/>
          <w:highlight w:val="none"/>
          <w:u w:val="single" w:color="000000"/>
        </w:rPr>
        <w:t xml:space="preserve">    </w:t>
      </w:r>
      <w:r>
        <w:rPr>
          <w:rStyle w:val="48"/>
          <w:rFonts w:ascii="宋体" w:hAnsi="宋体"/>
          <w:color w:val="auto"/>
          <w:kern w:val="0"/>
          <w:sz w:val="21"/>
          <w:szCs w:val="21"/>
          <w:highlight w:val="none"/>
        </w:rPr>
        <w:t>万元，属于</w:t>
      </w:r>
      <w:r>
        <w:rPr>
          <w:rStyle w:val="48"/>
          <w:rFonts w:ascii="宋体" w:hAnsi="宋体"/>
          <w:color w:val="auto"/>
          <w:kern w:val="0"/>
          <w:sz w:val="21"/>
          <w:szCs w:val="21"/>
          <w:highlight w:val="none"/>
          <w:u w:val="single" w:color="000000"/>
        </w:rPr>
        <w:t>（</w:t>
      </w:r>
      <w:r>
        <w:rPr>
          <w:rStyle w:val="48"/>
          <w:rFonts w:hint="eastAsia" w:ascii="宋体" w:hAnsi="宋体"/>
          <w:color w:val="auto"/>
          <w:kern w:val="0"/>
          <w:sz w:val="21"/>
          <w:szCs w:val="21"/>
          <w:highlight w:val="none"/>
          <w:u w:val="single" w:color="000000"/>
          <w:lang w:val="en-US" w:eastAsia="zh-CN"/>
        </w:rPr>
        <w:t>中型</w:t>
      </w:r>
      <w:r>
        <w:rPr>
          <w:rStyle w:val="48"/>
          <w:rFonts w:hint="eastAsia" w:ascii="宋体" w:hAnsi="宋体"/>
          <w:color w:val="auto"/>
          <w:kern w:val="0"/>
          <w:sz w:val="21"/>
          <w:szCs w:val="21"/>
          <w:highlight w:val="none"/>
          <w:u w:val="single" w:color="000000"/>
        </w:rPr>
        <w:t>企业</w:t>
      </w:r>
      <w:r>
        <w:rPr>
          <w:rStyle w:val="48"/>
          <w:rFonts w:hint="eastAsia" w:ascii="宋体" w:hAnsi="宋体"/>
          <w:color w:val="auto"/>
          <w:kern w:val="0"/>
          <w:sz w:val="21"/>
          <w:szCs w:val="21"/>
          <w:highlight w:val="none"/>
          <w:u w:val="single" w:color="000000"/>
          <w:lang w:eastAsia="zh-CN"/>
        </w:rPr>
        <w:t>、</w:t>
      </w:r>
      <w:r>
        <w:rPr>
          <w:rStyle w:val="48"/>
          <w:rFonts w:ascii="宋体" w:hAnsi="宋体"/>
          <w:color w:val="auto"/>
          <w:kern w:val="0"/>
          <w:sz w:val="21"/>
          <w:szCs w:val="21"/>
          <w:highlight w:val="none"/>
          <w:u w:val="single" w:color="000000"/>
        </w:rPr>
        <w:t>小型企业、微型企业）</w:t>
      </w:r>
      <w:r>
        <w:rPr>
          <w:rStyle w:val="48"/>
          <w:rFonts w:ascii="宋体" w:hAnsi="宋体"/>
          <w:color w:val="auto"/>
          <w:kern w:val="0"/>
          <w:sz w:val="21"/>
          <w:szCs w:val="21"/>
          <w:highlight w:val="none"/>
        </w:rPr>
        <w:t xml:space="preserve">； </w:t>
      </w:r>
    </w:p>
    <w:p w14:paraId="41BA7345">
      <w:pPr>
        <w:keepNext w:val="0"/>
        <w:keepLines w:val="0"/>
        <w:pageBreakBefore w:val="0"/>
        <w:widowControl w:val="0"/>
        <w:kinsoku/>
        <w:wordWrap/>
        <w:overflowPunct/>
        <w:topLinePunct w:val="0"/>
        <w:autoSpaceDE/>
        <w:autoSpaceDN/>
        <w:bidi w:val="0"/>
        <w:adjustRightInd/>
        <w:snapToGrid/>
        <w:spacing w:line="360" w:lineRule="exact"/>
        <w:ind w:firstLine="482"/>
        <w:jc w:val="left"/>
        <w:textAlignment w:val="auto"/>
        <w:outlineLvl w:val="9"/>
        <w:rPr>
          <w:rStyle w:val="48"/>
          <w:rFonts w:ascii="宋体" w:hAnsi="宋体"/>
          <w:color w:val="auto"/>
          <w:kern w:val="0"/>
          <w:sz w:val="21"/>
          <w:szCs w:val="21"/>
          <w:highlight w:val="none"/>
        </w:rPr>
      </w:pPr>
      <w:r>
        <w:rPr>
          <w:rStyle w:val="48"/>
          <w:rFonts w:ascii="宋体" w:hAnsi="宋体"/>
          <w:color w:val="auto"/>
          <w:kern w:val="0"/>
          <w:sz w:val="21"/>
          <w:szCs w:val="21"/>
          <w:highlight w:val="none"/>
        </w:rPr>
        <w:t>以上企业，不属于大企业的分支机构，不存在控股股东 为大企业的情形，也不存在与大企业的负责人为同一人的情形。</w:t>
      </w:r>
    </w:p>
    <w:p w14:paraId="64C9BA6C">
      <w:pPr>
        <w:keepNext w:val="0"/>
        <w:keepLines w:val="0"/>
        <w:pageBreakBefore w:val="0"/>
        <w:widowControl w:val="0"/>
        <w:kinsoku/>
        <w:wordWrap/>
        <w:overflowPunct/>
        <w:topLinePunct w:val="0"/>
        <w:autoSpaceDE/>
        <w:autoSpaceDN/>
        <w:bidi w:val="0"/>
        <w:adjustRightInd/>
        <w:snapToGrid/>
        <w:spacing w:line="360" w:lineRule="exact"/>
        <w:ind w:firstLine="482"/>
        <w:jc w:val="left"/>
        <w:textAlignment w:val="auto"/>
        <w:outlineLvl w:val="9"/>
        <w:rPr>
          <w:rStyle w:val="48"/>
          <w:rFonts w:ascii="宋体" w:hAnsi="宋体"/>
          <w:color w:val="auto"/>
          <w:kern w:val="0"/>
          <w:sz w:val="21"/>
          <w:szCs w:val="21"/>
          <w:highlight w:val="none"/>
        </w:rPr>
      </w:pPr>
      <w:r>
        <w:rPr>
          <w:rStyle w:val="48"/>
          <w:rFonts w:ascii="宋体" w:hAnsi="宋体"/>
          <w:color w:val="auto"/>
          <w:kern w:val="0"/>
          <w:sz w:val="21"/>
          <w:szCs w:val="21"/>
          <w:highlight w:val="none"/>
        </w:rPr>
        <w:t xml:space="preserve">本企业对上述声明内容的真实性负责。如有虚假，将依法承担相应责任。 </w:t>
      </w:r>
    </w:p>
    <w:p w14:paraId="7E4401CA">
      <w:pPr>
        <w:keepNext w:val="0"/>
        <w:keepLines w:val="0"/>
        <w:pageBreakBefore w:val="0"/>
        <w:widowControl w:val="0"/>
        <w:kinsoku/>
        <w:wordWrap/>
        <w:overflowPunct/>
        <w:topLinePunct w:val="0"/>
        <w:autoSpaceDE/>
        <w:autoSpaceDN/>
        <w:bidi w:val="0"/>
        <w:adjustRightInd/>
        <w:snapToGrid/>
        <w:spacing w:line="360" w:lineRule="exact"/>
        <w:ind w:firstLine="482"/>
        <w:jc w:val="left"/>
        <w:textAlignment w:val="auto"/>
        <w:outlineLvl w:val="9"/>
        <w:rPr>
          <w:rStyle w:val="48"/>
          <w:rFonts w:ascii="宋体" w:hAnsi="宋体"/>
          <w:color w:val="auto"/>
          <w:kern w:val="0"/>
          <w:sz w:val="21"/>
          <w:szCs w:val="21"/>
          <w:highlight w:val="none"/>
        </w:rPr>
      </w:pPr>
    </w:p>
    <w:p w14:paraId="31203DFD">
      <w:pPr>
        <w:keepNext w:val="0"/>
        <w:keepLines w:val="0"/>
        <w:pageBreakBefore w:val="0"/>
        <w:widowControl w:val="0"/>
        <w:wordWrap/>
        <w:topLinePunct w:val="0"/>
        <w:bidi w:val="0"/>
        <w:ind w:firstLine="2310" w:firstLineChars="11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29AF1A3A">
      <w:pPr>
        <w:pStyle w:val="12"/>
        <w:keepNext w:val="0"/>
        <w:keepLines w:val="0"/>
        <w:pageBreakBefore w:val="0"/>
        <w:widowControl w:val="0"/>
        <w:wordWrap/>
        <w:topLinePunct w:val="0"/>
        <w:bidi w:val="0"/>
        <w:spacing w:line="300" w:lineRule="exact"/>
        <w:ind w:left="2940" w:leftChars="1400" w:firstLine="630" w:firstLineChars="300"/>
        <w:outlineLvl w:val="9"/>
        <w:rPr>
          <w:rFonts w:hint="eastAsia" w:ascii="宋体" w:hAnsi="宋体" w:eastAsia="宋体" w:cs="宋体"/>
          <w:color w:val="auto"/>
          <w:highlight w:val="none"/>
        </w:rPr>
      </w:pPr>
    </w:p>
    <w:p w14:paraId="48B5BE05">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420" w:leftChars="0"/>
        <w:jc w:val="center"/>
        <w:textAlignment w:val="auto"/>
        <w:outlineLvl w:val="9"/>
        <w:rPr>
          <w:rFonts w:hint="eastAsia"/>
          <w:color w:val="auto"/>
          <w:highlight w:val="non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53859393">
      <w:pPr>
        <w:keepNext w:val="0"/>
        <w:keepLines w:val="0"/>
        <w:pageBreakBefore w:val="0"/>
        <w:widowControl w:val="0"/>
        <w:wordWrap/>
        <w:topLinePunct w:val="0"/>
        <w:bidi w:val="0"/>
        <w:outlineLvl w:val="9"/>
        <w:rPr>
          <w:rFonts w:hint="eastAsia" w:ascii="宋体" w:hAnsi="宋体" w:eastAsia="宋体" w:cs="宋体"/>
          <w:b/>
          <w:color w:val="auto"/>
          <w:sz w:val="21"/>
          <w:szCs w:val="21"/>
          <w:highlight w:val="none"/>
        </w:rPr>
      </w:pPr>
    </w:p>
    <w:p w14:paraId="79FD66BE">
      <w:pPr>
        <w:keepNext w:val="0"/>
        <w:keepLines w:val="0"/>
        <w:pageBreakBefore w:val="0"/>
        <w:widowControl w:val="0"/>
        <w:wordWrap/>
        <w:topLinePunct w:val="0"/>
        <w:bidi w:val="0"/>
        <w:outlineLvl w:val="9"/>
        <w:rPr>
          <w:rStyle w:val="48"/>
          <w:rFonts w:ascii="宋体" w:hAnsi="宋体" w:cs="宋体"/>
          <w:b/>
          <w:bCs/>
          <w:color w:val="auto"/>
          <w:sz w:val="30"/>
          <w:szCs w:val="30"/>
          <w:highlight w:val="none"/>
        </w:rPr>
      </w:pPr>
      <w:r>
        <w:rPr>
          <w:rFonts w:hint="eastAsia" w:ascii="宋体" w:hAnsi="宋体" w:eastAsia="宋体" w:cs="宋体"/>
          <w:b/>
          <w:color w:val="auto"/>
          <w:sz w:val="21"/>
          <w:szCs w:val="21"/>
          <w:highlight w:val="none"/>
        </w:rPr>
        <w:t>备注：供应商应按照</w:t>
      </w:r>
      <w:r>
        <w:rPr>
          <w:rFonts w:hint="eastAsia" w:ascii="宋体" w:hAnsi="宋体" w:eastAsia="宋体" w:cs="宋体"/>
          <w:b/>
          <w:color w:val="auto"/>
          <w:sz w:val="21"/>
          <w:szCs w:val="21"/>
          <w:highlight w:val="none"/>
          <w:lang w:val="en-US" w:eastAsia="zh-CN"/>
        </w:rPr>
        <w:t>中小微型企业划分标准按照《国家统计局关于印发《统计上大中小微型企业划分办法〔2017〕》的通知》（国统字〔2017〕213号）</w:t>
      </w:r>
      <w:r>
        <w:rPr>
          <w:rFonts w:hint="eastAsia" w:ascii="宋体" w:hAnsi="宋体" w:eastAsia="宋体" w:cs="宋体"/>
          <w:b/>
          <w:color w:val="auto"/>
          <w:sz w:val="21"/>
          <w:szCs w:val="21"/>
          <w:highlight w:val="none"/>
        </w:rPr>
        <w:t>的划分标准进行如实申明，如提供虚假申明应依法承担相应法律责任。如成交人为小型和微型企业的，</w:t>
      </w:r>
      <w:r>
        <w:rPr>
          <w:rFonts w:hint="eastAsia" w:eastAsia="宋体" w:cs="宋体"/>
          <w:b/>
          <w:color w:val="auto"/>
          <w:sz w:val="21"/>
          <w:szCs w:val="21"/>
          <w:highlight w:val="none"/>
          <w:lang w:val="en-US" w:eastAsia="zh-CN"/>
        </w:rPr>
        <w:t>成交</w:t>
      </w:r>
      <w:r>
        <w:rPr>
          <w:rFonts w:hint="eastAsia" w:ascii="宋体" w:hAnsi="宋体" w:eastAsia="宋体" w:cs="宋体"/>
          <w:b/>
          <w:color w:val="auto"/>
          <w:sz w:val="21"/>
          <w:szCs w:val="21"/>
          <w:highlight w:val="none"/>
        </w:rPr>
        <w:t>结果将同时公告（或成交人的《中小企业声明函》，接受社会监督。</w:t>
      </w:r>
      <w:r>
        <w:rPr>
          <w:rStyle w:val="48"/>
          <w:rFonts w:ascii="宋体" w:hAnsi="宋体" w:cs="宋体"/>
          <w:b/>
          <w:bCs/>
          <w:color w:val="auto"/>
          <w:sz w:val="30"/>
          <w:szCs w:val="30"/>
          <w:highlight w:val="none"/>
        </w:rPr>
        <w:br w:type="page"/>
      </w:r>
    </w:p>
    <w:p w14:paraId="255D7030">
      <w:pPr>
        <w:keepNext w:val="0"/>
        <w:keepLines w:val="0"/>
        <w:pageBreakBefore w:val="0"/>
        <w:widowControl w:val="0"/>
        <w:wordWrap/>
        <w:topLinePunct w:val="0"/>
        <w:bidi w:val="0"/>
        <w:outlineLvl w:val="9"/>
        <w:rPr>
          <w:rStyle w:val="48"/>
          <w:rFonts w:ascii="宋体" w:hAnsi="宋体" w:cs="宋体"/>
          <w:b/>
          <w:bCs/>
          <w:color w:val="auto"/>
          <w:highlight w:val="none"/>
        </w:rPr>
      </w:pPr>
      <w:r>
        <w:rPr>
          <w:rStyle w:val="48"/>
          <w:rFonts w:ascii="宋体" w:hAnsi="宋体" w:cs="宋体"/>
          <w:b/>
          <w:bCs/>
          <w:color w:val="auto"/>
          <w:sz w:val="30"/>
          <w:szCs w:val="30"/>
          <w:highlight w:val="none"/>
        </w:rPr>
        <w:t>附表</w:t>
      </w:r>
    </w:p>
    <w:p w14:paraId="1E7B230F">
      <w:pPr>
        <w:keepNext w:val="0"/>
        <w:keepLines w:val="0"/>
        <w:pageBreakBefore w:val="0"/>
        <w:widowControl w:val="0"/>
        <w:wordWrap/>
        <w:topLinePunct w:val="0"/>
        <w:bidi w:val="0"/>
        <w:spacing w:before="120" w:after="120" w:line="400" w:lineRule="exact"/>
        <w:jc w:val="center"/>
        <w:outlineLvl w:val="9"/>
        <w:rPr>
          <w:rStyle w:val="48"/>
          <w:rFonts w:ascii="宋体" w:hAnsi="宋体" w:cs="宋体"/>
          <w:b/>
          <w:bCs/>
          <w:color w:val="auto"/>
          <w:kern w:val="0"/>
          <w:sz w:val="30"/>
          <w:szCs w:val="30"/>
          <w:highlight w:val="none"/>
        </w:rPr>
      </w:pPr>
      <w:r>
        <w:rPr>
          <w:rStyle w:val="48"/>
          <w:rFonts w:ascii="宋体" w:hAnsi="宋体" w:cs="宋体"/>
          <w:b/>
          <w:bCs/>
          <w:color w:val="auto"/>
          <w:kern w:val="0"/>
          <w:sz w:val="30"/>
          <w:szCs w:val="30"/>
          <w:highlight w:val="none"/>
        </w:rPr>
        <w:t>统计上大中小微型企业划分标准</w:t>
      </w:r>
    </w:p>
    <w:tbl>
      <w:tblPr>
        <w:tblStyle w:val="27"/>
        <w:tblW w:w="943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13"/>
        <w:gridCol w:w="1369"/>
        <w:gridCol w:w="709"/>
        <w:gridCol w:w="1125"/>
        <w:gridCol w:w="1701"/>
        <w:gridCol w:w="1426"/>
        <w:gridCol w:w="992"/>
      </w:tblGrid>
      <w:tr w14:paraId="067B6A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tblHeader/>
        </w:trPr>
        <w:tc>
          <w:tcPr>
            <w:tcW w:w="2113"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4EED85C8">
            <w:pPr>
              <w:keepNext w:val="0"/>
              <w:keepLines w:val="0"/>
              <w:pageBreakBefore w:val="0"/>
              <w:widowControl w:val="0"/>
              <w:wordWrap/>
              <w:topLinePunct w:val="0"/>
              <w:bidi w:val="0"/>
              <w:spacing w:line="240" w:lineRule="exact"/>
              <w:jc w:val="center"/>
              <w:outlineLvl w:val="9"/>
              <w:rPr>
                <w:rStyle w:val="48"/>
                <w:rFonts w:ascii="宋体" w:hAnsi="宋体" w:cs="宋体"/>
                <w:b/>
                <w:bCs/>
                <w:color w:val="auto"/>
                <w:kern w:val="0"/>
                <w:sz w:val="18"/>
                <w:szCs w:val="21"/>
                <w:highlight w:val="none"/>
              </w:rPr>
            </w:pPr>
            <w:r>
              <w:rPr>
                <w:rStyle w:val="48"/>
                <w:rFonts w:ascii="宋体" w:hAnsi="宋体" w:cs="宋体"/>
                <w:b/>
                <w:bCs/>
                <w:color w:val="auto"/>
                <w:kern w:val="0"/>
                <w:sz w:val="18"/>
                <w:szCs w:val="21"/>
                <w:highlight w:val="none"/>
              </w:rPr>
              <w:t>行业名称</w:t>
            </w:r>
          </w:p>
        </w:tc>
        <w:tc>
          <w:tcPr>
            <w:tcW w:w="1369"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0DB7C8F8">
            <w:pPr>
              <w:keepNext w:val="0"/>
              <w:keepLines w:val="0"/>
              <w:pageBreakBefore w:val="0"/>
              <w:widowControl w:val="0"/>
              <w:wordWrap/>
              <w:topLinePunct w:val="0"/>
              <w:bidi w:val="0"/>
              <w:jc w:val="center"/>
              <w:outlineLvl w:val="9"/>
              <w:rPr>
                <w:rStyle w:val="48"/>
                <w:rFonts w:ascii="宋体" w:hAnsi="宋体" w:cs="宋体"/>
                <w:b/>
                <w:bCs/>
                <w:color w:val="auto"/>
                <w:kern w:val="0"/>
                <w:sz w:val="18"/>
                <w:szCs w:val="18"/>
                <w:highlight w:val="none"/>
              </w:rPr>
            </w:pPr>
            <w:r>
              <w:rPr>
                <w:rStyle w:val="48"/>
                <w:rFonts w:ascii="宋体" w:hAnsi="宋体" w:cs="宋体"/>
                <w:b/>
                <w:bCs/>
                <w:color w:val="auto"/>
                <w:kern w:val="0"/>
                <w:sz w:val="18"/>
                <w:szCs w:val="18"/>
                <w:highlight w:val="none"/>
              </w:rPr>
              <w:t>指标名称</w:t>
            </w:r>
          </w:p>
        </w:tc>
        <w:tc>
          <w:tcPr>
            <w:tcW w:w="709"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50EB4279">
            <w:pPr>
              <w:keepNext w:val="0"/>
              <w:keepLines w:val="0"/>
              <w:pageBreakBefore w:val="0"/>
              <w:widowControl w:val="0"/>
              <w:wordWrap/>
              <w:topLinePunct w:val="0"/>
              <w:bidi w:val="0"/>
              <w:jc w:val="center"/>
              <w:outlineLvl w:val="9"/>
              <w:rPr>
                <w:rStyle w:val="48"/>
                <w:rFonts w:hint="eastAsia" w:ascii="宋体" w:hAnsi="宋体" w:eastAsia="宋体" w:cs="宋体"/>
                <w:b/>
                <w:bCs/>
                <w:color w:val="auto"/>
                <w:kern w:val="0"/>
                <w:sz w:val="18"/>
                <w:szCs w:val="18"/>
                <w:highlight w:val="none"/>
                <w:lang w:eastAsia="zh-CN"/>
              </w:rPr>
            </w:pPr>
            <w:r>
              <w:rPr>
                <w:rStyle w:val="48"/>
                <w:rFonts w:ascii="宋体" w:hAnsi="宋体" w:cs="宋体"/>
                <w:b/>
                <w:bCs/>
                <w:color w:val="auto"/>
                <w:kern w:val="0"/>
                <w:sz w:val="18"/>
                <w:szCs w:val="18"/>
                <w:highlight w:val="none"/>
              </w:rPr>
              <w:t>计量</w:t>
            </w:r>
          </w:p>
          <w:p w14:paraId="7D91B08D">
            <w:pPr>
              <w:keepNext w:val="0"/>
              <w:keepLines w:val="0"/>
              <w:pageBreakBefore w:val="0"/>
              <w:widowControl w:val="0"/>
              <w:wordWrap/>
              <w:topLinePunct w:val="0"/>
              <w:bidi w:val="0"/>
              <w:jc w:val="center"/>
              <w:outlineLvl w:val="9"/>
              <w:rPr>
                <w:rStyle w:val="48"/>
                <w:rFonts w:ascii="宋体" w:hAnsi="宋体" w:cs="宋体"/>
                <w:b/>
                <w:bCs/>
                <w:color w:val="auto"/>
                <w:kern w:val="0"/>
                <w:sz w:val="18"/>
                <w:szCs w:val="18"/>
                <w:highlight w:val="none"/>
              </w:rPr>
            </w:pPr>
            <w:r>
              <w:rPr>
                <w:rStyle w:val="48"/>
                <w:rFonts w:ascii="宋体" w:hAnsi="宋体" w:cs="宋体"/>
                <w:b/>
                <w:bCs/>
                <w:color w:val="auto"/>
                <w:kern w:val="0"/>
                <w:sz w:val="18"/>
                <w:szCs w:val="18"/>
                <w:highlight w:val="none"/>
              </w:rPr>
              <w:t>单位</w:t>
            </w:r>
          </w:p>
        </w:tc>
        <w:tc>
          <w:tcPr>
            <w:tcW w:w="1125"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04F0330F">
            <w:pPr>
              <w:keepNext w:val="0"/>
              <w:keepLines w:val="0"/>
              <w:pageBreakBefore w:val="0"/>
              <w:widowControl w:val="0"/>
              <w:wordWrap/>
              <w:topLinePunct w:val="0"/>
              <w:bidi w:val="0"/>
              <w:jc w:val="center"/>
              <w:outlineLvl w:val="9"/>
              <w:rPr>
                <w:rStyle w:val="48"/>
                <w:rFonts w:ascii="宋体" w:hAnsi="宋体" w:cs="宋体"/>
                <w:b/>
                <w:bCs/>
                <w:color w:val="auto"/>
                <w:kern w:val="0"/>
                <w:sz w:val="18"/>
                <w:szCs w:val="18"/>
                <w:highlight w:val="none"/>
              </w:rPr>
            </w:pPr>
            <w:r>
              <w:rPr>
                <w:rStyle w:val="48"/>
                <w:rFonts w:ascii="宋体" w:hAnsi="宋体" w:cs="宋体"/>
                <w:b/>
                <w:bCs/>
                <w:color w:val="auto"/>
                <w:kern w:val="0"/>
                <w:sz w:val="18"/>
                <w:szCs w:val="18"/>
                <w:highlight w:val="none"/>
              </w:rPr>
              <w:t>大型</w:t>
            </w:r>
          </w:p>
        </w:tc>
        <w:tc>
          <w:tcPr>
            <w:tcW w:w="1701"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3DC94986">
            <w:pPr>
              <w:keepNext w:val="0"/>
              <w:keepLines w:val="0"/>
              <w:pageBreakBefore w:val="0"/>
              <w:widowControl w:val="0"/>
              <w:wordWrap/>
              <w:topLinePunct w:val="0"/>
              <w:bidi w:val="0"/>
              <w:jc w:val="center"/>
              <w:outlineLvl w:val="9"/>
              <w:rPr>
                <w:rStyle w:val="48"/>
                <w:rFonts w:ascii="宋体" w:hAnsi="宋体" w:cs="宋体"/>
                <w:b/>
                <w:bCs/>
                <w:color w:val="auto"/>
                <w:kern w:val="0"/>
                <w:sz w:val="18"/>
                <w:szCs w:val="18"/>
                <w:highlight w:val="none"/>
              </w:rPr>
            </w:pPr>
            <w:r>
              <w:rPr>
                <w:rStyle w:val="48"/>
                <w:rFonts w:ascii="宋体" w:hAnsi="宋体" w:cs="宋体"/>
                <w:b/>
                <w:bCs/>
                <w:color w:val="auto"/>
                <w:kern w:val="0"/>
                <w:sz w:val="18"/>
                <w:szCs w:val="18"/>
                <w:highlight w:val="none"/>
              </w:rPr>
              <w:t>中型</w:t>
            </w:r>
          </w:p>
        </w:tc>
        <w:tc>
          <w:tcPr>
            <w:tcW w:w="1426"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1D78754C">
            <w:pPr>
              <w:keepNext w:val="0"/>
              <w:keepLines w:val="0"/>
              <w:pageBreakBefore w:val="0"/>
              <w:widowControl w:val="0"/>
              <w:wordWrap/>
              <w:topLinePunct w:val="0"/>
              <w:bidi w:val="0"/>
              <w:jc w:val="center"/>
              <w:outlineLvl w:val="9"/>
              <w:rPr>
                <w:rStyle w:val="48"/>
                <w:rFonts w:ascii="宋体" w:hAnsi="宋体" w:cs="宋体"/>
                <w:b/>
                <w:bCs/>
                <w:color w:val="auto"/>
                <w:kern w:val="0"/>
                <w:sz w:val="18"/>
                <w:szCs w:val="18"/>
                <w:highlight w:val="none"/>
              </w:rPr>
            </w:pPr>
            <w:r>
              <w:rPr>
                <w:rStyle w:val="48"/>
                <w:rFonts w:ascii="宋体" w:hAnsi="宋体" w:cs="宋体"/>
                <w:b/>
                <w:bCs/>
                <w:color w:val="auto"/>
                <w:kern w:val="0"/>
                <w:sz w:val="18"/>
                <w:szCs w:val="18"/>
                <w:highlight w:val="none"/>
              </w:rPr>
              <w:t>小型</w:t>
            </w:r>
          </w:p>
        </w:tc>
        <w:tc>
          <w:tcPr>
            <w:tcW w:w="992"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1A6B7C47">
            <w:pPr>
              <w:keepNext w:val="0"/>
              <w:keepLines w:val="0"/>
              <w:pageBreakBefore w:val="0"/>
              <w:widowControl w:val="0"/>
              <w:wordWrap/>
              <w:topLinePunct w:val="0"/>
              <w:bidi w:val="0"/>
              <w:jc w:val="center"/>
              <w:outlineLvl w:val="9"/>
              <w:rPr>
                <w:rStyle w:val="48"/>
                <w:rFonts w:ascii="宋体" w:hAnsi="宋体" w:cs="宋体"/>
                <w:b/>
                <w:bCs/>
                <w:color w:val="auto"/>
                <w:kern w:val="0"/>
                <w:sz w:val="18"/>
                <w:szCs w:val="18"/>
                <w:highlight w:val="none"/>
              </w:rPr>
            </w:pPr>
            <w:r>
              <w:rPr>
                <w:rStyle w:val="48"/>
                <w:rFonts w:ascii="宋体" w:hAnsi="宋体" w:cs="宋体"/>
                <w:b/>
                <w:bCs/>
                <w:color w:val="auto"/>
                <w:kern w:val="0"/>
                <w:sz w:val="18"/>
                <w:szCs w:val="18"/>
                <w:highlight w:val="none"/>
              </w:rPr>
              <w:t>微型</w:t>
            </w:r>
          </w:p>
        </w:tc>
      </w:tr>
      <w:tr w14:paraId="1CDA4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tcBorders>
              <w:top w:val="single" w:color="000000" w:sz="4" w:space="0"/>
              <w:left w:val="single" w:color="000000" w:sz="4" w:space="0"/>
              <w:bottom w:val="single" w:color="000000" w:sz="4" w:space="0"/>
              <w:right w:val="single" w:color="000000" w:sz="4" w:space="0"/>
            </w:tcBorders>
            <w:noWrap w:val="0"/>
            <w:vAlign w:val="center"/>
          </w:tcPr>
          <w:p w14:paraId="0BE48547">
            <w:pPr>
              <w:keepNext w:val="0"/>
              <w:keepLines w:val="0"/>
              <w:pageBreakBefore w:val="0"/>
              <w:widowControl w:val="0"/>
              <w:wordWrap/>
              <w:topLinePunct w:val="0"/>
              <w:bidi w:val="0"/>
              <w:spacing w:line="240" w:lineRule="exact"/>
              <w:jc w:val="left"/>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农、林、牧、渔业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39D8A1FF">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ABADC61">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17476B7">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Y≥20000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F892FAA">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500≤Y＜20000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70C05D5F">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50≤Y＜500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749C8C3">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Y＜50</w:t>
            </w:r>
          </w:p>
        </w:tc>
      </w:tr>
      <w:tr w14:paraId="624B4B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649584F6">
            <w:pPr>
              <w:keepNext w:val="0"/>
              <w:keepLines w:val="0"/>
              <w:pageBreakBefore w:val="0"/>
              <w:widowControl w:val="0"/>
              <w:wordWrap/>
              <w:topLinePunct w:val="0"/>
              <w:bidi w:val="0"/>
              <w:spacing w:line="240" w:lineRule="exact"/>
              <w:jc w:val="left"/>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工业 *</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1321EB10">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1E531D2">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79A1379">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X≥1000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4A8C4EC8">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300≤X＜1000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2B979C72">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20≤X＜300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C8D1FDF">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X＜20</w:t>
            </w:r>
          </w:p>
        </w:tc>
      </w:tr>
      <w:tr w14:paraId="7F8155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CA7350">
            <w:pPr>
              <w:keepNext w:val="0"/>
              <w:keepLines w:val="0"/>
              <w:pageBreakBefore w:val="0"/>
              <w:widowControl w:val="0"/>
              <w:wordWrap/>
              <w:topLinePunct w:val="0"/>
              <w:bidi w:val="0"/>
              <w:jc w:val="left"/>
              <w:outlineLvl w:val="9"/>
              <w:rPr>
                <w:rStyle w:val="48"/>
                <w:rFonts w:ascii="宋体" w:hAnsi="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7C5F6291">
            <w:pPr>
              <w:keepNext w:val="0"/>
              <w:keepLines w:val="0"/>
              <w:pageBreakBefore w:val="0"/>
              <w:widowControl w:val="0"/>
              <w:wordWrap/>
              <w:topLinePunct w:val="0"/>
              <w:bidi w:val="0"/>
              <w:spacing w:line="240" w:lineRule="exact"/>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8E0CD59">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E4140AE">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Y≥40000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3FF01C7">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2000≤Y＜40000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33EEF8DF">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300≤Y＜2000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2B74FEE">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Y＜300</w:t>
            </w:r>
          </w:p>
        </w:tc>
      </w:tr>
      <w:tr w14:paraId="02FEC8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473C9E6C">
            <w:pPr>
              <w:keepNext w:val="0"/>
              <w:keepLines w:val="0"/>
              <w:pageBreakBefore w:val="0"/>
              <w:widowControl w:val="0"/>
              <w:wordWrap/>
              <w:topLinePunct w:val="0"/>
              <w:bidi w:val="0"/>
              <w:spacing w:line="240" w:lineRule="exact"/>
              <w:jc w:val="left"/>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建筑业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2B27046F">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1554532">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43560AF">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Y≥80000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E46374B">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6000≤Y＜80000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279964B0">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300≤Y＜6000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1A060F7">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Y＜300</w:t>
            </w:r>
          </w:p>
        </w:tc>
      </w:tr>
      <w:tr w14:paraId="7BF502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942858">
            <w:pPr>
              <w:keepNext w:val="0"/>
              <w:keepLines w:val="0"/>
              <w:pageBreakBefore w:val="0"/>
              <w:widowControl w:val="0"/>
              <w:wordWrap/>
              <w:topLinePunct w:val="0"/>
              <w:bidi w:val="0"/>
              <w:jc w:val="left"/>
              <w:outlineLvl w:val="9"/>
              <w:rPr>
                <w:rStyle w:val="48"/>
                <w:rFonts w:ascii="宋体" w:hAnsi="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1BC8490C">
            <w:pPr>
              <w:keepNext w:val="0"/>
              <w:keepLines w:val="0"/>
              <w:pageBreakBefore w:val="0"/>
              <w:widowControl w:val="0"/>
              <w:wordWrap/>
              <w:topLinePunct w:val="0"/>
              <w:bidi w:val="0"/>
              <w:spacing w:line="240" w:lineRule="exact"/>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资产总额(Z)</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22DDBAE">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CD8613D">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Z≥80000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314BF9B">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5000≤Z＜80000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4D0B6DC2">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300≤Z＜5000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A686801">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Z＜300</w:t>
            </w:r>
          </w:p>
        </w:tc>
      </w:tr>
      <w:tr w14:paraId="2072D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03E85D78">
            <w:pPr>
              <w:keepNext w:val="0"/>
              <w:keepLines w:val="0"/>
              <w:pageBreakBefore w:val="0"/>
              <w:widowControl w:val="0"/>
              <w:wordWrap/>
              <w:topLinePunct w:val="0"/>
              <w:bidi w:val="0"/>
              <w:spacing w:line="240" w:lineRule="exact"/>
              <w:jc w:val="left"/>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批发业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78373299">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F825FB5">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275C713">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X≥200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88C67E0">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20≤X＜200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1244D3A0">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5≤X＜20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F9D2FA6">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X＜5</w:t>
            </w:r>
          </w:p>
        </w:tc>
      </w:tr>
      <w:tr w14:paraId="3CA727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DA342D">
            <w:pPr>
              <w:keepNext w:val="0"/>
              <w:keepLines w:val="0"/>
              <w:pageBreakBefore w:val="0"/>
              <w:widowControl w:val="0"/>
              <w:wordWrap/>
              <w:topLinePunct w:val="0"/>
              <w:bidi w:val="0"/>
              <w:jc w:val="left"/>
              <w:outlineLvl w:val="9"/>
              <w:rPr>
                <w:rStyle w:val="48"/>
                <w:rFonts w:ascii="宋体" w:hAnsi="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64DC47B6">
            <w:pPr>
              <w:keepNext w:val="0"/>
              <w:keepLines w:val="0"/>
              <w:pageBreakBefore w:val="0"/>
              <w:widowControl w:val="0"/>
              <w:wordWrap/>
              <w:topLinePunct w:val="0"/>
              <w:bidi w:val="0"/>
              <w:spacing w:line="240" w:lineRule="exact"/>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47C6AD4">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329D3F5">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Y≥40000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651663F">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5000≤Y＜40000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7486A9EB">
            <w:pPr>
              <w:keepNext w:val="0"/>
              <w:keepLines w:val="0"/>
              <w:pageBreakBefore w:val="0"/>
              <w:widowControl w:val="0"/>
              <w:wordWrap/>
              <w:topLinePunct w:val="0"/>
              <w:bidi w:val="0"/>
              <w:ind w:left="-1" w:leftChars="-1" w:hanging="1"/>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1000≤Y＜5000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414BB64">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Y＜1000</w:t>
            </w:r>
          </w:p>
        </w:tc>
      </w:tr>
      <w:tr w14:paraId="47E93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691709FE">
            <w:pPr>
              <w:keepNext w:val="0"/>
              <w:keepLines w:val="0"/>
              <w:pageBreakBefore w:val="0"/>
              <w:widowControl w:val="0"/>
              <w:wordWrap/>
              <w:topLinePunct w:val="0"/>
              <w:bidi w:val="0"/>
              <w:spacing w:line="240" w:lineRule="exact"/>
              <w:jc w:val="left"/>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零售业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1B9CBFDA">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DC47364">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BDCF27F">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X≥300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4C9D917D">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50≤X＜300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3C3E8792">
            <w:pPr>
              <w:keepNext w:val="0"/>
              <w:keepLines w:val="0"/>
              <w:pageBreakBefore w:val="0"/>
              <w:widowControl w:val="0"/>
              <w:wordWrap/>
              <w:topLinePunct w:val="0"/>
              <w:bidi w:val="0"/>
              <w:ind w:left="-1" w:leftChars="-1" w:hanging="1"/>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 xml:space="preserve">10≤X＜50 </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CED4FA6">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X＜10</w:t>
            </w:r>
          </w:p>
        </w:tc>
      </w:tr>
      <w:tr w14:paraId="689CF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6F6844">
            <w:pPr>
              <w:keepNext w:val="0"/>
              <w:keepLines w:val="0"/>
              <w:pageBreakBefore w:val="0"/>
              <w:widowControl w:val="0"/>
              <w:wordWrap/>
              <w:topLinePunct w:val="0"/>
              <w:bidi w:val="0"/>
              <w:jc w:val="left"/>
              <w:outlineLvl w:val="9"/>
              <w:rPr>
                <w:rStyle w:val="48"/>
                <w:rFonts w:ascii="宋体" w:hAnsi="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4B286567">
            <w:pPr>
              <w:keepNext w:val="0"/>
              <w:keepLines w:val="0"/>
              <w:pageBreakBefore w:val="0"/>
              <w:widowControl w:val="0"/>
              <w:wordWrap/>
              <w:topLinePunct w:val="0"/>
              <w:bidi w:val="0"/>
              <w:spacing w:line="240" w:lineRule="exact"/>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6638C48">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83CC6FE">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Y≥20000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DAE05CF">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500≤Y＜20000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2989B17F">
            <w:pPr>
              <w:keepNext w:val="0"/>
              <w:keepLines w:val="0"/>
              <w:pageBreakBefore w:val="0"/>
              <w:widowControl w:val="0"/>
              <w:wordWrap/>
              <w:topLinePunct w:val="0"/>
              <w:bidi w:val="0"/>
              <w:ind w:left="-1" w:leftChars="-1" w:hanging="1"/>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100≤Y＜500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016CD30">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Y＜100</w:t>
            </w:r>
          </w:p>
        </w:tc>
      </w:tr>
      <w:tr w14:paraId="2D6E7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18DA7C11">
            <w:pPr>
              <w:keepNext w:val="0"/>
              <w:keepLines w:val="0"/>
              <w:pageBreakBefore w:val="0"/>
              <w:widowControl w:val="0"/>
              <w:wordWrap/>
              <w:topLinePunct w:val="0"/>
              <w:bidi w:val="0"/>
              <w:spacing w:line="240" w:lineRule="exact"/>
              <w:jc w:val="left"/>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交通运输业 *</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596AA57B">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9FDD837">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2B21D1B">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X≥1000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A1F4D67">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300≤X＜1000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6738CEBA">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20≤X＜300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1789875">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X＜20</w:t>
            </w:r>
          </w:p>
        </w:tc>
      </w:tr>
      <w:tr w14:paraId="13CFB7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ACCA55">
            <w:pPr>
              <w:keepNext w:val="0"/>
              <w:keepLines w:val="0"/>
              <w:pageBreakBefore w:val="0"/>
              <w:widowControl w:val="0"/>
              <w:wordWrap/>
              <w:topLinePunct w:val="0"/>
              <w:bidi w:val="0"/>
              <w:jc w:val="left"/>
              <w:outlineLvl w:val="9"/>
              <w:rPr>
                <w:rStyle w:val="48"/>
                <w:rFonts w:ascii="宋体" w:hAnsi="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6E929101">
            <w:pPr>
              <w:keepNext w:val="0"/>
              <w:keepLines w:val="0"/>
              <w:pageBreakBefore w:val="0"/>
              <w:widowControl w:val="0"/>
              <w:wordWrap/>
              <w:topLinePunct w:val="0"/>
              <w:bidi w:val="0"/>
              <w:spacing w:line="240" w:lineRule="exact"/>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D3069C2">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930E9E8">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Y≥30000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4058F8A">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3000≤Y＜30000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35E47648">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200≤Y＜3000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CCA94F4">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Y＜200</w:t>
            </w:r>
          </w:p>
        </w:tc>
      </w:tr>
      <w:tr w14:paraId="467A9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38205E1B">
            <w:pPr>
              <w:keepNext w:val="0"/>
              <w:keepLines w:val="0"/>
              <w:pageBreakBefore w:val="0"/>
              <w:widowControl w:val="0"/>
              <w:wordWrap/>
              <w:topLinePunct w:val="0"/>
              <w:bidi w:val="0"/>
              <w:spacing w:line="240" w:lineRule="exact"/>
              <w:jc w:val="left"/>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仓储业*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4F1DB0EA">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29BCA2A">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C25B623">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X≥200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92039B3">
            <w:pPr>
              <w:keepNext w:val="0"/>
              <w:keepLines w:val="0"/>
              <w:pageBreakBefore w:val="0"/>
              <w:widowControl w:val="0"/>
              <w:wordWrap/>
              <w:topLinePunct w:val="0"/>
              <w:bidi w:val="0"/>
              <w:ind w:left="1" w:leftChars="-51" w:hanging="108"/>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100≤X＜200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79439BA6">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20≤X＜100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27D34CA">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X＜20</w:t>
            </w:r>
          </w:p>
        </w:tc>
      </w:tr>
      <w:tr w14:paraId="7E4991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B4D4DB">
            <w:pPr>
              <w:keepNext w:val="0"/>
              <w:keepLines w:val="0"/>
              <w:pageBreakBefore w:val="0"/>
              <w:widowControl w:val="0"/>
              <w:wordWrap/>
              <w:topLinePunct w:val="0"/>
              <w:bidi w:val="0"/>
              <w:jc w:val="left"/>
              <w:outlineLvl w:val="9"/>
              <w:rPr>
                <w:rStyle w:val="48"/>
                <w:rFonts w:ascii="宋体" w:hAnsi="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4601C421">
            <w:pPr>
              <w:keepNext w:val="0"/>
              <w:keepLines w:val="0"/>
              <w:pageBreakBefore w:val="0"/>
              <w:widowControl w:val="0"/>
              <w:wordWrap/>
              <w:topLinePunct w:val="0"/>
              <w:bidi w:val="0"/>
              <w:spacing w:line="240" w:lineRule="exact"/>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5656455">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AC17D4F">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Y≥30000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9220600">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1000≤Y＜30000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5AD79B6C">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100≤Y＜1000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535D2B06">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Y＜100</w:t>
            </w:r>
          </w:p>
        </w:tc>
      </w:tr>
      <w:tr w14:paraId="5D0D9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407599F9">
            <w:pPr>
              <w:keepNext w:val="0"/>
              <w:keepLines w:val="0"/>
              <w:pageBreakBefore w:val="0"/>
              <w:widowControl w:val="0"/>
              <w:wordWrap/>
              <w:topLinePunct w:val="0"/>
              <w:bidi w:val="0"/>
              <w:spacing w:line="240" w:lineRule="exact"/>
              <w:jc w:val="left"/>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邮政业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6D0653B3">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19CC9A4">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550A11A">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X≥1000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4339F2E8">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300≤X＜1000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27BA0924">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20≤X＜300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DF3A4A3">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X＜20</w:t>
            </w:r>
          </w:p>
        </w:tc>
      </w:tr>
      <w:tr w14:paraId="38302D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9C8902">
            <w:pPr>
              <w:keepNext w:val="0"/>
              <w:keepLines w:val="0"/>
              <w:pageBreakBefore w:val="0"/>
              <w:widowControl w:val="0"/>
              <w:wordWrap/>
              <w:topLinePunct w:val="0"/>
              <w:bidi w:val="0"/>
              <w:jc w:val="left"/>
              <w:outlineLvl w:val="9"/>
              <w:rPr>
                <w:rStyle w:val="48"/>
                <w:rFonts w:ascii="宋体" w:hAnsi="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22E95BE6">
            <w:pPr>
              <w:keepNext w:val="0"/>
              <w:keepLines w:val="0"/>
              <w:pageBreakBefore w:val="0"/>
              <w:widowControl w:val="0"/>
              <w:wordWrap/>
              <w:topLinePunct w:val="0"/>
              <w:bidi w:val="0"/>
              <w:spacing w:line="240" w:lineRule="exact"/>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7B43740">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7ECF465">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Y≥30000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2691FAE">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2000≤Y＜30000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38C0B785">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100≤Y＜2000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8E619FE">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Y＜100</w:t>
            </w:r>
          </w:p>
        </w:tc>
      </w:tr>
      <w:tr w14:paraId="20F33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7F3A1EF0">
            <w:pPr>
              <w:keepNext w:val="0"/>
              <w:keepLines w:val="0"/>
              <w:pageBreakBefore w:val="0"/>
              <w:widowControl w:val="0"/>
              <w:wordWrap/>
              <w:topLinePunct w:val="0"/>
              <w:bidi w:val="0"/>
              <w:spacing w:line="240" w:lineRule="exact"/>
              <w:jc w:val="left"/>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住宿业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56D38241">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1BAB49B">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5B8C517">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X≥300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3C6115C">
            <w:pPr>
              <w:keepNext w:val="0"/>
              <w:keepLines w:val="0"/>
              <w:pageBreakBefore w:val="0"/>
              <w:widowControl w:val="0"/>
              <w:wordWrap/>
              <w:topLinePunct w:val="0"/>
              <w:bidi w:val="0"/>
              <w:ind w:left="1" w:leftChars="-51" w:hanging="108"/>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100≤X＜300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0855FB7D">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10≤X＜100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53E9D6EF">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X＜10</w:t>
            </w:r>
          </w:p>
        </w:tc>
      </w:tr>
      <w:tr w14:paraId="33A355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B288E9">
            <w:pPr>
              <w:keepNext w:val="0"/>
              <w:keepLines w:val="0"/>
              <w:pageBreakBefore w:val="0"/>
              <w:widowControl w:val="0"/>
              <w:wordWrap/>
              <w:topLinePunct w:val="0"/>
              <w:bidi w:val="0"/>
              <w:jc w:val="left"/>
              <w:outlineLvl w:val="9"/>
              <w:rPr>
                <w:rStyle w:val="48"/>
                <w:rFonts w:ascii="宋体" w:hAnsi="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465A6682">
            <w:pPr>
              <w:keepNext w:val="0"/>
              <w:keepLines w:val="0"/>
              <w:pageBreakBefore w:val="0"/>
              <w:widowControl w:val="0"/>
              <w:wordWrap/>
              <w:topLinePunct w:val="0"/>
              <w:bidi w:val="0"/>
              <w:spacing w:line="240" w:lineRule="exact"/>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97EE506">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38E662B">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Y≥10000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549E7C8">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2000≤Y＜10000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68FAB4E6">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100≤Y＜2000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0D06AB1">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Y＜100</w:t>
            </w:r>
          </w:p>
        </w:tc>
      </w:tr>
      <w:tr w14:paraId="14981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2046E627">
            <w:pPr>
              <w:keepNext w:val="0"/>
              <w:keepLines w:val="0"/>
              <w:pageBreakBefore w:val="0"/>
              <w:widowControl w:val="0"/>
              <w:wordWrap/>
              <w:topLinePunct w:val="0"/>
              <w:bidi w:val="0"/>
              <w:spacing w:line="240" w:lineRule="exact"/>
              <w:jc w:val="left"/>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餐饮业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78D97A57">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E4B3CA2">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85BC9AE">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X≥300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7196E09">
            <w:pPr>
              <w:keepNext w:val="0"/>
              <w:keepLines w:val="0"/>
              <w:pageBreakBefore w:val="0"/>
              <w:widowControl w:val="0"/>
              <w:wordWrap/>
              <w:topLinePunct w:val="0"/>
              <w:bidi w:val="0"/>
              <w:ind w:left="1" w:leftChars="-51" w:hanging="108"/>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 xml:space="preserve">100≤X＜300 </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0F8E4AD3">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10≤X＜100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AF616CD">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X＜10</w:t>
            </w:r>
          </w:p>
        </w:tc>
      </w:tr>
      <w:tr w14:paraId="1DF09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6CAA1C">
            <w:pPr>
              <w:keepNext w:val="0"/>
              <w:keepLines w:val="0"/>
              <w:pageBreakBefore w:val="0"/>
              <w:widowControl w:val="0"/>
              <w:wordWrap/>
              <w:topLinePunct w:val="0"/>
              <w:bidi w:val="0"/>
              <w:jc w:val="left"/>
              <w:outlineLvl w:val="9"/>
              <w:rPr>
                <w:rStyle w:val="48"/>
                <w:rFonts w:ascii="宋体" w:hAnsi="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47603316">
            <w:pPr>
              <w:keepNext w:val="0"/>
              <w:keepLines w:val="0"/>
              <w:pageBreakBefore w:val="0"/>
              <w:widowControl w:val="0"/>
              <w:wordWrap/>
              <w:topLinePunct w:val="0"/>
              <w:bidi w:val="0"/>
              <w:spacing w:line="240" w:lineRule="exact"/>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6FBE794">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0865868">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Y≥10000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0C92166">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2000≤Y＜10000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3E1B3554">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100≤Y＜2000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5F884ECA">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Y＜100</w:t>
            </w:r>
          </w:p>
        </w:tc>
      </w:tr>
      <w:tr w14:paraId="52E08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7BFFEC26">
            <w:pPr>
              <w:keepNext w:val="0"/>
              <w:keepLines w:val="0"/>
              <w:pageBreakBefore w:val="0"/>
              <w:widowControl w:val="0"/>
              <w:wordWrap/>
              <w:topLinePunct w:val="0"/>
              <w:bidi w:val="0"/>
              <w:spacing w:line="240" w:lineRule="exact"/>
              <w:jc w:val="left"/>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信息传输业 *</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16B6A013">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971FC44">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3B20AB9">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X≥2000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56AE620">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100≤X＜2000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57580737">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10≤X＜100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8A79A99">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X＜10</w:t>
            </w:r>
          </w:p>
        </w:tc>
      </w:tr>
      <w:tr w14:paraId="7EE9D5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7F246D">
            <w:pPr>
              <w:keepNext w:val="0"/>
              <w:keepLines w:val="0"/>
              <w:pageBreakBefore w:val="0"/>
              <w:widowControl w:val="0"/>
              <w:wordWrap/>
              <w:topLinePunct w:val="0"/>
              <w:bidi w:val="0"/>
              <w:jc w:val="left"/>
              <w:outlineLvl w:val="9"/>
              <w:rPr>
                <w:rStyle w:val="48"/>
                <w:rFonts w:ascii="宋体" w:hAnsi="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15A18897">
            <w:pPr>
              <w:keepNext w:val="0"/>
              <w:keepLines w:val="0"/>
              <w:pageBreakBefore w:val="0"/>
              <w:widowControl w:val="0"/>
              <w:wordWrap/>
              <w:topLinePunct w:val="0"/>
              <w:bidi w:val="0"/>
              <w:spacing w:line="240" w:lineRule="exact"/>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A66F478">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2EECD10">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Y≥100000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C49A988">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1000≤Y＜100000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15F34428">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100≤Y＜1000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0EAC56C">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Y＜100</w:t>
            </w:r>
          </w:p>
        </w:tc>
      </w:tr>
      <w:tr w14:paraId="03B81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10AC7376">
            <w:pPr>
              <w:keepNext w:val="0"/>
              <w:keepLines w:val="0"/>
              <w:pageBreakBefore w:val="0"/>
              <w:widowControl w:val="0"/>
              <w:wordWrap/>
              <w:topLinePunct w:val="0"/>
              <w:bidi w:val="0"/>
              <w:spacing w:line="240" w:lineRule="exact"/>
              <w:jc w:val="left"/>
              <w:outlineLvl w:val="9"/>
              <w:rPr>
                <w:rStyle w:val="48"/>
                <w:rFonts w:ascii="宋体" w:hAnsi="宋体"/>
                <w:color w:val="auto"/>
                <w:spacing w:val="-12"/>
                <w:kern w:val="0"/>
                <w:sz w:val="18"/>
                <w:szCs w:val="18"/>
                <w:highlight w:val="none"/>
              </w:rPr>
            </w:pPr>
            <w:r>
              <w:rPr>
                <w:rStyle w:val="48"/>
                <w:rFonts w:ascii="宋体" w:hAnsi="宋体"/>
                <w:color w:val="auto"/>
                <w:spacing w:val="-12"/>
                <w:kern w:val="0"/>
                <w:sz w:val="18"/>
                <w:szCs w:val="18"/>
                <w:highlight w:val="none"/>
              </w:rPr>
              <w:t>软件和信息技术服</w:t>
            </w:r>
            <w:r>
              <w:rPr>
                <w:rStyle w:val="48"/>
                <w:rFonts w:ascii="宋体" w:hAnsi="宋体"/>
                <w:color w:val="auto"/>
                <w:kern w:val="0"/>
                <w:sz w:val="18"/>
                <w:szCs w:val="18"/>
                <w:highlight w:val="none"/>
              </w:rPr>
              <w:t>务业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60E525F3">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018B185">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F7ECA32">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X≥300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8826665">
            <w:pPr>
              <w:keepNext w:val="0"/>
              <w:keepLines w:val="0"/>
              <w:pageBreakBefore w:val="0"/>
              <w:widowControl w:val="0"/>
              <w:wordWrap/>
              <w:topLinePunct w:val="0"/>
              <w:bidi w:val="0"/>
              <w:ind w:left="1" w:leftChars="-51" w:hanging="108"/>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 xml:space="preserve">100≤X＜300 </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3B389C4E">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10≤X＜100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0E98925">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X＜10</w:t>
            </w:r>
          </w:p>
        </w:tc>
      </w:tr>
      <w:tr w14:paraId="4EE4C7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8E2810">
            <w:pPr>
              <w:keepNext w:val="0"/>
              <w:keepLines w:val="0"/>
              <w:pageBreakBefore w:val="0"/>
              <w:widowControl w:val="0"/>
              <w:wordWrap/>
              <w:topLinePunct w:val="0"/>
              <w:bidi w:val="0"/>
              <w:jc w:val="left"/>
              <w:outlineLvl w:val="9"/>
              <w:rPr>
                <w:rStyle w:val="48"/>
                <w:rFonts w:ascii="宋体" w:hAnsi="宋体"/>
                <w:color w:val="auto"/>
                <w:spacing w:val="-12"/>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7682B265">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80C318D">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ECCD4FD">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Y≥10000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59F7FC2">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1000≤Y＜10000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0A10B8B8">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50≤Y＜1000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8933239">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Y＜50</w:t>
            </w:r>
          </w:p>
        </w:tc>
      </w:tr>
      <w:tr w14:paraId="754F4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1E20EDD2">
            <w:pPr>
              <w:keepNext w:val="0"/>
              <w:keepLines w:val="0"/>
              <w:pageBreakBefore w:val="0"/>
              <w:widowControl w:val="0"/>
              <w:wordWrap/>
              <w:topLinePunct w:val="0"/>
              <w:bidi w:val="0"/>
              <w:spacing w:line="240" w:lineRule="exact"/>
              <w:jc w:val="left"/>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房地产开发经营</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38ADCC45">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E9EB33A">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B37970F">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Y≥200000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461F7AF5">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1000≤Y＜200000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42E2CA49">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100≤Y＜1000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A0613EC">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Y＜100</w:t>
            </w:r>
          </w:p>
        </w:tc>
      </w:tr>
      <w:tr w14:paraId="68478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55CADA">
            <w:pPr>
              <w:keepNext w:val="0"/>
              <w:keepLines w:val="0"/>
              <w:pageBreakBefore w:val="0"/>
              <w:widowControl w:val="0"/>
              <w:wordWrap/>
              <w:topLinePunct w:val="0"/>
              <w:bidi w:val="0"/>
              <w:jc w:val="left"/>
              <w:outlineLvl w:val="9"/>
              <w:rPr>
                <w:rStyle w:val="48"/>
                <w:rFonts w:ascii="宋体" w:hAnsi="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06FA0485">
            <w:pPr>
              <w:keepNext w:val="0"/>
              <w:keepLines w:val="0"/>
              <w:pageBreakBefore w:val="0"/>
              <w:widowControl w:val="0"/>
              <w:wordWrap/>
              <w:topLinePunct w:val="0"/>
              <w:bidi w:val="0"/>
              <w:spacing w:line="240" w:lineRule="exact"/>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资产总额(Z)</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F42D2A2">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4D010A3">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Z≥10000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D9687A5">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5000≤Z＜10000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4A49B06C">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2000≤Z＜5000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D98D922">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Z＜2000</w:t>
            </w:r>
          </w:p>
        </w:tc>
      </w:tr>
      <w:tr w14:paraId="74428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722C3EF0">
            <w:pPr>
              <w:keepNext w:val="0"/>
              <w:keepLines w:val="0"/>
              <w:pageBreakBefore w:val="0"/>
              <w:widowControl w:val="0"/>
              <w:wordWrap/>
              <w:topLinePunct w:val="0"/>
              <w:bidi w:val="0"/>
              <w:spacing w:line="240" w:lineRule="exact"/>
              <w:jc w:val="left"/>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物业管理</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1E7509E2">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FC2AD1C">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F56C093">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X≥1000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4EB91F59">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300≤X＜1000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529C19CC">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100≤X＜300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DCE2091">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X＜100</w:t>
            </w:r>
          </w:p>
        </w:tc>
      </w:tr>
      <w:tr w14:paraId="31F66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963CD4">
            <w:pPr>
              <w:keepNext w:val="0"/>
              <w:keepLines w:val="0"/>
              <w:pageBreakBefore w:val="0"/>
              <w:widowControl w:val="0"/>
              <w:wordWrap/>
              <w:topLinePunct w:val="0"/>
              <w:bidi w:val="0"/>
              <w:jc w:val="left"/>
              <w:outlineLvl w:val="9"/>
              <w:rPr>
                <w:rStyle w:val="48"/>
                <w:rFonts w:ascii="宋体" w:hAnsi="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5D7AF9CE">
            <w:pPr>
              <w:keepNext w:val="0"/>
              <w:keepLines w:val="0"/>
              <w:pageBreakBefore w:val="0"/>
              <w:widowControl w:val="0"/>
              <w:wordWrap/>
              <w:topLinePunct w:val="0"/>
              <w:bidi w:val="0"/>
              <w:spacing w:line="240" w:lineRule="exact"/>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E36CA20">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1C8F746">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Y≥5000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0CABF60">
            <w:pPr>
              <w:keepNext w:val="0"/>
              <w:keepLines w:val="0"/>
              <w:pageBreakBefore w:val="0"/>
              <w:widowControl w:val="0"/>
              <w:wordWrap/>
              <w:topLinePunct w:val="0"/>
              <w:bidi w:val="0"/>
              <w:ind w:left="1" w:leftChars="-51" w:hanging="108"/>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1000≤Y＜5000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7CFAEED6">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500≤Y＜1000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005942D">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Y＜500</w:t>
            </w:r>
          </w:p>
        </w:tc>
      </w:tr>
      <w:tr w14:paraId="385CF4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230D543A">
            <w:pPr>
              <w:keepNext w:val="0"/>
              <w:keepLines w:val="0"/>
              <w:pageBreakBefore w:val="0"/>
              <w:widowControl w:val="0"/>
              <w:wordWrap/>
              <w:topLinePunct w:val="0"/>
              <w:bidi w:val="0"/>
              <w:spacing w:line="240" w:lineRule="exact"/>
              <w:jc w:val="left"/>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租赁和商务服务业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68342DA1">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CCFF02D">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56A77E8">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X≥300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C2329E1">
            <w:pPr>
              <w:keepNext w:val="0"/>
              <w:keepLines w:val="0"/>
              <w:pageBreakBefore w:val="0"/>
              <w:widowControl w:val="0"/>
              <w:wordWrap/>
              <w:topLinePunct w:val="0"/>
              <w:bidi w:val="0"/>
              <w:ind w:left="1" w:leftChars="-51" w:hanging="108"/>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100≤X＜300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7A1F050E">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10≤X＜100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BE3EB09">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X＜10</w:t>
            </w:r>
          </w:p>
        </w:tc>
      </w:tr>
      <w:tr w14:paraId="781385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BAD889">
            <w:pPr>
              <w:keepNext w:val="0"/>
              <w:keepLines w:val="0"/>
              <w:pageBreakBefore w:val="0"/>
              <w:widowControl w:val="0"/>
              <w:wordWrap/>
              <w:topLinePunct w:val="0"/>
              <w:bidi w:val="0"/>
              <w:jc w:val="left"/>
              <w:outlineLvl w:val="9"/>
              <w:rPr>
                <w:rStyle w:val="48"/>
                <w:rFonts w:ascii="宋体" w:hAnsi="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61F87346">
            <w:pPr>
              <w:keepNext w:val="0"/>
              <w:keepLines w:val="0"/>
              <w:pageBreakBefore w:val="0"/>
              <w:widowControl w:val="0"/>
              <w:wordWrap/>
              <w:topLinePunct w:val="0"/>
              <w:bidi w:val="0"/>
              <w:spacing w:line="240" w:lineRule="exact"/>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资产总额(Z)</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6F28FFD">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6B60CC4">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Z≥120000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4225194">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8000≤Z＜120000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36182F50">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100≤Z＜8000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43EE4EF">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Z＜100</w:t>
            </w:r>
          </w:p>
        </w:tc>
      </w:tr>
      <w:tr w14:paraId="26CAE2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tcBorders>
              <w:top w:val="single" w:color="000000" w:sz="4" w:space="0"/>
              <w:left w:val="single" w:color="000000" w:sz="4" w:space="0"/>
              <w:bottom w:val="single" w:color="000000" w:sz="4" w:space="0"/>
              <w:right w:val="single" w:color="000000" w:sz="4" w:space="0"/>
            </w:tcBorders>
            <w:noWrap w:val="0"/>
            <w:vAlign w:val="center"/>
          </w:tcPr>
          <w:p w14:paraId="11441ACC">
            <w:pPr>
              <w:keepNext w:val="0"/>
              <w:keepLines w:val="0"/>
              <w:pageBreakBefore w:val="0"/>
              <w:widowControl w:val="0"/>
              <w:wordWrap/>
              <w:topLinePunct w:val="0"/>
              <w:bidi w:val="0"/>
              <w:spacing w:line="240" w:lineRule="exact"/>
              <w:jc w:val="left"/>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其他未列明行业 *</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3BA0A57E">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028707A">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A8175F3">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X≥300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945276E">
            <w:pPr>
              <w:keepNext w:val="0"/>
              <w:keepLines w:val="0"/>
              <w:pageBreakBefore w:val="0"/>
              <w:widowControl w:val="0"/>
              <w:wordWrap/>
              <w:topLinePunct w:val="0"/>
              <w:bidi w:val="0"/>
              <w:ind w:left="1" w:leftChars="-51" w:hanging="108"/>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100≤X＜300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59697802">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10≤X＜100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504041FE">
            <w:pPr>
              <w:keepNext w:val="0"/>
              <w:keepLines w:val="0"/>
              <w:pageBreakBefore w:val="0"/>
              <w:widowControl w:val="0"/>
              <w:wordWrap/>
              <w:topLinePunct w:val="0"/>
              <w:bidi w:val="0"/>
              <w:jc w:val="center"/>
              <w:outlineLvl w:val="9"/>
              <w:rPr>
                <w:rStyle w:val="48"/>
                <w:rFonts w:ascii="宋体" w:hAnsi="宋体"/>
                <w:color w:val="auto"/>
                <w:kern w:val="0"/>
                <w:sz w:val="18"/>
                <w:szCs w:val="18"/>
                <w:highlight w:val="none"/>
              </w:rPr>
            </w:pPr>
            <w:r>
              <w:rPr>
                <w:rStyle w:val="48"/>
                <w:rFonts w:ascii="宋体" w:hAnsi="宋体"/>
                <w:color w:val="auto"/>
                <w:kern w:val="0"/>
                <w:sz w:val="18"/>
                <w:szCs w:val="18"/>
                <w:highlight w:val="none"/>
              </w:rPr>
              <w:t>X＜10</w:t>
            </w:r>
          </w:p>
        </w:tc>
      </w:tr>
    </w:tbl>
    <w:p w14:paraId="33FE1D92">
      <w:pPr>
        <w:keepNext w:val="0"/>
        <w:keepLines w:val="0"/>
        <w:pageBreakBefore w:val="0"/>
        <w:widowControl w:val="0"/>
        <w:wordWrap/>
        <w:topLinePunct w:val="0"/>
        <w:bidi w:val="0"/>
        <w:spacing w:line="540" w:lineRule="exact"/>
        <w:outlineLvl w:val="9"/>
        <w:rPr>
          <w:rStyle w:val="48"/>
          <w:rFonts w:ascii="宋体" w:hAnsi="宋体"/>
          <w:color w:val="auto"/>
          <w:spacing w:val="8"/>
          <w:kern w:val="0"/>
          <w:szCs w:val="21"/>
          <w:highlight w:val="none"/>
        </w:rPr>
      </w:pPr>
    </w:p>
    <w:p w14:paraId="6F0B1542">
      <w:pPr>
        <w:keepNext w:val="0"/>
        <w:keepLines w:val="0"/>
        <w:pageBreakBefore w:val="0"/>
        <w:widowControl w:val="0"/>
        <w:wordWrap/>
        <w:topLinePunct w:val="0"/>
        <w:bidi w:val="0"/>
        <w:spacing w:line="540" w:lineRule="exact"/>
        <w:outlineLvl w:val="9"/>
        <w:rPr>
          <w:rStyle w:val="48"/>
          <w:rFonts w:ascii="宋体" w:hAnsi="宋体"/>
          <w:color w:val="auto"/>
          <w:spacing w:val="8"/>
          <w:kern w:val="0"/>
          <w:szCs w:val="21"/>
          <w:highlight w:val="none"/>
        </w:rPr>
      </w:pPr>
      <w:r>
        <w:rPr>
          <w:rStyle w:val="48"/>
          <w:rFonts w:ascii="宋体" w:hAnsi="宋体"/>
          <w:color w:val="auto"/>
          <w:spacing w:val="8"/>
          <w:kern w:val="0"/>
          <w:szCs w:val="21"/>
          <w:highlight w:val="none"/>
        </w:rPr>
        <w:br w:type="column"/>
      </w:r>
      <w:r>
        <w:rPr>
          <w:rStyle w:val="48"/>
          <w:rFonts w:ascii="宋体" w:hAnsi="宋体"/>
          <w:color w:val="auto"/>
          <w:spacing w:val="8"/>
          <w:kern w:val="0"/>
          <w:szCs w:val="21"/>
          <w:highlight w:val="none"/>
        </w:rPr>
        <w:t>说明：</w:t>
      </w:r>
    </w:p>
    <w:p w14:paraId="56384BE9">
      <w:pPr>
        <w:pStyle w:val="50"/>
        <w:keepNext w:val="0"/>
        <w:keepLines w:val="0"/>
        <w:pageBreakBefore w:val="0"/>
        <w:widowControl w:val="0"/>
        <w:wordWrap/>
        <w:topLinePunct w:val="0"/>
        <w:bidi w:val="0"/>
        <w:spacing w:line="380" w:lineRule="exact"/>
        <w:ind w:firstLine="452" w:firstLineChars="200"/>
        <w:outlineLvl w:val="9"/>
        <w:rPr>
          <w:rStyle w:val="48"/>
          <w:rFonts w:hAnsi="宋体"/>
          <w:color w:val="auto"/>
          <w:spacing w:val="8"/>
          <w:szCs w:val="21"/>
          <w:highlight w:val="none"/>
        </w:rPr>
      </w:pPr>
      <w:r>
        <w:rPr>
          <w:rStyle w:val="48"/>
          <w:rFonts w:hAnsi="宋体"/>
          <w:color w:val="auto"/>
          <w:spacing w:val="8"/>
          <w:szCs w:val="21"/>
          <w:highlight w:val="none"/>
        </w:rPr>
        <w:t>1.大型、中型和小型企业须同时满足所列指标的下限，否则下划一档；微型企业只须满足所列指标中的一项即可。</w:t>
      </w:r>
    </w:p>
    <w:p w14:paraId="1D047455">
      <w:pPr>
        <w:pStyle w:val="50"/>
        <w:keepNext w:val="0"/>
        <w:keepLines w:val="0"/>
        <w:pageBreakBefore w:val="0"/>
        <w:widowControl w:val="0"/>
        <w:wordWrap/>
        <w:topLinePunct w:val="0"/>
        <w:bidi w:val="0"/>
        <w:spacing w:line="380" w:lineRule="exact"/>
        <w:ind w:firstLine="452" w:firstLineChars="200"/>
        <w:outlineLvl w:val="9"/>
        <w:rPr>
          <w:rStyle w:val="48"/>
          <w:rFonts w:hAnsi="宋体"/>
          <w:color w:val="auto"/>
          <w:spacing w:val="8"/>
          <w:szCs w:val="21"/>
          <w:highlight w:val="none"/>
        </w:rPr>
      </w:pPr>
      <w:r>
        <w:rPr>
          <w:rStyle w:val="48"/>
          <w:rFonts w:hAnsi="宋体"/>
          <w:color w:val="auto"/>
          <w:spacing w:val="8"/>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291D4D44">
      <w:pPr>
        <w:pStyle w:val="12"/>
        <w:keepNext w:val="0"/>
        <w:keepLines w:val="0"/>
        <w:pageBreakBefore w:val="0"/>
        <w:widowControl w:val="0"/>
        <w:wordWrap/>
        <w:topLinePunct w:val="0"/>
        <w:bidi w:val="0"/>
        <w:spacing w:line="340" w:lineRule="exact"/>
        <w:outlineLvl w:val="9"/>
        <w:rPr>
          <w:rFonts w:hint="eastAsia" w:ascii="宋体" w:hAnsi="宋体" w:eastAsia="宋体" w:cs="宋体"/>
          <w:b/>
          <w:color w:val="auto"/>
          <w:sz w:val="28"/>
          <w:szCs w:val="28"/>
          <w:highlight w:val="none"/>
          <w:lang w:val="en-US" w:eastAsia="zh-CN"/>
        </w:rPr>
      </w:pPr>
      <w:r>
        <w:rPr>
          <w:rStyle w:val="48"/>
          <w:rFonts w:hAnsi="宋体"/>
          <w:color w:val="auto"/>
          <w:spacing w:val="8"/>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4BEA5F13">
      <w:pPr>
        <w:pStyle w:val="12"/>
        <w:keepNext w:val="0"/>
        <w:keepLines w:val="0"/>
        <w:pageBreakBefore w:val="0"/>
        <w:widowControl w:val="0"/>
        <w:wordWrap/>
        <w:topLinePunct w:val="0"/>
        <w:bidi w:val="0"/>
        <w:spacing w:line="340" w:lineRule="exact"/>
        <w:outlineLvl w:val="9"/>
        <w:rPr>
          <w:rFonts w:hint="eastAsia" w:ascii="宋体" w:hAnsi="宋体" w:eastAsia="宋体" w:cs="宋体"/>
          <w:b/>
          <w:color w:val="auto"/>
          <w:sz w:val="28"/>
          <w:szCs w:val="28"/>
          <w:highlight w:val="none"/>
          <w:lang w:val="en-US" w:eastAsia="zh-CN"/>
        </w:rPr>
      </w:pPr>
    </w:p>
    <w:p w14:paraId="096FDFFA">
      <w:pPr>
        <w:keepNext w:val="0"/>
        <w:keepLines w:val="0"/>
        <w:pageBreakBefore w:val="0"/>
        <w:widowControl w:val="0"/>
        <w:wordWrap/>
        <w:topLinePunct w:val="0"/>
        <w:bidi w:val="0"/>
        <w:outlineLvl w:val="9"/>
        <w:rPr>
          <w:rFonts w:hint="eastAsia" w:hAnsi="宋体" w:eastAsia="宋体" w:cs="宋体"/>
          <w:b/>
          <w:color w:val="auto"/>
          <w:sz w:val="28"/>
          <w:szCs w:val="28"/>
          <w:highlight w:val="none"/>
          <w:lang w:val="en-US" w:eastAsia="zh-CN"/>
        </w:rPr>
      </w:pPr>
    </w:p>
    <w:p w14:paraId="4E147231">
      <w:pPr>
        <w:keepNext w:val="0"/>
        <w:keepLines w:val="0"/>
        <w:pageBreakBefore w:val="0"/>
        <w:widowControl w:val="0"/>
        <w:wordWrap/>
        <w:topLinePunct w:val="0"/>
        <w:bidi w:val="0"/>
        <w:outlineLvl w:val="9"/>
        <w:rPr>
          <w:rFonts w:hint="eastAsia"/>
          <w:color w:val="auto"/>
          <w:highlight w:val="none"/>
          <w:lang w:val="en-US" w:eastAsia="zh-CN"/>
        </w:rPr>
      </w:pPr>
    </w:p>
    <w:p w14:paraId="27E53C93">
      <w:pPr>
        <w:keepNext w:val="0"/>
        <w:keepLines w:val="0"/>
        <w:pageBreakBefore w:val="0"/>
        <w:widowControl w:val="0"/>
        <w:wordWrap/>
        <w:topLinePunct w:val="0"/>
        <w:bidi w:val="0"/>
        <w:outlineLvl w:val="9"/>
        <w:rPr>
          <w:rFonts w:hint="eastAsia" w:hAnsi="宋体" w:eastAsia="宋体" w:cs="宋体"/>
          <w:b/>
          <w:color w:val="auto"/>
          <w:sz w:val="28"/>
          <w:szCs w:val="28"/>
          <w:highlight w:val="none"/>
          <w:lang w:val="en-US" w:eastAsia="zh-CN"/>
        </w:rPr>
      </w:pPr>
      <w:r>
        <w:rPr>
          <w:rFonts w:hint="eastAsia" w:hAnsi="宋体" w:eastAsia="宋体" w:cs="宋体"/>
          <w:b/>
          <w:color w:val="auto"/>
          <w:sz w:val="28"/>
          <w:szCs w:val="28"/>
          <w:highlight w:val="none"/>
          <w:lang w:val="en-US" w:eastAsia="zh-CN"/>
        </w:rPr>
        <w:br w:type="page"/>
      </w:r>
    </w:p>
    <w:p w14:paraId="53BFD34A">
      <w:pPr>
        <w:keepNext w:val="0"/>
        <w:keepLines w:val="0"/>
        <w:pageBreakBefore w:val="0"/>
        <w:widowControl w:val="0"/>
        <w:wordWrap/>
        <w:topLinePunct w:val="0"/>
        <w:bidi w:val="0"/>
        <w:jc w:val="center"/>
        <w:outlineLvl w:val="9"/>
        <w:rPr>
          <w:rStyle w:val="48"/>
          <w:rFonts w:hint="eastAsia" w:ascii="宋体" w:hAnsi="宋体" w:cs="宋体"/>
          <w:b/>
          <w:bCs/>
          <w:color w:val="auto"/>
          <w:kern w:val="0"/>
          <w:sz w:val="24"/>
          <w:szCs w:val="24"/>
          <w:highlight w:val="none"/>
        </w:rPr>
      </w:pPr>
      <w:r>
        <w:rPr>
          <w:rStyle w:val="48"/>
          <w:rFonts w:hint="eastAsia" w:ascii="宋体" w:hAnsi="宋体" w:cs="宋体"/>
          <w:b/>
          <w:bCs/>
          <w:color w:val="auto"/>
          <w:kern w:val="0"/>
          <w:sz w:val="24"/>
          <w:szCs w:val="24"/>
          <w:highlight w:val="none"/>
          <w:lang w:eastAsia="zh-CN"/>
        </w:rPr>
        <w:t>（</w:t>
      </w:r>
      <w:r>
        <w:rPr>
          <w:rStyle w:val="48"/>
          <w:rFonts w:hint="eastAsia" w:ascii="宋体" w:hAnsi="宋体" w:cs="宋体"/>
          <w:b/>
          <w:bCs/>
          <w:color w:val="auto"/>
          <w:kern w:val="0"/>
          <w:sz w:val="24"/>
          <w:szCs w:val="24"/>
          <w:highlight w:val="none"/>
          <w:lang w:val="en-US" w:eastAsia="zh-CN"/>
        </w:rPr>
        <w:t>2</w:t>
      </w:r>
      <w:r>
        <w:rPr>
          <w:rStyle w:val="48"/>
          <w:rFonts w:hint="eastAsia" w:ascii="宋体" w:hAnsi="宋体" w:cs="宋体"/>
          <w:b/>
          <w:bCs/>
          <w:color w:val="auto"/>
          <w:kern w:val="0"/>
          <w:sz w:val="24"/>
          <w:szCs w:val="24"/>
          <w:highlight w:val="none"/>
          <w:lang w:eastAsia="zh-CN"/>
        </w:rPr>
        <w:t>）</w:t>
      </w:r>
      <w:r>
        <w:rPr>
          <w:rStyle w:val="48"/>
          <w:rFonts w:hint="eastAsia" w:ascii="宋体" w:hAnsi="宋体" w:cs="宋体"/>
          <w:b/>
          <w:bCs/>
          <w:color w:val="auto"/>
          <w:kern w:val="0"/>
          <w:sz w:val="24"/>
          <w:szCs w:val="24"/>
          <w:highlight w:val="none"/>
        </w:rPr>
        <w:t>残疾人福利性单位声明函（格式）</w:t>
      </w:r>
    </w:p>
    <w:p w14:paraId="55053F24">
      <w:pPr>
        <w:keepNext w:val="0"/>
        <w:keepLines w:val="0"/>
        <w:pageBreakBefore w:val="0"/>
        <w:widowControl w:val="0"/>
        <w:wordWrap/>
        <w:topLinePunct w:val="0"/>
        <w:bidi w:val="0"/>
        <w:spacing w:line="588" w:lineRule="exact"/>
        <w:outlineLvl w:val="9"/>
        <w:rPr>
          <w:rFonts w:hint="eastAsia" w:ascii="宋体" w:hAnsi="宋体" w:eastAsia="宋体" w:cs="宋体"/>
          <w:b/>
          <w:color w:val="auto"/>
          <w:kern w:val="0"/>
          <w:sz w:val="21"/>
          <w:szCs w:val="21"/>
          <w:highlight w:val="none"/>
        </w:rPr>
      </w:pPr>
    </w:p>
    <w:p w14:paraId="2302C941">
      <w:pPr>
        <w:keepNext w:val="0"/>
        <w:keepLines w:val="0"/>
        <w:pageBreakBefore w:val="0"/>
        <w:widowControl w:val="0"/>
        <w:wordWrap/>
        <w:topLinePunct w:val="0"/>
        <w:bidi w:val="0"/>
        <w:spacing w:line="588" w:lineRule="exact"/>
        <w:ind w:firstLine="420" w:firstLineChars="20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0B909B8">
      <w:pPr>
        <w:keepNext w:val="0"/>
        <w:keepLines w:val="0"/>
        <w:pageBreakBefore w:val="0"/>
        <w:widowControl w:val="0"/>
        <w:wordWrap/>
        <w:topLinePunct w:val="0"/>
        <w:bidi w:val="0"/>
        <w:spacing w:line="588" w:lineRule="exact"/>
        <w:ind w:firstLine="420" w:firstLineChars="20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本单位对上述声明的真实性负责。如有虚假，将依法承担相应责任。</w:t>
      </w:r>
    </w:p>
    <w:p w14:paraId="5C7DAA73">
      <w:pPr>
        <w:keepNext w:val="0"/>
        <w:keepLines w:val="0"/>
        <w:pageBreakBefore w:val="0"/>
        <w:widowControl w:val="0"/>
        <w:wordWrap/>
        <w:topLinePunct w:val="0"/>
        <w:bidi w:val="0"/>
        <w:spacing w:line="588" w:lineRule="exact"/>
        <w:ind w:firstLine="420" w:firstLineChars="200"/>
        <w:outlineLvl w:val="9"/>
        <w:rPr>
          <w:rFonts w:hint="eastAsia" w:ascii="宋体" w:hAnsi="宋体" w:eastAsia="宋体" w:cs="宋体"/>
          <w:color w:val="auto"/>
          <w:kern w:val="0"/>
          <w:sz w:val="21"/>
          <w:szCs w:val="21"/>
          <w:highlight w:val="none"/>
        </w:rPr>
      </w:pPr>
    </w:p>
    <w:p w14:paraId="6F1602AB">
      <w:pPr>
        <w:keepNext w:val="0"/>
        <w:keepLines w:val="0"/>
        <w:pageBreakBefore w:val="0"/>
        <w:widowControl w:val="0"/>
        <w:wordWrap/>
        <w:topLinePunct w:val="0"/>
        <w:bidi w:val="0"/>
        <w:ind w:firstLine="2310" w:firstLineChars="11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sz w:val="21"/>
          <w:szCs w:val="21"/>
          <w:highlight w:val="none"/>
          <w:lang w:eastAsia="zh-CN"/>
        </w:rPr>
        <w:t>磋商供应商</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公章</w:t>
      </w:r>
      <w:r>
        <w:rPr>
          <w:rFonts w:hint="eastAsia" w:ascii="宋体" w:hAnsi="宋体" w:eastAsia="宋体" w:cs="宋体"/>
          <w:color w:val="auto"/>
          <w:sz w:val="21"/>
          <w:szCs w:val="21"/>
          <w:highlight w:val="none"/>
          <w:lang w:val="en-US" w:eastAsia="zh-CN"/>
        </w:rPr>
        <w:t>(CA签章)]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14:paraId="7E190D00">
      <w:pPr>
        <w:pStyle w:val="12"/>
        <w:keepNext w:val="0"/>
        <w:keepLines w:val="0"/>
        <w:pageBreakBefore w:val="0"/>
        <w:widowControl w:val="0"/>
        <w:wordWrap/>
        <w:topLinePunct w:val="0"/>
        <w:bidi w:val="0"/>
        <w:spacing w:line="300" w:lineRule="exact"/>
        <w:ind w:left="2940" w:leftChars="1400" w:firstLine="630" w:firstLineChars="300"/>
        <w:outlineLvl w:val="9"/>
        <w:rPr>
          <w:rFonts w:hint="eastAsia" w:ascii="宋体" w:hAnsi="宋体" w:eastAsia="宋体" w:cs="宋体"/>
          <w:color w:val="auto"/>
          <w:sz w:val="21"/>
          <w:szCs w:val="21"/>
          <w:highlight w:val="none"/>
        </w:rPr>
      </w:pPr>
    </w:p>
    <w:p w14:paraId="5B62E823">
      <w:pPr>
        <w:keepNext w:val="0"/>
        <w:keepLines w:val="0"/>
        <w:pageBreakBefore w:val="0"/>
        <w:widowControl w:val="0"/>
        <w:wordWrap/>
        <w:topLinePunct w:val="0"/>
        <w:bidi w:val="0"/>
        <w:ind w:firstLine="4200" w:firstLineChars="2000"/>
        <w:outlineLvl w:val="9"/>
        <w:rPr>
          <w:rFonts w:hint="eastAsia" w:ascii="宋体" w:hAnsi="宋体" w:eastAsia="宋体" w:cs="宋体"/>
          <w:color w:val="auto"/>
          <w:sz w:val="21"/>
          <w:szCs w:val="21"/>
          <w:highlight w:val="none"/>
        </w:rPr>
      </w:pPr>
    </w:p>
    <w:p w14:paraId="280D53A3">
      <w:pPr>
        <w:keepNext w:val="0"/>
        <w:keepLines w:val="0"/>
        <w:pageBreakBefore w:val="0"/>
        <w:widowControl w:val="0"/>
        <w:wordWrap/>
        <w:topLinePunct w:val="0"/>
        <w:bidi w:val="0"/>
        <w:ind w:firstLine="4200" w:firstLineChars="200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日          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41EE136B">
      <w:pPr>
        <w:keepNext w:val="0"/>
        <w:keepLines w:val="0"/>
        <w:pageBreakBefore w:val="0"/>
        <w:widowControl w:val="0"/>
        <w:wordWrap/>
        <w:topLinePunct w:val="0"/>
        <w:bidi w:val="0"/>
        <w:outlineLvl w:val="9"/>
        <w:rPr>
          <w:rFonts w:hint="eastAsia" w:ascii="宋体" w:hAnsi="宋体" w:eastAsia="宋体" w:cs="宋体"/>
          <w:color w:val="auto"/>
          <w:sz w:val="21"/>
          <w:szCs w:val="21"/>
          <w:highlight w:val="none"/>
          <w:u w:val="single"/>
        </w:rPr>
      </w:pPr>
    </w:p>
    <w:p w14:paraId="023C52C2">
      <w:pPr>
        <w:keepNext w:val="0"/>
        <w:keepLines w:val="0"/>
        <w:pageBreakBefore w:val="0"/>
        <w:widowControl w:val="0"/>
        <w:wordWrap/>
        <w:topLinePunct w:val="0"/>
        <w:bidi w:val="0"/>
        <w:outlineLvl w:val="9"/>
        <w:rPr>
          <w:rFonts w:hint="eastAsia" w:ascii="宋体" w:hAnsi="宋体" w:eastAsia="宋体" w:cs="宋体"/>
          <w:color w:val="auto"/>
          <w:sz w:val="21"/>
          <w:szCs w:val="21"/>
          <w:highlight w:val="none"/>
          <w:u w:val="single"/>
        </w:rPr>
      </w:pPr>
    </w:p>
    <w:p w14:paraId="62146F8D">
      <w:pPr>
        <w:keepNext w:val="0"/>
        <w:keepLines w:val="0"/>
        <w:pageBreakBefore w:val="0"/>
        <w:widowControl w:val="0"/>
        <w:wordWrap/>
        <w:topLinePunct w:val="0"/>
        <w:bidi w:val="0"/>
        <w:outlineLvl w:val="9"/>
        <w:rPr>
          <w:rFonts w:hint="eastAsia" w:ascii="宋体" w:hAnsi="宋体" w:eastAsia="宋体" w:cs="宋体"/>
          <w:color w:val="auto"/>
          <w:sz w:val="21"/>
          <w:szCs w:val="21"/>
          <w:highlight w:val="none"/>
          <w:u w:val="single"/>
        </w:rPr>
      </w:pPr>
    </w:p>
    <w:p w14:paraId="672EBBD1">
      <w:pPr>
        <w:keepNext w:val="0"/>
        <w:keepLines w:val="0"/>
        <w:pageBreakBefore w:val="0"/>
        <w:widowControl w:val="0"/>
        <w:wordWrap/>
        <w:topLinePunct w:val="0"/>
        <w:bidi w:val="0"/>
        <w:jc w:val="center"/>
        <w:outlineLvl w:val="9"/>
        <w:rPr>
          <w:rStyle w:val="48"/>
          <w:rFonts w:hint="eastAsia" w:ascii="宋体" w:hAnsi="宋体" w:cs="宋体"/>
          <w:b/>
          <w:bCs/>
          <w:color w:val="auto"/>
          <w:kern w:val="0"/>
          <w:sz w:val="24"/>
          <w:szCs w:val="24"/>
          <w:highlight w:val="none"/>
          <w:lang w:val="en-US" w:eastAsia="zh-CN"/>
        </w:rPr>
      </w:pPr>
      <w:bookmarkStart w:id="2397" w:name="_Toc5077"/>
      <w:r>
        <w:rPr>
          <w:rStyle w:val="48"/>
          <w:rFonts w:hint="eastAsia" w:ascii="宋体" w:hAnsi="宋体" w:cs="宋体"/>
          <w:b/>
          <w:bCs/>
          <w:color w:val="auto"/>
          <w:kern w:val="0"/>
          <w:sz w:val="24"/>
          <w:szCs w:val="24"/>
          <w:highlight w:val="none"/>
          <w:lang w:val="en-US" w:eastAsia="zh-CN"/>
        </w:rPr>
        <w:t>（3）监狱企业的证明文件复印件[供应商如为监狱企业的，应当提供由省级以上监狱管理局、戒毒管理局（含新疆生产建设兵团）出具的属于监狱企业的证明文件, 否则不予享受优惠政策]</w:t>
      </w:r>
      <w:bookmarkEnd w:id="2397"/>
    </w:p>
    <w:p w14:paraId="751A37B2">
      <w:pPr>
        <w:keepNext w:val="0"/>
        <w:keepLines w:val="0"/>
        <w:pageBreakBefore w:val="0"/>
        <w:widowControl w:val="0"/>
        <w:wordWrap/>
        <w:topLinePunct w:val="0"/>
        <w:bidi w:val="0"/>
        <w:outlineLvl w:val="9"/>
        <w:rPr>
          <w:rFonts w:hint="eastAsia" w:ascii="宋体" w:hAnsi="宋体" w:eastAsia="宋体" w:cs="宋体"/>
          <w:color w:val="auto"/>
          <w:sz w:val="21"/>
          <w:szCs w:val="21"/>
          <w:highlight w:val="none"/>
          <w:u w:val="single"/>
        </w:rPr>
      </w:pPr>
    </w:p>
    <w:p w14:paraId="79A0066B">
      <w:pPr>
        <w:keepNext w:val="0"/>
        <w:keepLines w:val="0"/>
        <w:pageBreakBefore w:val="0"/>
        <w:widowControl w:val="0"/>
        <w:wordWrap/>
        <w:topLinePunct w:val="0"/>
        <w:bidi w:val="0"/>
        <w:rPr>
          <w:rFonts w:hint="eastAsia" w:ascii="宋体" w:hAnsi="宋体" w:eastAsia="宋体" w:cs="宋体"/>
          <w:color w:val="auto"/>
          <w:sz w:val="21"/>
          <w:szCs w:val="21"/>
          <w:highlight w:val="none"/>
          <w:u w:val="single"/>
        </w:rPr>
      </w:pPr>
    </w:p>
    <w:p w14:paraId="21C7E3C0">
      <w:pPr>
        <w:pStyle w:val="9"/>
        <w:keepNext w:val="0"/>
        <w:keepLines w:val="0"/>
        <w:pageBreakBefore w:val="0"/>
        <w:widowControl w:val="0"/>
        <w:wordWrap/>
        <w:topLinePunct w:val="0"/>
        <w:bidi w:val="0"/>
        <w:rPr>
          <w:rFonts w:hint="eastAsia" w:hAnsi="宋体" w:eastAsia="宋体" w:cs="宋体"/>
          <w:b/>
          <w:color w:val="auto"/>
          <w:sz w:val="28"/>
          <w:szCs w:val="28"/>
          <w:highlight w:val="none"/>
          <w:lang w:val="en-US" w:eastAsia="zh-CN"/>
        </w:rPr>
      </w:pPr>
    </w:p>
    <w:p w14:paraId="01B04DCE">
      <w:pPr>
        <w:keepNext w:val="0"/>
        <w:keepLines w:val="0"/>
        <w:pageBreakBefore w:val="0"/>
        <w:widowControl w:val="0"/>
        <w:numPr>
          <w:ilvl w:val="0"/>
          <w:numId w:val="0"/>
        </w:numPr>
        <w:wordWrap/>
        <w:topLinePunct w:val="0"/>
        <w:bidi w:val="0"/>
        <w:spacing w:line="440" w:lineRule="atLeast"/>
        <w:outlineLvl w:val="2"/>
        <w:rPr>
          <w:rFonts w:hint="eastAsia" w:ascii="宋体" w:hAnsi="宋体" w:eastAsia="宋体" w:cs="宋体"/>
          <w:b/>
          <w:color w:val="auto"/>
          <w:sz w:val="28"/>
          <w:szCs w:val="28"/>
          <w:highlight w:val="none"/>
          <w:lang w:val="en-US" w:eastAsia="zh-CN"/>
        </w:rPr>
      </w:pPr>
      <w:r>
        <w:rPr>
          <w:rFonts w:hint="eastAsia" w:hAnsi="宋体" w:eastAsia="宋体" w:cs="宋体"/>
          <w:b/>
          <w:color w:val="auto"/>
          <w:sz w:val="28"/>
          <w:szCs w:val="28"/>
          <w:highlight w:val="none"/>
          <w:lang w:val="en-US" w:eastAsia="zh-CN"/>
        </w:rPr>
        <w:t>8</w:t>
      </w:r>
      <w:r>
        <w:rPr>
          <w:rFonts w:hint="eastAsia" w:ascii="宋体" w:hAnsi="宋体" w:eastAsia="宋体" w:cs="宋体"/>
          <w:b/>
          <w:color w:val="auto"/>
          <w:sz w:val="28"/>
          <w:szCs w:val="28"/>
          <w:highlight w:val="none"/>
          <w:lang w:val="en-US" w:eastAsia="zh-CN"/>
        </w:rPr>
        <w:t>.</w:t>
      </w:r>
      <w:r>
        <w:rPr>
          <w:rFonts w:hint="eastAsia" w:ascii="宋体" w:hAnsi="宋体" w:cs="宋体"/>
          <w:b/>
          <w:color w:val="auto"/>
          <w:sz w:val="28"/>
          <w:szCs w:val="28"/>
          <w:highlight w:val="none"/>
          <w:lang w:val="en-US" w:eastAsia="zh-CN"/>
        </w:rPr>
        <w:t>供应商2024年度财务状况报告</w:t>
      </w:r>
      <w:r>
        <w:rPr>
          <w:rFonts w:hint="eastAsia" w:ascii="宋体" w:hAnsi="宋体" w:eastAsia="宋体" w:cs="宋体"/>
          <w:b/>
          <w:color w:val="auto"/>
          <w:sz w:val="28"/>
          <w:szCs w:val="28"/>
          <w:highlight w:val="none"/>
          <w:lang w:val="en-US" w:eastAsia="zh-CN"/>
        </w:rPr>
        <w:t>（必须提供，可以是磋商供应商自行编制也可是通过第三方审计公司编制，如为自行编制至少须提供现金流量表、负债表及利润表）；</w:t>
      </w:r>
    </w:p>
    <w:p w14:paraId="29A07C88">
      <w:pPr>
        <w:pStyle w:val="9"/>
        <w:keepNext w:val="0"/>
        <w:keepLines w:val="0"/>
        <w:pageBreakBefore w:val="0"/>
        <w:widowControl w:val="0"/>
        <w:wordWrap/>
        <w:topLinePunct w:val="0"/>
        <w:bidi w:val="0"/>
        <w:rPr>
          <w:rFonts w:hint="eastAsia" w:ascii="宋体" w:hAnsi="宋体" w:eastAsia="宋体" w:cs="宋体"/>
          <w:b/>
          <w:color w:val="auto"/>
          <w:sz w:val="28"/>
          <w:szCs w:val="28"/>
          <w:highlight w:val="none"/>
          <w:lang w:val="en-US" w:eastAsia="zh-CN"/>
        </w:rPr>
      </w:pPr>
    </w:p>
    <w:p w14:paraId="52C604D6">
      <w:pPr>
        <w:pStyle w:val="9"/>
        <w:keepNext w:val="0"/>
        <w:keepLines w:val="0"/>
        <w:pageBreakBefore w:val="0"/>
        <w:widowControl w:val="0"/>
        <w:wordWrap/>
        <w:topLinePunct w:val="0"/>
        <w:bidi w:val="0"/>
        <w:rPr>
          <w:rFonts w:hint="eastAsia"/>
          <w:color w:val="auto"/>
          <w:highlight w:val="none"/>
          <w:lang w:val="en-US" w:eastAsia="zh-CN"/>
        </w:rPr>
      </w:pPr>
    </w:p>
    <w:p w14:paraId="36F8ED65">
      <w:pPr>
        <w:keepNext w:val="0"/>
        <w:keepLines w:val="0"/>
        <w:pageBreakBefore w:val="0"/>
        <w:widowControl w:val="0"/>
        <w:numPr>
          <w:ilvl w:val="0"/>
          <w:numId w:val="0"/>
        </w:numPr>
        <w:wordWrap/>
        <w:topLinePunct w:val="0"/>
        <w:bidi w:val="0"/>
        <w:spacing w:line="440" w:lineRule="atLeast"/>
        <w:outlineLvl w:val="2"/>
        <w:rPr>
          <w:rFonts w:hint="eastAsia"/>
          <w:color w:val="auto"/>
          <w:highlight w:val="none"/>
          <w:lang w:val="en-US" w:eastAsia="zh-CN"/>
        </w:rPr>
      </w:pPr>
      <w:r>
        <w:rPr>
          <w:rFonts w:hint="eastAsia" w:ascii="宋体" w:hAnsi="宋体" w:eastAsia="宋体" w:cs="宋体"/>
          <w:b/>
          <w:color w:val="auto"/>
          <w:sz w:val="28"/>
          <w:szCs w:val="28"/>
          <w:highlight w:val="none"/>
          <w:lang w:val="en-US" w:eastAsia="zh-CN"/>
        </w:rPr>
        <w:t>9.供应商近半年内任意一个月依法缴纳税收的证明材料[增值税缴纳发票(税收完税证明)或企业所得税完税证明或税务部门出具的免税证明]复印件(税收完税证明)或企业所得税完税证明或税务部门出具的免税证明]复印件（必须提供）。</w:t>
      </w:r>
    </w:p>
    <w:p w14:paraId="48721758">
      <w:pPr>
        <w:pStyle w:val="9"/>
        <w:keepNext w:val="0"/>
        <w:keepLines w:val="0"/>
        <w:pageBreakBefore w:val="0"/>
        <w:widowControl w:val="0"/>
        <w:wordWrap/>
        <w:topLinePunct w:val="0"/>
        <w:bidi w:val="0"/>
        <w:rPr>
          <w:rFonts w:hint="eastAsia"/>
          <w:color w:val="auto"/>
          <w:highlight w:val="none"/>
          <w:lang w:val="en-US" w:eastAsia="zh-CN"/>
        </w:rPr>
      </w:pPr>
    </w:p>
    <w:p w14:paraId="48538F56">
      <w:pPr>
        <w:keepNext w:val="0"/>
        <w:keepLines w:val="0"/>
        <w:pageBreakBefore w:val="0"/>
        <w:widowControl w:val="0"/>
        <w:wordWrap/>
        <w:topLinePunct w:val="0"/>
        <w:bidi w:val="0"/>
        <w:rPr>
          <w:rFonts w:hint="eastAsia" w:ascii="宋体" w:hAnsi="宋体" w:cs="宋体"/>
          <w:b/>
          <w:bCs/>
          <w:color w:val="auto"/>
          <w:sz w:val="32"/>
          <w:szCs w:val="32"/>
          <w:highlight w:val="none"/>
          <w:lang w:eastAsia="zh-CN"/>
        </w:rPr>
      </w:pPr>
      <w:r>
        <w:rPr>
          <w:rFonts w:hint="eastAsia" w:ascii="宋体" w:hAnsi="宋体" w:cs="宋体"/>
          <w:b/>
          <w:bCs/>
          <w:color w:val="auto"/>
          <w:sz w:val="32"/>
          <w:szCs w:val="32"/>
          <w:highlight w:val="none"/>
          <w:lang w:eastAsia="zh-CN"/>
        </w:rPr>
        <w:br w:type="page"/>
      </w:r>
    </w:p>
    <w:p w14:paraId="377A89E1">
      <w:pPr>
        <w:keepNext w:val="0"/>
        <w:keepLines w:val="0"/>
        <w:pageBreakBefore w:val="0"/>
        <w:widowControl w:val="0"/>
        <w:numPr>
          <w:ilvl w:val="0"/>
          <w:numId w:val="0"/>
        </w:numPr>
        <w:wordWrap/>
        <w:topLinePunct w:val="0"/>
        <w:bidi w:val="0"/>
        <w:jc w:val="center"/>
        <w:outlineLvl w:val="1"/>
        <w:rPr>
          <w:rFonts w:hint="eastAsia" w:ascii="宋体" w:hAnsi="宋体" w:eastAsia="宋体" w:cs="宋体"/>
          <w:b/>
          <w:bCs/>
          <w:color w:val="auto"/>
          <w:sz w:val="32"/>
          <w:szCs w:val="32"/>
          <w:highlight w:val="none"/>
        </w:rPr>
      </w:pPr>
      <w:bookmarkStart w:id="2398" w:name="_Toc29882"/>
      <w:r>
        <w:rPr>
          <w:rFonts w:hint="eastAsia" w:ascii="宋体" w:hAnsi="宋体" w:cs="宋体"/>
          <w:b/>
          <w:bCs/>
          <w:color w:val="auto"/>
          <w:sz w:val="32"/>
          <w:szCs w:val="32"/>
          <w:highlight w:val="none"/>
          <w:lang w:eastAsia="zh-CN"/>
        </w:rPr>
        <w:t>（二）</w:t>
      </w:r>
      <w:r>
        <w:rPr>
          <w:rFonts w:hint="eastAsia" w:ascii="宋体" w:hAnsi="宋体" w:eastAsia="宋体" w:cs="宋体"/>
          <w:b/>
          <w:bCs/>
          <w:color w:val="auto"/>
          <w:sz w:val="32"/>
          <w:szCs w:val="32"/>
          <w:highlight w:val="none"/>
        </w:rPr>
        <w:t>符合性响应证明材料目录</w:t>
      </w:r>
      <w:bookmarkEnd w:id="2398"/>
    </w:p>
    <w:p w14:paraId="5B00397F">
      <w:pPr>
        <w:keepNext w:val="0"/>
        <w:keepLines w:val="0"/>
        <w:pageBreakBefore w:val="0"/>
        <w:widowControl w:val="0"/>
        <w:numPr>
          <w:ilvl w:val="0"/>
          <w:numId w:val="0"/>
        </w:numPr>
        <w:wordWrap/>
        <w:topLinePunct w:val="0"/>
        <w:bidi w:val="0"/>
        <w:spacing w:line="360" w:lineRule="auto"/>
        <w:ind w:left="420" w:leftChars="0"/>
        <w:rPr>
          <w:rFonts w:hint="eastAsia" w:ascii="宋体" w:hAnsi="宋体" w:eastAsia="宋体" w:cs="宋体"/>
          <w:color w:val="auto"/>
          <w:sz w:val="24"/>
          <w:highlight w:val="none"/>
          <w:lang w:val="en-US" w:eastAsia="zh-CN"/>
        </w:rPr>
      </w:pPr>
    </w:p>
    <w:p w14:paraId="34C0E9C7">
      <w:pPr>
        <w:keepNext w:val="0"/>
        <w:keepLines w:val="0"/>
        <w:pageBreakBefore w:val="0"/>
        <w:widowControl w:val="0"/>
        <w:numPr>
          <w:ilvl w:val="0"/>
          <w:numId w:val="0"/>
        </w:numPr>
        <w:wordWrap/>
        <w:topLinePunct w:val="0"/>
        <w:bidi w:val="0"/>
        <w:spacing w:line="360" w:lineRule="auto"/>
        <w:ind w:left="420" w:leftChars="200" w:firstLine="0" w:firstLineChars="0"/>
        <w:rPr>
          <w:rFonts w:hint="eastAsia" w:ascii="宋体" w:hAnsi="宋体" w:eastAsia="宋体" w:cs="宋体"/>
          <w:b/>
          <w:bCs/>
          <w:color w:val="auto"/>
          <w:sz w:val="24"/>
          <w:highlight w:val="none"/>
          <w:lang w:eastAsia="zh-CN"/>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响应函</w:t>
      </w:r>
      <w:r>
        <w:rPr>
          <w:rFonts w:hint="eastAsia" w:ascii="宋体" w:hAnsi="宋体" w:eastAsia="宋体" w:cs="宋体"/>
          <w:b/>
          <w:bCs/>
          <w:color w:val="auto"/>
          <w:sz w:val="24"/>
          <w:highlight w:val="none"/>
        </w:rPr>
        <w:t>（格式见附件）（必须提供</w:t>
      </w:r>
      <w:r>
        <w:rPr>
          <w:color w:val="auto"/>
          <w:highlight w:val="none"/>
        </w:rPr>
        <w:t>）</w:t>
      </w:r>
      <w:r>
        <w:rPr>
          <w:rFonts w:hint="eastAsia" w:ascii="宋体" w:hAnsi="宋体" w:eastAsia="宋体" w:cs="宋体"/>
          <w:b/>
          <w:bCs/>
          <w:color w:val="auto"/>
          <w:sz w:val="24"/>
          <w:highlight w:val="none"/>
          <w:lang w:eastAsia="zh-CN"/>
        </w:rPr>
        <w:t>；</w:t>
      </w:r>
    </w:p>
    <w:p w14:paraId="3991E7C8">
      <w:pPr>
        <w:keepNext w:val="0"/>
        <w:keepLines w:val="0"/>
        <w:pageBreakBefore w:val="0"/>
        <w:widowControl w:val="0"/>
        <w:numPr>
          <w:ilvl w:val="0"/>
          <w:numId w:val="0"/>
        </w:numPr>
        <w:wordWrap/>
        <w:topLinePunct w:val="0"/>
        <w:bidi w:val="0"/>
        <w:spacing w:line="360" w:lineRule="auto"/>
        <w:ind w:left="420" w:leftChars="200" w:firstLine="0" w:firstLineChars="0"/>
        <w:rPr>
          <w:rFonts w:hint="eastAsia" w:ascii="宋体" w:hAnsi="宋体" w:eastAsia="宋体" w:cs="宋体"/>
          <w:color w:val="auto"/>
          <w:sz w:val="24"/>
          <w:highlight w:val="none"/>
          <w:lang w:val="en-US" w:eastAsia="zh-CN"/>
        </w:rPr>
      </w:pPr>
    </w:p>
    <w:p w14:paraId="7A1C9633">
      <w:pPr>
        <w:keepNext w:val="0"/>
        <w:keepLines w:val="0"/>
        <w:pageBreakBefore w:val="0"/>
        <w:widowControl w:val="0"/>
        <w:numPr>
          <w:ilvl w:val="0"/>
          <w:numId w:val="0"/>
        </w:numPr>
        <w:wordWrap/>
        <w:topLinePunct w:val="0"/>
        <w:bidi w:val="0"/>
        <w:spacing w:line="360" w:lineRule="auto"/>
        <w:ind w:left="420" w:leftChars="200" w:firstLine="0" w:firstLineChars="0"/>
        <w:rPr>
          <w:rFonts w:hint="eastAsia" w:ascii="宋体" w:hAnsi="宋体" w:eastAsia="宋体" w:cs="宋体"/>
          <w:b/>
          <w:bCs/>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工程报价汇总表</w:t>
      </w:r>
      <w:r>
        <w:rPr>
          <w:rFonts w:hint="eastAsia" w:ascii="宋体" w:hAnsi="宋体" w:eastAsia="宋体" w:cs="宋体"/>
          <w:b/>
          <w:bCs/>
          <w:color w:val="auto"/>
          <w:sz w:val="24"/>
          <w:highlight w:val="none"/>
        </w:rPr>
        <w:t>（格式见附件）（必须提供）；</w:t>
      </w:r>
    </w:p>
    <w:p w14:paraId="5DFA243B">
      <w:pPr>
        <w:keepNext w:val="0"/>
        <w:keepLines w:val="0"/>
        <w:pageBreakBefore w:val="0"/>
        <w:widowControl w:val="0"/>
        <w:numPr>
          <w:ilvl w:val="0"/>
          <w:numId w:val="0"/>
        </w:numPr>
        <w:wordWrap/>
        <w:topLinePunct w:val="0"/>
        <w:bidi w:val="0"/>
        <w:spacing w:line="360" w:lineRule="auto"/>
        <w:ind w:left="420" w:leftChars="200" w:firstLine="0" w:firstLineChars="0"/>
        <w:rPr>
          <w:rFonts w:hint="eastAsia" w:ascii="宋体" w:hAnsi="宋体" w:eastAsia="宋体" w:cs="宋体"/>
          <w:color w:val="auto"/>
          <w:sz w:val="24"/>
          <w:highlight w:val="none"/>
          <w:lang w:val="en-US" w:eastAsia="zh-CN"/>
        </w:rPr>
      </w:pPr>
    </w:p>
    <w:p w14:paraId="434B3922">
      <w:pPr>
        <w:keepNext w:val="0"/>
        <w:keepLines w:val="0"/>
        <w:pageBreakBefore w:val="0"/>
        <w:widowControl w:val="0"/>
        <w:numPr>
          <w:ilvl w:val="0"/>
          <w:numId w:val="0"/>
        </w:numPr>
        <w:wordWrap/>
        <w:topLinePunct w:val="0"/>
        <w:bidi w:val="0"/>
        <w:spacing w:line="360" w:lineRule="auto"/>
        <w:ind w:left="420" w:leftChars="200" w:firstLine="0" w:firstLineChars="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3.标价工程量清单</w:t>
      </w:r>
      <w:r>
        <w:rPr>
          <w:rFonts w:hint="eastAsia" w:ascii="宋体" w:hAnsi="宋体" w:eastAsia="宋体" w:cs="宋体"/>
          <w:b/>
          <w:bCs/>
          <w:color w:val="auto"/>
          <w:sz w:val="24"/>
          <w:highlight w:val="none"/>
          <w:lang w:val="en-US" w:eastAsia="zh-CN"/>
        </w:rPr>
        <w:t>（必须提供）</w:t>
      </w:r>
      <w:r>
        <w:rPr>
          <w:rFonts w:hint="eastAsia" w:ascii="宋体" w:hAnsi="宋体" w:eastAsia="宋体" w:cs="宋体"/>
          <w:b w:val="0"/>
          <w:bCs w:val="0"/>
          <w:color w:val="auto"/>
          <w:sz w:val="24"/>
          <w:highlight w:val="none"/>
          <w:lang w:val="en-US" w:eastAsia="zh-CN"/>
        </w:rPr>
        <w:t>；</w:t>
      </w:r>
    </w:p>
    <w:p w14:paraId="33FE7B64">
      <w:pPr>
        <w:keepNext w:val="0"/>
        <w:keepLines w:val="0"/>
        <w:pageBreakBefore w:val="0"/>
        <w:widowControl w:val="0"/>
        <w:numPr>
          <w:ilvl w:val="0"/>
          <w:numId w:val="0"/>
        </w:numPr>
        <w:wordWrap/>
        <w:topLinePunct w:val="0"/>
        <w:bidi w:val="0"/>
        <w:spacing w:line="360" w:lineRule="auto"/>
        <w:ind w:left="420" w:leftChars="200" w:firstLine="0" w:firstLineChars="0"/>
        <w:rPr>
          <w:rFonts w:hint="eastAsia" w:ascii="宋体" w:hAnsi="宋体" w:eastAsia="宋体" w:cs="宋体"/>
          <w:color w:val="auto"/>
          <w:highlight w:val="none"/>
        </w:rPr>
      </w:pPr>
    </w:p>
    <w:p w14:paraId="5CFD052D">
      <w:pPr>
        <w:keepNext w:val="0"/>
        <w:keepLines w:val="0"/>
        <w:pageBreakBefore w:val="0"/>
        <w:widowControl w:val="0"/>
        <w:numPr>
          <w:ilvl w:val="0"/>
          <w:numId w:val="0"/>
        </w:numPr>
        <w:wordWrap/>
        <w:topLinePunct w:val="0"/>
        <w:bidi w:val="0"/>
        <w:spacing w:line="360" w:lineRule="auto"/>
        <w:ind w:left="420" w:leftChars="200" w:firstLine="0" w:firstLineChars="0"/>
        <w:rPr>
          <w:rFonts w:hint="eastAsia" w:ascii="宋体" w:hAnsi="宋体" w:eastAsia="宋体" w:cs="宋体"/>
          <w:color w:val="auto"/>
          <w:sz w:val="24"/>
          <w:highlight w:val="none"/>
        </w:rPr>
      </w:pPr>
      <w:r>
        <w:rPr>
          <w:rFonts w:hint="eastAsia" w:ascii="宋体" w:hAnsi="宋体" w:eastAsia="宋体" w:cs="宋体"/>
          <w:b w:val="0"/>
          <w:bCs w:val="0"/>
          <w:color w:val="auto"/>
          <w:sz w:val="24"/>
          <w:highlight w:val="none"/>
          <w:lang w:val="en-US" w:eastAsia="zh-CN"/>
        </w:rPr>
        <w:t>4.</w:t>
      </w:r>
      <w:r>
        <w:rPr>
          <w:rFonts w:hint="eastAsia" w:ascii="宋体" w:hAnsi="宋体" w:eastAsia="宋体" w:cs="宋体"/>
          <w:b w:val="0"/>
          <w:bCs w:val="0"/>
          <w:color w:val="auto"/>
          <w:sz w:val="24"/>
          <w:highlight w:val="none"/>
        </w:rPr>
        <w:t>拟投入本工程主要施工管理人员表</w:t>
      </w:r>
      <w:r>
        <w:rPr>
          <w:rFonts w:hint="eastAsia" w:ascii="宋体" w:hAnsi="宋体" w:eastAsia="宋体" w:cs="宋体"/>
          <w:b/>
          <w:bCs/>
          <w:color w:val="auto"/>
          <w:sz w:val="24"/>
          <w:highlight w:val="none"/>
        </w:rPr>
        <w:t>（必须提供）；</w:t>
      </w:r>
    </w:p>
    <w:p w14:paraId="0B588C50">
      <w:pPr>
        <w:keepNext w:val="0"/>
        <w:keepLines w:val="0"/>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并一起提供由县级以上（含县级）社会养老保险经办机构出具的供应商为项目实施人员交纳的响应文件递交截止时间前</w:t>
      </w:r>
      <w:r>
        <w:rPr>
          <w:rFonts w:hint="eastAsia" w:ascii="宋体" w:hAnsi="宋体" w:cs="宋体"/>
          <w:b/>
          <w:bCs/>
          <w:color w:val="auto"/>
          <w:szCs w:val="21"/>
          <w:highlight w:val="none"/>
          <w:lang w:eastAsia="zh-CN"/>
        </w:rPr>
        <w:t>半年内任意一个月</w:t>
      </w:r>
      <w:r>
        <w:rPr>
          <w:rFonts w:hint="eastAsia" w:ascii="宋体" w:hAnsi="宋体" w:eastAsia="宋体" w:cs="宋体"/>
          <w:b/>
          <w:bCs/>
          <w:color w:val="auto"/>
          <w:szCs w:val="21"/>
          <w:highlight w:val="none"/>
        </w:rPr>
        <w:t>社保证明复印件</w:t>
      </w:r>
      <w:r>
        <w:rPr>
          <w:rFonts w:hint="eastAsia" w:ascii="宋体" w:hAnsi="宋体" w:eastAsia="宋体" w:cs="宋体"/>
          <w:b w:val="0"/>
          <w:bCs w:val="0"/>
          <w:color w:val="auto"/>
          <w:szCs w:val="21"/>
          <w:highlight w:val="none"/>
        </w:rPr>
        <w:t>；</w:t>
      </w:r>
    </w:p>
    <w:p w14:paraId="03EE4AF6">
      <w:pPr>
        <w:keepNext w:val="0"/>
        <w:keepLines w:val="0"/>
        <w:pageBreakBefore w:val="0"/>
        <w:widowControl w:val="0"/>
        <w:numPr>
          <w:ilvl w:val="0"/>
          <w:numId w:val="0"/>
        </w:numPr>
        <w:wordWrap/>
        <w:topLinePunct w:val="0"/>
        <w:bidi w:val="0"/>
        <w:spacing w:line="360" w:lineRule="auto"/>
        <w:ind w:left="420" w:leftChars="200" w:firstLine="0" w:firstLineChars="0"/>
        <w:rPr>
          <w:rFonts w:hint="eastAsia" w:ascii="宋体" w:hAnsi="宋体" w:eastAsia="宋体" w:cs="宋体"/>
          <w:color w:val="auto"/>
          <w:highlight w:val="none"/>
        </w:rPr>
      </w:pPr>
    </w:p>
    <w:p w14:paraId="1BD3F0F0">
      <w:pPr>
        <w:keepNext w:val="0"/>
        <w:keepLines w:val="0"/>
        <w:pageBreakBefore w:val="0"/>
        <w:widowControl w:val="0"/>
        <w:numPr>
          <w:ilvl w:val="0"/>
          <w:numId w:val="0"/>
        </w:numPr>
        <w:wordWrap/>
        <w:topLinePunct w:val="0"/>
        <w:bidi w:val="0"/>
        <w:spacing w:line="360" w:lineRule="auto"/>
        <w:ind w:left="420" w:leftChars="200" w:firstLine="0" w:firstLineChars="0"/>
        <w:rPr>
          <w:rFonts w:hint="eastAsia" w:ascii="宋体" w:hAnsi="宋体" w:eastAsia="宋体" w:cs="宋体"/>
          <w:color w:val="auto"/>
          <w:sz w:val="24"/>
          <w:highlight w:val="none"/>
          <w:lang w:eastAsia="zh-CN"/>
        </w:rPr>
      </w:pPr>
      <w:r>
        <w:rPr>
          <w:rFonts w:hint="eastAsia" w:ascii="宋体" w:hAnsi="宋体" w:eastAsia="宋体" w:cs="宋体"/>
          <w:b w:val="0"/>
          <w:bCs w:val="0"/>
          <w:color w:val="auto"/>
          <w:sz w:val="24"/>
          <w:highlight w:val="none"/>
          <w:lang w:val="en-US" w:eastAsia="zh-CN"/>
        </w:rPr>
        <w:t>5.</w:t>
      </w:r>
      <w:r>
        <w:rPr>
          <w:rFonts w:hint="eastAsia" w:ascii="宋体" w:hAnsi="宋体" w:eastAsia="宋体" w:cs="宋体"/>
          <w:b w:val="0"/>
          <w:bCs w:val="0"/>
          <w:color w:val="auto"/>
          <w:sz w:val="24"/>
          <w:highlight w:val="none"/>
          <w:lang w:eastAsia="zh-CN"/>
        </w:rPr>
        <w:t>担任本工程的项目经理简历表（应附相关证书、身份证复印件）</w:t>
      </w:r>
      <w:r>
        <w:rPr>
          <w:rFonts w:hint="eastAsia" w:ascii="宋体" w:hAnsi="宋体" w:eastAsia="宋体" w:cs="宋体"/>
          <w:b/>
          <w:bCs/>
          <w:color w:val="auto"/>
          <w:sz w:val="24"/>
          <w:highlight w:val="none"/>
          <w:lang w:eastAsia="zh-CN"/>
        </w:rPr>
        <w:t>（必须提供）</w:t>
      </w:r>
      <w:r>
        <w:rPr>
          <w:rFonts w:hint="eastAsia" w:ascii="宋体" w:hAnsi="宋体" w:eastAsia="宋体" w:cs="宋体"/>
          <w:color w:val="auto"/>
          <w:sz w:val="24"/>
          <w:highlight w:val="none"/>
          <w:lang w:eastAsia="zh-CN"/>
        </w:rPr>
        <w:t>；</w:t>
      </w:r>
    </w:p>
    <w:p w14:paraId="0979D505">
      <w:pPr>
        <w:keepNext w:val="0"/>
        <w:keepLines w:val="0"/>
        <w:pageBreakBefore w:val="0"/>
        <w:widowControl w:val="0"/>
        <w:numPr>
          <w:ilvl w:val="0"/>
          <w:numId w:val="0"/>
        </w:numPr>
        <w:wordWrap/>
        <w:topLinePunct w:val="0"/>
        <w:bidi w:val="0"/>
        <w:spacing w:line="360" w:lineRule="auto"/>
        <w:ind w:left="420" w:leftChars="200" w:firstLine="0" w:firstLineChars="0"/>
        <w:rPr>
          <w:rFonts w:hint="eastAsia" w:ascii="宋体" w:hAnsi="宋体" w:eastAsia="宋体" w:cs="宋体"/>
          <w:color w:val="auto"/>
          <w:sz w:val="24"/>
          <w:highlight w:val="none"/>
          <w:lang w:eastAsia="zh-CN"/>
        </w:rPr>
      </w:pPr>
    </w:p>
    <w:p w14:paraId="3B45322C">
      <w:pPr>
        <w:keepNext w:val="0"/>
        <w:keepLines w:val="0"/>
        <w:pageBreakBefore w:val="0"/>
        <w:widowControl w:val="0"/>
        <w:numPr>
          <w:ilvl w:val="0"/>
          <w:numId w:val="0"/>
        </w:numPr>
        <w:wordWrap/>
        <w:topLinePunct w:val="0"/>
        <w:bidi w:val="0"/>
        <w:spacing w:line="360" w:lineRule="auto"/>
        <w:ind w:left="420" w:leftChars="200" w:firstLine="0" w:firstLineChars="0"/>
        <w:rPr>
          <w:rFonts w:hint="default"/>
          <w:b w:val="0"/>
          <w:bCs w:val="0"/>
          <w:color w:val="auto"/>
          <w:highlight w:val="none"/>
          <w:lang w:val="en-US" w:eastAsia="zh-CN"/>
        </w:rPr>
      </w:pPr>
      <w:r>
        <w:rPr>
          <w:rFonts w:hint="eastAsia" w:ascii="宋体" w:hAnsi="宋体" w:eastAsia="宋体" w:cs="宋体"/>
          <w:b w:val="0"/>
          <w:bCs w:val="0"/>
          <w:color w:val="auto"/>
          <w:sz w:val="24"/>
          <w:highlight w:val="none"/>
          <w:lang w:val="en-US" w:eastAsia="zh-CN"/>
        </w:rPr>
        <w:t>6.</w:t>
      </w:r>
      <w:r>
        <w:rPr>
          <w:rFonts w:hint="eastAsia" w:ascii="宋体" w:hAnsi="宋体" w:eastAsia="宋体" w:cs="宋体"/>
          <w:b w:val="0"/>
          <w:bCs w:val="0"/>
          <w:color w:val="auto"/>
          <w:sz w:val="24"/>
          <w:highlight w:val="none"/>
          <w:lang w:eastAsia="zh-CN"/>
        </w:rPr>
        <w:t>施工组织设计方案</w:t>
      </w:r>
      <w:r>
        <w:rPr>
          <w:rFonts w:hint="eastAsia" w:ascii="宋体" w:hAnsi="宋体" w:eastAsia="宋体" w:cs="宋体"/>
          <w:b/>
          <w:bCs/>
          <w:color w:val="auto"/>
          <w:sz w:val="24"/>
          <w:highlight w:val="none"/>
          <w:lang w:eastAsia="zh-CN"/>
        </w:rPr>
        <w:t>（必须提供）</w:t>
      </w:r>
      <w:r>
        <w:rPr>
          <w:rFonts w:hint="eastAsia" w:ascii="宋体" w:hAnsi="宋体" w:eastAsia="宋体" w:cs="宋体"/>
          <w:color w:val="auto"/>
          <w:sz w:val="24"/>
          <w:highlight w:val="none"/>
          <w:lang w:eastAsia="zh-CN"/>
        </w:rPr>
        <w:t>；</w:t>
      </w:r>
    </w:p>
    <w:p w14:paraId="5F4A37F9">
      <w:pPr>
        <w:keepNext w:val="0"/>
        <w:keepLines w:val="0"/>
        <w:pageBreakBefore w:val="0"/>
        <w:widowControl w:val="0"/>
        <w:numPr>
          <w:ilvl w:val="0"/>
          <w:numId w:val="0"/>
        </w:numPr>
        <w:wordWrap/>
        <w:topLinePunct w:val="0"/>
        <w:bidi w:val="0"/>
        <w:spacing w:line="360" w:lineRule="auto"/>
        <w:ind w:left="420" w:leftChars="200" w:firstLine="0" w:firstLineChars="0"/>
        <w:rPr>
          <w:rFonts w:hint="eastAsia" w:ascii="宋体" w:hAnsi="宋体" w:eastAsia="宋体" w:cs="宋体"/>
          <w:color w:val="auto"/>
          <w:sz w:val="24"/>
          <w:highlight w:val="none"/>
          <w:lang w:eastAsia="zh-CN"/>
        </w:rPr>
      </w:pPr>
    </w:p>
    <w:p w14:paraId="43F2F71F">
      <w:pPr>
        <w:keepNext w:val="0"/>
        <w:keepLines w:val="0"/>
        <w:pageBreakBefore w:val="0"/>
        <w:widowControl w:val="0"/>
        <w:numPr>
          <w:ilvl w:val="0"/>
          <w:numId w:val="0"/>
        </w:numPr>
        <w:wordWrap/>
        <w:topLinePunct w:val="0"/>
        <w:bidi w:val="0"/>
        <w:spacing w:line="360" w:lineRule="auto"/>
        <w:ind w:left="420" w:leftChars="200" w:firstLine="0" w:firstLineChars="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7.建设工程项目管理承诺书</w:t>
      </w:r>
      <w:r>
        <w:rPr>
          <w:rFonts w:hint="eastAsia" w:ascii="宋体" w:hAnsi="宋体" w:eastAsia="宋体" w:cs="宋体"/>
          <w:b/>
          <w:bCs/>
          <w:color w:val="auto"/>
          <w:sz w:val="24"/>
          <w:highlight w:val="none"/>
          <w:lang w:val="en-US" w:eastAsia="zh-CN"/>
        </w:rPr>
        <w:t>（格式见附件，必须提供）</w:t>
      </w:r>
      <w:r>
        <w:rPr>
          <w:rFonts w:hint="eastAsia" w:ascii="宋体" w:hAnsi="宋体" w:eastAsia="宋体" w:cs="宋体"/>
          <w:b w:val="0"/>
          <w:bCs w:val="0"/>
          <w:color w:val="auto"/>
          <w:sz w:val="24"/>
          <w:highlight w:val="none"/>
          <w:lang w:val="en-US" w:eastAsia="zh-CN"/>
        </w:rPr>
        <w:t>；</w:t>
      </w:r>
    </w:p>
    <w:p w14:paraId="10972C2A">
      <w:pPr>
        <w:keepNext w:val="0"/>
        <w:keepLines w:val="0"/>
        <w:pageBreakBefore w:val="0"/>
        <w:widowControl w:val="0"/>
        <w:numPr>
          <w:ilvl w:val="0"/>
          <w:numId w:val="0"/>
        </w:numPr>
        <w:wordWrap/>
        <w:topLinePunct w:val="0"/>
        <w:bidi w:val="0"/>
        <w:spacing w:line="360" w:lineRule="auto"/>
        <w:ind w:left="420" w:leftChars="200" w:firstLine="0" w:firstLineChars="0"/>
        <w:rPr>
          <w:rFonts w:hint="eastAsia" w:ascii="宋体" w:hAnsi="宋体" w:eastAsia="宋体" w:cs="宋体"/>
          <w:b w:val="0"/>
          <w:bCs w:val="0"/>
          <w:color w:val="auto"/>
          <w:sz w:val="24"/>
          <w:highlight w:val="none"/>
          <w:lang w:val="en-US" w:eastAsia="zh-CN"/>
        </w:rPr>
      </w:pPr>
    </w:p>
    <w:p w14:paraId="3725F1F4">
      <w:pPr>
        <w:keepNext w:val="0"/>
        <w:keepLines w:val="0"/>
        <w:pageBreakBefore w:val="0"/>
        <w:widowControl w:val="0"/>
        <w:numPr>
          <w:ilvl w:val="0"/>
          <w:numId w:val="0"/>
        </w:numPr>
        <w:wordWrap/>
        <w:topLinePunct w:val="0"/>
        <w:bidi w:val="0"/>
        <w:ind w:left="420" w:leftChars="0"/>
        <w:outlineLvl w:val="9"/>
        <w:rPr>
          <w:rFonts w:hint="default"/>
          <w:color w:val="auto"/>
          <w:highlight w:val="none"/>
          <w:lang w:val="en-US" w:eastAsia="zh-CN"/>
        </w:rPr>
      </w:pPr>
      <w:bookmarkStart w:id="2399" w:name="_Toc1014"/>
      <w:bookmarkStart w:id="2400" w:name="_Toc32505"/>
      <w:bookmarkStart w:id="2401" w:name="_Toc6633"/>
      <w:r>
        <w:rPr>
          <w:rFonts w:hint="eastAsia" w:ascii="宋体" w:hAnsi="宋体" w:eastAsia="宋体" w:cs="宋体"/>
          <w:b w:val="0"/>
          <w:bCs w:val="0"/>
          <w:color w:val="auto"/>
          <w:kern w:val="2"/>
          <w:sz w:val="24"/>
          <w:szCs w:val="24"/>
          <w:highlight w:val="none"/>
          <w:lang w:val="en-US" w:eastAsia="zh-CN" w:bidi="ar-SA"/>
        </w:rPr>
        <w:t>8.</w:t>
      </w:r>
      <w:bookmarkEnd w:id="2399"/>
      <w:bookmarkEnd w:id="2400"/>
      <w:bookmarkEnd w:id="2401"/>
      <w:bookmarkStart w:id="2402" w:name="_Toc9702"/>
      <w:bookmarkStart w:id="2403" w:name="_Toc13958"/>
      <w:bookmarkStart w:id="2404" w:name="_Toc6752"/>
      <w:r>
        <w:rPr>
          <w:rFonts w:hint="eastAsia" w:ascii="宋体" w:hAnsi="宋体" w:eastAsia="宋体" w:cs="宋体"/>
          <w:b w:val="0"/>
          <w:bCs w:val="0"/>
          <w:color w:val="auto"/>
          <w:kern w:val="2"/>
          <w:sz w:val="24"/>
          <w:szCs w:val="24"/>
          <w:highlight w:val="none"/>
          <w:lang w:val="en-US" w:eastAsia="zh-CN" w:bidi="ar-SA"/>
        </w:rPr>
        <w:t>城乡清洁工程渣土清运承诺书</w:t>
      </w:r>
      <w:r>
        <w:rPr>
          <w:rFonts w:hint="eastAsia" w:ascii="宋体" w:hAnsi="宋体" w:eastAsia="宋体" w:cs="宋体"/>
          <w:b/>
          <w:bCs/>
          <w:color w:val="auto"/>
          <w:kern w:val="2"/>
          <w:sz w:val="24"/>
          <w:szCs w:val="24"/>
          <w:highlight w:val="none"/>
          <w:lang w:val="en-US" w:eastAsia="zh-CN" w:bidi="ar-SA"/>
        </w:rPr>
        <w:t>（必须提供）</w:t>
      </w:r>
      <w:bookmarkEnd w:id="2402"/>
      <w:bookmarkEnd w:id="2403"/>
      <w:bookmarkEnd w:id="2404"/>
      <w:r>
        <w:rPr>
          <w:rFonts w:hint="eastAsia" w:ascii="宋体" w:hAnsi="宋体" w:cs="宋体"/>
          <w:b w:val="0"/>
          <w:bCs w:val="0"/>
          <w:color w:val="auto"/>
          <w:kern w:val="2"/>
          <w:sz w:val="24"/>
          <w:szCs w:val="24"/>
          <w:highlight w:val="none"/>
          <w:lang w:val="en-US" w:eastAsia="zh-CN" w:bidi="ar-SA"/>
        </w:rPr>
        <w:t>；</w:t>
      </w:r>
    </w:p>
    <w:p w14:paraId="06C1103B">
      <w:pPr>
        <w:pStyle w:val="31"/>
        <w:keepNext w:val="0"/>
        <w:keepLines w:val="0"/>
        <w:pageBreakBefore w:val="0"/>
        <w:widowControl w:val="0"/>
        <w:wordWrap/>
        <w:topLinePunct w:val="0"/>
        <w:bidi w:val="0"/>
        <w:rPr>
          <w:rFonts w:hint="eastAsia" w:ascii="宋体" w:hAnsi="宋体" w:eastAsia="宋体" w:cs="宋体"/>
          <w:color w:val="auto"/>
          <w:highlight w:val="none"/>
        </w:rPr>
      </w:pPr>
    </w:p>
    <w:p w14:paraId="5D268106">
      <w:pPr>
        <w:pStyle w:val="31"/>
        <w:keepNext w:val="0"/>
        <w:keepLines w:val="0"/>
        <w:pageBreakBefore w:val="0"/>
        <w:widowControl w:val="0"/>
        <w:wordWrap/>
        <w:topLinePunct w:val="0"/>
        <w:bidi w:val="0"/>
        <w:rPr>
          <w:rFonts w:hint="eastAsia" w:ascii="宋体" w:hAnsi="宋体" w:eastAsia="宋体" w:cs="宋体"/>
          <w:color w:val="auto"/>
          <w:highlight w:val="none"/>
        </w:rPr>
      </w:pPr>
    </w:p>
    <w:p w14:paraId="10CFA7C7">
      <w:pPr>
        <w:pStyle w:val="31"/>
        <w:keepNext w:val="0"/>
        <w:keepLines w:val="0"/>
        <w:pageBreakBefore w:val="0"/>
        <w:widowControl w:val="0"/>
        <w:wordWrap/>
        <w:topLinePunct w:val="0"/>
        <w:bidi w:val="0"/>
        <w:rPr>
          <w:rFonts w:hint="eastAsia" w:ascii="宋体" w:hAnsi="宋体" w:eastAsia="宋体" w:cs="宋体"/>
          <w:color w:val="auto"/>
          <w:highlight w:val="none"/>
        </w:rPr>
      </w:pPr>
    </w:p>
    <w:p w14:paraId="1D28F342">
      <w:pPr>
        <w:pStyle w:val="31"/>
        <w:keepNext w:val="0"/>
        <w:keepLines w:val="0"/>
        <w:pageBreakBefore w:val="0"/>
        <w:widowControl w:val="0"/>
        <w:wordWrap/>
        <w:topLinePunct w:val="0"/>
        <w:bidi w:val="0"/>
        <w:rPr>
          <w:rFonts w:hint="eastAsia" w:ascii="宋体" w:hAnsi="宋体" w:eastAsia="宋体" w:cs="宋体"/>
          <w:color w:val="auto"/>
          <w:highlight w:val="none"/>
        </w:rPr>
      </w:pPr>
    </w:p>
    <w:p w14:paraId="016B5C9C">
      <w:pPr>
        <w:pStyle w:val="9"/>
        <w:keepNext w:val="0"/>
        <w:keepLines w:val="0"/>
        <w:pageBreakBefore w:val="0"/>
        <w:widowControl w:val="0"/>
        <w:wordWrap/>
        <w:topLinePunct w:val="0"/>
        <w:bidi w:val="0"/>
        <w:rPr>
          <w:rFonts w:hint="eastAsia" w:ascii="宋体" w:hAnsi="宋体" w:eastAsia="宋体" w:cs="宋体"/>
          <w:color w:val="auto"/>
          <w:highlight w:val="none"/>
        </w:rPr>
      </w:pPr>
    </w:p>
    <w:p w14:paraId="24B506B0">
      <w:pPr>
        <w:keepNext w:val="0"/>
        <w:keepLines w:val="0"/>
        <w:pageBreakBefore w:val="0"/>
        <w:widowControl w:val="0"/>
        <w:wordWrap/>
        <w:topLinePunct w:val="0"/>
        <w:bidi w:val="0"/>
        <w:rPr>
          <w:rFonts w:hint="eastAsia" w:ascii="宋体" w:hAnsi="宋体" w:cs="宋体"/>
          <w:b/>
          <w:bCs/>
          <w:color w:val="auto"/>
          <w:sz w:val="28"/>
          <w:szCs w:val="28"/>
          <w:highlight w:val="none"/>
          <w:lang w:val="en-US" w:eastAsia="zh-CN"/>
        </w:rPr>
      </w:pPr>
      <w:bookmarkStart w:id="2405" w:name="_Toc12920"/>
      <w:bookmarkStart w:id="2406" w:name="_Toc497927072"/>
      <w:bookmarkStart w:id="2407" w:name="_Toc17617"/>
      <w:r>
        <w:rPr>
          <w:rFonts w:hint="eastAsia" w:ascii="宋体" w:hAnsi="宋体" w:cs="宋体"/>
          <w:b/>
          <w:bCs/>
          <w:color w:val="auto"/>
          <w:sz w:val="28"/>
          <w:szCs w:val="28"/>
          <w:highlight w:val="none"/>
          <w:lang w:val="en-US" w:eastAsia="zh-CN"/>
        </w:rPr>
        <w:br w:type="page"/>
      </w:r>
    </w:p>
    <w:p w14:paraId="03EA3B75">
      <w:pPr>
        <w:keepNext w:val="0"/>
        <w:keepLines w:val="0"/>
        <w:pageBreakBefore w:val="0"/>
        <w:widowControl w:val="0"/>
        <w:numPr>
          <w:ilvl w:val="0"/>
          <w:numId w:val="0"/>
        </w:numPr>
        <w:wordWrap/>
        <w:topLinePunct w:val="0"/>
        <w:bidi w:val="0"/>
        <w:spacing w:line="440" w:lineRule="atLeast"/>
        <w:outlineLvl w:val="2"/>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val="en-US" w:eastAsia="zh-CN"/>
        </w:rPr>
        <w:t>1.</w:t>
      </w:r>
      <w:r>
        <w:rPr>
          <w:rFonts w:hint="eastAsia" w:ascii="宋体" w:hAnsi="宋体" w:eastAsia="宋体" w:cs="宋体"/>
          <w:b/>
          <w:color w:val="auto"/>
          <w:sz w:val="28"/>
          <w:szCs w:val="28"/>
          <w:highlight w:val="none"/>
          <w:lang w:val="en-US" w:eastAsia="zh-CN"/>
        </w:rPr>
        <w:t>响应</w:t>
      </w:r>
      <w:r>
        <w:rPr>
          <w:rFonts w:hint="eastAsia" w:ascii="宋体" w:hAnsi="宋体" w:eastAsia="宋体" w:cs="宋体"/>
          <w:b/>
          <w:bCs/>
          <w:color w:val="auto"/>
          <w:sz w:val="28"/>
          <w:szCs w:val="28"/>
          <w:highlight w:val="none"/>
        </w:rPr>
        <w:t>函（格式见附件）（必须提供）</w:t>
      </w:r>
      <w:bookmarkEnd w:id="2405"/>
      <w:bookmarkEnd w:id="2406"/>
      <w:bookmarkEnd w:id="2407"/>
    </w:p>
    <w:p w14:paraId="202C55A4">
      <w:pPr>
        <w:pStyle w:val="31"/>
        <w:keepNext w:val="0"/>
        <w:keepLines w:val="0"/>
        <w:pageBreakBefore w:val="0"/>
        <w:widowControl w:val="0"/>
        <w:wordWrap/>
        <w:topLinePunct w:val="0"/>
        <w:bidi w:val="0"/>
        <w:rPr>
          <w:rFonts w:hint="eastAsia" w:ascii="宋体" w:hAnsi="宋体" w:eastAsia="宋体" w:cs="宋体"/>
          <w:color w:val="auto"/>
          <w:highlight w:val="none"/>
        </w:rPr>
      </w:pPr>
    </w:p>
    <w:p w14:paraId="27EC3596">
      <w:pPr>
        <w:pStyle w:val="12"/>
        <w:keepNext w:val="0"/>
        <w:keepLines w:val="0"/>
        <w:pageBreakBefore w:val="0"/>
        <w:widowControl w:val="0"/>
        <w:wordWrap/>
        <w:topLinePunct w:val="0"/>
        <w:bidi w:val="0"/>
        <w:rPr>
          <w:rFonts w:hint="eastAsia" w:ascii="宋体" w:hAnsi="宋体" w:eastAsia="宋体" w:cs="宋体"/>
          <w:b/>
          <w:color w:val="auto"/>
          <w:sz w:val="32"/>
          <w:highlight w:val="none"/>
        </w:rPr>
      </w:pPr>
      <w:r>
        <w:rPr>
          <w:rFonts w:hint="eastAsia" w:ascii="宋体" w:hAnsi="宋体" w:eastAsia="宋体" w:cs="宋体"/>
          <w:b/>
          <w:color w:val="auto"/>
          <w:sz w:val="32"/>
          <w:highlight w:val="none"/>
        </w:rPr>
        <w:t>附件：</w:t>
      </w:r>
    </w:p>
    <w:p w14:paraId="05142141">
      <w:pPr>
        <w:pStyle w:val="12"/>
        <w:keepNext w:val="0"/>
        <w:keepLines w:val="0"/>
        <w:pageBreakBefore w:val="0"/>
        <w:widowControl w:val="0"/>
        <w:wordWrap/>
        <w:topLinePunct w:val="0"/>
        <w:bidi w:val="0"/>
        <w:ind w:firstLine="803" w:firstLineChars="250"/>
        <w:jc w:val="center"/>
        <w:rPr>
          <w:rFonts w:hint="eastAsia" w:ascii="宋体" w:hAnsi="宋体" w:eastAsia="宋体" w:cs="宋体"/>
          <w:b/>
          <w:color w:val="auto"/>
          <w:sz w:val="32"/>
          <w:highlight w:val="none"/>
        </w:rPr>
      </w:pPr>
      <w:bookmarkStart w:id="2408" w:name="_Toc7273_WPSOffice_Level1"/>
      <w:bookmarkStart w:id="2409" w:name="_Toc17832_WPSOffice_Level1"/>
      <w:r>
        <w:rPr>
          <w:rFonts w:hint="eastAsia" w:ascii="宋体" w:hAnsi="宋体" w:eastAsia="宋体" w:cs="宋体"/>
          <w:b/>
          <w:color w:val="auto"/>
          <w:sz w:val="32"/>
          <w:highlight w:val="none"/>
        </w:rPr>
        <w:t>响 应 函 （格 式）</w:t>
      </w:r>
      <w:bookmarkEnd w:id="2408"/>
      <w:bookmarkEnd w:id="2409"/>
    </w:p>
    <w:p w14:paraId="248F48A6">
      <w:pPr>
        <w:keepNext w:val="0"/>
        <w:keepLines w:val="0"/>
        <w:pageBreakBefore w:val="0"/>
        <w:widowControl w:val="0"/>
        <w:wordWrap/>
        <w:topLinePunct w:val="0"/>
        <w:bidi w:val="0"/>
        <w:spacing w:line="240" w:lineRule="exact"/>
        <w:jc w:val="center"/>
        <w:rPr>
          <w:rFonts w:hint="eastAsia" w:ascii="宋体" w:hAnsi="宋体" w:eastAsia="宋体" w:cs="宋体"/>
          <w:color w:val="auto"/>
          <w:sz w:val="32"/>
          <w:highlight w:val="none"/>
        </w:rPr>
      </w:pPr>
    </w:p>
    <w:p w14:paraId="5F3F9A9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w:t>
      </w:r>
      <w:r>
        <w:rPr>
          <w:rFonts w:hint="eastAsia" w:ascii="宋体" w:hAnsi="宋体" w:cs="宋体"/>
          <w:color w:val="auto"/>
          <w:szCs w:val="21"/>
          <w:highlight w:val="none"/>
          <w:u w:val="single"/>
          <w:lang w:eastAsia="zh-CN"/>
        </w:rPr>
        <w:t>广西晟鑫项目管理有限公司</w:t>
      </w:r>
    </w:p>
    <w:p w14:paraId="5C947AB7">
      <w:pPr>
        <w:pStyle w:val="12"/>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根据贵方</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项目竞争性磋商文件，项目编号：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，签字代表</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（姓名）经正式授权并代表供应商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供应商单位名称），提交</w:t>
      </w:r>
      <w:r>
        <w:rPr>
          <w:rFonts w:hint="eastAsia" w:ascii="宋体" w:hAnsi="宋体" w:eastAsia="宋体" w:cs="宋体"/>
          <w:color w:val="auto"/>
          <w:highlight w:val="none"/>
          <w:lang w:eastAsia="zh-CN"/>
        </w:rPr>
        <w:t>电子</w:t>
      </w:r>
      <w:r>
        <w:rPr>
          <w:rFonts w:hint="eastAsia" w:ascii="宋体" w:hAnsi="宋体" w:eastAsia="宋体" w:cs="宋体"/>
          <w:color w:val="auto"/>
          <w:highlight w:val="none"/>
        </w:rPr>
        <w:t>响应文件</w:t>
      </w:r>
      <w:r>
        <w:rPr>
          <w:rFonts w:hint="eastAsia" w:ascii="宋体" w:hAnsi="宋体" w:eastAsia="宋体" w:cs="宋体"/>
          <w:color w:val="auto"/>
          <w:highlight w:val="none"/>
          <w:lang w:eastAsia="zh-CN"/>
        </w:rPr>
        <w:t>。</w:t>
      </w:r>
    </w:p>
    <w:p w14:paraId="0D05D56C">
      <w:pPr>
        <w:pStyle w:val="12"/>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据此函，签字代表宣布同意如下：</w:t>
      </w:r>
    </w:p>
    <w:p w14:paraId="411EFEAC">
      <w:pPr>
        <w:pStyle w:val="12"/>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 按磋商文件采购需求和磋商报价表：</w:t>
      </w:r>
    </w:p>
    <w:p w14:paraId="4B2B3414">
      <w:pPr>
        <w:pStyle w:val="12"/>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cs="宋体"/>
          <w:color w:val="auto"/>
          <w:sz w:val="21"/>
          <w:szCs w:val="21"/>
          <w:highlight w:val="none"/>
        </w:rPr>
        <w:t>按采购项目内容和报价表，</w:t>
      </w:r>
      <w:r>
        <w:rPr>
          <w:rFonts w:hint="eastAsia" w:hAnsi="宋体" w:cs="宋体"/>
          <w:color w:val="auto"/>
          <w:sz w:val="21"/>
          <w:szCs w:val="21"/>
          <w:highlight w:val="none"/>
          <w:lang w:eastAsia="zh-CN"/>
        </w:rPr>
        <w:t>磋商</w:t>
      </w:r>
      <w:r>
        <w:rPr>
          <w:rFonts w:hint="eastAsia" w:hAnsi="宋体" w:cs="宋体"/>
          <w:color w:val="auto"/>
          <w:sz w:val="21"/>
          <w:szCs w:val="21"/>
          <w:highlight w:val="none"/>
          <w:lang w:val="en-US" w:eastAsia="zh-CN"/>
        </w:rPr>
        <w:t>总</w:t>
      </w:r>
      <w:r>
        <w:rPr>
          <w:rFonts w:hint="eastAsia" w:ascii="宋体" w:hAnsi="宋体" w:cs="宋体"/>
          <w:color w:val="auto"/>
          <w:sz w:val="21"/>
          <w:szCs w:val="21"/>
          <w:highlight w:val="none"/>
        </w:rPr>
        <w:t>报价为(大写)</w:t>
      </w:r>
      <w:r>
        <w:rPr>
          <w:rFonts w:hint="eastAsia" w:ascii="宋体" w:hAnsi="宋体" w:cs="宋体"/>
          <w:color w:val="auto"/>
          <w:sz w:val="21"/>
          <w:szCs w:val="21"/>
          <w:highlight w:val="none"/>
          <w:u w:val="single"/>
        </w:rPr>
        <w:t xml:space="preserve">      </w:t>
      </w:r>
      <w:r>
        <w:rPr>
          <w:rFonts w:hint="eastAsia"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元(￥</w:t>
      </w:r>
      <w:r>
        <w:rPr>
          <w:rFonts w:hint="eastAsia" w:ascii="宋体" w:hAnsi="宋体" w:cs="宋体"/>
          <w:color w:val="auto"/>
          <w:sz w:val="21"/>
          <w:szCs w:val="21"/>
          <w:highlight w:val="none"/>
          <w:u w:val="single"/>
        </w:rPr>
        <w:t xml:space="preserve">     </w:t>
      </w:r>
      <w:r>
        <w:rPr>
          <w:rFonts w:hint="eastAsia"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r>
        <w:rPr>
          <w:rFonts w:hint="eastAsia" w:ascii="宋体" w:hAnsi="宋体" w:cs="宋体"/>
          <w:color w:val="auto"/>
          <w:highlight w:val="none"/>
          <w:lang w:eastAsia="zh-CN"/>
        </w:rPr>
        <w:t>。</w:t>
      </w:r>
      <w:r>
        <w:rPr>
          <w:rFonts w:hint="eastAsia" w:ascii="宋体" w:hAnsi="宋体" w:cs="宋体"/>
          <w:color w:val="auto"/>
          <w:sz w:val="21"/>
          <w:szCs w:val="21"/>
          <w:highlight w:val="none"/>
        </w:rPr>
        <w:t>工程完工期：</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none"/>
        </w:rPr>
        <w:t>天（日历日）；</w:t>
      </w:r>
      <w:r>
        <w:rPr>
          <w:rFonts w:hint="eastAsia" w:ascii="宋体" w:hAnsi="宋体" w:cs="宋体"/>
          <w:color w:val="auto"/>
          <w:sz w:val="21"/>
          <w:szCs w:val="21"/>
          <w:highlight w:val="none"/>
        </w:rPr>
        <w:t>质量</w:t>
      </w:r>
      <w:r>
        <w:rPr>
          <w:rFonts w:hint="eastAsia" w:hAnsi="宋体" w:cs="宋体"/>
          <w:color w:val="auto"/>
          <w:sz w:val="21"/>
          <w:szCs w:val="21"/>
          <w:highlight w:val="none"/>
          <w:lang w:val="en-US" w:eastAsia="zh-CN"/>
        </w:rPr>
        <w:t>标准</w:t>
      </w:r>
      <w:r>
        <w:rPr>
          <w:rFonts w:hint="eastAsia" w:hAnsi="宋体" w:cs="宋体"/>
          <w:color w:val="auto"/>
          <w:sz w:val="21"/>
          <w:szCs w:val="21"/>
          <w:highlight w:val="none"/>
          <w:u w:val="none"/>
          <w:lang w:eastAsia="zh-CN"/>
        </w:rPr>
        <w:t>：</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w:t>
      </w:r>
    </w:p>
    <w:p w14:paraId="20618730">
      <w:pPr>
        <w:pStyle w:val="12"/>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2.我方承诺已具备磋商文件规定的供应商资格条件。</w:t>
      </w:r>
    </w:p>
    <w:p w14:paraId="4F7F4EDA">
      <w:pPr>
        <w:pStyle w:val="12"/>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3.我方已详细审核磋商文件，包括修改文件（如有的话）和有关附件，将自行承担因对全部磋商文件理解不正确或误解而产生的相应后果。</w:t>
      </w:r>
    </w:p>
    <w:p w14:paraId="5293CF63">
      <w:pPr>
        <w:pStyle w:val="12"/>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4. 响应文件有效期为</w:t>
      </w:r>
      <w:r>
        <w:rPr>
          <w:rFonts w:hint="eastAsia" w:ascii="宋体" w:hAnsi="宋体" w:eastAsia="宋体" w:cs="宋体"/>
          <w:color w:val="auto"/>
          <w:szCs w:val="21"/>
          <w:highlight w:val="none"/>
        </w:rPr>
        <w:t>响应文件递交截止时间之日起90天。</w:t>
      </w:r>
    </w:p>
    <w:p w14:paraId="2167C39C">
      <w:pPr>
        <w:pStyle w:val="12"/>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5. 如我方成交：</w:t>
      </w:r>
    </w:p>
    <w:p w14:paraId="724288F8">
      <w:pPr>
        <w:pStyle w:val="12"/>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（1）我方承诺在收到成交通知书后，在成交通知书规定的期限内与采购人签订合同。</w:t>
      </w:r>
    </w:p>
    <w:p w14:paraId="1C112B05">
      <w:pPr>
        <w:pStyle w:val="12"/>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（2）我方承诺按照磋商文件规定递交履约担保。</w:t>
      </w:r>
    </w:p>
    <w:p w14:paraId="00B66EAC">
      <w:pPr>
        <w:pStyle w:val="12"/>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（3）我方承诺本响应文件至本项目合同履行完毕止均保持有效，按磋商文件及政府采购法律、法规的规定履行合同责任和义务。</w:t>
      </w:r>
    </w:p>
    <w:p w14:paraId="0F9B6D19">
      <w:pPr>
        <w:pStyle w:val="12"/>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与本项目有关的正式通讯地址为：</w:t>
      </w:r>
    </w:p>
    <w:p w14:paraId="17EC455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p w14:paraId="6E5DCC9A">
      <w:pPr>
        <w:pStyle w:val="12"/>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邮编：</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电话、传真：</w:t>
      </w:r>
      <w:r>
        <w:rPr>
          <w:rFonts w:hint="eastAsia" w:ascii="宋体" w:hAnsi="宋体" w:eastAsia="宋体" w:cs="宋体"/>
          <w:color w:val="auto"/>
          <w:sz w:val="21"/>
          <w:szCs w:val="21"/>
          <w:highlight w:val="none"/>
          <w:u w:val="single"/>
        </w:rPr>
        <w:t xml:space="preserve">            </w:t>
      </w:r>
    </w:p>
    <w:p w14:paraId="2D4CE645">
      <w:pPr>
        <w:pStyle w:val="12"/>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r>
        <w:rPr>
          <w:rFonts w:hint="eastAsia" w:ascii="宋体" w:hAnsi="宋体" w:eastAsia="宋体" w:cs="宋体"/>
          <w:color w:val="auto"/>
          <w:sz w:val="21"/>
          <w:szCs w:val="21"/>
          <w:highlight w:val="none"/>
          <w:u w:val="single"/>
        </w:rPr>
        <w:t xml:space="preserve">                                        </w:t>
      </w:r>
    </w:p>
    <w:p w14:paraId="6A9967C9">
      <w:pPr>
        <w:pStyle w:val="12"/>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p>
    <w:p w14:paraId="79714F46">
      <w:pPr>
        <w:pStyle w:val="12"/>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r>
        <w:rPr>
          <w:rFonts w:hint="eastAsia" w:ascii="宋体" w:hAnsi="宋体" w:eastAsia="宋体" w:cs="宋体"/>
          <w:color w:val="auto"/>
          <w:sz w:val="21"/>
          <w:szCs w:val="21"/>
          <w:highlight w:val="none"/>
          <w:u w:val="single"/>
        </w:rPr>
        <w:t xml:space="preserve">                                   　　　   </w:t>
      </w:r>
    </w:p>
    <w:p w14:paraId="00BEB875">
      <w:pPr>
        <w:pStyle w:val="12"/>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rPr>
        <w:t>公章</w:t>
      </w:r>
      <w:r>
        <w:rPr>
          <w:rFonts w:hint="eastAsia" w:ascii="宋体" w:hAnsi="宋体" w:eastAsia="宋体" w:cs="宋体"/>
          <w:bCs/>
          <w:color w:val="auto"/>
          <w:sz w:val="21"/>
          <w:szCs w:val="21"/>
          <w:highlight w:val="none"/>
          <w:lang w:val="en-US" w:eastAsia="zh-CN"/>
        </w:rPr>
        <w:t>(CA签章)</w:t>
      </w:r>
      <w:r>
        <w:rPr>
          <w:rFonts w:hint="eastAsia" w:ascii="宋体" w:hAnsi="宋体" w:eastAsia="宋体" w:cs="宋体"/>
          <w:bCs/>
          <w:color w:val="auto"/>
          <w:sz w:val="21"/>
          <w:szCs w:val="21"/>
          <w:highlight w:val="none"/>
        </w:rPr>
        <w:t>、自然人除外</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u w:val="single"/>
        </w:rPr>
        <w:t xml:space="preserve">                              </w:t>
      </w:r>
    </w:p>
    <w:p w14:paraId="0FACB939">
      <w:pPr>
        <w:pStyle w:val="12"/>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法定代表人、负责人、自然人或相应的委托代理人签字</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或盖章</w:t>
      </w:r>
      <w:r>
        <w:rPr>
          <w:rFonts w:hint="eastAsia" w:ascii="宋体" w:hAnsi="宋体" w:eastAsia="宋体" w:cs="宋体"/>
          <w:color w:val="auto"/>
          <w:sz w:val="21"/>
          <w:szCs w:val="21"/>
          <w:highlight w:val="none"/>
          <w:lang w:val="en-US" w:eastAsia="zh-CN"/>
        </w:rPr>
        <w:t>(CA签章)]</w:t>
      </w:r>
      <w:r>
        <w:rPr>
          <w:rFonts w:hint="eastAsia" w:ascii="宋体" w:hAnsi="宋体" w:eastAsia="宋体" w:cs="宋体"/>
          <w:color w:val="auto"/>
          <w:sz w:val="21"/>
          <w:szCs w:val="21"/>
          <w:highlight w:val="none"/>
        </w:rPr>
        <w:t>（属自然人的应在签名处加盖大拇指指印</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lang w:val="en-US" w:eastAsia="zh-CN"/>
        </w:rPr>
        <w:t>个人CA签章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14:paraId="7B4CC133">
      <w:pPr>
        <w:pStyle w:val="12"/>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响应</w:t>
      </w: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p>
    <w:p w14:paraId="71CFE7E2">
      <w:pPr>
        <w:pStyle w:val="7"/>
        <w:keepNext w:val="0"/>
        <w:keepLines w:val="0"/>
        <w:pageBreakBefore w:val="0"/>
        <w:widowControl w:val="0"/>
        <w:wordWrap/>
        <w:topLinePunct w:val="0"/>
        <w:bidi w:val="0"/>
        <w:rPr>
          <w:rFonts w:hint="eastAsia" w:ascii="宋体" w:hAnsi="宋体" w:eastAsia="宋体" w:cs="宋体"/>
          <w:color w:val="auto"/>
          <w:sz w:val="21"/>
          <w:szCs w:val="21"/>
          <w:highlight w:val="none"/>
          <w:u w:val="single"/>
        </w:rPr>
      </w:pPr>
    </w:p>
    <w:p w14:paraId="44D78A7A">
      <w:pPr>
        <w:keepNext w:val="0"/>
        <w:keepLines w:val="0"/>
        <w:pageBreakBefore w:val="0"/>
        <w:widowControl w:val="0"/>
        <w:wordWrap/>
        <w:topLinePunct w:val="0"/>
        <w:bidi w:val="0"/>
        <w:rPr>
          <w:rFonts w:hint="eastAsia" w:ascii="宋体" w:hAnsi="宋体" w:eastAsia="宋体" w:cs="宋体"/>
          <w:color w:val="auto"/>
          <w:sz w:val="21"/>
          <w:szCs w:val="21"/>
          <w:highlight w:val="none"/>
          <w:u w:val="single"/>
        </w:rPr>
      </w:pPr>
    </w:p>
    <w:p w14:paraId="599B7D17">
      <w:pPr>
        <w:pStyle w:val="7"/>
        <w:keepNext w:val="0"/>
        <w:keepLines w:val="0"/>
        <w:pageBreakBefore w:val="0"/>
        <w:widowControl w:val="0"/>
        <w:wordWrap/>
        <w:topLinePunct w:val="0"/>
        <w:bidi w:val="0"/>
        <w:rPr>
          <w:rFonts w:hint="eastAsia"/>
          <w:color w:val="auto"/>
          <w:highlight w:val="none"/>
          <w:lang w:val="en-US" w:eastAsia="zh-CN"/>
        </w:rPr>
      </w:pPr>
    </w:p>
    <w:p w14:paraId="4C607B02">
      <w:pPr>
        <w:keepNext w:val="0"/>
        <w:keepLines w:val="0"/>
        <w:pageBreakBefore w:val="0"/>
        <w:widowControl w:val="0"/>
        <w:wordWrap/>
        <w:topLinePunct w:val="0"/>
        <w:bidi w:val="0"/>
        <w:rPr>
          <w:rFonts w:hint="eastAsia"/>
          <w:color w:val="auto"/>
          <w:highlight w:val="none"/>
          <w:lang w:val="en-US" w:eastAsia="zh-CN"/>
        </w:rPr>
      </w:pPr>
    </w:p>
    <w:p w14:paraId="00382640">
      <w:pPr>
        <w:rPr>
          <w:rFonts w:hint="eastAsia" w:hAnsi="宋体" w:cs="宋体"/>
          <w:b/>
          <w:color w:val="auto"/>
          <w:sz w:val="28"/>
          <w:szCs w:val="28"/>
          <w:highlight w:val="none"/>
          <w:lang w:val="en-US" w:eastAsia="zh-CN"/>
        </w:rPr>
      </w:pPr>
      <w:r>
        <w:rPr>
          <w:rFonts w:hint="eastAsia" w:hAnsi="宋体" w:cs="宋体"/>
          <w:b/>
          <w:color w:val="auto"/>
          <w:sz w:val="28"/>
          <w:szCs w:val="28"/>
          <w:highlight w:val="none"/>
          <w:lang w:val="en-US" w:eastAsia="zh-CN"/>
        </w:rPr>
        <w:br w:type="page"/>
      </w:r>
    </w:p>
    <w:p w14:paraId="06C5B4F9">
      <w:pPr>
        <w:keepNext w:val="0"/>
        <w:keepLines w:val="0"/>
        <w:pageBreakBefore w:val="0"/>
        <w:widowControl w:val="0"/>
        <w:numPr>
          <w:ilvl w:val="0"/>
          <w:numId w:val="0"/>
        </w:numPr>
        <w:wordWrap/>
        <w:topLinePunct w:val="0"/>
        <w:bidi w:val="0"/>
        <w:spacing w:line="440" w:lineRule="atLeast"/>
        <w:outlineLvl w:val="2"/>
        <w:rPr>
          <w:rFonts w:hint="eastAsia" w:ascii="宋体" w:hAnsi="宋体" w:eastAsia="宋体" w:cs="宋体"/>
          <w:color w:val="auto"/>
          <w:highlight w:val="none"/>
        </w:rPr>
      </w:pPr>
      <w:r>
        <w:rPr>
          <w:rFonts w:hint="eastAsia" w:hAnsi="宋体" w:cs="宋体"/>
          <w:b/>
          <w:color w:val="auto"/>
          <w:sz w:val="28"/>
          <w:szCs w:val="28"/>
          <w:highlight w:val="none"/>
          <w:lang w:val="en-US" w:eastAsia="zh-CN"/>
        </w:rPr>
        <w:t>2</w:t>
      </w:r>
      <w:r>
        <w:rPr>
          <w:rFonts w:hint="eastAsia" w:ascii="宋体" w:hAnsi="宋体" w:eastAsia="宋体" w:cs="宋体"/>
          <w:b/>
          <w:color w:val="auto"/>
          <w:sz w:val="28"/>
          <w:szCs w:val="28"/>
          <w:highlight w:val="none"/>
          <w:lang w:val="en-US" w:eastAsia="zh-CN"/>
        </w:rPr>
        <w:t>. 工程报价汇总表</w:t>
      </w:r>
      <w:r>
        <w:rPr>
          <w:rFonts w:hint="eastAsia" w:ascii="宋体" w:hAnsi="宋体" w:eastAsia="宋体" w:cs="宋体"/>
          <w:b/>
          <w:color w:val="auto"/>
          <w:sz w:val="28"/>
          <w:szCs w:val="28"/>
          <w:highlight w:val="none"/>
        </w:rPr>
        <w:t>（必须提供）；</w:t>
      </w:r>
    </w:p>
    <w:p w14:paraId="4ADFE9E6">
      <w:pPr>
        <w:pStyle w:val="12"/>
        <w:keepNext w:val="0"/>
        <w:keepLines w:val="0"/>
        <w:pageBreakBefore w:val="0"/>
        <w:widowControl w:val="0"/>
        <w:wordWrap/>
        <w:topLinePunct w:val="0"/>
        <w:bidi w:val="0"/>
        <w:spacing w:line="320" w:lineRule="exact"/>
        <w:jc w:val="left"/>
        <w:rPr>
          <w:rFonts w:hint="eastAsia" w:ascii="宋体" w:hAnsi="宋体" w:eastAsia="宋体" w:cs="宋体"/>
          <w:b/>
          <w:color w:val="auto"/>
          <w:sz w:val="28"/>
          <w:szCs w:val="28"/>
          <w:highlight w:val="none"/>
        </w:rPr>
      </w:pPr>
    </w:p>
    <w:p w14:paraId="09CB4A32">
      <w:pPr>
        <w:keepNext w:val="0"/>
        <w:keepLines w:val="0"/>
        <w:pageBreakBefore w:val="0"/>
        <w:widowControl w:val="0"/>
        <w:wordWrap/>
        <w:topLinePunct w:val="0"/>
        <w:bidi w:val="0"/>
        <w:jc w:val="center"/>
        <w:rPr>
          <w:rFonts w:hint="eastAsia" w:ascii="宋体" w:hAnsi="宋体" w:eastAsia="宋体" w:cs="宋体"/>
          <w:b/>
          <w:color w:val="auto"/>
          <w:kern w:val="0"/>
          <w:sz w:val="24"/>
          <w:szCs w:val="24"/>
          <w:highlight w:val="none"/>
          <w:lang w:eastAsia="zh-CN"/>
        </w:rPr>
      </w:pPr>
      <w:r>
        <w:rPr>
          <w:rFonts w:hint="eastAsia" w:ascii="宋体" w:hAnsi="宋体" w:eastAsia="宋体" w:cs="宋体"/>
          <w:b/>
          <w:color w:val="auto"/>
          <w:kern w:val="0"/>
          <w:sz w:val="24"/>
          <w:szCs w:val="24"/>
          <w:highlight w:val="none"/>
        </w:rPr>
        <w:t>工程报价汇总表</w:t>
      </w:r>
      <w:r>
        <w:rPr>
          <w:rFonts w:hint="eastAsia" w:ascii="宋体" w:hAnsi="宋体" w:eastAsia="宋体" w:cs="宋体"/>
          <w:b/>
          <w:color w:val="auto"/>
          <w:kern w:val="0"/>
          <w:sz w:val="24"/>
          <w:szCs w:val="24"/>
          <w:highlight w:val="none"/>
          <w:lang w:eastAsia="zh-CN"/>
        </w:rPr>
        <w:t>（</w:t>
      </w:r>
      <w:r>
        <w:rPr>
          <w:rFonts w:hint="eastAsia" w:ascii="宋体" w:hAnsi="宋体" w:eastAsia="宋体" w:cs="宋体"/>
          <w:b/>
          <w:color w:val="auto"/>
          <w:kern w:val="0"/>
          <w:sz w:val="24"/>
          <w:szCs w:val="24"/>
          <w:highlight w:val="none"/>
          <w:lang w:val="en-US" w:eastAsia="zh-CN"/>
        </w:rPr>
        <w:t>格式</w:t>
      </w:r>
      <w:r>
        <w:rPr>
          <w:rFonts w:hint="eastAsia" w:ascii="宋体" w:hAnsi="宋体" w:eastAsia="宋体" w:cs="宋体"/>
          <w:b/>
          <w:color w:val="auto"/>
          <w:kern w:val="0"/>
          <w:sz w:val="24"/>
          <w:szCs w:val="24"/>
          <w:highlight w:val="none"/>
          <w:lang w:eastAsia="zh-CN"/>
        </w:rPr>
        <w:t>）</w:t>
      </w:r>
    </w:p>
    <w:p w14:paraId="471EFC4E">
      <w:pPr>
        <w:keepNext w:val="0"/>
        <w:keepLines w:val="0"/>
        <w:pageBreakBefore w:val="0"/>
        <w:widowControl w:val="0"/>
        <w:wordWrap/>
        <w:topLinePunct w:val="0"/>
        <w:bidi w:val="0"/>
        <w:jc w:val="center"/>
        <w:rPr>
          <w:rFonts w:hint="eastAsia" w:ascii="宋体" w:hAnsi="宋体" w:cs="宋体"/>
          <w:color w:val="auto"/>
          <w:kern w:val="0"/>
          <w:sz w:val="24"/>
          <w:highlight w:val="none"/>
        </w:rPr>
      </w:pPr>
    </w:p>
    <w:p w14:paraId="1A90422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工程名称</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1"/>
          <w:szCs w:val="21"/>
          <w:highlight w:val="none"/>
        </w:rPr>
        <w:t>币种：人民币</w:t>
      </w:r>
    </w:p>
    <w:tbl>
      <w:tblPr>
        <w:tblStyle w:val="27"/>
        <w:tblW w:w="9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8"/>
        <w:gridCol w:w="2851"/>
      </w:tblGrid>
      <w:tr w14:paraId="6BB42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6668" w:type="dxa"/>
            <w:noWrap w:val="0"/>
            <w:vAlign w:val="center"/>
          </w:tcPr>
          <w:p w14:paraId="5E189853">
            <w:pPr>
              <w:pStyle w:val="56"/>
              <w:widowControl/>
              <w:jc w:val="left"/>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工程总造价（磋商总报价）：</w:t>
            </w:r>
          </w:p>
        </w:tc>
        <w:tc>
          <w:tcPr>
            <w:tcW w:w="2851" w:type="dxa"/>
            <w:noWrap w:val="0"/>
            <w:vAlign w:val="center"/>
          </w:tcPr>
          <w:p w14:paraId="206F19E8">
            <w:pPr>
              <w:pStyle w:val="56"/>
              <w:widowControl/>
              <w:jc w:val="right"/>
              <w:rPr>
                <w:rFonts w:ascii="Times New Roman" w:hAnsi="Times New Roman"/>
                <w:color w:val="auto"/>
                <w:sz w:val="24"/>
                <w:szCs w:val="24"/>
                <w:highlight w:val="none"/>
              </w:rPr>
            </w:pPr>
            <w:r>
              <w:rPr>
                <w:rFonts w:hint="eastAsia" w:ascii="Times New Roman" w:hAnsi="Times New Roman" w:cs="宋体"/>
                <w:color w:val="auto"/>
                <w:sz w:val="24"/>
                <w:szCs w:val="24"/>
                <w:highlight w:val="none"/>
              </w:rPr>
              <w:t>元</w:t>
            </w:r>
          </w:p>
        </w:tc>
      </w:tr>
      <w:tr w14:paraId="477B3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6668" w:type="dxa"/>
            <w:noWrap w:val="0"/>
            <w:vAlign w:val="center"/>
          </w:tcPr>
          <w:p w14:paraId="718F1782">
            <w:pPr>
              <w:pStyle w:val="56"/>
              <w:widowControl/>
              <w:jc w:val="left"/>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承诺工期</w:t>
            </w:r>
          </w:p>
        </w:tc>
        <w:tc>
          <w:tcPr>
            <w:tcW w:w="2851" w:type="dxa"/>
            <w:noWrap w:val="0"/>
            <w:vAlign w:val="center"/>
          </w:tcPr>
          <w:p w14:paraId="35881D70">
            <w:pPr>
              <w:pStyle w:val="56"/>
              <w:widowControl/>
              <w:jc w:val="right"/>
              <w:rPr>
                <w:rFonts w:hint="eastAsia"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天（日历日）</w:t>
            </w:r>
          </w:p>
        </w:tc>
      </w:tr>
      <w:tr w14:paraId="67398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6668" w:type="dxa"/>
            <w:noWrap w:val="0"/>
            <w:vAlign w:val="center"/>
          </w:tcPr>
          <w:p w14:paraId="22462B18">
            <w:pPr>
              <w:pStyle w:val="56"/>
              <w:widowControl/>
              <w:jc w:val="left"/>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承诺质量等级</w:t>
            </w:r>
          </w:p>
        </w:tc>
        <w:tc>
          <w:tcPr>
            <w:tcW w:w="2851" w:type="dxa"/>
            <w:noWrap w:val="0"/>
            <w:vAlign w:val="center"/>
          </w:tcPr>
          <w:p w14:paraId="2F5476F9">
            <w:pPr>
              <w:pStyle w:val="56"/>
              <w:widowControl/>
              <w:jc w:val="right"/>
              <w:rPr>
                <w:rFonts w:hint="eastAsia" w:ascii="Times New Roman" w:hAnsi="Times New Roman"/>
                <w:color w:val="auto"/>
                <w:sz w:val="24"/>
                <w:szCs w:val="24"/>
                <w:highlight w:val="none"/>
                <w:lang w:val="en-US" w:eastAsia="zh-CN"/>
              </w:rPr>
            </w:pPr>
          </w:p>
        </w:tc>
      </w:tr>
    </w:tbl>
    <w:p w14:paraId="50B088F9">
      <w:pPr>
        <w:pStyle w:val="56"/>
        <w:ind w:left="-178" w:leftChars="-85" w:firstLine="177" w:firstLineChars="74"/>
        <w:rPr>
          <w:rFonts w:ascii="Times New Roman" w:hAnsi="Times New Roman"/>
          <w:color w:val="auto"/>
          <w:sz w:val="24"/>
          <w:szCs w:val="24"/>
          <w:highlight w:val="none"/>
        </w:rPr>
      </w:pPr>
    </w:p>
    <w:p w14:paraId="5A552332">
      <w:pPr>
        <w:pStyle w:val="56"/>
        <w:keepNext w:val="0"/>
        <w:keepLines w:val="0"/>
        <w:pageBreakBefore w:val="0"/>
        <w:widowControl w:val="0"/>
        <w:kinsoku/>
        <w:wordWrap/>
        <w:overflowPunct/>
        <w:topLinePunct w:val="0"/>
        <w:autoSpaceDE/>
        <w:autoSpaceDN/>
        <w:bidi w:val="0"/>
        <w:adjustRightInd/>
        <w:snapToGrid/>
        <w:spacing w:line="480" w:lineRule="auto"/>
        <w:textAlignment w:val="auto"/>
        <w:rPr>
          <w:rFonts w:ascii="Times New Roman" w:hAnsi="Times New Roman"/>
          <w:color w:val="auto"/>
          <w:szCs w:val="21"/>
          <w:highlight w:val="none"/>
        </w:rPr>
      </w:pPr>
    </w:p>
    <w:p w14:paraId="2B9DEF68">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ascii="宋体" w:hAnsi="宋体" w:eastAsia="宋体" w:cs="宋体"/>
          <w:color w:val="auto"/>
          <w:szCs w:val="21"/>
          <w:highlight w:val="none"/>
          <w:u w:val="single"/>
        </w:rPr>
      </w:pPr>
      <w:r>
        <w:rPr>
          <w:rFonts w:hint="eastAsia" w:ascii="宋体" w:hAnsi="宋体" w:cs="宋体"/>
          <w:color w:val="auto"/>
          <w:szCs w:val="21"/>
          <w:highlight w:val="none"/>
          <w:lang w:eastAsia="zh-CN"/>
        </w:rPr>
        <w:t>磋商供应商</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，自然人除外）：</w:t>
      </w:r>
      <w:r>
        <w:rPr>
          <w:rFonts w:hint="eastAsia" w:ascii="宋体" w:hAnsi="宋体" w:eastAsia="宋体" w:cs="宋体"/>
          <w:color w:val="auto"/>
          <w:szCs w:val="21"/>
          <w:highlight w:val="none"/>
          <w:u w:val="single"/>
        </w:rPr>
        <w:t xml:space="preserve">                                        </w:t>
      </w:r>
    </w:p>
    <w:p w14:paraId="28C17A41">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ascii="宋体" w:hAnsi="宋体" w:eastAsia="宋体" w:cs="宋体"/>
          <w:color w:val="auto"/>
          <w:szCs w:val="21"/>
          <w:highlight w:val="none"/>
          <w:u w:val="single"/>
        </w:rPr>
      </w:pPr>
      <w:r>
        <w:rPr>
          <w:rFonts w:hint="eastAsia" w:ascii="宋体" w:hAnsi="宋体" w:eastAsia="宋体" w:cs="宋体"/>
          <w:color w:val="auto"/>
          <w:highlight w:val="none"/>
        </w:rPr>
        <w:t>法定代表人、负责人、自然人或相应的委托代理人签字或</w:t>
      </w:r>
      <w:r>
        <w:rPr>
          <w:rFonts w:hint="eastAsia" w:ascii="宋体" w:hAnsi="宋体" w:eastAsia="宋体" w:cs="宋体"/>
          <w:color w:val="auto"/>
          <w:highlight w:val="none"/>
          <w:lang w:eastAsia="zh-CN"/>
        </w:rPr>
        <w:t>个人</w:t>
      </w:r>
      <w:r>
        <w:rPr>
          <w:rFonts w:hint="eastAsia" w:ascii="宋体" w:hAnsi="宋体" w:eastAsia="宋体" w:cs="宋体"/>
          <w:color w:val="auto"/>
          <w:highlight w:val="none"/>
          <w:lang w:val="en-US" w:eastAsia="zh-CN"/>
        </w:rPr>
        <w:t>CA签章</w:t>
      </w:r>
      <w:r>
        <w:rPr>
          <w:rFonts w:hint="eastAsia" w:ascii="宋体" w:hAnsi="宋体" w:eastAsia="宋体" w:cs="宋体"/>
          <w:color w:val="auto"/>
          <w:highlight w:val="none"/>
        </w:rPr>
        <w:t>（属自然人的应在签名处加盖食指指印</w:t>
      </w:r>
      <w:r>
        <w:rPr>
          <w:rFonts w:hint="eastAsia" w:ascii="宋体" w:hAnsi="宋体" w:eastAsia="宋体" w:cs="宋体"/>
          <w:color w:val="auto"/>
          <w:highlight w:val="none"/>
          <w:lang w:eastAsia="zh-CN"/>
        </w:rPr>
        <w:t>或个人</w:t>
      </w:r>
      <w:r>
        <w:rPr>
          <w:rFonts w:hint="eastAsia" w:ascii="宋体" w:hAnsi="宋体" w:eastAsia="宋体" w:cs="宋体"/>
          <w:color w:val="auto"/>
          <w:highlight w:val="none"/>
          <w:lang w:val="en-US" w:eastAsia="zh-CN"/>
        </w:rPr>
        <w:t>CA签章</w:t>
      </w:r>
      <w:r>
        <w:rPr>
          <w:rFonts w:hint="eastAsia" w:ascii="宋体" w:hAnsi="宋体" w:eastAsia="宋体" w:cs="宋体"/>
          <w:color w:val="auto"/>
          <w:highlight w:val="none"/>
        </w:rPr>
        <w:t>）：</w:t>
      </w:r>
      <w:r>
        <w:rPr>
          <w:rFonts w:hint="eastAsia" w:ascii="宋体" w:hAnsi="宋体" w:eastAsia="宋体" w:cs="宋体"/>
          <w:color w:val="auto"/>
          <w:szCs w:val="21"/>
          <w:highlight w:val="none"/>
          <w:u w:val="single"/>
        </w:rPr>
        <w:t xml:space="preserve">                                    </w:t>
      </w:r>
    </w:p>
    <w:p w14:paraId="0C7526C5">
      <w:pP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br w:type="page"/>
      </w:r>
    </w:p>
    <w:p w14:paraId="68F703D8">
      <w:pPr>
        <w:keepNext w:val="0"/>
        <w:keepLines w:val="0"/>
        <w:pageBreakBefore w:val="0"/>
        <w:widowControl w:val="0"/>
        <w:numPr>
          <w:ilvl w:val="0"/>
          <w:numId w:val="0"/>
        </w:numPr>
        <w:wordWrap/>
        <w:topLinePunct w:val="0"/>
        <w:bidi w:val="0"/>
        <w:spacing w:line="440" w:lineRule="atLeast"/>
        <w:outlineLvl w:val="2"/>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3.</w:t>
      </w:r>
      <w:r>
        <w:rPr>
          <w:rFonts w:hint="eastAsia" w:hAnsi="宋体" w:eastAsia="宋体" w:cs="宋体"/>
          <w:b/>
          <w:color w:val="auto"/>
          <w:sz w:val="28"/>
          <w:szCs w:val="28"/>
          <w:highlight w:val="none"/>
          <w:lang w:val="en-US" w:eastAsia="zh-CN"/>
        </w:rPr>
        <w:t>已</w:t>
      </w:r>
      <w:r>
        <w:rPr>
          <w:rFonts w:hint="eastAsia" w:ascii="宋体" w:hAnsi="宋体" w:eastAsia="宋体" w:cs="宋体"/>
          <w:b/>
          <w:color w:val="auto"/>
          <w:sz w:val="28"/>
          <w:szCs w:val="28"/>
          <w:highlight w:val="none"/>
          <w:lang w:val="en-US" w:eastAsia="zh-CN"/>
        </w:rPr>
        <w:t>标价工程量清单（必须提供）</w:t>
      </w:r>
    </w:p>
    <w:p w14:paraId="7020C19A">
      <w:pPr>
        <w:keepNext w:val="0"/>
        <w:keepLines w:val="0"/>
        <w:pageBreakBefore w:val="0"/>
        <w:widowControl w:val="0"/>
        <w:wordWrap/>
        <w:topLinePunct w:val="0"/>
        <w:bidi w:val="0"/>
        <w:snapToGrid w:val="0"/>
        <w:spacing w:line="240" w:lineRule="auto"/>
        <w:ind w:firstLine="420"/>
        <w:jc w:val="right"/>
        <w:rPr>
          <w:rFonts w:hint="eastAsia" w:ascii="宋体" w:hAnsi="宋体" w:eastAsia="宋体" w:cs="宋体"/>
          <w:color w:val="auto"/>
          <w:highlight w:val="none"/>
        </w:rPr>
      </w:pPr>
    </w:p>
    <w:p w14:paraId="56F441D6">
      <w:pPr>
        <w:keepNext w:val="0"/>
        <w:keepLines w:val="0"/>
        <w:pageBreakBefore w:val="0"/>
        <w:widowControl w:val="0"/>
        <w:wordWrap/>
        <w:topLinePunct w:val="0"/>
        <w:bidi w:val="0"/>
        <w:spacing w:line="240" w:lineRule="auto"/>
        <w:jc w:val="center"/>
        <w:outlineLvl w:val="9"/>
        <w:rPr>
          <w:rFonts w:hint="eastAsia" w:ascii="宋体" w:hAnsi="宋体" w:eastAsia="宋体" w:cs="宋体"/>
          <w:color w:val="auto"/>
          <w:sz w:val="24"/>
          <w:szCs w:val="24"/>
          <w:highlight w:val="none"/>
        </w:rPr>
      </w:pPr>
      <w:bookmarkStart w:id="2410" w:name="_Toc234659851"/>
      <w:bookmarkStart w:id="2411" w:name="_Toc446943082"/>
      <w:bookmarkStart w:id="2412" w:name="_Toc271557289"/>
      <w:bookmarkStart w:id="2413" w:name="_Toc394929435"/>
      <w:r>
        <w:rPr>
          <w:rFonts w:hint="eastAsia" w:ascii="宋体" w:hAnsi="宋体" w:eastAsia="宋体" w:cs="宋体"/>
          <w:color w:val="auto"/>
          <w:sz w:val="24"/>
          <w:szCs w:val="24"/>
          <w:highlight w:val="none"/>
        </w:rPr>
        <w:t>已标价工程量清单</w:t>
      </w:r>
      <w:bookmarkEnd w:id="2410"/>
      <w:bookmarkEnd w:id="2411"/>
      <w:bookmarkEnd w:id="2412"/>
      <w:bookmarkEnd w:id="2413"/>
    </w:p>
    <w:p w14:paraId="672FE051">
      <w:pPr>
        <w:keepNext w:val="0"/>
        <w:keepLines w:val="0"/>
        <w:pageBreakBefore w:val="0"/>
        <w:widowControl w:val="0"/>
        <w:wordWrap/>
        <w:topLinePunct w:val="0"/>
        <w:bidi w:val="0"/>
        <w:spacing w:line="240" w:lineRule="auto"/>
        <w:ind w:firstLine="420"/>
        <w:jc w:val="center"/>
        <w:rPr>
          <w:rFonts w:hint="eastAsia" w:ascii="宋体" w:hAnsi="宋体" w:eastAsia="宋体" w:cs="宋体"/>
          <w:color w:val="auto"/>
          <w:highlight w:val="none"/>
        </w:rPr>
      </w:pPr>
    </w:p>
    <w:p w14:paraId="154A5FC2">
      <w:pPr>
        <w:keepNext w:val="0"/>
        <w:keepLines w:val="0"/>
        <w:pageBreakBefore w:val="0"/>
        <w:widowControl w:val="0"/>
        <w:wordWrap/>
        <w:topLinePunct w:val="0"/>
        <w:bidi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应按照第</w:t>
      </w:r>
      <w:r>
        <w:rPr>
          <w:rFonts w:hint="eastAsia" w:ascii="宋体" w:hAnsi="宋体" w:eastAsia="宋体" w:cs="宋体"/>
          <w:color w:val="auto"/>
          <w:szCs w:val="21"/>
          <w:highlight w:val="none"/>
          <w:lang w:eastAsia="zh-CN"/>
        </w:rPr>
        <w:t>三</w:t>
      </w:r>
      <w:r>
        <w:rPr>
          <w:rFonts w:hint="eastAsia" w:ascii="宋体" w:hAnsi="宋体" w:eastAsia="宋体" w:cs="宋体"/>
          <w:color w:val="auto"/>
          <w:szCs w:val="21"/>
          <w:highlight w:val="none"/>
        </w:rPr>
        <w:t>章“工程量清单”的要求逐项填报工程量清单，包括工程量清单说明、</w:t>
      </w:r>
      <w:r>
        <w:rPr>
          <w:rFonts w:hint="eastAsia" w:ascii="宋体" w:hAnsi="宋体" w:eastAsia="宋体" w:cs="宋体"/>
          <w:color w:val="auto"/>
          <w:szCs w:val="21"/>
          <w:highlight w:val="none"/>
          <w:lang w:eastAsia="zh-CN"/>
        </w:rPr>
        <w:t>磋商报价</w:t>
      </w:r>
      <w:r>
        <w:rPr>
          <w:rFonts w:hint="eastAsia" w:ascii="宋体" w:hAnsi="宋体" w:eastAsia="宋体" w:cs="宋体"/>
          <w:color w:val="auto"/>
          <w:szCs w:val="21"/>
          <w:highlight w:val="none"/>
        </w:rPr>
        <w:t>说明及工程量清单各项表格</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采购人</w:t>
      </w:r>
      <w:r>
        <w:rPr>
          <w:rFonts w:hint="eastAsia" w:ascii="宋体" w:hAnsi="宋体" w:eastAsia="宋体" w:cs="宋体"/>
          <w:b/>
          <w:bCs/>
          <w:color w:val="auto"/>
          <w:highlight w:val="none"/>
        </w:rPr>
        <w:t>提供的工程量清单</w:t>
      </w:r>
      <w:r>
        <w:rPr>
          <w:rFonts w:hint="eastAsia" w:ascii="宋体" w:hAnsi="宋体" w:eastAsia="宋体" w:cs="宋体"/>
          <w:b/>
          <w:bCs/>
          <w:color w:val="auto"/>
          <w:szCs w:val="21"/>
          <w:highlight w:val="none"/>
        </w:rPr>
        <w:t>）。</w:t>
      </w:r>
    </w:p>
    <w:p w14:paraId="0AEDCE1E">
      <w:pPr>
        <w:keepNext w:val="0"/>
        <w:keepLines w:val="0"/>
        <w:pageBreakBefore w:val="0"/>
        <w:widowControl w:val="0"/>
        <w:wordWrap/>
        <w:topLinePunct w:val="0"/>
        <w:bidi w:val="0"/>
        <w:spacing w:line="340" w:lineRule="exact"/>
        <w:rPr>
          <w:rFonts w:hint="eastAsia" w:ascii="宋体" w:hAnsi="宋体" w:eastAsia="宋体" w:cs="宋体"/>
          <w:color w:val="auto"/>
          <w:szCs w:val="21"/>
          <w:highlight w:val="none"/>
        </w:rPr>
      </w:pPr>
    </w:p>
    <w:p w14:paraId="7DD3B0A2">
      <w:pPr>
        <w:keepNext w:val="0"/>
        <w:keepLines w:val="0"/>
        <w:pageBreakBefore w:val="0"/>
        <w:widowControl w:val="0"/>
        <w:wordWrap/>
        <w:topLinePunct w:val="0"/>
        <w:bidi w:val="0"/>
        <w:spacing w:line="400" w:lineRule="exac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注：</w:t>
      </w:r>
      <w:r>
        <w:rPr>
          <w:rFonts w:hint="eastAsia" w:ascii="宋体" w:hAnsi="宋体" w:eastAsia="宋体" w:cs="宋体"/>
          <w:b/>
          <w:color w:val="auto"/>
          <w:sz w:val="24"/>
          <w:highlight w:val="none"/>
        </w:rPr>
        <w:t>当本</w:t>
      </w:r>
      <w:r>
        <w:rPr>
          <w:rFonts w:hint="eastAsia" w:ascii="宋体" w:hAnsi="宋体" w:eastAsia="宋体" w:cs="宋体"/>
          <w:b/>
          <w:color w:val="auto"/>
          <w:sz w:val="24"/>
          <w:highlight w:val="none"/>
          <w:lang w:eastAsia="zh-CN"/>
        </w:rPr>
        <w:t>清单</w:t>
      </w:r>
      <w:r>
        <w:rPr>
          <w:rFonts w:hint="eastAsia" w:ascii="宋体" w:hAnsi="宋体" w:eastAsia="宋体" w:cs="宋体"/>
          <w:b/>
          <w:color w:val="auto"/>
          <w:sz w:val="24"/>
          <w:highlight w:val="none"/>
        </w:rPr>
        <w:t>由多页构成时，需逐页加盖</w:t>
      </w:r>
      <w:r>
        <w:rPr>
          <w:rFonts w:hint="eastAsia" w:ascii="宋体" w:hAnsi="宋体" w:eastAsia="宋体" w:cs="宋体"/>
          <w:b/>
          <w:color w:val="auto"/>
          <w:sz w:val="24"/>
          <w:highlight w:val="none"/>
          <w:lang w:eastAsia="zh-CN"/>
        </w:rPr>
        <w:t>磋商供应商</w:t>
      </w:r>
      <w:r>
        <w:rPr>
          <w:rFonts w:hint="eastAsia" w:ascii="宋体" w:hAnsi="宋体" w:eastAsia="宋体" w:cs="宋体"/>
          <w:b/>
          <w:color w:val="auto"/>
          <w:sz w:val="24"/>
          <w:highlight w:val="none"/>
        </w:rPr>
        <w:t>公章</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lang w:val="en-US" w:eastAsia="zh-CN"/>
        </w:rPr>
        <w:t>CA签章</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rPr>
        <w:t>（属自然人的须逐页签字</w:t>
      </w:r>
      <w:r>
        <w:rPr>
          <w:rFonts w:hint="eastAsia" w:ascii="宋体" w:hAnsi="宋体" w:eastAsia="宋体" w:cs="宋体"/>
          <w:b/>
          <w:color w:val="auto"/>
          <w:sz w:val="24"/>
          <w:highlight w:val="none"/>
          <w:lang w:eastAsia="zh-CN"/>
        </w:rPr>
        <w:t>或</w:t>
      </w:r>
      <w:r>
        <w:rPr>
          <w:rFonts w:hint="eastAsia" w:ascii="宋体" w:hAnsi="宋体" w:eastAsia="宋体" w:cs="宋体"/>
          <w:b/>
          <w:color w:val="auto"/>
          <w:sz w:val="24"/>
          <w:highlight w:val="none"/>
          <w:lang w:val="en-US" w:eastAsia="zh-CN"/>
        </w:rPr>
        <w:t>个人CA签章</w:t>
      </w:r>
      <w:r>
        <w:rPr>
          <w:rFonts w:hint="eastAsia" w:ascii="宋体" w:hAnsi="宋体" w:eastAsia="宋体" w:cs="宋体"/>
          <w:b/>
          <w:color w:val="auto"/>
          <w:sz w:val="24"/>
          <w:highlight w:val="none"/>
        </w:rPr>
        <w:t>）。</w:t>
      </w:r>
    </w:p>
    <w:p w14:paraId="343B0D49">
      <w:pPr>
        <w:pStyle w:val="9"/>
        <w:keepNext w:val="0"/>
        <w:keepLines w:val="0"/>
        <w:pageBreakBefore w:val="0"/>
        <w:widowControl w:val="0"/>
        <w:wordWrap/>
        <w:topLinePunct w:val="0"/>
        <w:bidi w:val="0"/>
        <w:rPr>
          <w:rFonts w:hint="eastAsia" w:ascii="宋体" w:hAnsi="宋体" w:eastAsia="宋体" w:cs="宋体"/>
          <w:color w:val="auto"/>
          <w:highlight w:val="none"/>
        </w:rPr>
      </w:pPr>
    </w:p>
    <w:p w14:paraId="4C6BD6C7">
      <w:pPr>
        <w:pStyle w:val="9"/>
        <w:keepNext w:val="0"/>
        <w:keepLines w:val="0"/>
        <w:pageBreakBefore w:val="0"/>
        <w:widowControl w:val="0"/>
        <w:wordWrap/>
        <w:topLinePunct w:val="0"/>
        <w:bidi w:val="0"/>
        <w:rPr>
          <w:rFonts w:hint="eastAsia" w:ascii="宋体" w:hAnsi="宋体" w:eastAsia="宋体" w:cs="宋体"/>
          <w:color w:val="auto"/>
          <w:highlight w:val="none"/>
        </w:rPr>
      </w:pPr>
    </w:p>
    <w:p w14:paraId="62EED1E7">
      <w:pPr>
        <w:rPr>
          <w:rFonts w:hint="eastAsia" w:hAnsi="宋体" w:cs="宋体"/>
          <w:b/>
          <w:color w:val="auto"/>
          <w:sz w:val="28"/>
          <w:szCs w:val="28"/>
          <w:highlight w:val="none"/>
          <w:lang w:val="en-US" w:eastAsia="zh-CN"/>
        </w:rPr>
      </w:pPr>
      <w:r>
        <w:rPr>
          <w:rFonts w:hint="eastAsia" w:hAnsi="宋体" w:cs="宋体"/>
          <w:b/>
          <w:color w:val="auto"/>
          <w:sz w:val="28"/>
          <w:szCs w:val="28"/>
          <w:highlight w:val="none"/>
          <w:lang w:val="en-US" w:eastAsia="zh-CN"/>
        </w:rPr>
        <w:br w:type="page"/>
      </w:r>
    </w:p>
    <w:p w14:paraId="2D33FB1D">
      <w:pPr>
        <w:keepNext w:val="0"/>
        <w:keepLines w:val="0"/>
        <w:pageBreakBefore w:val="0"/>
        <w:widowControl w:val="0"/>
        <w:numPr>
          <w:ilvl w:val="0"/>
          <w:numId w:val="0"/>
        </w:numPr>
        <w:wordWrap/>
        <w:topLinePunct w:val="0"/>
        <w:bidi w:val="0"/>
        <w:spacing w:line="440" w:lineRule="atLeast"/>
        <w:outlineLvl w:val="2"/>
        <w:rPr>
          <w:rFonts w:hint="eastAsia" w:ascii="宋体" w:hAnsi="宋体" w:eastAsia="宋体" w:cs="宋体"/>
          <w:b/>
          <w:bCs/>
          <w:iCs/>
          <w:color w:val="auto"/>
          <w:kern w:val="2"/>
          <w:sz w:val="28"/>
          <w:szCs w:val="28"/>
          <w:highlight w:val="none"/>
          <w:lang w:val="en-US" w:eastAsia="zh-CN" w:bidi="ar-SA"/>
        </w:rPr>
      </w:pPr>
      <w:r>
        <w:rPr>
          <w:rFonts w:hint="eastAsia" w:hAnsi="宋体" w:cs="宋体"/>
          <w:b/>
          <w:color w:val="auto"/>
          <w:sz w:val="28"/>
          <w:szCs w:val="28"/>
          <w:highlight w:val="none"/>
          <w:lang w:val="en-US" w:eastAsia="zh-CN"/>
        </w:rPr>
        <w:t>4</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bCs/>
          <w:iCs/>
          <w:color w:val="auto"/>
          <w:kern w:val="2"/>
          <w:sz w:val="28"/>
          <w:szCs w:val="28"/>
          <w:highlight w:val="none"/>
          <w:lang w:val="en-US" w:eastAsia="zh-CN" w:bidi="ar-SA"/>
        </w:rPr>
        <w:t>拟投入本工程主要施工管理人员表（必须提供）；</w:t>
      </w:r>
    </w:p>
    <w:p w14:paraId="0633FEAF">
      <w:pPr>
        <w:keepNext w:val="0"/>
        <w:keepLines w:val="0"/>
        <w:pageBreakBefore w:val="0"/>
        <w:widowControl w:val="0"/>
        <w:wordWrap/>
        <w:topLinePunct w:val="0"/>
        <w:bidi w:val="0"/>
        <w:spacing w:line="500" w:lineRule="exact"/>
        <w:jc w:val="center"/>
        <w:rPr>
          <w:rFonts w:hint="eastAsia" w:ascii="宋体" w:hAnsi="宋体" w:eastAsia="宋体" w:cs="宋体"/>
          <w:b/>
          <w:color w:val="auto"/>
          <w:sz w:val="24"/>
          <w:szCs w:val="24"/>
          <w:highlight w:val="none"/>
          <w:lang w:val="en-US" w:eastAsia="zh-CN"/>
        </w:rPr>
      </w:pPr>
    </w:p>
    <w:p w14:paraId="271CB386">
      <w:pPr>
        <w:keepNext w:val="0"/>
        <w:keepLines w:val="0"/>
        <w:pageBreakBefore w:val="0"/>
        <w:widowControl w:val="0"/>
        <w:wordWrap/>
        <w:topLinePunct w:val="0"/>
        <w:bidi w:val="0"/>
        <w:spacing w:line="5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主要施工管理人员表</w:t>
      </w:r>
    </w:p>
    <w:p w14:paraId="18862D8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工程名称：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bl>
      <w:tblPr>
        <w:tblStyle w:val="27"/>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0"/>
        <w:gridCol w:w="793"/>
        <w:gridCol w:w="792"/>
        <w:gridCol w:w="1447"/>
        <w:gridCol w:w="3672"/>
      </w:tblGrid>
      <w:tr w14:paraId="50A4C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152E286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5B192C0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792" w:type="dxa"/>
            <w:tcBorders>
              <w:top w:val="single" w:color="auto" w:sz="4" w:space="0"/>
              <w:left w:val="single" w:color="auto" w:sz="4" w:space="0"/>
              <w:bottom w:val="single" w:color="auto" w:sz="4" w:space="0"/>
              <w:right w:val="single" w:color="auto" w:sz="4" w:space="0"/>
            </w:tcBorders>
            <w:noWrap w:val="0"/>
            <w:vAlign w:val="center"/>
          </w:tcPr>
          <w:p w14:paraId="511A395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职务</w:t>
            </w:r>
          </w:p>
        </w:tc>
        <w:tc>
          <w:tcPr>
            <w:tcW w:w="1447" w:type="dxa"/>
            <w:tcBorders>
              <w:top w:val="single" w:color="auto" w:sz="4" w:space="0"/>
              <w:left w:val="single" w:color="auto" w:sz="4" w:space="0"/>
              <w:bottom w:val="single" w:color="auto" w:sz="4" w:space="0"/>
              <w:right w:val="single" w:color="auto" w:sz="4" w:space="0"/>
            </w:tcBorders>
            <w:noWrap w:val="0"/>
            <w:vAlign w:val="center"/>
          </w:tcPr>
          <w:p w14:paraId="21B1427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资质/职称</w:t>
            </w:r>
          </w:p>
        </w:tc>
        <w:tc>
          <w:tcPr>
            <w:tcW w:w="3672" w:type="dxa"/>
            <w:tcBorders>
              <w:top w:val="single" w:color="auto" w:sz="4" w:space="0"/>
              <w:left w:val="single" w:color="auto" w:sz="4" w:space="0"/>
              <w:bottom w:val="single" w:color="auto" w:sz="4" w:space="0"/>
              <w:right w:val="single" w:color="auto" w:sz="4" w:space="0"/>
            </w:tcBorders>
            <w:noWrap w:val="0"/>
            <w:vAlign w:val="center"/>
          </w:tcPr>
          <w:p w14:paraId="042B33C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执业资格证号/上岗证号</w:t>
            </w:r>
          </w:p>
        </w:tc>
      </w:tr>
      <w:tr w14:paraId="701EA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522D542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一、总部</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2B82BE0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220D77A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66EA638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5ABF094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r>
      <w:tr w14:paraId="77C0E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195C5DA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1.项目主管</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65ED047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79398C7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6BCF599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11E1398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r>
      <w:tr w14:paraId="6E8E1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5FF9479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2.其他人员</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0F2211F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6D0479D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01FDA30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66CA4C0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r>
      <w:tr w14:paraId="475F0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230BB97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68B046B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551AF93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480EE5E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1BA615E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r>
      <w:tr w14:paraId="5EBAF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22EF6FF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二、现场</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703D484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58EDFA8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16BA212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387EF36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r>
      <w:tr w14:paraId="232F4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3C57360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项目经理</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62ED5A2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10D2178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78E7D7E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09561D8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r>
      <w:tr w14:paraId="4951E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0E60FB0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2.项目副经理（如有）</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40F4DE2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27C48F6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2CFBF27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4DA1E59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r>
      <w:tr w14:paraId="4F5E2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253E439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3.技术负责人</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2D9A380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0A5AE88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6C52902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0141C43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r>
      <w:tr w14:paraId="2A04A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684A72D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4.施工员</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72A0905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4885131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0ADC6E8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6DF5A3F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r>
      <w:tr w14:paraId="55335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6718641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5.质检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员</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014EB8D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24919D1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557AC7E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1E13A83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r>
      <w:tr w14:paraId="2587C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6CAF2A3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6.专职安全生产管理人员</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40896F4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752CBF7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1AD525A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12D2F72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r>
      <w:tr w14:paraId="4C0D8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2473C4D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7.材料员</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0CB06FC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5B8D037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41145CF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4D05404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r>
      <w:tr w14:paraId="1E760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50" w:type="dxa"/>
            <w:tcBorders>
              <w:top w:val="single" w:color="auto" w:sz="4" w:space="0"/>
              <w:left w:val="single" w:color="auto" w:sz="4" w:space="0"/>
              <w:bottom w:val="single" w:color="auto" w:sz="4" w:space="0"/>
              <w:right w:val="single" w:color="auto" w:sz="4" w:space="0"/>
            </w:tcBorders>
            <w:noWrap w:val="0"/>
            <w:vAlign w:val="center"/>
          </w:tcPr>
          <w:p w14:paraId="48AACB73">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22D2A44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noWrap w:val="0"/>
            <w:vAlign w:val="center"/>
          </w:tcPr>
          <w:p w14:paraId="1A58C94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5BDF941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c>
          <w:tcPr>
            <w:tcW w:w="3672" w:type="dxa"/>
            <w:tcBorders>
              <w:top w:val="single" w:color="auto" w:sz="4" w:space="0"/>
              <w:left w:val="single" w:color="auto" w:sz="4" w:space="0"/>
              <w:bottom w:val="single" w:color="auto" w:sz="4" w:space="0"/>
              <w:right w:val="single" w:color="auto" w:sz="4" w:space="0"/>
            </w:tcBorders>
            <w:noWrap w:val="0"/>
            <w:vAlign w:val="center"/>
          </w:tcPr>
          <w:p w14:paraId="7A262A1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p>
        </w:tc>
      </w:tr>
    </w:tbl>
    <w:p w14:paraId="447518D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pacing w:val="-2"/>
          <w:kern w:val="0"/>
          <w:sz w:val="21"/>
          <w:szCs w:val="21"/>
          <w:highlight w:val="none"/>
        </w:rPr>
      </w:pPr>
      <w:r>
        <w:rPr>
          <w:rFonts w:hint="eastAsia" w:ascii="宋体" w:hAnsi="宋体" w:eastAsia="宋体" w:cs="宋体"/>
          <w:bCs/>
          <w:color w:val="auto"/>
          <w:spacing w:val="-2"/>
          <w:sz w:val="21"/>
          <w:szCs w:val="21"/>
          <w:highlight w:val="none"/>
        </w:rPr>
        <w:t>注：</w:t>
      </w:r>
      <w:r>
        <w:rPr>
          <w:rFonts w:hint="eastAsia" w:ascii="宋体" w:hAnsi="宋体" w:cs="宋体"/>
          <w:color w:val="auto"/>
          <w:spacing w:val="-2"/>
          <w:kern w:val="0"/>
          <w:sz w:val="21"/>
          <w:szCs w:val="21"/>
          <w:highlight w:val="none"/>
          <w:lang w:eastAsia="zh-CN"/>
        </w:rPr>
        <w:t>项目经理至少应附身份证复印件、责任工程师证书复印件、中级（含）以上职称证复印件（</w:t>
      </w:r>
      <w:r>
        <w:rPr>
          <w:rFonts w:hint="eastAsia" w:ascii="宋体" w:hAnsi="宋体" w:cs="宋体"/>
          <w:color w:val="auto"/>
          <w:spacing w:val="-2"/>
          <w:kern w:val="0"/>
          <w:sz w:val="21"/>
          <w:szCs w:val="21"/>
          <w:highlight w:val="none"/>
          <w:lang w:val="en-US" w:eastAsia="zh-CN"/>
        </w:rPr>
        <w:t>如有</w:t>
      </w:r>
      <w:r>
        <w:rPr>
          <w:rFonts w:hint="eastAsia" w:ascii="宋体" w:hAnsi="宋体" w:cs="宋体"/>
          <w:color w:val="auto"/>
          <w:spacing w:val="-2"/>
          <w:kern w:val="0"/>
          <w:sz w:val="21"/>
          <w:szCs w:val="21"/>
          <w:highlight w:val="none"/>
          <w:lang w:eastAsia="zh-CN"/>
        </w:rPr>
        <w:t>）</w:t>
      </w:r>
      <w:r>
        <w:rPr>
          <w:rFonts w:hint="eastAsia" w:ascii="宋体" w:hAnsi="宋体" w:eastAsia="宋体" w:cs="宋体"/>
          <w:color w:val="auto"/>
          <w:spacing w:val="-2"/>
          <w:kern w:val="0"/>
          <w:sz w:val="21"/>
          <w:szCs w:val="21"/>
          <w:highlight w:val="none"/>
        </w:rPr>
        <w:t>；技术负责人应附身份证复印件、职称证复印件</w:t>
      </w:r>
      <w:r>
        <w:rPr>
          <w:rFonts w:hint="eastAsia" w:ascii="宋体" w:hAnsi="宋体" w:cs="宋体"/>
          <w:color w:val="auto"/>
          <w:spacing w:val="-2"/>
          <w:kern w:val="0"/>
          <w:sz w:val="21"/>
          <w:szCs w:val="21"/>
          <w:highlight w:val="none"/>
          <w:lang w:eastAsia="zh-CN"/>
        </w:rPr>
        <w:t>（</w:t>
      </w:r>
      <w:r>
        <w:rPr>
          <w:rFonts w:hint="eastAsia" w:ascii="宋体" w:hAnsi="宋体" w:cs="宋体"/>
          <w:color w:val="auto"/>
          <w:spacing w:val="-2"/>
          <w:kern w:val="0"/>
          <w:sz w:val="21"/>
          <w:szCs w:val="21"/>
          <w:highlight w:val="none"/>
          <w:lang w:val="en-US" w:eastAsia="zh-CN"/>
        </w:rPr>
        <w:t>如有</w:t>
      </w:r>
      <w:r>
        <w:rPr>
          <w:rFonts w:hint="eastAsia" w:ascii="宋体" w:hAnsi="宋体" w:cs="宋体"/>
          <w:color w:val="auto"/>
          <w:spacing w:val="-2"/>
          <w:kern w:val="0"/>
          <w:sz w:val="21"/>
          <w:szCs w:val="21"/>
          <w:highlight w:val="none"/>
          <w:lang w:eastAsia="zh-CN"/>
        </w:rPr>
        <w:t>）</w:t>
      </w:r>
      <w:r>
        <w:rPr>
          <w:rFonts w:hint="eastAsia" w:ascii="宋体" w:hAnsi="宋体" w:eastAsia="宋体" w:cs="宋体"/>
          <w:color w:val="auto"/>
          <w:spacing w:val="-2"/>
          <w:kern w:val="0"/>
          <w:sz w:val="21"/>
          <w:szCs w:val="21"/>
          <w:highlight w:val="none"/>
        </w:rPr>
        <w:t>；专职安全生产管理人员至少应附身份证复印件、专职安全员安全生产考核合格证书（C类）复印件；其他主要人员（施工员、质检</w:t>
      </w:r>
      <w:r>
        <w:rPr>
          <w:rFonts w:hint="eastAsia" w:ascii="宋体" w:hAnsi="宋体" w:eastAsia="宋体" w:cs="宋体"/>
          <w:color w:val="auto"/>
          <w:spacing w:val="-2"/>
          <w:kern w:val="0"/>
          <w:sz w:val="21"/>
          <w:szCs w:val="21"/>
          <w:highlight w:val="none"/>
          <w:lang w:eastAsia="zh-CN"/>
        </w:rPr>
        <w:t>（</w:t>
      </w:r>
      <w:r>
        <w:rPr>
          <w:rFonts w:hint="eastAsia" w:ascii="宋体" w:hAnsi="宋体" w:eastAsia="宋体" w:cs="宋体"/>
          <w:color w:val="auto"/>
          <w:spacing w:val="-2"/>
          <w:kern w:val="0"/>
          <w:sz w:val="21"/>
          <w:szCs w:val="21"/>
          <w:highlight w:val="none"/>
          <w:lang w:val="en-US" w:eastAsia="zh-CN"/>
        </w:rPr>
        <w:t>量</w:t>
      </w:r>
      <w:r>
        <w:rPr>
          <w:rFonts w:hint="eastAsia" w:ascii="宋体" w:hAnsi="宋体" w:eastAsia="宋体" w:cs="宋体"/>
          <w:color w:val="auto"/>
          <w:spacing w:val="-2"/>
          <w:kern w:val="0"/>
          <w:sz w:val="21"/>
          <w:szCs w:val="21"/>
          <w:highlight w:val="none"/>
          <w:lang w:eastAsia="zh-CN"/>
        </w:rPr>
        <w:t>）</w:t>
      </w:r>
      <w:r>
        <w:rPr>
          <w:rFonts w:hint="eastAsia" w:ascii="宋体" w:hAnsi="宋体" w:eastAsia="宋体" w:cs="宋体"/>
          <w:color w:val="auto"/>
          <w:spacing w:val="-2"/>
          <w:kern w:val="0"/>
          <w:sz w:val="21"/>
          <w:szCs w:val="21"/>
          <w:highlight w:val="none"/>
        </w:rPr>
        <w:t>员、材料员）应附执业证或上岗证书复印件。</w:t>
      </w:r>
      <w:r>
        <w:rPr>
          <w:rFonts w:hint="eastAsia" w:ascii="宋体" w:hAnsi="宋体" w:eastAsia="宋体" w:cs="宋体"/>
          <w:color w:val="auto"/>
          <w:kern w:val="0"/>
          <w:sz w:val="21"/>
          <w:szCs w:val="21"/>
          <w:highlight w:val="none"/>
        </w:rPr>
        <w:t>同时还需提供社保部门出具</w:t>
      </w:r>
      <w:r>
        <w:rPr>
          <w:rFonts w:hint="eastAsia" w:ascii="宋体" w:hAnsi="宋体" w:eastAsia="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rPr>
        <w:t>为项目管理机构成员（包含项目经理、技术负责人、专职安全员、施工员、质检</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量</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员、材料员）缴纳的响应文件递交截止时间前</w:t>
      </w:r>
      <w:r>
        <w:rPr>
          <w:rFonts w:hint="eastAsia" w:ascii="宋体" w:hAnsi="宋体" w:cs="宋体"/>
          <w:color w:val="auto"/>
          <w:kern w:val="0"/>
          <w:sz w:val="21"/>
          <w:szCs w:val="21"/>
          <w:highlight w:val="none"/>
          <w:lang w:eastAsia="zh-CN"/>
        </w:rPr>
        <w:t>半年内任意一个月</w:t>
      </w:r>
      <w:r>
        <w:rPr>
          <w:rFonts w:hint="eastAsia" w:ascii="宋体" w:hAnsi="宋体" w:eastAsia="宋体" w:cs="宋体"/>
          <w:color w:val="auto"/>
          <w:kern w:val="0"/>
          <w:sz w:val="21"/>
          <w:szCs w:val="21"/>
          <w:highlight w:val="none"/>
        </w:rPr>
        <w:t>社保证明复印件。若为近期新聘员工的，以提供劳动合同证明材料复印件</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若</w:t>
      </w:r>
      <w:r>
        <w:rPr>
          <w:rFonts w:hint="eastAsia" w:ascii="宋体" w:hAnsi="宋体" w:eastAsia="宋体" w:cs="宋体"/>
          <w:color w:val="auto"/>
          <w:kern w:val="0"/>
          <w:sz w:val="21"/>
          <w:szCs w:val="21"/>
          <w:highlight w:val="none"/>
          <w:lang w:val="en-US" w:eastAsia="zh-CN"/>
        </w:rPr>
        <w:t>为退休员工则需提供退休证明及劳动合同</w:t>
      </w:r>
      <w:r>
        <w:rPr>
          <w:rFonts w:hint="eastAsia" w:ascii="宋体" w:hAnsi="宋体" w:eastAsia="宋体" w:cs="宋体"/>
          <w:color w:val="auto"/>
          <w:kern w:val="0"/>
          <w:sz w:val="21"/>
          <w:szCs w:val="21"/>
          <w:highlight w:val="none"/>
        </w:rPr>
        <w:t>为准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spacing w:val="-2"/>
          <w:kern w:val="0"/>
          <w:sz w:val="21"/>
          <w:szCs w:val="21"/>
          <w:highlight w:val="none"/>
        </w:rPr>
        <w:t>上述复印件均需加盖</w:t>
      </w:r>
      <w:r>
        <w:rPr>
          <w:rFonts w:hint="eastAsia" w:ascii="宋体" w:hAnsi="宋体" w:eastAsia="宋体" w:cs="宋体"/>
          <w:color w:val="auto"/>
          <w:spacing w:val="-2"/>
          <w:kern w:val="0"/>
          <w:sz w:val="21"/>
          <w:szCs w:val="21"/>
          <w:highlight w:val="none"/>
          <w:lang w:val="en-US" w:eastAsia="zh-CN"/>
        </w:rPr>
        <w:t>供应商</w:t>
      </w:r>
      <w:r>
        <w:rPr>
          <w:rFonts w:hint="eastAsia" w:ascii="宋体" w:hAnsi="宋体" w:eastAsia="宋体" w:cs="宋体"/>
          <w:color w:val="auto"/>
          <w:spacing w:val="-2"/>
          <w:kern w:val="0"/>
          <w:sz w:val="21"/>
          <w:szCs w:val="21"/>
          <w:highlight w:val="none"/>
        </w:rPr>
        <w:t>公章。</w:t>
      </w:r>
    </w:p>
    <w:p w14:paraId="50AAE428">
      <w:pPr>
        <w:pStyle w:val="12"/>
        <w:keepNext w:val="0"/>
        <w:keepLines w:val="0"/>
        <w:pageBreakBefore w:val="0"/>
        <w:widowControl w:val="0"/>
        <w:wordWrap/>
        <w:topLinePunct w:val="0"/>
        <w:bidi w:val="0"/>
        <w:spacing w:line="340" w:lineRule="exact"/>
        <w:jc w:val="center"/>
        <w:rPr>
          <w:rFonts w:hint="eastAsia" w:ascii="宋体" w:hAnsi="宋体" w:eastAsia="宋体" w:cs="宋体"/>
          <w:b/>
          <w:color w:val="auto"/>
          <w:sz w:val="32"/>
          <w:szCs w:val="32"/>
          <w:highlight w:val="none"/>
        </w:rPr>
      </w:pPr>
    </w:p>
    <w:p w14:paraId="0F58FB0E">
      <w:pPr>
        <w:pStyle w:val="7"/>
        <w:keepNext w:val="0"/>
        <w:keepLines w:val="0"/>
        <w:pageBreakBefore w:val="0"/>
        <w:widowControl w:val="0"/>
        <w:kinsoku/>
        <w:wordWrap/>
        <w:overflowPunct/>
        <w:topLinePunct w:val="0"/>
        <w:autoSpaceDE/>
        <w:autoSpaceDN/>
        <w:bidi w:val="0"/>
        <w:adjustRightInd/>
        <w:spacing w:line="600" w:lineRule="auto"/>
        <w:textAlignment w:val="auto"/>
        <w:rPr>
          <w:rFonts w:hint="eastAsia"/>
          <w:color w:val="auto"/>
          <w:highlight w:val="none"/>
        </w:rPr>
      </w:pPr>
    </w:p>
    <w:p w14:paraId="28A43BF0">
      <w:pPr>
        <w:keepNext w:val="0"/>
        <w:keepLines w:val="0"/>
        <w:pageBreakBefore w:val="0"/>
        <w:widowControl w:val="0"/>
        <w:kinsoku/>
        <w:wordWrap/>
        <w:overflowPunct/>
        <w:topLinePunct w:val="0"/>
        <w:autoSpaceDE/>
        <w:autoSpaceDN/>
        <w:bidi w:val="0"/>
        <w:adjustRightInd/>
        <w:snapToGrid w:val="0"/>
        <w:spacing w:line="600" w:lineRule="auto"/>
        <w:ind w:firstLine="1890" w:firstLineChars="9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，自然人</w:t>
      </w:r>
      <w:r>
        <w:rPr>
          <w:rFonts w:hint="eastAsia" w:ascii="宋体" w:hAnsi="宋体" w:eastAsia="宋体" w:cs="宋体"/>
          <w:color w:val="auto"/>
          <w:szCs w:val="21"/>
          <w:highlight w:val="none"/>
          <w:lang w:eastAsia="zh-CN"/>
        </w:rPr>
        <w:t>签字或个人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highlight w:val="none"/>
          <w:u w:val="single"/>
        </w:rPr>
        <w:t xml:space="preserve">               </w:t>
      </w:r>
    </w:p>
    <w:p w14:paraId="1AF5B0C0">
      <w:pPr>
        <w:keepNext w:val="0"/>
        <w:keepLines w:val="0"/>
        <w:pageBreakBefore w:val="0"/>
        <w:widowControl w:val="0"/>
        <w:kinsoku/>
        <w:wordWrap/>
        <w:overflowPunct/>
        <w:topLinePunct w:val="0"/>
        <w:autoSpaceDE/>
        <w:autoSpaceDN/>
        <w:bidi w:val="0"/>
        <w:adjustRightInd/>
        <w:snapToGrid w:val="0"/>
        <w:spacing w:line="600" w:lineRule="auto"/>
        <w:ind w:firstLine="1890" w:firstLineChars="900"/>
        <w:textAlignment w:val="auto"/>
        <w:rPr>
          <w:rFonts w:hint="eastAsia" w:ascii="宋体" w:hAnsi="宋体" w:eastAsia="宋体" w:cs="宋体"/>
          <w:b/>
          <w:bCs/>
          <w:color w:val="auto"/>
          <w:szCs w:val="21"/>
          <w:highlight w:val="none"/>
        </w:rPr>
      </w:pPr>
      <w:r>
        <w:rPr>
          <w:rFonts w:hint="eastAsia" w:ascii="宋体" w:hAnsi="宋体" w:eastAsia="宋体" w:cs="宋体"/>
          <w:color w:val="auto"/>
          <w:highlight w:val="none"/>
          <w:lang w:eastAsia="zh-CN"/>
        </w:rPr>
        <w:t>日</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期：</w:t>
      </w:r>
      <w:r>
        <w:rPr>
          <w:rFonts w:hint="eastAsia" w:ascii="宋体" w:hAnsi="宋体" w:eastAsia="宋体" w:cs="宋体"/>
          <w:color w:val="auto"/>
          <w:highlight w:val="none"/>
          <w:u w:val="single"/>
        </w:rPr>
        <w:t xml:space="preserve">                            </w:t>
      </w:r>
    </w:p>
    <w:p w14:paraId="14EA2179">
      <w:pPr>
        <w:pStyle w:val="9"/>
        <w:keepNext w:val="0"/>
        <w:keepLines w:val="0"/>
        <w:pageBreakBefore w:val="0"/>
        <w:widowControl w:val="0"/>
        <w:wordWrap/>
        <w:topLinePunct w:val="0"/>
        <w:bidi w:val="0"/>
        <w:rPr>
          <w:rFonts w:hint="eastAsia" w:ascii="宋体" w:hAnsi="宋体" w:eastAsia="宋体" w:cs="宋体"/>
          <w:b/>
          <w:bCs/>
          <w:color w:val="auto"/>
          <w:szCs w:val="21"/>
          <w:highlight w:val="none"/>
        </w:rPr>
      </w:pPr>
    </w:p>
    <w:p w14:paraId="43C56C40">
      <w:pPr>
        <w:rPr>
          <w:rFonts w:hint="eastAsia" w:hAnsi="宋体" w:cs="宋体"/>
          <w:b/>
          <w:color w:val="auto"/>
          <w:sz w:val="28"/>
          <w:szCs w:val="28"/>
          <w:highlight w:val="none"/>
          <w:lang w:val="en-US" w:eastAsia="zh-CN"/>
        </w:rPr>
      </w:pPr>
      <w:r>
        <w:rPr>
          <w:rFonts w:hint="eastAsia" w:hAnsi="宋体" w:cs="宋体"/>
          <w:b/>
          <w:color w:val="auto"/>
          <w:sz w:val="28"/>
          <w:szCs w:val="28"/>
          <w:highlight w:val="none"/>
          <w:lang w:val="en-US" w:eastAsia="zh-CN"/>
        </w:rPr>
        <w:br w:type="page"/>
      </w:r>
    </w:p>
    <w:p w14:paraId="5A525CC9">
      <w:pPr>
        <w:keepNext w:val="0"/>
        <w:keepLines w:val="0"/>
        <w:pageBreakBefore w:val="0"/>
        <w:widowControl w:val="0"/>
        <w:numPr>
          <w:ilvl w:val="0"/>
          <w:numId w:val="0"/>
        </w:numPr>
        <w:wordWrap/>
        <w:topLinePunct w:val="0"/>
        <w:bidi w:val="0"/>
        <w:spacing w:line="440" w:lineRule="atLeast"/>
        <w:outlineLvl w:val="2"/>
        <w:rPr>
          <w:rFonts w:hint="eastAsia" w:ascii="宋体" w:hAnsi="宋体" w:eastAsia="宋体" w:cs="宋体"/>
          <w:b/>
          <w:color w:val="auto"/>
          <w:sz w:val="28"/>
          <w:szCs w:val="28"/>
          <w:highlight w:val="none"/>
        </w:rPr>
      </w:pPr>
      <w:r>
        <w:rPr>
          <w:rFonts w:hint="eastAsia" w:hAnsi="宋体" w:cs="宋体"/>
          <w:b/>
          <w:color w:val="auto"/>
          <w:sz w:val="28"/>
          <w:szCs w:val="28"/>
          <w:highlight w:val="none"/>
          <w:lang w:val="en-US" w:eastAsia="zh-CN"/>
        </w:rPr>
        <w:t>5</w:t>
      </w:r>
      <w:r>
        <w:rPr>
          <w:rFonts w:hint="eastAsia" w:ascii="宋体" w:hAnsi="宋体" w:eastAsia="宋体" w:cs="宋体"/>
          <w:b/>
          <w:color w:val="auto"/>
          <w:sz w:val="28"/>
          <w:szCs w:val="28"/>
          <w:highlight w:val="none"/>
          <w:lang w:val="en-US" w:eastAsia="zh-CN"/>
        </w:rPr>
        <w:t>.担任本工程的</w:t>
      </w:r>
      <w:r>
        <w:rPr>
          <w:rFonts w:hint="eastAsia" w:hAnsi="宋体" w:eastAsia="宋体" w:cs="宋体"/>
          <w:b/>
          <w:color w:val="auto"/>
          <w:sz w:val="28"/>
          <w:szCs w:val="28"/>
          <w:highlight w:val="none"/>
          <w:lang w:val="en-US" w:eastAsia="zh-CN"/>
        </w:rPr>
        <w:t>项目经理</w:t>
      </w:r>
      <w:r>
        <w:rPr>
          <w:rFonts w:hint="eastAsia" w:ascii="宋体" w:hAnsi="宋体" w:eastAsia="宋体" w:cs="宋体"/>
          <w:b/>
          <w:color w:val="auto"/>
          <w:sz w:val="28"/>
          <w:szCs w:val="28"/>
          <w:highlight w:val="none"/>
          <w:lang w:val="en-US" w:eastAsia="zh-CN"/>
        </w:rPr>
        <w:t>简历表（应附相关证书、身份证复印件）（必须提供）</w:t>
      </w:r>
      <w:r>
        <w:rPr>
          <w:rFonts w:hint="eastAsia" w:ascii="宋体" w:hAnsi="宋体" w:eastAsia="宋体" w:cs="宋体"/>
          <w:b/>
          <w:color w:val="auto"/>
          <w:sz w:val="28"/>
          <w:szCs w:val="28"/>
          <w:highlight w:val="none"/>
        </w:rPr>
        <w:t>；</w:t>
      </w:r>
    </w:p>
    <w:p w14:paraId="3DB380ED">
      <w:pPr>
        <w:keepNext w:val="0"/>
        <w:keepLines w:val="0"/>
        <w:pageBreakBefore w:val="0"/>
        <w:widowControl w:val="0"/>
        <w:wordWrap/>
        <w:topLinePunct w:val="0"/>
        <w:bidi w:val="0"/>
        <w:rPr>
          <w:rFonts w:hint="eastAsia" w:ascii="宋体" w:hAnsi="宋体" w:eastAsia="宋体" w:cs="宋体"/>
          <w:color w:val="auto"/>
          <w:highlight w:val="none"/>
        </w:rPr>
      </w:pPr>
    </w:p>
    <w:p w14:paraId="381E3EE6">
      <w:pPr>
        <w:keepNext w:val="0"/>
        <w:keepLines w:val="0"/>
        <w:pageBreakBefore w:val="0"/>
        <w:widowControl w:val="0"/>
        <w:wordWrap/>
        <w:topLinePunct w:val="0"/>
        <w:bidi w:val="0"/>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担任本工程的项目经理简历表</w:t>
      </w:r>
    </w:p>
    <w:p w14:paraId="45FD20B2">
      <w:pPr>
        <w:keepNext w:val="0"/>
        <w:keepLines w:val="0"/>
        <w:pageBreakBefore w:val="0"/>
        <w:widowControl w:val="0"/>
        <w:wordWrap/>
        <w:topLinePunct w:val="0"/>
        <w:bidi w:val="0"/>
        <w:jc w:val="center"/>
        <w:rPr>
          <w:rFonts w:hint="eastAsia" w:ascii="宋体" w:hAnsi="宋体" w:cs="宋体"/>
          <w:b/>
          <w:color w:val="auto"/>
          <w:sz w:val="32"/>
          <w:highlight w:val="none"/>
        </w:rPr>
      </w:pPr>
    </w:p>
    <w:tbl>
      <w:tblPr>
        <w:tblStyle w:val="27"/>
        <w:tblW w:w="8416"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1608"/>
        <w:gridCol w:w="1072"/>
        <w:gridCol w:w="28"/>
        <w:gridCol w:w="508"/>
        <w:gridCol w:w="536"/>
        <w:gridCol w:w="1072"/>
        <w:gridCol w:w="268"/>
        <w:gridCol w:w="496"/>
        <w:gridCol w:w="442"/>
        <w:gridCol w:w="1206"/>
      </w:tblGrid>
      <w:tr w14:paraId="20D93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top w:val="single" w:color="auto" w:sz="8" w:space="0"/>
              <w:left w:val="single" w:color="auto" w:sz="8" w:space="0"/>
            </w:tcBorders>
            <w:noWrap w:val="0"/>
            <w:vAlign w:val="top"/>
          </w:tcPr>
          <w:p w14:paraId="2A183E8E">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r>
              <w:rPr>
                <w:rFonts w:hint="eastAsia" w:ascii="宋体" w:hAnsi="宋体" w:cs="宋体"/>
                <w:color w:val="auto"/>
                <w:highlight w:val="none"/>
              </w:rPr>
              <w:t>姓  名</w:t>
            </w:r>
          </w:p>
        </w:tc>
        <w:tc>
          <w:tcPr>
            <w:tcW w:w="1608" w:type="dxa"/>
            <w:tcBorders>
              <w:top w:val="single" w:color="auto" w:sz="8" w:space="0"/>
            </w:tcBorders>
            <w:noWrap w:val="0"/>
            <w:vAlign w:val="top"/>
          </w:tcPr>
          <w:p w14:paraId="630EA43B">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p>
        </w:tc>
        <w:tc>
          <w:tcPr>
            <w:tcW w:w="1072" w:type="dxa"/>
            <w:tcBorders>
              <w:top w:val="single" w:color="auto" w:sz="8" w:space="0"/>
            </w:tcBorders>
            <w:noWrap w:val="0"/>
            <w:vAlign w:val="top"/>
          </w:tcPr>
          <w:p w14:paraId="6405D38B">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r>
              <w:rPr>
                <w:rFonts w:hint="eastAsia" w:ascii="宋体" w:hAnsi="宋体" w:cs="宋体"/>
                <w:color w:val="auto"/>
                <w:highlight w:val="none"/>
              </w:rPr>
              <w:t>性  别</w:t>
            </w:r>
          </w:p>
        </w:tc>
        <w:tc>
          <w:tcPr>
            <w:tcW w:w="1072" w:type="dxa"/>
            <w:gridSpan w:val="3"/>
            <w:tcBorders>
              <w:top w:val="single" w:color="auto" w:sz="8" w:space="0"/>
            </w:tcBorders>
            <w:noWrap w:val="0"/>
            <w:vAlign w:val="top"/>
          </w:tcPr>
          <w:p w14:paraId="009D0AE4">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p>
        </w:tc>
        <w:tc>
          <w:tcPr>
            <w:tcW w:w="1340" w:type="dxa"/>
            <w:gridSpan w:val="2"/>
            <w:tcBorders>
              <w:top w:val="single" w:color="auto" w:sz="8" w:space="0"/>
            </w:tcBorders>
            <w:noWrap w:val="0"/>
            <w:vAlign w:val="top"/>
          </w:tcPr>
          <w:p w14:paraId="79B10A5B">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r>
              <w:rPr>
                <w:rFonts w:hint="eastAsia" w:ascii="宋体" w:hAnsi="宋体" w:cs="宋体"/>
                <w:color w:val="auto"/>
                <w:highlight w:val="none"/>
              </w:rPr>
              <w:t>年  龄</w:t>
            </w:r>
          </w:p>
        </w:tc>
        <w:tc>
          <w:tcPr>
            <w:tcW w:w="2144" w:type="dxa"/>
            <w:gridSpan w:val="3"/>
            <w:tcBorders>
              <w:top w:val="single" w:color="auto" w:sz="8" w:space="0"/>
              <w:right w:val="single" w:color="auto" w:sz="8" w:space="0"/>
            </w:tcBorders>
            <w:noWrap w:val="0"/>
            <w:vAlign w:val="top"/>
          </w:tcPr>
          <w:p w14:paraId="35E9CD7F">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p>
        </w:tc>
      </w:tr>
      <w:tr w14:paraId="67296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left w:val="single" w:color="auto" w:sz="8" w:space="0"/>
            </w:tcBorders>
            <w:noWrap w:val="0"/>
            <w:vAlign w:val="top"/>
          </w:tcPr>
          <w:p w14:paraId="0FFE2ABA">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r>
              <w:rPr>
                <w:rFonts w:hint="eastAsia" w:ascii="宋体" w:hAnsi="宋体" w:cs="宋体"/>
                <w:color w:val="auto"/>
                <w:highlight w:val="none"/>
              </w:rPr>
              <w:t>职  务</w:t>
            </w:r>
          </w:p>
        </w:tc>
        <w:tc>
          <w:tcPr>
            <w:tcW w:w="1608" w:type="dxa"/>
            <w:noWrap w:val="0"/>
            <w:vAlign w:val="top"/>
          </w:tcPr>
          <w:p w14:paraId="024CEF6C">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p>
        </w:tc>
        <w:tc>
          <w:tcPr>
            <w:tcW w:w="1072" w:type="dxa"/>
            <w:noWrap w:val="0"/>
            <w:vAlign w:val="top"/>
          </w:tcPr>
          <w:p w14:paraId="2448C86E">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r>
              <w:rPr>
                <w:rFonts w:hint="eastAsia" w:ascii="宋体" w:hAnsi="宋体" w:cs="宋体"/>
                <w:color w:val="auto"/>
                <w:highlight w:val="none"/>
              </w:rPr>
              <w:t>职  称</w:t>
            </w:r>
          </w:p>
        </w:tc>
        <w:tc>
          <w:tcPr>
            <w:tcW w:w="1072" w:type="dxa"/>
            <w:gridSpan w:val="3"/>
            <w:noWrap w:val="0"/>
            <w:vAlign w:val="top"/>
          </w:tcPr>
          <w:p w14:paraId="1333D1B4">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p>
        </w:tc>
        <w:tc>
          <w:tcPr>
            <w:tcW w:w="1340" w:type="dxa"/>
            <w:gridSpan w:val="2"/>
            <w:noWrap w:val="0"/>
            <w:vAlign w:val="top"/>
          </w:tcPr>
          <w:p w14:paraId="262DA920">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r>
              <w:rPr>
                <w:rFonts w:hint="eastAsia" w:ascii="宋体" w:hAnsi="宋体" w:cs="宋体"/>
                <w:color w:val="auto"/>
                <w:highlight w:val="none"/>
              </w:rPr>
              <w:t>学  历</w:t>
            </w:r>
          </w:p>
        </w:tc>
        <w:tc>
          <w:tcPr>
            <w:tcW w:w="2144" w:type="dxa"/>
            <w:gridSpan w:val="3"/>
            <w:tcBorders>
              <w:right w:val="single" w:color="auto" w:sz="8" w:space="0"/>
            </w:tcBorders>
            <w:noWrap w:val="0"/>
            <w:vAlign w:val="top"/>
          </w:tcPr>
          <w:p w14:paraId="0C3CF60E">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p>
        </w:tc>
      </w:tr>
      <w:tr w14:paraId="0FFE0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0" w:type="dxa"/>
            <w:tcBorders>
              <w:left w:val="single" w:color="auto" w:sz="8" w:space="0"/>
            </w:tcBorders>
            <w:noWrap w:val="0"/>
            <w:vAlign w:val="top"/>
          </w:tcPr>
          <w:p w14:paraId="1E48C8A2">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r>
              <w:rPr>
                <w:rFonts w:hint="eastAsia" w:ascii="宋体" w:hAnsi="宋体" w:cs="宋体"/>
                <w:color w:val="auto"/>
                <w:highlight w:val="none"/>
              </w:rPr>
              <w:t>专  业</w:t>
            </w:r>
          </w:p>
        </w:tc>
        <w:tc>
          <w:tcPr>
            <w:tcW w:w="2708" w:type="dxa"/>
            <w:gridSpan w:val="3"/>
            <w:noWrap w:val="0"/>
            <w:vAlign w:val="top"/>
          </w:tcPr>
          <w:p w14:paraId="50E8E6EC">
            <w:pPr>
              <w:keepNext w:val="0"/>
              <w:keepLines w:val="0"/>
              <w:pageBreakBefore w:val="0"/>
              <w:widowControl w:val="0"/>
              <w:wordWrap/>
              <w:topLinePunct w:val="0"/>
              <w:bidi w:val="0"/>
              <w:spacing w:line="440" w:lineRule="exact"/>
              <w:rPr>
                <w:rFonts w:hint="eastAsia" w:ascii="宋体" w:hAnsi="宋体" w:cs="宋体"/>
                <w:color w:val="auto"/>
                <w:highlight w:val="none"/>
              </w:rPr>
            </w:pPr>
          </w:p>
        </w:tc>
        <w:tc>
          <w:tcPr>
            <w:tcW w:w="2880" w:type="dxa"/>
            <w:gridSpan w:val="5"/>
            <w:noWrap w:val="0"/>
            <w:vAlign w:val="top"/>
          </w:tcPr>
          <w:p w14:paraId="1498A445">
            <w:pPr>
              <w:keepNext w:val="0"/>
              <w:keepLines w:val="0"/>
              <w:pageBreakBefore w:val="0"/>
              <w:widowControl w:val="0"/>
              <w:wordWrap/>
              <w:topLinePunct w:val="0"/>
              <w:bidi w:val="0"/>
              <w:spacing w:line="440" w:lineRule="exact"/>
              <w:rPr>
                <w:rFonts w:hint="eastAsia" w:ascii="宋体" w:hAnsi="宋体" w:cs="宋体"/>
                <w:color w:val="auto"/>
                <w:highlight w:val="none"/>
              </w:rPr>
            </w:pPr>
            <w:r>
              <w:rPr>
                <w:rFonts w:hint="eastAsia" w:ascii="宋体" w:hAnsi="宋体" w:cs="宋体"/>
                <w:color w:val="auto"/>
                <w:highlight w:val="none"/>
              </w:rPr>
              <w:t>从事项目经理或建造师年限</w:t>
            </w:r>
          </w:p>
        </w:tc>
        <w:tc>
          <w:tcPr>
            <w:tcW w:w="1648" w:type="dxa"/>
            <w:gridSpan w:val="2"/>
            <w:tcBorders>
              <w:right w:val="single" w:color="auto" w:sz="8" w:space="0"/>
            </w:tcBorders>
            <w:noWrap w:val="0"/>
            <w:vAlign w:val="top"/>
          </w:tcPr>
          <w:p w14:paraId="7D5EDEC7">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r>
              <w:rPr>
                <w:rFonts w:hint="eastAsia" w:ascii="宋体" w:hAnsi="宋体" w:cs="宋体"/>
                <w:color w:val="auto"/>
                <w:highlight w:val="none"/>
              </w:rPr>
              <w:t xml:space="preserve">         (年)</w:t>
            </w:r>
          </w:p>
        </w:tc>
      </w:tr>
      <w:tr w14:paraId="66CD4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16" w:type="dxa"/>
            <w:gridSpan w:val="11"/>
            <w:tcBorders>
              <w:left w:val="single" w:color="auto" w:sz="8" w:space="0"/>
              <w:right w:val="single" w:color="auto" w:sz="8" w:space="0"/>
            </w:tcBorders>
            <w:noWrap w:val="0"/>
            <w:vAlign w:val="top"/>
          </w:tcPr>
          <w:p w14:paraId="593E26EB">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r>
              <w:rPr>
                <w:rFonts w:hint="eastAsia" w:ascii="宋体" w:hAnsi="宋体" w:cs="宋体"/>
                <w:color w:val="auto"/>
                <w:highlight w:val="none"/>
              </w:rPr>
              <w:t>已完工程项目情况</w:t>
            </w:r>
          </w:p>
        </w:tc>
      </w:tr>
      <w:tr w14:paraId="4624E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left w:val="single" w:color="auto" w:sz="8" w:space="0"/>
            </w:tcBorders>
            <w:noWrap w:val="0"/>
            <w:vAlign w:val="top"/>
          </w:tcPr>
          <w:p w14:paraId="30C8ACFB">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r>
              <w:rPr>
                <w:rFonts w:hint="eastAsia" w:ascii="宋体" w:hAnsi="宋体" w:cs="宋体"/>
                <w:color w:val="auto"/>
                <w:highlight w:val="none"/>
              </w:rPr>
              <w:t>建设单位</w:t>
            </w:r>
          </w:p>
        </w:tc>
        <w:tc>
          <w:tcPr>
            <w:tcW w:w="1608" w:type="dxa"/>
            <w:noWrap w:val="0"/>
            <w:vAlign w:val="top"/>
          </w:tcPr>
          <w:p w14:paraId="6EBA7722">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r>
              <w:rPr>
                <w:rFonts w:hint="eastAsia" w:ascii="宋体" w:hAnsi="宋体" w:cs="宋体"/>
                <w:color w:val="auto"/>
                <w:highlight w:val="none"/>
              </w:rPr>
              <w:t>项目名称</w:t>
            </w:r>
          </w:p>
        </w:tc>
        <w:tc>
          <w:tcPr>
            <w:tcW w:w="1608" w:type="dxa"/>
            <w:gridSpan w:val="3"/>
            <w:noWrap w:val="0"/>
            <w:vAlign w:val="top"/>
          </w:tcPr>
          <w:p w14:paraId="50877A95">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r>
              <w:rPr>
                <w:rFonts w:hint="eastAsia" w:ascii="宋体" w:hAnsi="宋体" w:cs="宋体"/>
                <w:color w:val="auto"/>
                <w:highlight w:val="none"/>
              </w:rPr>
              <w:t>建设规模</w:t>
            </w:r>
          </w:p>
        </w:tc>
        <w:tc>
          <w:tcPr>
            <w:tcW w:w="1608" w:type="dxa"/>
            <w:gridSpan w:val="2"/>
            <w:noWrap w:val="0"/>
            <w:vAlign w:val="top"/>
          </w:tcPr>
          <w:p w14:paraId="792C83D4">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r>
              <w:rPr>
                <w:rFonts w:hint="eastAsia" w:ascii="宋体" w:hAnsi="宋体" w:cs="宋体"/>
                <w:color w:val="auto"/>
                <w:highlight w:val="none"/>
              </w:rPr>
              <w:t>开、竣工日期</w:t>
            </w:r>
          </w:p>
        </w:tc>
        <w:tc>
          <w:tcPr>
            <w:tcW w:w="1206" w:type="dxa"/>
            <w:gridSpan w:val="3"/>
            <w:noWrap w:val="0"/>
            <w:vAlign w:val="top"/>
          </w:tcPr>
          <w:p w14:paraId="599374CE">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r>
              <w:rPr>
                <w:rFonts w:hint="eastAsia" w:ascii="宋体" w:hAnsi="宋体" w:cs="宋体"/>
                <w:color w:val="auto"/>
                <w:highlight w:val="none"/>
              </w:rPr>
              <w:t>工程质量</w:t>
            </w:r>
          </w:p>
        </w:tc>
        <w:tc>
          <w:tcPr>
            <w:tcW w:w="1206" w:type="dxa"/>
            <w:tcBorders>
              <w:right w:val="single" w:color="auto" w:sz="8" w:space="0"/>
            </w:tcBorders>
            <w:noWrap w:val="0"/>
            <w:vAlign w:val="top"/>
          </w:tcPr>
          <w:p w14:paraId="0C893D8E">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r>
              <w:rPr>
                <w:rFonts w:hint="eastAsia" w:ascii="宋体" w:hAnsi="宋体" w:cs="宋体"/>
                <w:color w:val="auto"/>
                <w:highlight w:val="none"/>
              </w:rPr>
              <w:t>受奖情况</w:t>
            </w:r>
          </w:p>
        </w:tc>
      </w:tr>
      <w:tr w14:paraId="07E4B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left w:val="single" w:color="auto" w:sz="8" w:space="0"/>
            </w:tcBorders>
            <w:noWrap w:val="0"/>
            <w:vAlign w:val="top"/>
          </w:tcPr>
          <w:p w14:paraId="6A7E242A">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p>
        </w:tc>
        <w:tc>
          <w:tcPr>
            <w:tcW w:w="1608" w:type="dxa"/>
            <w:noWrap w:val="0"/>
            <w:vAlign w:val="top"/>
          </w:tcPr>
          <w:p w14:paraId="18335D68">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p>
        </w:tc>
        <w:tc>
          <w:tcPr>
            <w:tcW w:w="1608" w:type="dxa"/>
            <w:gridSpan w:val="3"/>
            <w:noWrap w:val="0"/>
            <w:vAlign w:val="top"/>
          </w:tcPr>
          <w:p w14:paraId="684C85A1">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p>
        </w:tc>
        <w:tc>
          <w:tcPr>
            <w:tcW w:w="1608" w:type="dxa"/>
            <w:gridSpan w:val="2"/>
            <w:noWrap w:val="0"/>
            <w:vAlign w:val="top"/>
          </w:tcPr>
          <w:p w14:paraId="5D2100CA">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p>
        </w:tc>
        <w:tc>
          <w:tcPr>
            <w:tcW w:w="1206" w:type="dxa"/>
            <w:gridSpan w:val="3"/>
            <w:noWrap w:val="0"/>
            <w:vAlign w:val="top"/>
          </w:tcPr>
          <w:p w14:paraId="0BD83F14">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p>
        </w:tc>
        <w:tc>
          <w:tcPr>
            <w:tcW w:w="1206" w:type="dxa"/>
            <w:tcBorders>
              <w:right w:val="single" w:color="auto" w:sz="8" w:space="0"/>
            </w:tcBorders>
            <w:noWrap w:val="0"/>
            <w:vAlign w:val="top"/>
          </w:tcPr>
          <w:p w14:paraId="06E9E363">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p>
        </w:tc>
      </w:tr>
      <w:tr w14:paraId="072D7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left w:val="single" w:color="auto" w:sz="8" w:space="0"/>
            </w:tcBorders>
            <w:noWrap w:val="0"/>
            <w:vAlign w:val="top"/>
          </w:tcPr>
          <w:p w14:paraId="6EA7B605">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p>
        </w:tc>
        <w:tc>
          <w:tcPr>
            <w:tcW w:w="1608" w:type="dxa"/>
            <w:noWrap w:val="0"/>
            <w:vAlign w:val="top"/>
          </w:tcPr>
          <w:p w14:paraId="3F364114">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p>
        </w:tc>
        <w:tc>
          <w:tcPr>
            <w:tcW w:w="1608" w:type="dxa"/>
            <w:gridSpan w:val="3"/>
            <w:noWrap w:val="0"/>
            <w:vAlign w:val="top"/>
          </w:tcPr>
          <w:p w14:paraId="026BD78B">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p>
        </w:tc>
        <w:tc>
          <w:tcPr>
            <w:tcW w:w="1608" w:type="dxa"/>
            <w:gridSpan w:val="2"/>
            <w:noWrap w:val="0"/>
            <w:vAlign w:val="top"/>
          </w:tcPr>
          <w:p w14:paraId="619933F2">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p>
        </w:tc>
        <w:tc>
          <w:tcPr>
            <w:tcW w:w="1206" w:type="dxa"/>
            <w:gridSpan w:val="3"/>
            <w:noWrap w:val="0"/>
            <w:vAlign w:val="top"/>
          </w:tcPr>
          <w:p w14:paraId="472748F8">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p>
        </w:tc>
        <w:tc>
          <w:tcPr>
            <w:tcW w:w="1206" w:type="dxa"/>
            <w:tcBorders>
              <w:right w:val="single" w:color="auto" w:sz="8" w:space="0"/>
            </w:tcBorders>
            <w:noWrap w:val="0"/>
            <w:vAlign w:val="top"/>
          </w:tcPr>
          <w:p w14:paraId="3AE69D70">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p>
        </w:tc>
      </w:tr>
      <w:tr w14:paraId="0EE9E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left w:val="single" w:color="auto" w:sz="8" w:space="0"/>
            </w:tcBorders>
            <w:noWrap w:val="0"/>
            <w:vAlign w:val="top"/>
          </w:tcPr>
          <w:p w14:paraId="085C0E38">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p>
        </w:tc>
        <w:tc>
          <w:tcPr>
            <w:tcW w:w="1608" w:type="dxa"/>
            <w:noWrap w:val="0"/>
            <w:vAlign w:val="top"/>
          </w:tcPr>
          <w:p w14:paraId="26245ADD">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p>
        </w:tc>
        <w:tc>
          <w:tcPr>
            <w:tcW w:w="1608" w:type="dxa"/>
            <w:gridSpan w:val="3"/>
            <w:noWrap w:val="0"/>
            <w:vAlign w:val="top"/>
          </w:tcPr>
          <w:p w14:paraId="3FF61FA5">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p>
        </w:tc>
        <w:tc>
          <w:tcPr>
            <w:tcW w:w="1608" w:type="dxa"/>
            <w:gridSpan w:val="2"/>
            <w:noWrap w:val="0"/>
            <w:vAlign w:val="top"/>
          </w:tcPr>
          <w:p w14:paraId="07306545">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p>
        </w:tc>
        <w:tc>
          <w:tcPr>
            <w:tcW w:w="1206" w:type="dxa"/>
            <w:gridSpan w:val="3"/>
            <w:noWrap w:val="0"/>
            <w:vAlign w:val="top"/>
          </w:tcPr>
          <w:p w14:paraId="6DBD2CDB">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p>
        </w:tc>
        <w:tc>
          <w:tcPr>
            <w:tcW w:w="1206" w:type="dxa"/>
            <w:tcBorders>
              <w:right w:val="single" w:color="auto" w:sz="8" w:space="0"/>
            </w:tcBorders>
            <w:noWrap w:val="0"/>
            <w:vAlign w:val="top"/>
          </w:tcPr>
          <w:p w14:paraId="58258026">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p>
        </w:tc>
      </w:tr>
      <w:tr w14:paraId="42F68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left w:val="single" w:color="auto" w:sz="8" w:space="0"/>
            </w:tcBorders>
            <w:noWrap w:val="0"/>
            <w:vAlign w:val="top"/>
          </w:tcPr>
          <w:p w14:paraId="676040AF">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p>
        </w:tc>
        <w:tc>
          <w:tcPr>
            <w:tcW w:w="1608" w:type="dxa"/>
            <w:noWrap w:val="0"/>
            <w:vAlign w:val="top"/>
          </w:tcPr>
          <w:p w14:paraId="621D1DA6">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p>
        </w:tc>
        <w:tc>
          <w:tcPr>
            <w:tcW w:w="1608" w:type="dxa"/>
            <w:gridSpan w:val="3"/>
            <w:noWrap w:val="0"/>
            <w:vAlign w:val="top"/>
          </w:tcPr>
          <w:p w14:paraId="02239B25">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p>
        </w:tc>
        <w:tc>
          <w:tcPr>
            <w:tcW w:w="1608" w:type="dxa"/>
            <w:gridSpan w:val="2"/>
            <w:noWrap w:val="0"/>
            <w:vAlign w:val="top"/>
          </w:tcPr>
          <w:p w14:paraId="59B5703F">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p>
        </w:tc>
        <w:tc>
          <w:tcPr>
            <w:tcW w:w="1206" w:type="dxa"/>
            <w:gridSpan w:val="3"/>
            <w:noWrap w:val="0"/>
            <w:vAlign w:val="top"/>
          </w:tcPr>
          <w:p w14:paraId="2A24E0DF">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p>
        </w:tc>
        <w:tc>
          <w:tcPr>
            <w:tcW w:w="1206" w:type="dxa"/>
            <w:tcBorders>
              <w:right w:val="single" w:color="auto" w:sz="8" w:space="0"/>
            </w:tcBorders>
            <w:noWrap w:val="0"/>
            <w:vAlign w:val="top"/>
          </w:tcPr>
          <w:p w14:paraId="4EC7A312">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p>
        </w:tc>
      </w:tr>
      <w:tr w14:paraId="10169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left w:val="single" w:color="auto" w:sz="8" w:space="0"/>
            </w:tcBorders>
            <w:noWrap w:val="0"/>
            <w:vAlign w:val="top"/>
          </w:tcPr>
          <w:p w14:paraId="682EC95F">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p>
        </w:tc>
        <w:tc>
          <w:tcPr>
            <w:tcW w:w="1608" w:type="dxa"/>
            <w:noWrap w:val="0"/>
            <w:vAlign w:val="top"/>
          </w:tcPr>
          <w:p w14:paraId="37B97505">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p>
        </w:tc>
        <w:tc>
          <w:tcPr>
            <w:tcW w:w="1608" w:type="dxa"/>
            <w:gridSpan w:val="3"/>
            <w:noWrap w:val="0"/>
            <w:vAlign w:val="top"/>
          </w:tcPr>
          <w:p w14:paraId="593524D4">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p>
        </w:tc>
        <w:tc>
          <w:tcPr>
            <w:tcW w:w="1608" w:type="dxa"/>
            <w:gridSpan w:val="2"/>
            <w:noWrap w:val="0"/>
            <w:vAlign w:val="top"/>
          </w:tcPr>
          <w:p w14:paraId="46543445">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p>
        </w:tc>
        <w:tc>
          <w:tcPr>
            <w:tcW w:w="1206" w:type="dxa"/>
            <w:gridSpan w:val="3"/>
            <w:noWrap w:val="0"/>
            <w:vAlign w:val="top"/>
          </w:tcPr>
          <w:p w14:paraId="7C084F34">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p>
        </w:tc>
        <w:tc>
          <w:tcPr>
            <w:tcW w:w="1206" w:type="dxa"/>
            <w:tcBorders>
              <w:right w:val="single" w:color="auto" w:sz="8" w:space="0"/>
            </w:tcBorders>
            <w:noWrap w:val="0"/>
            <w:vAlign w:val="top"/>
          </w:tcPr>
          <w:p w14:paraId="602CC7AF">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p>
        </w:tc>
      </w:tr>
      <w:tr w14:paraId="72219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left w:val="single" w:color="auto" w:sz="8" w:space="0"/>
            </w:tcBorders>
            <w:noWrap w:val="0"/>
            <w:vAlign w:val="top"/>
          </w:tcPr>
          <w:p w14:paraId="6DA9FD10">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p>
        </w:tc>
        <w:tc>
          <w:tcPr>
            <w:tcW w:w="1608" w:type="dxa"/>
            <w:noWrap w:val="0"/>
            <w:vAlign w:val="top"/>
          </w:tcPr>
          <w:p w14:paraId="6B94B138">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p>
        </w:tc>
        <w:tc>
          <w:tcPr>
            <w:tcW w:w="1608" w:type="dxa"/>
            <w:gridSpan w:val="3"/>
            <w:noWrap w:val="0"/>
            <w:vAlign w:val="top"/>
          </w:tcPr>
          <w:p w14:paraId="1F685D9B">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p>
        </w:tc>
        <w:tc>
          <w:tcPr>
            <w:tcW w:w="1608" w:type="dxa"/>
            <w:gridSpan w:val="2"/>
            <w:noWrap w:val="0"/>
            <w:vAlign w:val="top"/>
          </w:tcPr>
          <w:p w14:paraId="7474FCED">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p>
        </w:tc>
        <w:tc>
          <w:tcPr>
            <w:tcW w:w="1206" w:type="dxa"/>
            <w:gridSpan w:val="3"/>
            <w:noWrap w:val="0"/>
            <w:vAlign w:val="top"/>
          </w:tcPr>
          <w:p w14:paraId="48EF5D7C">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p>
        </w:tc>
        <w:tc>
          <w:tcPr>
            <w:tcW w:w="1206" w:type="dxa"/>
            <w:tcBorders>
              <w:right w:val="single" w:color="auto" w:sz="8" w:space="0"/>
            </w:tcBorders>
            <w:noWrap w:val="0"/>
            <w:vAlign w:val="top"/>
          </w:tcPr>
          <w:p w14:paraId="25026699">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p>
        </w:tc>
      </w:tr>
      <w:tr w14:paraId="71390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left w:val="single" w:color="auto" w:sz="8" w:space="0"/>
            </w:tcBorders>
            <w:noWrap w:val="0"/>
            <w:vAlign w:val="top"/>
          </w:tcPr>
          <w:p w14:paraId="69067541">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p>
        </w:tc>
        <w:tc>
          <w:tcPr>
            <w:tcW w:w="1608" w:type="dxa"/>
            <w:noWrap w:val="0"/>
            <w:vAlign w:val="top"/>
          </w:tcPr>
          <w:p w14:paraId="06CF7D39">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p>
        </w:tc>
        <w:tc>
          <w:tcPr>
            <w:tcW w:w="1608" w:type="dxa"/>
            <w:gridSpan w:val="3"/>
            <w:noWrap w:val="0"/>
            <w:vAlign w:val="top"/>
          </w:tcPr>
          <w:p w14:paraId="37F4F4D5">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p>
        </w:tc>
        <w:tc>
          <w:tcPr>
            <w:tcW w:w="1608" w:type="dxa"/>
            <w:gridSpan w:val="2"/>
            <w:noWrap w:val="0"/>
            <w:vAlign w:val="top"/>
          </w:tcPr>
          <w:p w14:paraId="7CC25A56">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p>
        </w:tc>
        <w:tc>
          <w:tcPr>
            <w:tcW w:w="1206" w:type="dxa"/>
            <w:gridSpan w:val="3"/>
            <w:noWrap w:val="0"/>
            <w:vAlign w:val="top"/>
          </w:tcPr>
          <w:p w14:paraId="5074DADB">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p>
        </w:tc>
        <w:tc>
          <w:tcPr>
            <w:tcW w:w="1206" w:type="dxa"/>
            <w:tcBorders>
              <w:right w:val="single" w:color="auto" w:sz="8" w:space="0"/>
            </w:tcBorders>
            <w:noWrap w:val="0"/>
            <w:vAlign w:val="top"/>
          </w:tcPr>
          <w:p w14:paraId="16D529A1">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p>
        </w:tc>
      </w:tr>
      <w:tr w14:paraId="6A94C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left w:val="single" w:color="auto" w:sz="8" w:space="0"/>
              <w:bottom w:val="single" w:color="auto" w:sz="8" w:space="0"/>
            </w:tcBorders>
            <w:noWrap w:val="0"/>
            <w:vAlign w:val="top"/>
          </w:tcPr>
          <w:p w14:paraId="448F319A">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p>
        </w:tc>
        <w:tc>
          <w:tcPr>
            <w:tcW w:w="1608" w:type="dxa"/>
            <w:tcBorders>
              <w:bottom w:val="single" w:color="auto" w:sz="8" w:space="0"/>
            </w:tcBorders>
            <w:noWrap w:val="0"/>
            <w:vAlign w:val="top"/>
          </w:tcPr>
          <w:p w14:paraId="616E4C53">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p>
        </w:tc>
        <w:tc>
          <w:tcPr>
            <w:tcW w:w="1608" w:type="dxa"/>
            <w:gridSpan w:val="3"/>
            <w:tcBorders>
              <w:bottom w:val="single" w:color="auto" w:sz="8" w:space="0"/>
            </w:tcBorders>
            <w:noWrap w:val="0"/>
            <w:vAlign w:val="top"/>
          </w:tcPr>
          <w:p w14:paraId="72FB6E49">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p>
        </w:tc>
        <w:tc>
          <w:tcPr>
            <w:tcW w:w="1608" w:type="dxa"/>
            <w:gridSpan w:val="2"/>
            <w:tcBorders>
              <w:bottom w:val="single" w:color="auto" w:sz="8" w:space="0"/>
            </w:tcBorders>
            <w:noWrap w:val="0"/>
            <w:vAlign w:val="top"/>
          </w:tcPr>
          <w:p w14:paraId="4149C6BD">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p>
        </w:tc>
        <w:tc>
          <w:tcPr>
            <w:tcW w:w="1206" w:type="dxa"/>
            <w:gridSpan w:val="3"/>
            <w:tcBorders>
              <w:bottom w:val="single" w:color="auto" w:sz="8" w:space="0"/>
            </w:tcBorders>
            <w:noWrap w:val="0"/>
            <w:vAlign w:val="top"/>
          </w:tcPr>
          <w:p w14:paraId="7550CD2A">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p>
        </w:tc>
        <w:tc>
          <w:tcPr>
            <w:tcW w:w="1206" w:type="dxa"/>
            <w:tcBorders>
              <w:bottom w:val="single" w:color="auto" w:sz="8" w:space="0"/>
              <w:right w:val="single" w:color="auto" w:sz="8" w:space="0"/>
            </w:tcBorders>
            <w:noWrap w:val="0"/>
            <w:vAlign w:val="top"/>
          </w:tcPr>
          <w:p w14:paraId="557BC07B">
            <w:pPr>
              <w:keepNext w:val="0"/>
              <w:keepLines w:val="0"/>
              <w:pageBreakBefore w:val="0"/>
              <w:widowControl w:val="0"/>
              <w:wordWrap/>
              <w:topLinePunct w:val="0"/>
              <w:bidi w:val="0"/>
              <w:spacing w:line="440" w:lineRule="exact"/>
              <w:jc w:val="center"/>
              <w:rPr>
                <w:rFonts w:hint="eastAsia" w:ascii="宋体" w:hAnsi="宋体" w:cs="宋体"/>
                <w:color w:val="auto"/>
                <w:highlight w:val="none"/>
              </w:rPr>
            </w:pPr>
          </w:p>
        </w:tc>
      </w:tr>
    </w:tbl>
    <w:p w14:paraId="20F88041">
      <w:pPr>
        <w:keepNext w:val="0"/>
        <w:keepLines w:val="0"/>
        <w:pageBreakBefore w:val="0"/>
        <w:widowControl w:val="0"/>
        <w:wordWrap/>
        <w:topLinePunct w:val="0"/>
        <w:bidi w:val="0"/>
        <w:snapToGrid w:val="0"/>
        <w:spacing w:line="400" w:lineRule="exact"/>
        <w:outlineLvl w:val="9"/>
        <w:rPr>
          <w:rFonts w:hint="eastAsia" w:ascii="宋体" w:hAnsi="宋体" w:cs="宋体"/>
          <w:b/>
          <w:color w:val="auto"/>
          <w:sz w:val="24"/>
          <w:highlight w:val="none"/>
        </w:rPr>
      </w:pPr>
    </w:p>
    <w:p w14:paraId="21009CBA">
      <w:pPr>
        <w:keepNext w:val="0"/>
        <w:keepLines w:val="0"/>
        <w:pageBreakBefore w:val="0"/>
        <w:widowControl w:val="0"/>
        <w:wordWrap/>
        <w:topLinePunct w:val="0"/>
        <w:bidi w:val="0"/>
        <w:ind w:firstLine="3092" w:firstLineChars="1100"/>
        <w:jc w:val="left"/>
        <w:rPr>
          <w:rFonts w:hint="eastAsia" w:ascii="宋体" w:hAnsi="宋体" w:eastAsia="宋体" w:cs="宋体"/>
          <w:b/>
          <w:color w:val="auto"/>
          <w:kern w:val="0"/>
          <w:sz w:val="28"/>
          <w:szCs w:val="28"/>
          <w:highlight w:val="none"/>
        </w:rPr>
      </w:pPr>
    </w:p>
    <w:p w14:paraId="0D05B4CD">
      <w:pPr>
        <w:keepNext w:val="0"/>
        <w:keepLines w:val="0"/>
        <w:pageBreakBefore w:val="0"/>
        <w:widowControl w:val="0"/>
        <w:wordWrap/>
        <w:topLinePunct w:val="0"/>
        <w:bidi w:val="0"/>
        <w:ind w:firstLine="1470" w:firstLineChars="7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，自然人</w:t>
      </w:r>
      <w:r>
        <w:rPr>
          <w:rFonts w:hint="eastAsia" w:ascii="宋体" w:hAnsi="宋体" w:eastAsia="宋体" w:cs="宋体"/>
          <w:color w:val="auto"/>
          <w:szCs w:val="21"/>
          <w:highlight w:val="none"/>
          <w:lang w:eastAsia="zh-CN"/>
        </w:rPr>
        <w:t>签字或个人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1B41EE11">
      <w:pPr>
        <w:pStyle w:val="12"/>
        <w:keepNext w:val="0"/>
        <w:keepLines w:val="0"/>
        <w:pageBreakBefore w:val="0"/>
        <w:widowControl w:val="0"/>
        <w:wordWrap/>
        <w:topLinePunct w:val="0"/>
        <w:bidi w:val="0"/>
        <w:spacing w:line="300" w:lineRule="exact"/>
        <w:ind w:left="2940" w:leftChars="1400" w:firstLine="630" w:firstLineChars="300"/>
        <w:rPr>
          <w:rFonts w:hint="eastAsia" w:ascii="宋体" w:hAnsi="宋体" w:eastAsia="宋体" w:cs="宋体"/>
          <w:color w:val="auto"/>
          <w:highlight w:val="none"/>
        </w:rPr>
      </w:pPr>
    </w:p>
    <w:p w14:paraId="510409E0">
      <w:pPr>
        <w:pStyle w:val="12"/>
        <w:keepNext w:val="0"/>
        <w:keepLines w:val="0"/>
        <w:pageBreakBefore w:val="0"/>
        <w:widowControl w:val="0"/>
        <w:wordWrap/>
        <w:topLinePunct w:val="0"/>
        <w:bidi w:val="0"/>
        <w:spacing w:line="300" w:lineRule="exact"/>
        <w:ind w:firstLine="4638" w:firstLineChars="165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p>
    <w:p w14:paraId="53330079">
      <w:pPr>
        <w:pStyle w:val="12"/>
        <w:keepNext w:val="0"/>
        <w:keepLines w:val="0"/>
        <w:pageBreakBefore w:val="0"/>
        <w:widowControl w:val="0"/>
        <w:wordWrap/>
        <w:topLinePunct w:val="0"/>
        <w:bidi w:val="0"/>
        <w:spacing w:line="300" w:lineRule="exact"/>
        <w:rPr>
          <w:rFonts w:hint="eastAsia" w:ascii="宋体" w:hAnsi="宋体" w:eastAsia="宋体" w:cs="宋体"/>
          <w:b/>
          <w:color w:val="auto"/>
          <w:sz w:val="28"/>
          <w:szCs w:val="28"/>
          <w:highlight w:val="none"/>
        </w:rPr>
      </w:pPr>
    </w:p>
    <w:p w14:paraId="61653202">
      <w:pPr>
        <w:keepNext w:val="0"/>
        <w:keepLines w:val="0"/>
        <w:pageBreakBefore w:val="0"/>
        <w:widowControl w:val="0"/>
        <w:wordWrap/>
        <w:topLinePunct w:val="0"/>
        <w:bidi w:val="0"/>
        <w:snapToGrid w:val="0"/>
        <w:spacing w:line="300" w:lineRule="exact"/>
        <w:ind w:firstLine="4830" w:firstLineChars="2300"/>
        <w:rPr>
          <w:rFonts w:hint="eastAsia" w:ascii="宋体" w:hAnsi="宋体" w:eastAsia="宋体" w:cs="宋体"/>
          <w:color w:val="auto"/>
          <w:highlight w:val="none"/>
          <w:u w:val="singl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3BD3A19E">
      <w:pPr>
        <w:keepNext w:val="0"/>
        <w:keepLines w:val="0"/>
        <w:pageBreakBefore w:val="0"/>
        <w:widowControl w:val="0"/>
        <w:wordWrap/>
        <w:topLinePunct w:val="0"/>
        <w:bidi w:val="0"/>
        <w:snapToGrid w:val="0"/>
        <w:spacing w:line="300" w:lineRule="exact"/>
        <w:ind w:firstLine="3570" w:firstLineChars="1700"/>
        <w:rPr>
          <w:rFonts w:hint="eastAsia" w:ascii="宋体" w:hAnsi="宋体" w:eastAsia="宋体" w:cs="宋体"/>
          <w:color w:val="auto"/>
          <w:highlight w:val="none"/>
          <w:u w:val="single"/>
        </w:rPr>
      </w:pPr>
    </w:p>
    <w:p w14:paraId="689E1D09">
      <w:pPr>
        <w:pStyle w:val="9"/>
        <w:keepNext w:val="0"/>
        <w:keepLines w:val="0"/>
        <w:pageBreakBefore w:val="0"/>
        <w:widowControl w:val="0"/>
        <w:wordWrap/>
        <w:topLinePunct w:val="0"/>
        <w:bidi w:val="0"/>
        <w:rPr>
          <w:rFonts w:hint="eastAsia" w:ascii="宋体" w:hAnsi="宋体" w:eastAsia="宋体" w:cs="宋体"/>
          <w:color w:val="auto"/>
          <w:highlight w:val="none"/>
          <w:u w:val="single"/>
        </w:rPr>
      </w:pPr>
    </w:p>
    <w:p w14:paraId="634480C4">
      <w:pP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br w:type="page"/>
      </w:r>
    </w:p>
    <w:p w14:paraId="0A15EFA5">
      <w:pPr>
        <w:keepNext w:val="0"/>
        <w:keepLines w:val="0"/>
        <w:pageBreakBefore w:val="0"/>
        <w:widowControl w:val="0"/>
        <w:numPr>
          <w:ilvl w:val="0"/>
          <w:numId w:val="0"/>
        </w:numPr>
        <w:wordWrap/>
        <w:topLinePunct w:val="0"/>
        <w:bidi w:val="0"/>
        <w:spacing w:line="440" w:lineRule="atLeast"/>
        <w:outlineLvl w:val="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6.施工组织设计方案（必须提供）</w:t>
      </w:r>
      <w:r>
        <w:rPr>
          <w:rFonts w:hint="eastAsia" w:ascii="宋体" w:hAnsi="宋体" w:eastAsia="宋体" w:cs="宋体"/>
          <w:b/>
          <w:color w:val="auto"/>
          <w:sz w:val="28"/>
          <w:szCs w:val="28"/>
          <w:highlight w:val="none"/>
        </w:rPr>
        <w:t>；</w:t>
      </w:r>
    </w:p>
    <w:p w14:paraId="1AE0F87E">
      <w:pPr>
        <w:keepNext w:val="0"/>
        <w:keepLines w:val="0"/>
        <w:pageBreakBefore w:val="0"/>
        <w:widowControl w:val="0"/>
        <w:wordWrap/>
        <w:topLinePunct w:val="0"/>
        <w:bidi w:val="0"/>
        <w:snapToGrid w:val="0"/>
        <w:spacing w:line="400" w:lineRule="exact"/>
        <w:jc w:val="center"/>
        <w:outlineLvl w:val="9"/>
        <w:rPr>
          <w:rFonts w:hint="eastAsia" w:ascii="宋体" w:hAnsi="宋体" w:cs="宋体"/>
          <w:b/>
          <w:color w:val="auto"/>
          <w:sz w:val="24"/>
          <w:szCs w:val="24"/>
          <w:highlight w:val="none"/>
          <w:lang w:val="en-US" w:eastAsia="zh-CN"/>
        </w:rPr>
      </w:pPr>
    </w:p>
    <w:p w14:paraId="2852C401">
      <w:pPr>
        <w:keepNext w:val="0"/>
        <w:keepLines w:val="0"/>
        <w:pageBreakBefore w:val="0"/>
        <w:widowControl w:val="0"/>
        <w:wordWrap/>
        <w:topLinePunct w:val="0"/>
        <w:bidi w:val="0"/>
        <w:snapToGrid w:val="0"/>
        <w:spacing w:line="400" w:lineRule="exact"/>
        <w:jc w:val="center"/>
        <w:outlineLvl w:val="9"/>
        <w:rPr>
          <w:rFonts w:hint="eastAsia" w:hAnsi="宋体" w:cs="Times New Roman"/>
          <w:b/>
          <w:color w:val="auto"/>
          <w:sz w:val="28"/>
          <w:szCs w:val="28"/>
        </w:rPr>
      </w:pPr>
      <w:r>
        <w:rPr>
          <w:rFonts w:hint="eastAsia" w:hAnsi="宋体" w:cs="Times New Roman"/>
          <w:b/>
          <w:color w:val="auto"/>
          <w:sz w:val="28"/>
          <w:szCs w:val="28"/>
        </w:rPr>
        <w:t>施工组织设计</w:t>
      </w:r>
    </w:p>
    <w:p w14:paraId="11C7EC68">
      <w:pPr>
        <w:keepNext w:val="0"/>
        <w:keepLines w:val="0"/>
        <w:pageBreakBefore w:val="0"/>
        <w:widowControl w:val="0"/>
        <w:wordWrap/>
        <w:topLinePunct w:val="0"/>
        <w:bidi w:val="0"/>
        <w:snapToGrid w:val="0"/>
        <w:spacing w:line="400" w:lineRule="exact"/>
        <w:jc w:val="center"/>
        <w:outlineLvl w:val="9"/>
        <w:rPr>
          <w:rFonts w:hint="eastAsia" w:hAnsi="宋体" w:cs="Times New Roman"/>
          <w:b/>
          <w:color w:val="auto"/>
          <w:sz w:val="28"/>
          <w:szCs w:val="28"/>
        </w:rPr>
      </w:pPr>
      <w:r>
        <w:rPr>
          <w:rFonts w:hint="eastAsia" w:hAnsi="宋体" w:cs="Times New Roman"/>
          <w:b/>
          <w:color w:val="auto"/>
          <w:sz w:val="28"/>
          <w:szCs w:val="28"/>
        </w:rPr>
        <w:t>（根据工程量清单及工程情况自行编制）</w:t>
      </w:r>
    </w:p>
    <w:p w14:paraId="36F408FC">
      <w:pPr>
        <w:keepNext w:val="0"/>
        <w:keepLines w:val="0"/>
        <w:pageBreakBefore w:val="0"/>
        <w:widowControl w:val="0"/>
        <w:wordWrap/>
        <w:topLinePunct w:val="0"/>
        <w:bidi w:val="0"/>
        <w:snapToGrid w:val="0"/>
        <w:spacing w:line="400" w:lineRule="exact"/>
        <w:jc w:val="center"/>
        <w:outlineLvl w:val="9"/>
        <w:rPr>
          <w:rFonts w:hint="eastAsia" w:ascii="宋体" w:hAnsi="宋体" w:cs="宋体"/>
          <w:b/>
          <w:color w:val="auto"/>
          <w:sz w:val="28"/>
          <w:szCs w:val="28"/>
          <w:highlight w:val="none"/>
        </w:rPr>
      </w:pPr>
      <w:r>
        <w:rPr>
          <w:rFonts w:hint="eastAsia" w:hAnsi="宋体" w:cs="Times New Roman"/>
          <w:b/>
          <w:color w:val="auto"/>
          <w:sz w:val="28"/>
          <w:szCs w:val="28"/>
        </w:rPr>
        <w:t>（格式自拟，必须提供）</w:t>
      </w:r>
    </w:p>
    <w:p w14:paraId="0062A26B">
      <w:pPr>
        <w:pStyle w:val="35"/>
        <w:keepNext w:val="0"/>
        <w:keepLines w:val="0"/>
        <w:pageBreakBefore w:val="0"/>
        <w:widowControl w:val="0"/>
        <w:wordWrap/>
        <w:topLinePunct w:val="0"/>
        <w:bidi w:val="0"/>
        <w:spacing w:line="300" w:lineRule="exact"/>
        <w:ind w:firstLine="425"/>
        <w:rPr>
          <w:rFonts w:hint="eastAsia" w:ascii="宋体" w:hAnsi="宋体" w:eastAsia="宋体" w:cs="宋体"/>
          <w:color w:val="auto"/>
          <w:highlight w:val="none"/>
        </w:rPr>
      </w:pPr>
    </w:p>
    <w:p w14:paraId="19D12B16">
      <w:pPr>
        <w:pStyle w:val="35"/>
        <w:keepNext w:val="0"/>
        <w:keepLines w:val="0"/>
        <w:pageBreakBefore w:val="0"/>
        <w:widowControl w:val="0"/>
        <w:wordWrap/>
        <w:topLinePunct w:val="0"/>
        <w:bidi w:val="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69E42DCE">
      <w:pPr>
        <w:pStyle w:val="35"/>
        <w:keepNext w:val="0"/>
        <w:keepLines w:val="0"/>
        <w:pageBreakBefore w:val="0"/>
        <w:widowControl w:val="0"/>
        <w:wordWrap/>
        <w:topLinePunct w:val="0"/>
        <w:bidi w:val="0"/>
        <w:rPr>
          <w:rFonts w:hint="eastAsia" w:ascii="宋体" w:hAnsi="宋体" w:eastAsia="宋体" w:cs="宋体"/>
          <w:color w:val="auto"/>
          <w:highlight w:val="none"/>
        </w:rPr>
      </w:pPr>
    </w:p>
    <w:p w14:paraId="30898812">
      <w:pPr>
        <w:pStyle w:val="7"/>
        <w:keepNext w:val="0"/>
        <w:keepLines w:val="0"/>
        <w:pageBreakBefore w:val="0"/>
        <w:widowControl w:val="0"/>
        <w:numPr>
          <w:ilvl w:val="0"/>
          <w:numId w:val="0"/>
        </w:numPr>
        <w:wordWrap/>
        <w:topLinePunct w:val="0"/>
        <w:bidi w:val="0"/>
        <w:jc w:val="both"/>
        <w:rPr>
          <w:rFonts w:hint="eastAsia"/>
          <w:color w:val="auto"/>
          <w:highlight w:val="none"/>
        </w:rPr>
      </w:pPr>
    </w:p>
    <w:p w14:paraId="14DACCA7">
      <w:pPr>
        <w:keepNext w:val="0"/>
        <w:keepLines w:val="0"/>
        <w:pageBreakBefore w:val="0"/>
        <w:widowControl w:val="0"/>
        <w:wordWrap/>
        <w:topLinePunct w:val="0"/>
        <w:bidi w:val="0"/>
        <w:ind w:firstLine="1470" w:firstLineChars="7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，自然人</w:t>
      </w:r>
      <w:r>
        <w:rPr>
          <w:rFonts w:hint="eastAsia" w:ascii="宋体" w:hAnsi="宋体" w:eastAsia="宋体" w:cs="宋体"/>
          <w:color w:val="auto"/>
          <w:szCs w:val="21"/>
          <w:highlight w:val="none"/>
          <w:lang w:eastAsia="zh-CN"/>
        </w:rPr>
        <w:t>签字或个人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6D5049B1">
      <w:pPr>
        <w:pStyle w:val="12"/>
        <w:keepNext w:val="0"/>
        <w:keepLines w:val="0"/>
        <w:pageBreakBefore w:val="0"/>
        <w:widowControl w:val="0"/>
        <w:wordWrap/>
        <w:topLinePunct w:val="0"/>
        <w:bidi w:val="0"/>
        <w:spacing w:line="300" w:lineRule="exact"/>
        <w:ind w:left="2940" w:leftChars="1400" w:firstLine="630" w:firstLineChars="300"/>
        <w:rPr>
          <w:rFonts w:hint="eastAsia" w:ascii="宋体" w:hAnsi="宋体" w:eastAsia="宋体" w:cs="宋体"/>
          <w:color w:val="auto"/>
          <w:highlight w:val="none"/>
        </w:rPr>
      </w:pPr>
    </w:p>
    <w:p w14:paraId="09A99193">
      <w:pPr>
        <w:pStyle w:val="12"/>
        <w:keepNext w:val="0"/>
        <w:keepLines w:val="0"/>
        <w:pageBreakBefore w:val="0"/>
        <w:widowControl w:val="0"/>
        <w:wordWrap/>
        <w:topLinePunct w:val="0"/>
        <w:bidi w:val="0"/>
        <w:spacing w:line="300" w:lineRule="exact"/>
        <w:ind w:firstLine="4638" w:firstLineChars="165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p>
    <w:p w14:paraId="094636F9">
      <w:pPr>
        <w:pStyle w:val="12"/>
        <w:keepNext w:val="0"/>
        <w:keepLines w:val="0"/>
        <w:pageBreakBefore w:val="0"/>
        <w:widowControl w:val="0"/>
        <w:wordWrap/>
        <w:topLinePunct w:val="0"/>
        <w:bidi w:val="0"/>
        <w:spacing w:line="300" w:lineRule="exact"/>
        <w:rPr>
          <w:rFonts w:hint="eastAsia" w:ascii="宋体" w:hAnsi="宋体" w:eastAsia="宋体" w:cs="宋体"/>
          <w:b/>
          <w:color w:val="auto"/>
          <w:sz w:val="28"/>
          <w:szCs w:val="28"/>
          <w:highlight w:val="none"/>
        </w:rPr>
      </w:pPr>
    </w:p>
    <w:p w14:paraId="5B955564">
      <w:pPr>
        <w:keepNext w:val="0"/>
        <w:keepLines w:val="0"/>
        <w:pageBreakBefore w:val="0"/>
        <w:widowControl w:val="0"/>
        <w:wordWrap/>
        <w:topLinePunct w:val="0"/>
        <w:bidi w:val="0"/>
        <w:ind w:firstLine="1470" w:firstLineChars="700"/>
        <w:rPr>
          <w:rFonts w:hint="eastAsia"/>
          <w:color w:val="auto"/>
          <w:highlight w:val="non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6F8F5911">
      <w:pP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br w:type="page"/>
      </w:r>
    </w:p>
    <w:p w14:paraId="42A433DE">
      <w:pPr>
        <w:spacing w:line="400" w:lineRule="exact"/>
        <w:ind w:firstLine="551" w:firstLineChars="196"/>
        <w:jc w:val="center"/>
        <w:outlineLvl w:val="2"/>
        <w:rPr>
          <w:rFonts w:hint="eastAsia" w:ascii="宋体" w:hAnsi="宋体" w:cs="宋体"/>
          <w:b/>
          <w:color w:val="auto"/>
          <w:kern w:val="0"/>
          <w:sz w:val="28"/>
          <w:szCs w:val="28"/>
        </w:rPr>
      </w:pPr>
      <w:r>
        <w:rPr>
          <w:rFonts w:hint="eastAsia" w:ascii="宋体" w:hAnsi="宋体" w:eastAsia="宋体" w:cs="宋体"/>
          <w:b/>
          <w:color w:val="auto"/>
          <w:sz w:val="28"/>
          <w:szCs w:val="28"/>
          <w:highlight w:val="none"/>
          <w:lang w:val="en-US" w:eastAsia="zh-CN"/>
        </w:rPr>
        <w:t>7.</w:t>
      </w:r>
      <w:r>
        <w:rPr>
          <w:rFonts w:hint="eastAsia" w:ascii="宋体" w:hAnsi="宋体" w:cs="宋体"/>
          <w:b/>
          <w:color w:val="auto"/>
          <w:kern w:val="0"/>
          <w:sz w:val="28"/>
          <w:szCs w:val="28"/>
        </w:rPr>
        <w:t>建设工程项目管理承诺书（必须提供）；</w:t>
      </w:r>
    </w:p>
    <w:p w14:paraId="20F86CBE">
      <w:pPr>
        <w:spacing w:line="400" w:lineRule="exact"/>
        <w:ind w:firstLine="551" w:firstLineChars="196"/>
        <w:rPr>
          <w:rFonts w:hint="eastAsia" w:ascii="宋体" w:hAnsi="宋体" w:cs="宋体"/>
          <w:b/>
          <w:color w:val="auto"/>
          <w:kern w:val="0"/>
          <w:sz w:val="28"/>
          <w:szCs w:val="28"/>
        </w:rPr>
      </w:pPr>
    </w:p>
    <w:p w14:paraId="715B59D4">
      <w:pPr>
        <w:spacing w:line="480" w:lineRule="auto"/>
        <w:jc w:val="left"/>
        <w:rPr>
          <w:rFonts w:ascii="宋体" w:hAnsi="宋体"/>
          <w:color w:val="auto"/>
        </w:rPr>
      </w:pPr>
      <w:r>
        <w:rPr>
          <w:rFonts w:ascii="宋体" w:hAnsi="宋体"/>
          <w:color w:val="auto"/>
          <w:u w:val="single"/>
        </w:rPr>
        <w:t xml:space="preserve"> </w:t>
      </w:r>
      <w:r>
        <w:rPr>
          <w:rFonts w:hint="eastAsia" w:ascii="宋体" w:hAnsi="宋体"/>
          <w:color w:val="auto"/>
          <w:u w:val="single"/>
          <w:lang w:eastAsia="zh-CN"/>
        </w:rPr>
        <w:t>资源县住房和城乡建设局</w:t>
      </w:r>
      <w:r>
        <w:rPr>
          <w:rFonts w:ascii="宋体" w:hAnsi="宋体"/>
          <w:color w:val="auto"/>
          <w:u w:val="single"/>
        </w:rPr>
        <w:t xml:space="preserve"> </w:t>
      </w:r>
      <w:r>
        <w:rPr>
          <w:rFonts w:ascii="宋体" w:hAnsi="宋体"/>
          <w:color w:val="auto"/>
        </w:rPr>
        <w:t>：</w:t>
      </w:r>
    </w:p>
    <w:p w14:paraId="426F75DE">
      <w:pPr>
        <w:spacing w:line="520" w:lineRule="exact"/>
        <w:ind w:firstLine="422" w:firstLineChars="201"/>
        <w:jc w:val="left"/>
        <w:rPr>
          <w:rFonts w:ascii="宋体" w:hAnsi="宋体"/>
          <w:color w:val="auto"/>
        </w:rPr>
      </w:pPr>
      <w:r>
        <w:rPr>
          <w:rFonts w:ascii="宋体" w:hAnsi="宋体"/>
          <w:color w:val="auto"/>
        </w:rPr>
        <w:t>作为参与</w:t>
      </w:r>
      <w:r>
        <w:rPr>
          <w:rFonts w:hint="eastAsia" w:ascii="宋体" w:hAnsi="宋体" w:cs="宋体"/>
          <w:color w:val="auto"/>
          <w:szCs w:val="21"/>
          <w:u w:val="single"/>
        </w:rPr>
        <w:t> </w:t>
      </w:r>
      <w:r>
        <w:rPr>
          <w:rFonts w:ascii="宋体" w:hAnsi="宋体"/>
          <w:color w:val="auto"/>
          <w:u w:val="single"/>
        </w:rPr>
        <w:t>（</w:t>
      </w:r>
      <w:r>
        <w:rPr>
          <w:rFonts w:hint="eastAsia" w:ascii="宋体" w:hAnsi="宋体"/>
          <w:color w:val="auto"/>
          <w:u w:val="single"/>
        </w:rPr>
        <w:t>项目</w:t>
      </w:r>
      <w:r>
        <w:rPr>
          <w:rFonts w:ascii="宋体" w:hAnsi="宋体"/>
          <w:color w:val="auto"/>
          <w:u w:val="single"/>
        </w:rPr>
        <w:t>名称</w:t>
      </w:r>
      <w:r>
        <w:rPr>
          <w:rFonts w:hint="eastAsia" w:ascii="宋体" w:hAnsi="宋体"/>
          <w:color w:val="auto"/>
          <w:u w:val="single"/>
        </w:rPr>
        <w:t xml:space="preserve">、项目编号  </w:t>
      </w:r>
      <w:r>
        <w:rPr>
          <w:rFonts w:ascii="宋体" w:hAnsi="宋体"/>
          <w:color w:val="auto"/>
          <w:u w:val="single"/>
        </w:rPr>
        <w:t>）</w:t>
      </w:r>
      <w:r>
        <w:rPr>
          <w:rFonts w:ascii="宋体" w:hAnsi="宋体"/>
          <w:color w:val="auto"/>
        </w:rPr>
        <w:t>项目的</w:t>
      </w:r>
      <w:r>
        <w:rPr>
          <w:rFonts w:hint="eastAsia" w:ascii="宋体" w:hAnsi="宋体"/>
          <w:color w:val="auto"/>
        </w:rPr>
        <w:t>竞标</w:t>
      </w:r>
      <w:r>
        <w:rPr>
          <w:rFonts w:ascii="宋体" w:hAnsi="宋体"/>
          <w:color w:val="auto"/>
        </w:rPr>
        <w:t>方，根据国家、自治区及</w:t>
      </w:r>
      <w:r>
        <w:rPr>
          <w:rFonts w:hint="eastAsia" w:ascii="宋体" w:hAnsi="宋体"/>
          <w:color w:val="auto"/>
        </w:rPr>
        <w:t>桂林</w:t>
      </w:r>
      <w:r>
        <w:rPr>
          <w:rFonts w:ascii="宋体" w:hAnsi="宋体"/>
          <w:color w:val="auto"/>
        </w:rPr>
        <w:t>市相关文件规定，我方在此向</w:t>
      </w:r>
      <w:r>
        <w:rPr>
          <w:rFonts w:hint="eastAsia" w:ascii="宋体" w:hAnsi="宋体"/>
          <w:color w:val="auto"/>
        </w:rPr>
        <w:t>采购</w:t>
      </w:r>
      <w:r>
        <w:rPr>
          <w:rFonts w:ascii="宋体" w:hAnsi="宋体"/>
          <w:color w:val="auto"/>
        </w:rPr>
        <w:t>人承诺：</w:t>
      </w:r>
    </w:p>
    <w:p w14:paraId="6A363EA7">
      <w:pPr>
        <w:spacing w:line="520" w:lineRule="exact"/>
        <w:ind w:firstLine="422" w:firstLineChars="201"/>
        <w:jc w:val="left"/>
        <w:rPr>
          <w:rFonts w:ascii="宋体" w:hAnsi="宋体"/>
          <w:color w:val="auto"/>
        </w:rPr>
      </w:pPr>
      <w:r>
        <w:rPr>
          <w:rFonts w:ascii="宋体" w:hAnsi="宋体"/>
          <w:color w:val="auto"/>
        </w:rPr>
        <w:t>1</w:t>
      </w:r>
      <w:r>
        <w:rPr>
          <w:rFonts w:hint="eastAsia" w:ascii="宋体" w:hAnsi="宋体"/>
          <w:color w:val="auto"/>
        </w:rPr>
        <w:t>.</w:t>
      </w:r>
      <w:r>
        <w:rPr>
          <w:rFonts w:ascii="宋体" w:hAnsi="宋体"/>
          <w:color w:val="auto"/>
        </w:rPr>
        <w:t>一旦</w:t>
      </w:r>
      <w:r>
        <w:rPr>
          <w:rFonts w:hint="eastAsia" w:ascii="宋体" w:hAnsi="宋体"/>
          <w:color w:val="auto"/>
        </w:rPr>
        <w:t>成交</w:t>
      </w:r>
      <w:r>
        <w:rPr>
          <w:rFonts w:ascii="宋体" w:hAnsi="宋体"/>
          <w:color w:val="auto"/>
        </w:rPr>
        <w:t>，我方保证按照政府相关部门的规定，在</w:t>
      </w:r>
      <w:r>
        <w:rPr>
          <w:rFonts w:hint="eastAsia" w:ascii="宋体" w:hAnsi="宋体"/>
          <w:color w:val="auto"/>
        </w:rPr>
        <w:t>规定时间</w:t>
      </w:r>
      <w:r>
        <w:rPr>
          <w:rFonts w:ascii="宋体" w:hAnsi="宋体"/>
          <w:color w:val="auto"/>
        </w:rPr>
        <w:t>内足额将农民工工资保障金转入农民工工资保障金专用账户。一旦我方所承包的该项目中出现拖欠农民工和工人工资情况，由建设行政主管部门或财政部门从我方农民工工资保障金中先予划支。我方在中标</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成交</w:t>
      </w:r>
      <w:r>
        <w:rPr>
          <w:rFonts w:hint="eastAsia" w:ascii="宋体" w:hAnsi="宋体" w:cs="宋体"/>
          <w:color w:val="auto"/>
          <w:kern w:val="0"/>
          <w:sz w:val="21"/>
          <w:szCs w:val="21"/>
          <w:highlight w:val="none"/>
          <w:lang w:eastAsia="zh-CN"/>
        </w:rPr>
        <w:t>）</w:t>
      </w:r>
      <w:r>
        <w:rPr>
          <w:rFonts w:ascii="宋体" w:hAnsi="宋体"/>
          <w:color w:val="auto"/>
        </w:rPr>
        <w:t>后如不按时、足额存入农民工工资保障金的，将被取消中标</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成交</w:t>
      </w:r>
      <w:r>
        <w:rPr>
          <w:rFonts w:hint="eastAsia" w:ascii="宋体" w:hAnsi="宋体" w:cs="宋体"/>
          <w:color w:val="auto"/>
          <w:kern w:val="0"/>
          <w:sz w:val="21"/>
          <w:szCs w:val="21"/>
          <w:highlight w:val="none"/>
          <w:lang w:eastAsia="zh-CN"/>
        </w:rPr>
        <w:t>）</w:t>
      </w:r>
      <w:r>
        <w:rPr>
          <w:rFonts w:ascii="宋体" w:hAnsi="宋体"/>
          <w:color w:val="auto"/>
        </w:rPr>
        <w:t>资格。</w:t>
      </w:r>
    </w:p>
    <w:p w14:paraId="3B01BA91">
      <w:pPr>
        <w:spacing w:line="520" w:lineRule="exact"/>
        <w:ind w:left="-10" w:firstLine="455" w:firstLineChars="217"/>
        <w:jc w:val="left"/>
        <w:rPr>
          <w:rFonts w:ascii="宋体" w:hAnsi="宋体"/>
          <w:color w:val="auto"/>
        </w:rPr>
      </w:pPr>
      <w:r>
        <w:rPr>
          <w:rFonts w:ascii="宋体" w:hAnsi="宋体"/>
          <w:color w:val="auto"/>
        </w:rPr>
        <w:t>2</w:t>
      </w:r>
      <w:r>
        <w:rPr>
          <w:rFonts w:hint="eastAsia" w:ascii="宋体" w:hAnsi="宋体"/>
          <w:color w:val="auto"/>
        </w:rPr>
        <w:t>.</w:t>
      </w:r>
      <w:r>
        <w:rPr>
          <w:rFonts w:ascii="宋体" w:hAnsi="宋体"/>
          <w:color w:val="auto"/>
        </w:rPr>
        <w:t>一旦</w:t>
      </w:r>
      <w:r>
        <w:rPr>
          <w:rFonts w:hint="eastAsia" w:ascii="宋体" w:hAnsi="宋体"/>
          <w:color w:val="auto"/>
        </w:rPr>
        <w:t>成交</w:t>
      </w:r>
      <w:r>
        <w:rPr>
          <w:rFonts w:ascii="宋体" w:hAnsi="宋体"/>
          <w:color w:val="auto"/>
        </w:rPr>
        <w:t>，我方保证在施工过程中，严格执行桂建质安[20</w:t>
      </w:r>
      <w:r>
        <w:rPr>
          <w:rFonts w:hint="eastAsia" w:ascii="宋体" w:hAnsi="宋体"/>
          <w:color w:val="auto"/>
        </w:rPr>
        <w:t>15</w:t>
      </w:r>
      <w:r>
        <w:rPr>
          <w:rFonts w:ascii="宋体" w:hAnsi="宋体"/>
          <w:color w:val="auto"/>
        </w:rPr>
        <w:t>]</w:t>
      </w:r>
      <w:r>
        <w:rPr>
          <w:rFonts w:hint="eastAsia" w:ascii="宋体" w:hAnsi="宋体"/>
          <w:color w:val="auto"/>
        </w:rPr>
        <w:t>16</w:t>
      </w:r>
      <w:r>
        <w:rPr>
          <w:rFonts w:ascii="宋体" w:hAnsi="宋体"/>
          <w:color w:val="auto"/>
        </w:rPr>
        <w:t>号文《广西壮族自治区建筑工程安全文明施工费使用管理细则》的有关规定，确保建设工程各项安全防护、文明施工措施落实到位。如我方在该项目的承包中出现未按桂建质安[20</w:t>
      </w:r>
      <w:r>
        <w:rPr>
          <w:rFonts w:hint="eastAsia" w:ascii="宋体" w:hAnsi="宋体"/>
          <w:color w:val="auto"/>
        </w:rPr>
        <w:t>15</w:t>
      </w:r>
      <w:r>
        <w:rPr>
          <w:rFonts w:ascii="宋体" w:hAnsi="宋体"/>
          <w:color w:val="auto"/>
        </w:rPr>
        <w:t>]</w:t>
      </w:r>
      <w:r>
        <w:rPr>
          <w:rFonts w:hint="eastAsia" w:ascii="宋体" w:hAnsi="宋体"/>
          <w:color w:val="auto"/>
        </w:rPr>
        <w:t>16</w:t>
      </w:r>
      <w:r>
        <w:rPr>
          <w:rFonts w:ascii="宋体" w:hAnsi="宋体"/>
          <w:color w:val="auto"/>
        </w:rPr>
        <w:t>号文附件一规定执行的情形，我方愿意按照相关规定接受建设单位及有关主管部门的处罚。</w:t>
      </w:r>
    </w:p>
    <w:p w14:paraId="027C1878">
      <w:pPr>
        <w:spacing w:line="520" w:lineRule="exact"/>
        <w:ind w:left="-2" w:leftChars="-1" w:firstLine="449" w:firstLineChars="214"/>
        <w:jc w:val="left"/>
        <w:rPr>
          <w:rFonts w:ascii="宋体" w:hAnsi="宋体"/>
          <w:color w:val="auto"/>
        </w:rPr>
      </w:pPr>
      <w:r>
        <w:rPr>
          <w:rFonts w:ascii="宋体" w:hAnsi="宋体"/>
          <w:color w:val="auto"/>
        </w:rPr>
        <w:t>3</w:t>
      </w:r>
      <w:r>
        <w:rPr>
          <w:rFonts w:hint="eastAsia" w:ascii="宋体" w:hAnsi="宋体"/>
          <w:color w:val="auto"/>
        </w:rPr>
        <w:t>.</w:t>
      </w:r>
      <w:r>
        <w:rPr>
          <w:rFonts w:ascii="宋体" w:hAnsi="宋体"/>
          <w:color w:val="auto"/>
        </w:rPr>
        <w:t>一旦</w:t>
      </w:r>
      <w:r>
        <w:rPr>
          <w:rFonts w:hint="eastAsia" w:ascii="宋体" w:hAnsi="宋体"/>
          <w:color w:val="auto"/>
        </w:rPr>
        <w:t>成交</w:t>
      </w:r>
      <w:r>
        <w:rPr>
          <w:rFonts w:ascii="宋体" w:hAnsi="宋体"/>
          <w:color w:val="auto"/>
        </w:rPr>
        <w:t>，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14:paraId="5C46FF54">
      <w:pPr>
        <w:pStyle w:val="55"/>
        <w:spacing w:line="520" w:lineRule="exact"/>
        <w:ind w:left="-10" w:firstLine="455" w:firstLineChars="217"/>
        <w:jc w:val="left"/>
        <w:rPr>
          <w:color w:val="auto"/>
          <w:szCs w:val="21"/>
        </w:rPr>
      </w:pPr>
      <w:r>
        <w:rPr>
          <w:rFonts w:hint="eastAsia"/>
          <w:color w:val="auto"/>
          <w:szCs w:val="21"/>
        </w:rPr>
        <w:t>4、一旦</w:t>
      </w:r>
      <w:r>
        <w:rPr>
          <w:rFonts w:hint="eastAsia"/>
          <w:color w:val="auto"/>
          <w:szCs w:val="21"/>
          <w:lang w:eastAsia="zh-CN"/>
        </w:rPr>
        <w:t>成交</w:t>
      </w:r>
      <w:r>
        <w:rPr>
          <w:rFonts w:hint="eastAsia"/>
          <w:color w:val="auto"/>
          <w:szCs w:val="21"/>
        </w:rPr>
        <w:t>，我方保证在施工过程中，严格执行《关于禁止使用不符合规范要求的竹脚手架的通知》（</w:t>
      </w:r>
      <w:r>
        <w:rPr>
          <w:color w:val="auto"/>
          <w:szCs w:val="21"/>
        </w:rPr>
        <w:t>桂建</w:t>
      </w:r>
      <w:r>
        <w:rPr>
          <w:rFonts w:hint="eastAsia"/>
          <w:color w:val="auto"/>
          <w:szCs w:val="21"/>
        </w:rPr>
        <w:t>管字</w:t>
      </w:r>
      <w:r>
        <w:rPr>
          <w:color w:val="auto"/>
          <w:szCs w:val="21"/>
        </w:rPr>
        <w:t>〔200</w:t>
      </w:r>
      <w:r>
        <w:rPr>
          <w:rFonts w:hint="eastAsia"/>
          <w:color w:val="auto"/>
          <w:szCs w:val="21"/>
        </w:rPr>
        <w:t>3</w:t>
      </w:r>
      <w:r>
        <w:rPr>
          <w:color w:val="auto"/>
          <w:szCs w:val="21"/>
        </w:rPr>
        <w:t>〕</w:t>
      </w:r>
      <w:r>
        <w:rPr>
          <w:rFonts w:hint="eastAsia"/>
          <w:color w:val="auto"/>
          <w:szCs w:val="21"/>
        </w:rPr>
        <w:t>40</w:t>
      </w:r>
      <w:r>
        <w:rPr>
          <w:color w:val="auto"/>
          <w:szCs w:val="21"/>
        </w:rPr>
        <w:t>号</w:t>
      </w:r>
      <w:r>
        <w:rPr>
          <w:rFonts w:hint="eastAsia"/>
          <w:color w:val="auto"/>
          <w:szCs w:val="21"/>
        </w:rPr>
        <w:t>）的有关规定，不使用竹脚手架。如我方在该</w:t>
      </w:r>
      <w:r>
        <w:rPr>
          <w:color w:val="auto"/>
          <w:szCs w:val="21"/>
        </w:rPr>
        <w:t>项目的承包中出现未按规定执行的情形，我方愿意按照相关规定接受建设单位及有关主管部门的处罚。</w:t>
      </w:r>
    </w:p>
    <w:p w14:paraId="7562B2B7">
      <w:pPr>
        <w:pStyle w:val="55"/>
        <w:spacing w:line="520" w:lineRule="exact"/>
        <w:ind w:left="-10" w:firstLine="455" w:firstLineChars="217"/>
        <w:jc w:val="left"/>
        <w:rPr>
          <w:color w:val="auto"/>
          <w:szCs w:val="21"/>
        </w:rPr>
      </w:pPr>
      <w:r>
        <w:rPr>
          <w:rFonts w:hint="eastAsia"/>
          <w:color w:val="auto"/>
          <w:szCs w:val="21"/>
        </w:rPr>
        <w:t>5、一旦</w:t>
      </w:r>
      <w:r>
        <w:rPr>
          <w:rFonts w:hint="eastAsia"/>
          <w:color w:val="auto"/>
          <w:szCs w:val="21"/>
          <w:lang w:eastAsia="zh-CN"/>
        </w:rPr>
        <w:t>成交</w:t>
      </w:r>
      <w:r>
        <w:rPr>
          <w:rFonts w:hint="eastAsia"/>
          <w:color w:val="auto"/>
          <w:szCs w:val="21"/>
        </w:rPr>
        <w:t>，我方保证严格执行《危险性较大的分部分项工程安全管理规定》（建办质〔2018〕31号）的规定，强化对深基坑、高切坡、高大模板、人工挖孔桩、起重吊装、临时活动板房等重大危险源的专项施工方案的编制、论证、审批、实施、检测的风险管理。</w:t>
      </w:r>
    </w:p>
    <w:p w14:paraId="10396080">
      <w:pPr>
        <w:spacing w:line="400" w:lineRule="exact"/>
        <w:ind w:firstLine="551" w:firstLineChars="196"/>
        <w:rPr>
          <w:rFonts w:hint="eastAsia" w:ascii="宋体" w:hAnsi="宋体" w:cs="宋体"/>
          <w:b/>
          <w:color w:val="auto"/>
          <w:kern w:val="0"/>
          <w:sz w:val="28"/>
          <w:szCs w:val="28"/>
        </w:rPr>
      </w:pPr>
    </w:p>
    <w:p w14:paraId="6EBA2ABB">
      <w:pPr>
        <w:spacing w:line="400" w:lineRule="exact"/>
        <w:rPr>
          <w:rFonts w:hint="eastAsia" w:ascii="宋体" w:hAnsi="宋体" w:cs="宋体"/>
          <w:b/>
          <w:color w:val="auto"/>
          <w:kern w:val="0"/>
          <w:sz w:val="28"/>
          <w:szCs w:val="28"/>
        </w:rPr>
      </w:pPr>
    </w:p>
    <w:p w14:paraId="6864EC5A">
      <w:pPr>
        <w:snapToGrid w:val="0"/>
        <w:spacing w:line="360" w:lineRule="exact"/>
        <w:ind w:firstLine="2835" w:firstLineChars="1350"/>
        <w:outlineLvl w:val="9"/>
        <w:rPr>
          <w:rFonts w:ascii="宋体" w:hAnsi="宋体"/>
          <w:color w:val="auto"/>
          <w:szCs w:val="21"/>
          <w:u w:val="single"/>
        </w:rPr>
      </w:pPr>
      <w:r>
        <w:rPr>
          <w:rFonts w:hint="eastAsia" w:ascii="宋体" w:hAnsi="宋体"/>
          <w:color w:val="auto"/>
          <w:szCs w:val="21"/>
        </w:rPr>
        <w:t>供应商名称（加盖供应商CA证书签章）：</w:t>
      </w:r>
      <w:r>
        <w:rPr>
          <w:rFonts w:hint="eastAsia" w:ascii="宋体" w:hAnsi="宋体"/>
          <w:color w:val="auto"/>
          <w:szCs w:val="21"/>
          <w:u w:val="single"/>
        </w:rPr>
        <w:t xml:space="preserve">              </w:t>
      </w:r>
    </w:p>
    <w:p w14:paraId="21AF4605">
      <w:pPr>
        <w:snapToGrid w:val="0"/>
        <w:spacing w:line="360" w:lineRule="exact"/>
        <w:ind w:firstLine="3675" w:firstLineChars="1750"/>
        <w:outlineLvl w:val="9"/>
        <w:rPr>
          <w:rFonts w:hint="eastAsia" w:ascii="宋体" w:hAnsi="宋体"/>
          <w:color w:val="auto"/>
        </w:rPr>
      </w:pPr>
    </w:p>
    <w:p w14:paraId="2BE9B514">
      <w:pPr>
        <w:snapToGrid w:val="0"/>
        <w:spacing w:line="360" w:lineRule="exact"/>
        <w:ind w:firstLine="3675" w:firstLineChars="1750"/>
        <w:outlineLvl w:val="9"/>
        <w:rPr>
          <w:rFonts w:hint="eastAsia" w:ascii="宋体" w:hAnsi="宋体"/>
          <w:color w:val="auto"/>
          <w:szCs w:val="21"/>
        </w:rPr>
      </w:pPr>
      <w:r>
        <w:rPr>
          <w:rFonts w:hint="eastAsia" w:ascii="宋体" w:hAnsi="宋体"/>
          <w:color w:val="auto"/>
        </w:rPr>
        <w:t>日   期：</w:t>
      </w:r>
      <w:r>
        <w:rPr>
          <w:rFonts w:hint="eastAsia" w:ascii="宋体" w:hAnsi="宋体"/>
          <w:color w:val="auto"/>
          <w:u w:val="single"/>
        </w:rPr>
        <w:t xml:space="preserve">                         </w:t>
      </w:r>
    </w:p>
    <w:p w14:paraId="67AB3FC8">
      <w:pPr>
        <w:rPr>
          <w:rFonts w:hint="eastAsia" w:cs="宋体"/>
          <w:b/>
          <w:bCs/>
          <w:color w:val="auto"/>
          <w:sz w:val="28"/>
          <w:szCs w:val="28"/>
        </w:rPr>
      </w:pPr>
      <w:r>
        <w:rPr>
          <w:rFonts w:hint="eastAsia" w:cs="宋体"/>
          <w:b/>
          <w:bCs/>
          <w:color w:val="auto"/>
          <w:sz w:val="28"/>
          <w:szCs w:val="28"/>
        </w:rPr>
        <w:br w:type="page"/>
      </w:r>
    </w:p>
    <w:p w14:paraId="6D1923DB">
      <w:pPr>
        <w:pStyle w:val="55"/>
        <w:spacing w:line="360" w:lineRule="auto"/>
        <w:jc w:val="center"/>
        <w:rPr>
          <w:color w:val="auto"/>
          <w:szCs w:val="21"/>
        </w:rPr>
      </w:pPr>
      <w:r>
        <w:rPr>
          <w:rFonts w:hint="eastAsia" w:cs="宋体"/>
          <w:b/>
          <w:bCs/>
          <w:color w:val="auto"/>
          <w:sz w:val="28"/>
          <w:szCs w:val="28"/>
        </w:rPr>
        <w:t>广西壮族自治区建筑工程安全文明施工措施项目清单内容</w:t>
      </w:r>
    </w:p>
    <w:p w14:paraId="20C300A8">
      <w:pPr>
        <w:pStyle w:val="55"/>
        <w:spacing w:line="360" w:lineRule="auto"/>
        <w:ind w:firstLine="600" w:firstLineChars="250"/>
        <w:jc w:val="center"/>
        <w:rPr>
          <w:color w:val="auto"/>
          <w:sz w:val="24"/>
          <w:szCs w:val="24"/>
        </w:rPr>
      </w:pPr>
      <w:r>
        <w:rPr>
          <w:rFonts w:hint="eastAsia" w:cs="宋体"/>
          <w:color w:val="auto"/>
          <w:sz w:val="24"/>
          <w:szCs w:val="24"/>
        </w:rPr>
        <w:t>（桂建质〔</w:t>
      </w:r>
      <w:r>
        <w:rPr>
          <w:color w:val="auto"/>
          <w:sz w:val="24"/>
          <w:szCs w:val="24"/>
        </w:rPr>
        <w:t>2015</w:t>
      </w:r>
      <w:r>
        <w:rPr>
          <w:rFonts w:hint="eastAsia" w:cs="宋体"/>
          <w:color w:val="auto"/>
          <w:sz w:val="24"/>
          <w:szCs w:val="24"/>
        </w:rPr>
        <w:t>〕</w:t>
      </w:r>
      <w:r>
        <w:rPr>
          <w:color w:val="auto"/>
          <w:sz w:val="24"/>
          <w:szCs w:val="24"/>
        </w:rPr>
        <w:t>16</w:t>
      </w:r>
      <w:r>
        <w:rPr>
          <w:rFonts w:hint="eastAsia" w:cs="宋体"/>
          <w:color w:val="auto"/>
          <w:sz w:val="24"/>
          <w:szCs w:val="24"/>
        </w:rPr>
        <w:t>号文附件一）</w:t>
      </w:r>
    </w:p>
    <w:p w14:paraId="2E349D60">
      <w:pPr>
        <w:pStyle w:val="55"/>
        <w:spacing w:line="240" w:lineRule="atLeast"/>
        <w:jc w:val="center"/>
        <w:rPr>
          <w:rFonts w:ascii="宋体"/>
          <w:b/>
          <w:bCs/>
          <w:color w:val="auto"/>
          <w:sz w:val="24"/>
          <w:szCs w:val="24"/>
        </w:rPr>
      </w:pPr>
      <w:r>
        <w:rPr>
          <w:rFonts w:hint="eastAsia" w:ascii="宋体" w:hAnsi="宋体" w:cs="宋体"/>
          <w:b/>
          <w:bCs/>
          <w:color w:val="auto"/>
          <w:sz w:val="24"/>
          <w:szCs w:val="24"/>
        </w:rPr>
        <w:t>广西壮族自治区</w:t>
      </w:r>
    </w:p>
    <w:p w14:paraId="2A88FEBC">
      <w:pPr>
        <w:pStyle w:val="55"/>
        <w:spacing w:line="240" w:lineRule="atLeast"/>
        <w:ind w:firstLine="546"/>
        <w:jc w:val="center"/>
        <w:rPr>
          <w:b/>
          <w:bCs/>
          <w:color w:val="auto"/>
          <w:w w:val="90"/>
          <w:sz w:val="24"/>
          <w:szCs w:val="24"/>
        </w:rPr>
      </w:pPr>
      <w:r>
        <w:rPr>
          <w:rFonts w:hint="eastAsia" w:cs="宋体"/>
          <w:b/>
          <w:bCs/>
          <w:color w:val="auto"/>
          <w:w w:val="90"/>
          <w:sz w:val="24"/>
          <w:szCs w:val="24"/>
        </w:rPr>
        <w:t>建设工程安全文明施工措施项目清单内容</w:t>
      </w:r>
    </w:p>
    <w:p w14:paraId="40A451BE">
      <w:pPr>
        <w:pStyle w:val="55"/>
        <w:spacing w:line="240" w:lineRule="atLeast"/>
        <w:ind w:firstLine="546"/>
        <w:jc w:val="center"/>
        <w:rPr>
          <w:b/>
          <w:bCs/>
          <w:color w:val="auto"/>
          <w:w w:val="90"/>
          <w:sz w:val="24"/>
          <w:szCs w:val="24"/>
        </w:rPr>
      </w:pPr>
    </w:p>
    <w:tbl>
      <w:tblPr>
        <w:tblStyle w:val="27"/>
        <w:tblW w:w="0" w:type="auto"/>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8"/>
        <w:gridCol w:w="525"/>
        <w:gridCol w:w="1545"/>
        <w:gridCol w:w="6645"/>
      </w:tblGrid>
      <w:tr w14:paraId="58A6D2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738" w:type="dxa"/>
            <w:tcBorders>
              <w:top w:val="single" w:color="auto" w:sz="12" w:space="0"/>
            </w:tcBorders>
            <w:noWrap w:val="0"/>
            <w:vAlign w:val="center"/>
          </w:tcPr>
          <w:p w14:paraId="779018B2">
            <w:pPr>
              <w:pStyle w:val="55"/>
              <w:spacing w:line="300" w:lineRule="exact"/>
              <w:jc w:val="center"/>
              <w:rPr>
                <w:rFonts w:ascii="方正仿宋_GBK" w:eastAsia="方正仿宋_GBK"/>
                <w:b/>
                <w:bCs/>
                <w:color w:val="auto"/>
                <w:szCs w:val="21"/>
              </w:rPr>
            </w:pPr>
            <w:r>
              <w:rPr>
                <w:rFonts w:hint="eastAsia" w:ascii="方正仿宋_GBK" w:eastAsia="方正仿宋_GBK" w:cs="方正仿宋_GBK"/>
                <w:b/>
                <w:bCs/>
                <w:color w:val="auto"/>
                <w:szCs w:val="21"/>
              </w:rPr>
              <w:t>类别</w:t>
            </w:r>
          </w:p>
        </w:tc>
        <w:tc>
          <w:tcPr>
            <w:tcW w:w="2070" w:type="dxa"/>
            <w:gridSpan w:val="2"/>
            <w:tcBorders>
              <w:top w:val="single" w:color="auto" w:sz="12" w:space="0"/>
            </w:tcBorders>
            <w:noWrap w:val="0"/>
            <w:vAlign w:val="center"/>
          </w:tcPr>
          <w:p w14:paraId="41EEC52B">
            <w:pPr>
              <w:pStyle w:val="55"/>
              <w:spacing w:line="300" w:lineRule="exact"/>
              <w:jc w:val="center"/>
              <w:rPr>
                <w:rFonts w:ascii="方正仿宋_GBK" w:eastAsia="方正仿宋_GBK"/>
                <w:b/>
                <w:bCs/>
                <w:color w:val="auto"/>
                <w:szCs w:val="21"/>
              </w:rPr>
            </w:pPr>
            <w:r>
              <w:rPr>
                <w:rFonts w:hint="eastAsia" w:ascii="方正仿宋_GBK" w:eastAsia="方正仿宋_GBK" w:cs="方正仿宋_GBK"/>
                <w:b/>
                <w:bCs/>
                <w:color w:val="auto"/>
                <w:szCs w:val="21"/>
              </w:rPr>
              <w:t>项目名称</w:t>
            </w:r>
          </w:p>
        </w:tc>
        <w:tc>
          <w:tcPr>
            <w:tcW w:w="6645" w:type="dxa"/>
            <w:tcBorders>
              <w:top w:val="single" w:color="auto" w:sz="12" w:space="0"/>
            </w:tcBorders>
            <w:noWrap w:val="0"/>
            <w:vAlign w:val="center"/>
          </w:tcPr>
          <w:p w14:paraId="091AC829">
            <w:pPr>
              <w:pStyle w:val="55"/>
              <w:spacing w:line="300" w:lineRule="exact"/>
              <w:jc w:val="center"/>
              <w:rPr>
                <w:rFonts w:ascii="方正仿宋_GBK" w:eastAsia="方正仿宋_GBK"/>
                <w:b/>
                <w:bCs/>
                <w:color w:val="auto"/>
                <w:szCs w:val="21"/>
              </w:rPr>
            </w:pPr>
            <w:r>
              <w:rPr>
                <w:rFonts w:hint="eastAsia" w:ascii="方正仿宋_GBK" w:eastAsia="方正仿宋_GBK" w:cs="方正仿宋_GBK"/>
                <w:b/>
                <w:bCs/>
                <w:color w:val="auto"/>
                <w:szCs w:val="21"/>
              </w:rPr>
              <w:t>主要内容和要求</w:t>
            </w:r>
          </w:p>
        </w:tc>
      </w:tr>
      <w:tr w14:paraId="3312C5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noWrap w:val="0"/>
            <w:vAlign w:val="center"/>
          </w:tcPr>
          <w:p w14:paraId="0D15450D">
            <w:pPr>
              <w:pStyle w:val="55"/>
              <w:spacing w:line="300" w:lineRule="exact"/>
              <w:jc w:val="center"/>
              <w:rPr>
                <w:rFonts w:ascii="方正仿宋_GBK" w:eastAsia="方正仿宋_GBK"/>
                <w:color w:val="auto"/>
                <w:szCs w:val="21"/>
              </w:rPr>
            </w:pPr>
            <w:r>
              <w:rPr>
                <w:rFonts w:hint="eastAsia" w:ascii="方正仿宋_GBK" w:eastAsia="方正仿宋_GBK" w:cs="方正仿宋_GBK"/>
                <w:color w:val="auto"/>
                <w:szCs w:val="21"/>
              </w:rPr>
              <w:t>文明</w:t>
            </w:r>
          </w:p>
          <w:p w14:paraId="1BC5CF20">
            <w:pPr>
              <w:pStyle w:val="55"/>
              <w:spacing w:line="300" w:lineRule="exact"/>
              <w:jc w:val="center"/>
              <w:rPr>
                <w:rFonts w:ascii="方正仿宋_GBK" w:eastAsia="方正仿宋_GBK"/>
                <w:color w:val="auto"/>
                <w:szCs w:val="21"/>
              </w:rPr>
            </w:pPr>
            <w:r>
              <w:rPr>
                <w:rFonts w:hint="eastAsia" w:ascii="方正仿宋_GBK" w:eastAsia="方正仿宋_GBK" w:cs="方正仿宋_GBK"/>
                <w:color w:val="auto"/>
                <w:szCs w:val="21"/>
              </w:rPr>
              <w:t>施工</w:t>
            </w:r>
          </w:p>
          <w:p w14:paraId="66949C44">
            <w:pPr>
              <w:pStyle w:val="55"/>
              <w:spacing w:line="300" w:lineRule="exact"/>
              <w:jc w:val="center"/>
              <w:rPr>
                <w:rFonts w:ascii="方正仿宋_GBK" w:eastAsia="方正仿宋_GBK"/>
                <w:color w:val="auto"/>
                <w:szCs w:val="21"/>
              </w:rPr>
            </w:pPr>
            <w:r>
              <w:rPr>
                <w:rFonts w:hint="eastAsia" w:ascii="方正仿宋_GBK" w:eastAsia="方正仿宋_GBK" w:cs="方正仿宋_GBK"/>
                <w:color w:val="auto"/>
                <w:szCs w:val="21"/>
              </w:rPr>
              <w:t>与</w:t>
            </w:r>
          </w:p>
          <w:p w14:paraId="6F890CEE">
            <w:pPr>
              <w:pStyle w:val="55"/>
              <w:spacing w:line="300" w:lineRule="exact"/>
              <w:jc w:val="center"/>
              <w:rPr>
                <w:rFonts w:ascii="方正仿宋_GBK" w:eastAsia="方正仿宋_GBK"/>
                <w:color w:val="auto"/>
                <w:szCs w:val="21"/>
              </w:rPr>
            </w:pPr>
            <w:r>
              <w:rPr>
                <w:rFonts w:hint="eastAsia" w:ascii="方正仿宋_GBK" w:eastAsia="方正仿宋_GBK" w:cs="方正仿宋_GBK"/>
                <w:color w:val="auto"/>
                <w:szCs w:val="21"/>
              </w:rPr>
              <w:t>环境</w:t>
            </w:r>
          </w:p>
          <w:p w14:paraId="05EFDACE">
            <w:pPr>
              <w:pStyle w:val="55"/>
              <w:spacing w:line="300" w:lineRule="exact"/>
              <w:jc w:val="center"/>
              <w:rPr>
                <w:rFonts w:ascii="方正仿宋_GBK" w:eastAsia="方正仿宋_GBK"/>
                <w:color w:val="auto"/>
                <w:szCs w:val="21"/>
              </w:rPr>
            </w:pPr>
            <w:r>
              <w:rPr>
                <w:rFonts w:hint="eastAsia" w:ascii="方正仿宋_GBK" w:eastAsia="方正仿宋_GBK" w:cs="方正仿宋_GBK"/>
                <w:color w:val="auto"/>
                <w:szCs w:val="21"/>
              </w:rPr>
              <w:t>保护</w:t>
            </w:r>
          </w:p>
        </w:tc>
        <w:tc>
          <w:tcPr>
            <w:tcW w:w="2070" w:type="dxa"/>
            <w:gridSpan w:val="2"/>
            <w:noWrap w:val="0"/>
            <w:vAlign w:val="center"/>
          </w:tcPr>
          <w:p w14:paraId="337B066B">
            <w:pPr>
              <w:pStyle w:val="55"/>
              <w:spacing w:line="300" w:lineRule="exact"/>
              <w:jc w:val="center"/>
              <w:rPr>
                <w:rFonts w:ascii="方正仿宋_GBK" w:eastAsia="方正仿宋_GBK"/>
                <w:color w:val="auto"/>
                <w:szCs w:val="21"/>
              </w:rPr>
            </w:pPr>
            <w:r>
              <w:rPr>
                <w:rFonts w:hint="eastAsia" w:ascii="方正仿宋_GBK" w:eastAsia="方正仿宋_GBK" w:cs="方正仿宋_GBK"/>
                <w:color w:val="auto"/>
                <w:szCs w:val="21"/>
              </w:rPr>
              <w:t>安全警示</w:t>
            </w:r>
          </w:p>
          <w:p w14:paraId="71608E7F">
            <w:pPr>
              <w:pStyle w:val="55"/>
              <w:spacing w:line="300" w:lineRule="exact"/>
              <w:jc w:val="center"/>
              <w:rPr>
                <w:rFonts w:ascii="方正仿宋_GBK" w:eastAsia="方正仿宋_GBK"/>
                <w:color w:val="auto"/>
                <w:szCs w:val="21"/>
              </w:rPr>
            </w:pPr>
            <w:r>
              <w:rPr>
                <w:rFonts w:hint="eastAsia" w:ascii="方正仿宋_GBK" w:eastAsia="方正仿宋_GBK" w:cs="方正仿宋_GBK"/>
                <w:color w:val="auto"/>
                <w:szCs w:val="21"/>
              </w:rPr>
              <w:t>标志牌</w:t>
            </w:r>
          </w:p>
        </w:tc>
        <w:tc>
          <w:tcPr>
            <w:tcW w:w="6645" w:type="dxa"/>
            <w:noWrap w:val="0"/>
            <w:vAlign w:val="center"/>
          </w:tcPr>
          <w:p w14:paraId="446CB5FB">
            <w:pPr>
              <w:pStyle w:val="55"/>
              <w:spacing w:line="300" w:lineRule="exact"/>
              <w:rPr>
                <w:rFonts w:ascii="方正仿宋_GBK" w:eastAsia="方正仿宋_GBK"/>
                <w:color w:val="auto"/>
                <w:szCs w:val="21"/>
              </w:rPr>
            </w:pPr>
            <w:r>
              <w:rPr>
                <w:rFonts w:hint="eastAsia" w:ascii="方正仿宋_GBK" w:eastAsia="方正仿宋_GBK" w:cs="方正仿宋_GBK"/>
                <w:color w:val="auto"/>
                <w:szCs w:val="21"/>
              </w:rPr>
              <w:t>在易发伤亡事故（或危险）处设置明显的、符合国家标准要求的安全警示标志牌。</w:t>
            </w:r>
          </w:p>
        </w:tc>
      </w:tr>
      <w:tr w14:paraId="4A2D4D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07804975">
            <w:pPr>
              <w:pStyle w:val="55"/>
              <w:spacing w:line="300" w:lineRule="exact"/>
              <w:jc w:val="center"/>
              <w:rPr>
                <w:rFonts w:ascii="方正仿宋_GBK" w:eastAsia="方正仿宋_GBK"/>
                <w:color w:val="auto"/>
                <w:szCs w:val="21"/>
              </w:rPr>
            </w:pPr>
          </w:p>
        </w:tc>
        <w:tc>
          <w:tcPr>
            <w:tcW w:w="2070" w:type="dxa"/>
            <w:gridSpan w:val="2"/>
            <w:noWrap w:val="0"/>
            <w:vAlign w:val="center"/>
          </w:tcPr>
          <w:p w14:paraId="3220D713">
            <w:pPr>
              <w:pStyle w:val="55"/>
              <w:spacing w:line="300" w:lineRule="exact"/>
              <w:jc w:val="center"/>
              <w:rPr>
                <w:rFonts w:ascii="方正仿宋_GBK" w:eastAsia="方正仿宋_GBK"/>
                <w:color w:val="auto"/>
                <w:szCs w:val="21"/>
              </w:rPr>
            </w:pPr>
            <w:r>
              <w:rPr>
                <w:rFonts w:hint="eastAsia" w:ascii="方正仿宋_GBK" w:eastAsia="方正仿宋_GBK" w:cs="方正仿宋_GBK"/>
                <w:color w:val="auto"/>
                <w:szCs w:val="21"/>
              </w:rPr>
              <w:t>现场围挡</w:t>
            </w:r>
          </w:p>
        </w:tc>
        <w:tc>
          <w:tcPr>
            <w:tcW w:w="6645" w:type="dxa"/>
            <w:noWrap w:val="0"/>
            <w:vAlign w:val="center"/>
          </w:tcPr>
          <w:p w14:paraId="67F6F86E">
            <w:pPr>
              <w:pStyle w:val="55"/>
              <w:spacing w:line="300" w:lineRule="exact"/>
              <w:rPr>
                <w:rFonts w:ascii="方正仿宋_GBK" w:eastAsia="方正仿宋_GBK"/>
                <w:color w:val="auto"/>
                <w:szCs w:val="21"/>
              </w:rPr>
            </w:pPr>
            <w:r>
              <w:rPr>
                <w:rFonts w:ascii="方正仿宋_GBK" w:eastAsia="方正仿宋_GBK" w:cs="方正仿宋_GBK"/>
                <w:color w:val="auto"/>
                <w:szCs w:val="21"/>
              </w:rPr>
              <w:t xml:space="preserve">1. </w:t>
            </w:r>
            <w:r>
              <w:rPr>
                <w:rFonts w:hint="eastAsia" w:ascii="方正仿宋_GBK" w:eastAsia="方正仿宋_GBK" w:cs="方正仿宋_GBK"/>
                <w:color w:val="auto"/>
                <w:szCs w:val="21"/>
              </w:rPr>
              <w:t>现场采用封闭围挡，高度不小于</w:t>
            </w:r>
            <w:r>
              <w:rPr>
                <w:rFonts w:ascii="方正仿宋_GBK" w:eastAsia="方正仿宋_GBK" w:cs="方正仿宋_GBK"/>
                <w:color w:val="auto"/>
                <w:szCs w:val="21"/>
              </w:rPr>
              <w:t>1.8m</w:t>
            </w:r>
            <w:r>
              <w:rPr>
                <w:rFonts w:hint="eastAsia" w:ascii="方正仿宋_GBK" w:eastAsia="方正仿宋_GBK" w:cs="方正仿宋_GBK"/>
                <w:color w:val="auto"/>
                <w:szCs w:val="21"/>
              </w:rPr>
              <w:t>。</w:t>
            </w:r>
          </w:p>
          <w:p w14:paraId="6E350D46">
            <w:pPr>
              <w:pStyle w:val="55"/>
              <w:spacing w:line="300" w:lineRule="exact"/>
              <w:rPr>
                <w:rFonts w:ascii="方正仿宋_GBK" w:eastAsia="方正仿宋_GBK"/>
                <w:color w:val="auto"/>
                <w:szCs w:val="21"/>
              </w:rPr>
            </w:pPr>
            <w:r>
              <w:rPr>
                <w:rFonts w:ascii="方正仿宋_GBK" w:eastAsia="方正仿宋_GBK" w:cs="方正仿宋_GBK"/>
                <w:color w:val="auto"/>
                <w:szCs w:val="21"/>
              </w:rPr>
              <w:t xml:space="preserve">2. </w:t>
            </w:r>
            <w:r>
              <w:rPr>
                <w:rFonts w:hint="eastAsia" w:ascii="方正仿宋_GBK" w:eastAsia="方正仿宋_GBK" w:cs="方正仿宋_GBK"/>
                <w:color w:val="auto"/>
                <w:szCs w:val="21"/>
              </w:rPr>
              <w:t>围挡材料可用彩色、定型钢板，砌块等墙体。</w:t>
            </w:r>
          </w:p>
        </w:tc>
      </w:tr>
      <w:tr w14:paraId="095712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1481EBF9">
            <w:pPr>
              <w:pStyle w:val="55"/>
              <w:spacing w:line="300" w:lineRule="exact"/>
              <w:jc w:val="center"/>
              <w:rPr>
                <w:rFonts w:ascii="方正仿宋_GBK" w:eastAsia="方正仿宋_GBK"/>
                <w:color w:val="auto"/>
                <w:szCs w:val="21"/>
              </w:rPr>
            </w:pPr>
          </w:p>
        </w:tc>
        <w:tc>
          <w:tcPr>
            <w:tcW w:w="2070" w:type="dxa"/>
            <w:gridSpan w:val="2"/>
            <w:noWrap w:val="0"/>
            <w:vAlign w:val="center"/>
          </w:tcPr>
          <w:p w14:paraId="0B050C85">
            <w:pPr>
              <w:pStyle w:val="55"/>
              <w:spacing w:line="300" w:lineRule="exact"/>
              <w:jc w:val="center"/>
              <w:rPr>
                <w:rFonts w:ascii="方正仿宋_GBK" w:eastAsia="方正仿宋_GBK"/>
                <w:color w:val="auto"/>
                <w:szCs w:val="21"/>
              </w:rPr>
            </w:pPr>
            <w:r>
              <w:rPr>
                <w:rFonts w:hint="eastAsia" w:ascii="方正仿宋_GBK" w:eastAsia="方正仿宋_GBK" w:cs="方正仿宋_GBK"/>
                <w:color w:val="auto"/>
                <w:szCs w:val="21"/>
              </w:rPr>
              <w:t>七牌二图</w:t>
            </w:r>
          </w:p>
        </w:tc>
        <w:tc>
          <w:tcPr>
            <w:tcW w:w="6645" w:type="dxa"/>
            <w:noWrap w:val="0"/>
            <w:vAlign w:val="center"/>
          </w:tcPr>
          <w:p w14:paraId="03BF558F">
            <w:pPr>
              <w:pStyle w:val="55"/>
              <w:spacing w:line="300" w:lineRule="exact"/>
              <w:rPr>
                <w:rFonts w:ascii="方正仿宋_GBK" w:eastAsia="方正仿宋_GBK"/>
                <w:color w:val="auto"/>
                <w:szCs w:val="21"/>
              </w:rPr>
            </w:pPr>
            <w:r>
              <w:rPr>
                <w:rFonts w:hint="eastAsia" w:ascii="方正仿宋_GBK" w:eastAsia="方正仿宋_GBK" w:cs="方正仿宋_GBK"/>
                <w:color w:val="auto"/>
                <w:szCs w:val="21"/>
              </w:rPr>
              <w:t>在进门处悬挂工程概况、现场出入制度、管理人员名单及监督电话、安全生产规定、文明施工、消防保卫、节能公示等七牌以及施工现场总平面图、工程效果图。</w:t>
            </w:r>
          </w:p>
        </w:tc>
      </w:tr>
      <w:tr w14:paraId="3ABEE5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38" w:type="dxa"/>
            <w:vMerge w:val="continue"/>
            <w:noWrap w:val="0"/>
            <w:vAlign w:val="center"/>
          </w:tcPr>
          <w:p w14:paraId="52F92ED3">
            <w:pPr>
              <w:pStyle w:val="55"/>
              <w:spacing w:line="300" w:lineRule="exact"/>
              <w:jc w:val="center"/>
              <w:rPr>
                <w:rFonts w:ascii="方正仿宋_GBK" w:eastAsia="方正仿宋_GBK"/>
                <w:color w:val="auto"/>
                <w:szCs w:val="21"/>
              </w:rPr>
            </w:pPr>
          </w:p>
        </w:tc>
        <w:tc>
          <w:tcPr>
            <w:tcW w:w="2070" w:type="dxa"/>
            <w:gridSpan w:val="2"/>
            <w:noWrap w:val="0"/>
            <w:vAlign w:val="center"/>
          </w:tcPr>
          <w:p w14:paraId="180E0657">
            <w:pPr>
              <w:pStyle w:val="55"/>
              <w:spacing w:line="300" w:lineRule="exact"/>
              <w:jc w:val="center"/>
              <w:rPr>
                <w:rFonts w:ascii="方正仿宋_GBK" w:eastAsia="方正仿宋_GBK"/>
                <w:color w:val="auto"/>
                <w:szCs w:val="21"/>
              </w:rPr>
            </w:pPr>
            <w:r>
              <w:rPr>
                <w:rFonts w:hint="eastAsia" w:ascii="方正仿宋_GBK" w:eastAsia="方正仿宋_GBK" w:cs="方正仿宋_GBK"/>
                <w:color w:val="auto"/>
                <w:szCs w:val="21"/>
              </w:rPr>
              <w:t>企业标志</w:t>
            </w:r>
          </w:p>
        </w:tc>
        <w:tc>
          <w:tcPr>
            <w:tcW w:w="6645" w:type="dxa"/>
            <w:noWrap w:val="0"/>
            <w:vAlign w:val="center"/>
          </w:tcPr>
          <w:p w14:paraId="219E2BBA">
            <w:pPr>
              <w:pStyle w:val="55"/>
              <w:spacing w:line="300" w:lineRule="exact"/>
              <w:rPr>
                <w:rFonts w:ascii="方正仿宋_GBK" w:eastAsia="方正仿宋_GBK"/>
                <w:color w:val="auto"/>
                <w:szCs w:val="21"/>
              </w:rPr>
            </w:pPr>
            <w:r>
              <w:rPr>
                <w:rFonts w:hint="eastAsia" w:ascii="方正仿宋_GBK" w:eastAsia="方正仿宋_GBK" w:cs="方正仿宋_GBK"/>
                <w:color w:val="auto"/>
                <w:szCs w:val="21"/>
              </w:rPr>
              <w:t>现场出入的大门应设有本企业标志或企业标识。</w:t>
            </w:r>
          </w:p>
        </w:tc>
      </w:tr>
      <w:tr w14:paraId="7056AB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59150DDE">
            <w:pPr>
              <w:pStyle w:val="55"/>
              <w:spacing w:line="300" w:lineRule="exact"/>
              <w:jc w:val="center"/>
              <w:rPr>
                <w:rFonts w:ascii="方正仿宋_GBK" w:eastAsia="方正仿宋_GBK"/>
                <w:color w:val="auto"/>
                <w:szCs w:val="21"/>
              </w:rPr>
            </w:pPr>
          </w:p>
        </w:tc>
        <w:tc>
          <w:tcPr>
            <w:tcW w:w="2070" w:type="dxa"/>
            <w:gridSpan w:val="2"/>
            <w:noWrap w:val="0"/>
            <w:vAlign w:val="center"/>
          </w:tcPr>
          <w:p w14:paraId="739FA912">
            <w:pPr>
              <w:pStyle w:val="55"/>
              <w:spacing w:line="300" w:lineRule="exact"/>
              <w:jc w:val="center"/>
              <w:rPr>
                <w:rFonts w:ascii="方正仿宋_GBK" w:eastAsia="方正仿宋_GBK"/>
                <w:color w:val="auto"/>
                <w:szCs w:val="21"/>
              </w:rPr>
            </w:pPr>
            <w:r>
              <w:rPr>
                <w:rFonts w:hint="eastAsia" w:ascii="方正仿宋_GBK" w:eastAsia="方正仿宋_GBK" w:cs="方正仿宋_GBK"/>
                <w:color w:val="auto"/>
                <w:szCs w:val="21"/>
              </w:rPr>
              <w:t>场容场貌</w:t>
            </w:r>
          </w:p>
        </w:tc>
        <w:tc>
          <w:tcPr>
            <w:tcW w:w="6645" w:type="dxa"/>
            <w:noWrap w:val="0"/>
            <w:vAlign w:val="center"/>
          </w:tcPr>
          <w:p w14:paraId="708EA880">
            <w:pPr>
              <w:pStyle w:val="55"/>
              <w:spacing w:line="300" w:lineRule="exact"/>
              <w:rPr>
                <w:rFonts w:ascii="方正仿宋_GBK" w:eastAsia="方正仿宋_GBK"/>
                <w:color w:val="auto"/>
                <w:szCs w:val="21"/>
              </w:rPr>
            </w:pPr>
            <w:r>
              <w:rPr>
                <w:rFonts w:ascii="方正仿宋_GBK" w:eastAsia="方正仿宋_GBK" w:cs="方正仿宋_GBK"/>
                <w:color w:val="auto"/>
                <w:szCs w:val="21"/>
              </w:rPr>
              <w:t xml:space="preserve">1. </w:t>
            </w:r>
            <w:r>
              <w:rPr>
                <w:rFonts w:hint="eastAsia" w:ascii="方正仿宋_GBK" w:eastAsia="方正仿宋_GBK" w:cs="方正仿宋_GBK"/>
                <w:color w:val="auto"/>
                <w:szCs w:val="21"/>
              </w:rPr>
              <w:t>道路畅通。</w:t>
            </w:r>
          </w:p>
          <w:p w14:paraId="3AF98663">
            <w:pPr>
              <w:pStyle w:val="55"/>
              <w:spacing w:line="300" w:lineRule="exact"/>
              <w:rPr>
                <w:rFonts w:ascii="方正仿宋_GBK" w:eastAsia="方正仿宋_GBK"/>
                <w:color w:val="auto"/>
                <w:szCs w:val="21"/>
              </w:rPr>
            </w:pPr>
            <w:r>
              <w:rPr>
                <w:rFonts w:ascii="方正仿宋_GBK" w:eastAsia="方正仿宋_GBK" w:cs="方正仿宋_GBK"/>
                <w:color w:val="auto"/>
                <w:szCs w:val="21"/>
              </w:rPr>
              <w:t xml:space="preserve">2. </w:t>
            </w:r>
            <w:r>
              <w:rPr>
                <w:rFonts w:hint="eastAsia" w:ascii="方正仿宋_GBK" w:eastAsia="方正仿宋_GBK" w:cs="方正仿宋_GBK"/>
                <w:color w:val="auto"/>
                <w:szCs w:val="21"/>
              </w:rPr>
              <w:t>排水设施齐全畅通。</w:t>
            </w:r>
          </w:p>
          <w:p w14:paraId="6FBD7140">
            <w:pPr>
              <w:pStyle w:val="55"/>
              <w:spacing w:line="300" w:lineRule="exact"/>
              <w:rPr>
                <w:rFonts w:ascii="方正仿宋_GBK" w:eastAsia="方正仿宋_GBK"/>
                <w:color w:val="auto"/>
                <w:szCs w:val="21"/>
              </w:rPr>
            </w:pPr>
            <w:r>
              <w:rPr>
                <w:rFonts w:ascii="方正仿宋_GBK" w:eastAsia="方正仿宋_GBK" w:cs="方正仿宋_GBK"/>
                <w:color w:val="auto"/>
                <w:szCs w:val="21"/>
              </w:rPr>
              <w:t xml:space="preserve">3. </w:t>
            </w:r>
            <w:r>
              <w:rPr>
                <w:rFonts w:hint="eastAsia" w:ascii="方正仿宋_GBK" w:eastAsia="方正仿宋_GBK" w:cs="方正仿宋_GBK"/>
                <w:color w:val="auto"/>
                <w:szCs w:val="21"/>
              </w:rPr>
              <w:t>工地地面硬化处理（办公区、生活区、现场道路、材料堆放、混凝土搅拌、砂浆搅拌、钢筋加工等场地和外脚手架基础等）。</w:t>
            </w:r>
          </w:p>
        </w:tc>
      </w:tr>
      <w:tr w14:paraId="1C5A14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74EFD4DD">
            <w:pPr>
              <w:pStyle w:val="55"/>
              <w:spacing w:line="300" w:lineRule="exact"/>
              <w:jc w:val="center"/>
              <w:rPr>
                <w:rFonts w:ascii="方正仿宋_GBK" w:eastAsia="方正仿宋_GBK"/>
                <w:color w:val="auto"/>
                <w:szCs w:val="21"/>
              </w:rPr>
            </w:pPr>
          </w:p>
        </w:tc>
        <w:tc>
          <w:tcPr>
            <w:tcW w:w="2070" w:type="dxa"/>
            <w:gridSpan w:val="2"/>
            <w:noWrap w:val="0"/>
            <w:vAlign w:val="center"/>
          </w:tcPr>
          <w:p w14:paraId="3052AA27">
            <w:pPr>
              <w:pStyle w:val="55"/>
              <w:spacing w:line="300" w:lineRule="exact"/>
              <w:jc w:val="center"/>
              <w:rPr>
                <w:rFonts w:ascii="方正仿宋_GBK" w:eastAsia="方正仿宋_GBK"/>
                <w:color w:val="auto"/>
                <w:szCs w:val="21"/>
              </w:rPr>
            </w:pPr>
            <w:r>
              <w:rPr>
                <w:rFonts w:hint="eastAsia" w:ascii="方正仿宋_GBK" w:eastAsia="方正仿宋_GBK" w:cs="方正仿宋_GBK"/>
                <w:color w:val="auto"/>
                <w:szCs w:val="21"/>
              </w:rPr>
              <w:t>材料堆放</w:t>
            </w:r>
          </w:p>
        </w:tc>
        <w:tc>
          <w:tcPr>
            <w:tcW w:w="6645" w:type="dxa"/>
            <w:noWrap w:val="0"/>
            <w:vAlign w:val="center"/>
          </w:tcPr>
          <w:p w14:paraId="73513819">
            <w:pPr>
              <w:pStyle w:val="55"/>
              <w:numPr>
                <w:ilvl w:val="0"/>
                <w:numId w:val="11"/>
              </w:numPr>
              <w:spacing w:line="300" w:lineRule="exact"/>
              <w:rPr>
                <w:rFonts w:ascii="方正仿宋_GBK" w:eastAsia="方正仿宋_GBK"/>
                <w:color w:val="auto"/>
                <w:szCs w:val="21"/>
              </w:rPr>
            </w:pPr>
            <w:r>
              <w:rPr>
                <w:rFonts w:hint="eastAsia" w:ascii="方正仿宋_GBK" w:eastAsia="方正仿宋_GBK" w:cs="方正仿宋_GBK"/>
                <w:color w:val="auto"/>
                <w:szCs w:val="21"/>
              </w:rPr>
              <w:t>材料、构件、料具等堆放时，应有名称、品种、规格等标牌。</w:t>
            </w:r>
          </w:p>
          <w:p w14:paraId="77D18942">
            <w:pPr>
              <w:pStyle w:val="55"/>
              <w:spacing w:line="300" w:lineRule="exact"/>
              <w:rPr>
                <w:rFonts w:ascii="方正仿宋_GBK" w:eastAsia="方正仿宋_GBK"/>
                <w:color w:val="auto"/>
                <w:szCs w:val="21"/>
              </w:rPr>
            </w:pPr>
            <w:r>
              <w:rPr>
                <w:rFonts w:ascii="方正仿宋_GBK" w:eastAsia="方正仿宋_GBK" w:cs="方正仿宋_GBK"/>
                <w:color w:val="auto"/>
                <w:szCs w:val="21"/>
              </w:rPr>
              <w:t xml:space="preserve">2. </w:t>
            </w:r>
            <w:r>
              <w:rPr>
                <w:rFonts w:hint="eastAsia" w:ascii="方正仿宋_GBK" w:eastAsia="方正仿宋_GBK" w:cs="方正仿宋_GBK"/>
                <w:color w:val="auto"/>
                <w:szCs w:val="21"/>
              </w:rPr>
              <w:t>水泥和其它易飞扬细颗粒建筑材料应封闭存放或采取覆盖等措施。</w:t>
            </w:r>
          </w:p>
          <w:p w14:paraId="3BE3E97C">
            <w:pPr>
              <w:pStyle w:val="55"/>
              <w:spacing w:line="300" w:lineRule="exact"/>
              <w:rPr>
                <w:rFonts w:ascii="方正仿宋_GBK" w:eastAsia="方正仿宋_GBK"/>
                <w:color w:val="auto"/>
                <w:szCs w:val="21"/>
              </w:rPr>
            </w:pPr>
            <w:r>
              <w:rPr>
                <w:rFonts w:ascii="方正仿宋_GBK" w:eastAsia="方正仿宋_GBK" w:cs="方正仿宋_GBK"/>
                <w:color w:val="auto"/>
                <w:szCs w:val="21"/>
              </w:rPr>
              <w:t xml:space="preserve">3. </w:t>
            </w:r>
            <w:r>
              <w:rPr>
                <w:rFonts w:hint="eastAsia" w:ascii="方正仿宋_GBK" w:eastAsia="方正仿宋_GBK" w:cs="方正仿宋_GBK"/>
                <w:color w:val="auto"/>
                <w:szCs w:val="21"/>
              </w:rPr>
              <w:t>易燃、易爆和有毒有害物品分类存放。</w:t>
            </w:r>
          </w:p>
        </w:tc>
      </w:tr>
      <w:tr w14:paraId="249C91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noWrap w:val="0"/>
            <w:vAlign w:val="center"/>
          </w:tcPr>
          <w:p w14:paraId="7E89B62D">
            <w:pPr>
              <w:pStyle w:val="55"/>
              <w:spacing w:line="300" w:lineRule="exact"/>
              <w:jc w:val="center"/>
              <w:rPr>
                <w:rFonts w:ascii="方正仿宋_GBK" w:eastAsia="方正仿宋_GBK"/>
                <w:color w:val="auto"/>
                <w:szCs w:val="21"/>
              </w:rPr>
            </w:pPr>
          </w:p>
        </w:tc>
        <w:tc>
          <w:tcPr>
            <w:tcW w:w="2070" w:type="dxa"/>
            <w:gridSpan w:val="2"/>
            <w:noWrap w:val="0"/>
            <w:vAlign w:val="center"/>
          </w:tcPr>
          <w:p w14:paraId="71244FF9">
            <w:pPr>
              <w:pStyle w:val="55"/>
              <w:spacing w:line="300" w:lineRule="exact"/>
              <w:jc w:val="center"/>
              <w:rPr>
                <w:rFonts w:ascii="方正仿宋_GBK" w:eastAsia="方正仿宋_GBK"/>
                <w:color w:val="auto"/>
                <w:szCs w:val="21"/>
              </w:rPr>
            </w:pPr>
            <w:r>
              <w:rPr>
                <w:rFonts w:hint="eastAsia" w:ascii="方正仿宋_GBK" w:eastAsia="方正仿宋_GBK" w:cs="方正仿宋_GBK"/>
                <w:color w:val="auto"/>
                <w:szCs w:val="21"/>
              </w:rPr>
              <w:t>现场防火</w:t>
            </w:r>
          </w:p>
        </w:tc>
        <w:tc>
          <w:tcPr>
            <w:tcW w:w="6645" w:type="dxa"/>
            <w:noWrap w:val="0"/>
            <w:vAlign w:val="center"/>
          </w:tcPr>
          <w:p w14:paraId="08F9952D">
            <w:pPr>
              <w:pStyle w:val="55"/>
              <w:spacing w:line="300" w:lineRule="exact"/>
              <w:rPr>
                <w:rFonts w:ascii="方正仿宋_GBK" w:eastAsia="方正仿宋_GBK"/>
                <w:color w:val="auto"/>
                <w:szCs w:val="21"/>
              </w:rPr>
            </w:pPr>
            <w:r>
              <w:rPr>
                <w:rFonts w:hint="eastAsia" w:ascii="方正仿宋_GBK" w:eastAsia="方正仿宋_GBK" w:cs="方正仿宋_GBK"/>
                <w:color w:val="auto"/>
                <w:szCs w:val="21"/>
              </w:rPr>
              <w:t>消防器材配置合理，符合消防要求。</w:t>
            </w:r>
          </w:p>
        </w:tc>
      </w:tr>
      <w:tr w14:paraId="5A9EF2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18991D89">
            <w:pPr>
              <w:pStyle w:val="55"/>
              <w:spacing w:line="300" w:lineRule="exact"/>
              <w:jc w:val="center"/>
              <w:rPr>
                <w:rFonts w:ascii="方正仿宋_GBK" w:eastAsia="方正仿宋_GBK"/>
                <w:color w:val="auto"/>
                <w:szCs w:val="21"/>
              </w:rPr>
            </w:pPr>
          </w:p>
        </w:tc>
        <w:tc>
          <w:tcPr>
            <w:tcW w:w="2070" w:type="dxa"/>
            <w:gridSpan w:val="2"/>
            <w:noWrap w:val="0"/>
            <w:vAlign w:val="center"/>
          </w:tcPr>
          <w:p w14:paraId="340C4B83">
            <w:pPr>
              <w:pStyle w:val="55"/>
              <w:spacing w:line="300" w:lineRule="exact"/>
              <w:jc w:val="center"/>
              <w:rPr>
                <w:rFonts w:ascii="方正仿宋_GBK" w:eastAsia="方正仿宋_GBK"/>
                <w:color w:val="auto"/>
                <w:szCs w:val="21"/>
              </w:rPr>
            </w:pPr>
            <w:r>
              <w:rPr>
                <w:rFonts w:hint="eastAsia" w:ascii="方正仿宋_GBK" w:eastAsia="方正仿宋_GBK" w:cs="方正仿宋_GBK"/>
                <w:color w:val="auto"/>
                <w:szCs w:val="21"/>
              </w:rPr>
              <w:t>垃圾清运</w:t>
            </w:r>
          </w:p>
        </w:tc>
        <w:tc>
          <w:tcPr>
            <w:tcW w:w="6645" w:type="dxa"/>
            <w:noWrap w:val="0"/>
            <w:vAlign w:val="center"/>
          </w:tcPr>
          <w:p w14:paraId="086208B7">
            <w:pPr>
              <w:pStyle w:val="55"/>
              <w:spacing w:line="300" w:lineRule="exact"/>
              <w:rPr>
                <w:rFonts w:ascii="方正仿宋_GBK" w:eastAsia="方正仿宋_GBK"/>
                <w:color w:val="auto"/>
                <w:szCs w:val="21"/>
              </w:rPr>
            </w:pPr>
            <w:r>
              <w:rPr>
                <w:rFonts w:ascii="方正仿宋_GBK" w:eastAsia="方正仿宋_GBK" w:cs="方正仿宋_GBK"/>
                <w:color w:val="auto"/>
                <w:szCs w:val="21"/>
              </w:rPr>
              <w:t xml:space="preserve">1. </w:t>
            </w:r>
            <w:r>
              <w:rPr>
                <w:rFonts w:hint="eastAsia" w:ascii="方正仿宋_GBK" w:eastAsia="方正仿宋_GBK" w:cs="方正仿宋_GBK"/>
                <w:color w:val="auto"/>
                <w:szCs w:val="21"/>
              </w:rPr>
              <w:t>施工现场应设置密闭式垃圾站，施工垃圾、生活垃圾应分类存放。</w:t>
            </w:r>
          </w:p>
          <w:p w14:paraId="5D8BC058">
            <w:pPr>
              <w:pStyle w:val="55"/>
              <w:spacing w:line="300" w:lineRule="exact"/>
              <w:rPr>
                <w:rFonts w:ascii="方正仿宋_GBK" w:eastAsia="方正仿宋_GBK"/>
                <w:color w:val="auto"/>
                <w:szCs w:val="21"/>
              </w:rPr>
            </w:pPr>
            <w:r>
              <w:rPr>
                <w:rFonts w:ascii="方正仿宋_GBK" w:eastAsia="方正仿宋_GBK" w:cs="方正仿宋_GBK"/>
                <w:color w:val="auto"/>
                <w:szCs w:val="21"/>
              </w:rPr>
              <w:t xml:space="preserve">2. </w:t>
            </w:r>
            <w:r>
              <w:rPr>
                <w:rFonts w:hint="eastAsia" w:ascii="方正仿宋_GBK" w:eastAsia="方正仿宋_GBK" w:cs="方正仿宋_GBK"/>
                <w:color w:val="auto"/>
                <w:szCs w:val="21"/>
              </w:rPr>
              <w:t>施工垃圾必须采用相应容器或管道运输。</w:t>
            </w:r>
          </w:p>
        </w:tc>
      </w:tr>
      <w:tr w14:paraId="23D455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15A25494">
            <w:pPr>
              <w:pStyle w:val="55"/>
              <w:spacing w:line="300" w:lineRule="exact"/>
              <w:jc w:val="center"/>
              <w:rPr>
                <w:rFonts w:ascii="方正仿宋_GBK" w:eastAsia="方正仿宋_GBK"/>
                <w:color w:val="auto"/>
                <w:szCs w:val="21"/>
              </w:rPr>
            </w:pPr>
          </w:p>
        </w:tc>
        <w:tc>
          <w:tcPr>
            <w:tcW w:w="2070" w:type="dxa"/>
            <w:gridSpan w:val="2"/>
            <w:noWrap w:val="0"/>
            <w:vAlign w:val="center"/>
          </w:tcPr>
          <w:p w14:paraId="17D3F3A4">
            <w:pPr>
              <w:pStyle w:val="55"/>
              <w:spacing w:line="300" w:lineRule="exact"/>
              <w:rPr>
                <w:rFonts w:ascii="方正仿宋_GBK" w:eastAsia="方正仿宋_GBK"/>
                <w:color w:val="auto"/>
                <w:szCs w:val="21"/>
              </w:rPr>
            </w:pPr>
            <w:r>
              <w:rPr>
                <w:rFonts w:hint="eastAsia" w:ascii="方正仿宋_GBK" w:eastAsia="方正仿宋_GBK" w:cs="方正仿宋_GBK"/>
                <w:color w:val="auto"/>
                <w:szCs w:val="21"/>
              </w:rPr>
              <w:t>宣传栏、环保及不扰民措施</w:t>
            </w:r>
          </w:p>
        </w:tc>
        <w:tc>
          <w:tcPr>
            <w:tcW w:w="6645" w:type="dxa"/>
            <w:noWrap w:val="0"/>
            <w:vAlign w:val="center"/>
          </w:tcPr>
          <w:p w14:paraId="74D64A19">
            <w:pPr>
              <w:pStyle w:val="55"/>
              <w:spacing w:line="300" w:lineRule="exact"/>
              <w:rPr>
                <w:rFonts w:ascii="方正仿宋_GBK" w:eastAsia="方正仿宋_GBK"/>
                <w:color w:val="auto"/>
                <w:szCs w:val="21"/>
              </w:rPr>
            </w:pPr>
            <w:r>
              <w:rPr>
                <w:rFonts w:hint="eastAsia" w:ascii="方正仿宋_GBK" w:eastAsia="方正仿宋_GBK" w:cs="方正仿宋_GBK"/>
                <w:color w:val="auto"/>
                <w:szCs w:val="21"/>
              </w:rPr>
              <w:t>宣传栏、安全宣传标语等，洗车（防止污染市区道路）、粉尘、噪声控制和排污（污水、废气）措施等。</w:t>
            </w:r>
          </w:p>
        </w:tc>
      </w:tr>
      <w:tr w14:paraId="3555AB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noWrap w:val="0"/>
            <w:vAlign w:val="center"/>
          </w:tcPr>
          <w:p w14:paraId="22335E84">
            <w:pPr>
              <w:pStyle w:val="55"/>
              <w:spacing w:line="300" w:lineRule="exact"/>
              <w:jc w:val="center"/>
              <w:rPr>
                <w:rFonts w:ascii="方正仿宋_GBK" w:eastAsia="方正仿宋_GBK"/>
                <w:color w:val="auto"/>
                <w:szCs w:val="21"/>
              </w:rPr>
            </w:pPr>
            <w:r>
              <w:rPr>
                <w:rFonts w:hint="eastAsia" w:ascii="方正仿宋_GBK" w:eastAsia="方正仿宋_GBK" w:cs="方正仿宋_GBK"/>
                <w:color w:val="auto"/>
                <w:szCs w:val="21"/>
              </w:rPr>
              <w:t>临时设施</w:t>
            </w:r>
          </w:p>
        </w:tc>
        <w:tc>
          <w:tcPr>
            <w:tcW w:w="2070" w:type="dxa"/>
            <w:gridSpan w:val="2"/>
            <w:noWrap w:val="0"/>
            <w:vAlign w:val="center"/>
          </w:tcPr>
          <w:p w14:paraId="5F319D74">
            <w:pPr>
              <w:pStyle w:val="55"/>
              <w:spacing w:line="300" w:lineRule="exact"/>
              <w:jc w:val="center"/>
              <w:rPr>
                <w:rFonts w:ascii="方正仿宋_GBK" w:eastAsia="方正仿宋_GBK"/>
                <w:color w:val="auto"/>
                <w:szCs w:val="21"/>
              </w:rPr>
            </w:pPr>
            <w:r>
              <w:rPr>
                <w:rFonts w:hint="eastAsia" w:ascii="方正仿宋_GBK" w:eastAsia="方正仿宋_GBK" w:cs="方正仿宋_GBK"/>
                <w:color w:val="auto"/>
                <w:szCs w:val="21"/>
              </w:rPr>
              <w:t>现场办公</w:t>
            </w:r>
          </w:p>
          <w:p w14:paraId="5A7C8C08">
            <w:pPr>
              <w:pStyle w:val="55"/>
              <w:spacing w:line="300" w:lineRule="exact"/>
              <w:jc w:val="center"/>
              <w:rPr>
                <w:rFonts w:ascii="方正仿宋_GBK" w:eastAsia="方正仿宋_GBK"/>
                <w:color w:val="auto"/>
                <w:szCs w:val="21"/>
              </w:rPr>
            </w:pPr>
            <w:r>
              <w:rPr>
                <w:rFonts w:hint="eastAsia" w:ascii="方正仿宋_GBK" w:eastAsia="方正仿宋_GBK" w:cs="方正仿宋_GBK"/>
                <w:color w:val="auto"/>
                <w:szCs w:val="21"/>
              </w:rPr>
              <w:t>生活设施</w:t>
            </w:r>
          </w:p>
        </w:tc>
        <w:tc>
          <w:tcPr>
            <w:tcW w:w="6645" w:type="dxa"/>
            <w:noWrap w:val="0"/>
            <w:vAlign w:val="center"/>
          </w:tcPr>
          <w:p w14:paraId="078F9F43">
            <w:pPr>
              <w:pStyle w:val="55"/>
              <w:spacing w:line="300" w:lineRule="exact"/>
              <w:rPr>
                <w:rFonts w:ascii="方正仿宋_GBK" w:eastAsia="方正仿宋_GBK"/>
                <w:color w:val="auto"/>
                <w:szCs w:val="21"/>
              </w:rPr>
            </w:pPr>
            <w:r>
              <w:rPr>
                <w:rFonts w:ascii="方正仿宋_GBK" w:eastAsia="方正仿宋_GBK" w:cs="方正仿宋_GBK"/>
                <w:color w:val="auto"/>
                <w:szCs w:val="21"/>
              </w:rPr>
              <w:t xml:space="preserve">1. </w:t>
            </w:r>
            <w:r>
              <w:rPr>
                <w:rFonts w:hint="eastAsia" w:ascii="方正仿宋_GBK" w:eastAsia="方正仿宋_GBK" w:cs="方正仿宋_GBK"/>
                <w:color w:val="auto"/>
                <w:szCs w:val="21"/>
              </w:rPr>
              <w:t>施工现场办公、生活区与作业区分开设置，保持安全距离。</w:t>
            </w:r>
          </w:p>
          <w:p w14:paraId="5C09DBC8">
            <w:pPr>
              <w:pStyle w:val="55"/>
              <w:spacing w:line="300" w:lineRule="exact"/>
              <w:rPr>
                <w:rFonts w:ascii="方正仿宋_GBK" w:eastAsia="方正仿宋_GBK"/>
                <w:color w:val="auto"/>
                <w:szCs w:val="21"/>
              </w:rPr>
            </w:pPr>
            <w:r>
              <w:rPr>
                <w:rFonts w:ascii="方正仿宋_GBK" w:eastAsia="方正仿宋_GBK" w:cs="方正仿宋_GBK"/>
                <w:color w:val="auto"/>
                <w:szCs w:val="21"/>
              </w:rPr>
              <w:t xml:space="preserve">2. </w:t>
            </w:r>
            <w:r>
              <w:rPr>
                <w:rFonts w:hint="eastAsia" w:ascii="方正仿宋_GBK" w:eastAsia="方正仿宋_GBK" w:cs="方正仿宋_GBK"/>
                <w:color w:val="auto"/>
                <w:szCs w:val="21"/>
              </w:rPr>
              <w:t>工地办公室、现场宿舍、食堂、厕所、饮水、沐浴、休息场所等符合卫生、消防安全要求。</w:t>
            </w:r>
          </w:p>
        </w:tc>
      </w:tr>
      <w:tr w14:paraId="6D9DE1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4DD1F36D">
            <w:pPr>
              <w:pStyle w:val="55"/>
              <w:spacing w:line="300" w:lineRule="exact"/>
              <w:jc w:val="center"/>
              <w:rPr>
                <w:rFonts w:ascii="方正仿宋_GBK" w:eastAsia="方正仿宋_GBK"/>
                <w:color w:val="auto"/>
                <w:szCs w:val="21"/>
              </w:rPr>
            </w:pPr>
          </w:p>
        </w:tc>
        <w:tc>
          <w:tcPr>
            <w:tcW w:w="525" w:type="dxa"/>
            <w:vMerge w:val="restart"/>
            <w:noWrap w:val="0"/>
            <w:vAlign w:val="center"/>
          </w:tcPr>
          <w:p w14:paraId="17735D14">
            <w:pPr>
              <w:pStyle w:val="55"/>
              <w:spacing w:line="300" w:lineRule="exact"/>
              <w:jc w:val="center"/>
              <w:rPr>
                <w:rFonts w:ascii="方正仿宋_GBK" w:eastAsia="方正仿宋_GBK"/>
                <w:color w:val="auto"/>
                <w:szCs w:val="21"/>
              </w:rPr>
            </w:pPr>
            <w:r>
              <w:rPr>
                <w:rFonts w:hint="eastAsia" w:ascii="方正仿宋_GBK" w:eastAsia="方正仿宋_GBK" w:cs="方正仿宋_GBK"/>
                <w:color w:val="auto"/>
                <w:szCs w:val="21"/>
              </w:rPr>
              <w:t>施工现场</w:t>
            </w:r>
          </w:p>
          <w:p w14:paraId="1551B125">
            <w:pPr>
              <w:pStyle w:val="55"/>
              <w:spacing w:line="300" w:lineRule="exact"/>
              <w:jc w:val="center"/>
              <w:rPr>
                <w:rFonts w:ascii="方正仿宋_GBK" w:eastAsia="方正仿宋_GBK"/>
                <w:color w:val="auto"/>
                <w:szCs w:val="21"/>
              </w:rPr>
            </w:pPr>
            <w:r>
              <w:rPr>
                <w:rFonts w:hint="eastAsia" w:ascii="方正仿宋_GBK" w:eastAsia="方正仿宋_GBK" w:cs="方正仿宋_GBK"/>
                <w:color w:val="auto"/>
                <w:szCs w:val="21"/>
              </w:rPr>
              <w:t>临时用电</w:t>
            </w:r>
          </w:p>
        </w:tc>
        <w:tc>
          <w:tcPr>
            <w:tcW w:w="1545" w:type="dxa"/>
            <w:noWrap w:val="0"/>
            <w:vAlign w:val="center"/>
          </w:tcPr>
          <w:p w14:paraId="736FC8B8">
            <w:pPr>
              <w:pStyle w:val="55"/>
              <w:spacing w:line="300" w:lineRule="exact"/>
              <w:jc w:val="center"/>
              <w:rPr>
                <w:rFonts w:ascii="方正仿宋_GBK" w:eastAsia="方正仿宋_GBK"/>
                <w:color w:val="auto"/>
                <w:szCs w:val="21"/>
              </w:rPr>
            </w:pPr>
            <w:r>
              <w:rPr>
                <w:rFonts w:hint="eastAsia" w:ascii="方正仿宋_GBK" w:eastAsia="方正仿宋_GBK" w:cs="方正仿宋_GBK"/>
                <w:color w:val="auto"/>
                <w:szCs w:val="21"/>
              </w:rPr>
              <w:t>配电线路</w:t>
            </w:r>
          </w:p>
        </w:tc>
        <w:tc>
          <w:tcPr>
            <w:tcW w:w="6645" w:type="dxa"/>
            <w:noWrap w:val="0"/>
            <w:vAlign w:val="center"/>
          </w:tcPr>
          <w:p w14:paraId="1912EE74">
            <w:pPr>
              <w:pStyle w:val="55"/>
              <w:spacing w:line="300" w:lineRule="exact"/>
              <w:rPr>
                <w:rFonts w:ascii="方正仿宋_GBK" w:eastAsia="方正仿宋_GBK"/>
                <w:color w:val="auto"/>
                <w:szCs w:val="21"/>
              </w:rPr>
            </w:pPr>
            <w:r>
              <w:rPr>
                <w:rFonts w:ascii="方正仿宋_GBK" w:eastAsia="方正仿宋_GBK" w:cs="方正仿宋_GBK"/>
                <w:color w:val="auto"/>
                <w:szCs w:val="21"/>
              </w:rPr>
              <w:t xml:space="preserve">1. </w:t>
            </w:r>
            <w:r>
              <w:rPr>
                <w:rFonts w:hint="eastAsia" w:ascii="方正仿宋_GBK" w:eastAsia="方正仿宋_GBK" w:cs="方正仿宋_GBK"/>
                <w:color w:val="auto"/>
                <w:szCs w:val="21"/>
              </w:rPr>
              <w:t>按照</w:t>
            </w:r>
            <w:r>
              <w:rPr>
                <w:rFonts w:ascii="方正仿宋_GBK" w:eastAsia="方正仿宋_GBK" w:cs="方正仿宋_GBK"/>
                <w:color w:val="auto"/>
                <w:szCs w:val="21"/>
              </w:rPr>
              <w:t>TN-S</w:t>
            </w:r>
            <w:r>
              <w:rPr>
                <w:rFonts w:hint="eastAsia" w:ascii="方正仿宋_GBK" w:eastAsia="方正仿宋_GBK" w:cs="方正仿宋_GBK"/>
                <w:color w:val="auto"/>
                <w:szCs w:val="21"/>
              </w:rPr>
              <w:t>系统要求配备五芯电缆、四芯电缆和三芯电缆。</w:t>
            </w:r>
          </w:p>
          <w:p w14:paraId="7A49A8E7">
            <w:pPr>
              <w:pStyle w:val="55"/>
              <w:spacing w:line="300" w:lineRule="exact"/>
              <w:rPr>
                <w:rFonts w:ascii="方正仿宋_GBK" w:eastAsia="方正仿宋_GBK"/>
                <w:color w:val="auto"/>
                <w:szCs w:val="21"/>
              </w:rPr>
            </w:pPr>
            <w:r>
              <w:rPr>
                <w:rFonts w:ascii="方正仿宋_GBK" w:eastAsia="方正仿宋_GBK" w:cs="方正仿宋_GBK"/>
                <w:color w:val="auto"/>
                <w:szCs w:val="21"/>
              </w:rPr>
              <w:t xml:space="preserve">2. </w:t>
            </w:r>
            <w:r>
              <w:rPr>
                <w:rFonts w:hint="eastAsia" w:ascii="方正仿宋_GBK" w:eastAsia="方正仿宋_GBK" w:cs="方正仿宋_GBK"/>
                <w:color w:val="auto"/>
                <w:szCs w:val="21"/>
              </w:rPr>
              <w:t>按要求架设临时用电线路的电杆、横担、瓷夹、瓷瓶等，或电缆埋地的地沟。</w:t>
            </w:r>
          </w:p>
          <w:p w14:paraId="4B87BB0F">
            <w:pPr>
              <w:pStyle w:val="55"/>
              <w:spacing w:line="300" w:lineRule="exact"/>
              <w:rPr>
                <w:rFonts w:ascii="方正仿宋_GBK" w:eastAsia="方正仿宋_GBK"/>
                <w:color w:val="auto"/>
                <w:szCs w:val="21"/>
              </w:rPr>
            </w:pPr>
            <w:r>
              <w:rPr>
                <w:rFonts w:ascii="方正仿宋_GBK" w:eastAsia="方正仿宋_GBK" w:cs="方正仿宋_GBK"/>
                <w:color w:val="auto"/>
                <w:szCs w:val="21"/>
              </w:rPr>
              <w:t xml:space="preserve">3. </w:t>
            </w:r>
            <w:r>
              <w:rPr>
                <w:rFonts w:hint="eastAsia" w:ascii="方正仿宋_GBK" w:eastAsia="方正仿宋_GBK" w:cs="方正仿宋_GBK"/>
                <w:color w:val="auto"/>
                <w:szCs w:val="21"/>
              </w:rPr>
              <w:t>对靠近施工现场的外电线路，设置木质、塑料等绝缘体的防护设施。</w:t>
            </w:r>
          </w:p>
        </w:tc>
      </w:tr>
      <w:tr w14:paraId="2B3F28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353C0F43">
            <w:pPr>
              <w:pStyle w:val="55"/>
              <w:spacing w:line="300" w:lineRule="exact"/>
              <w:jc w:val="center"/>
              <w:rPr>
                <w:rFonts w:ascii="方正仿宋_GBK" w:eastAsia="方正仿宋_GBK"/>
                <w:color w:val="auto"/>
                <w:szCs w:val="21"/>
              </w:rPr>
            </w:pPr>
          </w:p>
        </w:tc>
        <w:tc>
          <w:tcPr>
            <w:tcW w:w="525" w:type="dxa"/>
            <w:vMerge w:val="continue"/>
            <w:noWrap w:val="0"/>
            <w:vAlign w:val="center"/>
          </w:tcPr>
          <w:p w14:paraId="0CBFA13C">
            <w:pPr>
              <w:pStyle w:val="55"/>
              <w:spacing w:line="300" w:lineRule="exact"/>
              <w:jc w:val="center"/>
              <w:rPr>
                <w:rFonts w:ascii="方正仿宋_GBK" w:eastAsia="方正仿宋_GBK"/>
                <w:color w:val="auto"/>
                <w:szCs w:val="21"/>
              </w:rPr>
            </w:pPr>
          </w:p>
        </w:tc>
        <w:tc>
          <w:tcPr>
            <w:tcW w:w="1545" w:type="dxa"/>
            <w:noWrap w:val="0"/>
            <w:vAlign w:val="center"/>
          </w:tcPr>
          <w:p w14:paraId="1C564196">
            <w:pPr>
              <w:pStyle w:val="55"/>
              <w:spacing w:line="300" w:lineRule="exact"/>
              <w:jc w:val="center"/>
              <w:rPr>
                <w:rFonts w:ascii="方正仿宋_GBK" w:eastAsia="方正仿宋_GBK"/>
                <w:color w:val="auto"/>
                <w:szCs w:val="21"/>
              </w:rPr>
            </w:pPr>
            <w:r>
              <w:rPr>
                <w:rFonts w:hint="eastAsia" w:ascii="方正仿宋_GBK" w:eastAsia="方正仿宋_GBK" w:cs="方正仿宋_GBK"/>
                <w:color w:val="auto"/>
                <w:szCs w:val="21"/>
              </w:rPr>
              <w:t>配电箱</w:t>
            </w:r>
          </w:p>
          <w:p w14:paraId="54EF5B46">
            <w:pPr>
              <w:pStyle w:val="55"/>
              <w:spacing w:line="300" w:lineRule="exact"/>
              <w:jc w:val="center"/>
              <w:rPr>
                <w:rFonts w:ascii="方正仿宋_GBK" w:eastAsia="方正仿宋_GBK"/>
                <w:color w:val="auto"/>
                <w:szCs w:val="21"/>
              </w:rPr>
            </w:pPr>
            <w:r>
              <w:rPr>
                <w:rFonts w:hint="eastAsia" w:ascii="方正仿宋_GBK" w:eastAsia="方正仿宋_GBK" w:cs="方正仿宋_GBK"/>
                <w:color w:val="auto"/>
                <w:szCs w:val="21"/>
              </w:rPr>
              <w:t>开关箱</w:t>
            </w:r>
          </w:p>
        </w:tc>
        <w:tc>
          <w:tcPr>
            <w:tcW w:w="6645" w:type="dxa"/>
            <w:noWrap w:val="0"/>
            <w:vAlign w:val="center"/>
          </w:tcPr>
          <w:p w14:paraId="1CA41CE7">
            <w:pPr>
              <w:pStyle w:val="55"/>
              <w:spacing w:line="300" w:lineRule="exact"/>
              <w:rPr>
                <w:rFonts w:ascii="方正仿宋_GBK" w:eastAsia="方正仿宋_GBK"/>
                <w:color w:val="auto"/>
                <w:szCs w:val="21"/>
              </w:rPr>
            </w:pPr>
            <w:r>
              <w:rPr>
                <w:rFonts w:ascii="方正仿宋_GBK" w:eastAsia="方正仿宋_GBK" w:cs="方正仿宋_GBK"/>
                <w:color w:val="auto"/>
                <w:szCs w:val="21"/>
              </w:rPr>
              <w:t xml:space="preserve">1. </w:t>
            </w:r>
            <w:r>
              <w:rPr>
                <w:rFonts w:hint="eastAsia" w:ascii="方正仿宋_GBK" w:eastAsia="方正仿宋_GBK" w:cs="方正仿宋_GBK"/>
                <w:color w:val="auto"/>
                <w:szCs w:val="21"/>
              </w:rPr>
              <w:t>按三级配电要求，配备总配电箱、分配电箱、开关箱三类（铁质）标准电箱，开关箱应符合“一机、一箱、一闸、一漏”，三类电箱中的各类电器应是合格品。</w:t>
            </w:r>
          </w:p>
          <w:p w14:paraId="17850454">
            <w:pPr>
              <w:pStyle w:val="55"/>
              <w:spacing w:line="300" w:lineRule="exact"/>
              <w:rPr>
                <w:rFonts w:ascii="方正仿宋_GBK" w:eastAsia="方正仿宋_GBK"/>
                <w:color w:val="auto"/>
                <w:szCs w:val="21"/>
              </w:rPr>
            </w:pPr>
            <w:r>
              <w:rPr>
                <w:rFonts w:ascii="方正仿宋_GBK" w:eastAsia="方正仿宋_GBK" w:cs="方正仿宋_GBK"/>
                <w:color w:val="auto"/>
                <w:szCs w:val="21"/>
              </w:rPr>
              <w:t xml:space="preserve">2. </w:t>
            </w:r>
            <w:r>
              <w:rPr>
                <w:rFonts w:hint="eastAsia" w:ascii="方正仿宋_GBK" w:eastAsia="方正仿宋_GBK" w:cs="方正仿宋_GBK"/>
                <w:color w:val="auto"/>
                <w:szCs w:val="21"/>
              </w:rPr>
              <w:t>按两级保护的要求，选取符合容量要求和质量合格的总配电箱和开关箱中的漏电保护器。</w:t>
            </w:r>
          </w:p>
          <w:p w14:paraId="32CBBB27">
            <w:pPr>
              <w:pStyle w:val="55"/>
              <w:spacing w:line="300" w:lineRule="exact"/>
              <w:rPr>
                <w:rFonts w:ascii="方正仿宋_GBK" w:eastAsia="方正仿宋_GBK"/>
                <w:color w:val="auto"/>
                <w:szCs w:val="21"/>
              </w:rPr>
            </w:pPr>
            <w:r>
              <w:rPr>
                <w:rFonts w:ascii="方正仿宋_GBK" w:eastAsia="方正仿宋_GBK" w:cs="方正仿宋_GBK"/>
                <w:color w:val="auto"/>
                <w:szCs w:val="21"/>
              </w:rPr>
              <w:t xml:space="preserve">3. </w:t>
            </w:r>
            <w:r>
              <w:rPr>
                <w:rFonts w:hint="eastAsia" w:ascii="方正仿宋_GBK" w:eastAsia="方正仿宋_GBK" w:cs="方正仿宋_GBK"/>
                <w:color w:val="auto"/>
                <w:szCs w:val="21"/>
              </w:rPr>
              <w:t>对大型、落地式分配电箱、开关箱设置防护棚和通透式围挡。</w:t>
            </w:r>
          </w:p>
        </w:tc>
      </w:tr>
      <w:tr w14:paraId="6A456A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738" w:type="dxa"/>
            <w:vMerge w:val="continue"/>
            <w:noWrap w:val="0"/>
            <w:vAlign w:val="center"/>
          </w:tcPr>
          <w:p w14:paraId="373DABDA">
            <w:pPr>
              <w:pStyle w:val="55"/>
              <w:spacing w:line="300" w:lineRule="exact"/>
              <w:jc w:val="center"/>
              <w:rPr>
                <w:rFonts w:ascii="方正仿宋_GBK" w:eastAsia="方正仿宋_GBK"/>
                <w:color w:val="auto"/>
                <w:szCs w:val="21"/>
              </w:rPr>
            </w:pPr>
          </w:p>
        </w:tc>
        <w:tc>
          <w:tcPr>
            <w:tcW w:w="525" w:type="dxa"/>
            <w:vMerge w:val="continue"/>
            <w:noWrap w:val="0"/>
            <w:vAlign w:val="center"/>
          </w:tcPr>
          <w:p w14:paraId="68171E95">
            <w:pPr>
              <w:pStyle w:val="55"/>
              <w:spacing w:line="300" w:lineRule="exact"/>
              <w:jc w:val="center"/>
              <w:rPr>
                <w:rFonts w:ascii="方正仿宋_GBK" w:eastAsia="方正仿宋_GBK"/>
                <w:color w:val="auto"/>
                <w:szCs w:val="21"/>
              </w:rPr>
            </w:pPr>
          </w:p>
        </w:tc>
        <w:tc>
          <w:tcPr>
            <w:tcW w:w="1545" w:type="dxa"/>
            <w:noWrap w:val="0"/>
            <w:vAlign w:val="center"/>
          </w:tcPr>
          <w:p w14:paraId="62CC353D">
            <w:pPr>
              <w:pStyle w:val="55"/>
              <w:spacing w:line="300" w:lineRule="exact"/>
              <w:jc w:val="center"/>
              <w:rPr>
                <w:rFonts w:ascii="方正仿宋_GBK" w:eastAsia="方正仿宋_GBK"/>
                <w:color w:val="auto"/>
                <w:szCs w:val="21"/>
              </w:rPr>
            </w:pPr>
            <w:r>
              <w:rPr>
                <w:rFonts w:hint="eastAsia" w:ascii="方正仿宋_GBK" w:eastAsia="方正仿宋_GBK" w:cs="方正仿宋_GBK"/>
                <w:color w:val="auto"/>
                <w:szCs w:val="21"/>
              </w:rPr>
              <w:t>接地装置</w:t>
            </w:r>
          </w:p>
        </w:tc>
        <w:tc>
          <w:tcPr>
            <w:tcW w:w="6645" w:type="dxa"/>
            <w:noWrap w:val="0"/>
            <w:vAlign w:val="center"/>
          </w:tcPr>
          <w:p w14:paraId="6610F69B">
            <w:pPr>
              <w:pStyle w:val="55"/>
              <w:spacing w:line="300" w:lineRule="exact"/>
              <w:rPr>
                <w:rFonts w:ascii="方正仿宋_GBK" w:eastAsia="方正仿宋_GBK"/>
                <w:color w:val="auto"/>
                <w:szCs w:val="21"/>
              </w:rPr>
            </w:pPr>
            <w:r>
              <w:rPr>
                <w:rFonts w:hint="eastAsia" w:ascii="方正仿宋_GBK" w:eastAsia="方正仿宋_GBK" w:cs="方正仿宋_GBK"/>
                <w:color w:val="auto"/>
                <w:szCs w:val="21"/>
              </w:rPr>
              <w:t>施工现场应设置不少于三处的重复接地装置。</w:t>
            </w:r>
          </w:p>
        </w:tc>
      </w:tr>
      <w:tr w14:paraId="7666BB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16" w:hRule="atLeast"/>
        </w:trPr>
        <w:tc>
          <w:tcPr>
            <w:tcW w:w="738" w:type="dxa"/>
            <w:vMerge w:val="continue"/>
            <w:noWrap w:val="0"/>
            <w:vAlign w:val="center"/>
          </w:tcPr>
          <w:p w14:paraId="1A4EB8D5">
            <w:pPr>
              <w:pStyle w:val="55"/>
              <w:spacing w:line="300" w:lineRule="exact"/>
              <w:jc w:val="center"/>
              <w:rPr>
                <w:rFonts w:ascii="方正仿宋_GBK" w:eastAsia="方正仿宋_GBK"/>
                <w:color w:val="auto"/>
                <w:szCs w:val="21"/>
              </w:rPr>
            </w:pPr>
          </w:p>
        </w:tc>
        <w:tc>
          <w:tcPr>
            <w:tcW w:w="525" w:type="dxa"/>
            <w:vMerge w:val="continue"/>
            <w:noWrap w:val="0"/>
            <w:vAlign w:val="center"/>
          </w:tcPr>
          <w:p w14:paraId="57A36BDE">
            <w:pPr>
              <w:pStyle w:val="55"/>
              <w:spacing w:line="300" w:lineRule="exact"/>
              <w:jc w:val="center"/>
              <w:rPr>
                <w:rFonts w:ascii="方正仿宋_GBK" w:eastAsia="方正仿宋_GBK"/>
                <w:color w:val="auto"/>
                <w:szCs w:val="21"/>
              </w:rPr>
            </w:pPr>
          </w:p>
        </w:tc>
        <w:tc>
          <w:tcPr>
            <w:tcW w:w="1545" w:type="dxa"/>
            <w:noWrap w:val="0"/>
            <w:vAlign w:val="center"/>
          </w:tcPr>
          <w:p w14:paraId="2EB801E5">
            <w:pPr>
              <w:pStyle w:val="55"/>
              <w:spacing w:line="300" w:lineRule="exact"/>
              <w:jc w:val="center"/>
              <w:rPr>
                <w:rFonts w:ascii="方正仿宋_GBK" w:eastAsia="方正仿宋_GBK"/>
                <w:color w:val="auto"/>
                <w:szCs w:val="21"/>
              </w:rPr>
            </w:pPr>
            <w:r>
              <w:rPr>
                <w:rFonts w:hint="eastAsia" w:ascii="方正仿宋_GBK" w:eastAsia="方正仿宋_GBK" w:cs="方正仿宋_GBK"/>
                <w:color w:val="auto"/>
                <w:szCs w:val="21"/>
              </w:rPr>
              <w:t>现场变配电装置</w:t>
            </w:r>
          </w:p>
        </w:tc>
        <w:tc>
          <w:tcPr>
            <w:tcW w:w="6645" w:type="dxa"/>
            <w:noWrap w:val="0"/>
            <w:vAlign w:val="center"/>
          </w:tcPr>
          <w:p w14:paraId="0BADD716">
            <w:pPr>
              <w:pStyle w:val="55"/>
              <w:spacing w:line="300" w:lineRule="exact"/>
              <w:rPr>
                <w:rFonts w:ascii="方正仿宋_GBK" w:eastAsia="方正仿宋_GBK"/>
                <w:color w:val="auto"/>
                <w:szCs w:val="21"/>
              </w:rPr>
            </w:pPr>
            <w:r>
              <w:rPr>
                <w:rFonts w:hint="eastAsia" w:ascii="方正仿宋_GBK" w:eastAsia="方正仿宋_GBK" w:cs="方正仿宋_GBK"/>
                <w:color w:val="auto"/>
                <w:szCs w:val="21"/>
              </w:rPr>
              <w:t>总配电房建筑材料必须达到消防防火要求，室内做硬地坪、电缆沟。</w:t>
            </w:r>
          </w:p>
        </w:tc>
      </w:tr>
      <w:tr w14:paraId="4783EE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738" w:type="dxa"/>
            <w:noWrap w:val="0"/>
            <w:vAlign w:val="center"/>
          </w:tcPr>
          <w:p w14:paraId="10F07D16">
            <w:pPr>
              <w:pStyle w:val="55"/>
              <w:spacing w:line="300" w:lineRule="exact"/>
              <w:jc w:val="center"/>
              <w:rPr>
                <w:rFonts w:ascii="方正仿宋_GBK" w:eastAsia="方正仿宋_GBK"/>
                <w:b/>
                <w:bCs/>
                <w:color w:val="auto"/>
                <w:szCs w:val="21"/>
              </w:rPr>
            </w:pPr>
            <w:r>
              <w:rPr>
                <w:rFonts w:hint="eastAsia" w:ascii="方正仿宋_GBK" w:eastAsia="方正仿宋_GBK" w:cs="方正仿宋_GBK"/>
                <w:b/>
                <w:bCs/>
                <w:color w:val="auto"/>
                <w:szCs w:val="21"/>
              </w:rPr>
              <w:t>类别</w:t>
            </w:r>
          </w:p>
        </w:tc>
        <w:tc>
          <w:tcPr>
            <w:tcW w:w="2070" w:type="dxa"/>
            <w:gridSpan w:val="2"/>
            <w:noWrap w:val="0"/>
            <w:vAlign w:val="center"/>
          </w:tcPr>
          <w:p w14:paraId="58C22E6C">
            <w:pPr>
              <w:pStyle w:val="55"/>
              <w:spacing w:line="300" w:lineRule="exact"/>
              <w:jc w:val="center"/>
              <w:rPr>
                <w:rFonts w:ascii="方正仿宋_GBK" w:eastAsia="方正仿宋_GBK"/>
                <w:b/>
                <w:bCs/>
                <w:color w:val="auto"/>
                <w:szCs w:val="21"/>
              </w:rPr>
            </w:pPr>
            <w:r>
              <w:rPr>
                <w:rFonts w:hint="eastAsia" w:ascii="方正仿宋_GBK" w:eastAsia="方正仿宋_GBK" w:cs="方正仿宋_GBK"/>
                <w:b/>
                <w:bCs/>
                <w:color w:val="auto"/>
                <w:szCs w:val="21"/>
              </w:rPr>
              <w:t>项目名称</w:t>
            </w:r>
          </w:p>
        </w:tc>
        <w:tc>
          <w:tcPr>
            <w:tcW w:w="6645" w:type="dxa"/>
            <w:noWrap w:val="0"/>
            <w:vAlign w:val="center"/>
          </w:tcPr>
          <w:p w14:paraId="221A43DE">
            <w:pPr>
              <w:pStyle w:val="55"/>
              <w:spacing w:line="300" w:lineRule="exact"/>
              <w:jc w:val="center"/>
              <w:rPr>
                <w:rFonts w:ascii="方正仿宋_GBK" w:eastAsia="方正仿宋_GBK"/>
                <w:b/>
                <w:bCs/>
                <w:color w:val="auto"/>
                <w:szCs w:val="21"/>
              </w:rPr>
            </w:pPr>
            <w:r>
              <w:rPr>
                <w:rFonts w:hint="eastAsia" w:ascii="方正仿宋_GBK" w:eastAsia="方正仿宋_GBK" w:cs="方正仿宋_GBK"/>
                <w:b/>
                <w:bCs/>
                <w:color w:val="auto"/>
                <w:szCs w:val="21"/>
              </w:rPr>
              <w:t>主要内容和要求</w:t>
            </w:r>
          </w:p>
        </w:tc>
      </w:tr>
      <w:tr w14:paraId="1156BE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noWrap w:val="0"/>
            <w:vAlign w:val="center"/>
          </w:tcPr>
          <w:p w14:paraId="5732AE86">
            <w:pPr>
              <w:pStyle w:val="55"/>
              <w:spacing w:line="300" w:lineRule="exact"/>
              <w:jc w:val="center"/>
              <w:rPr>
                <w:rFonts w:ascii="方正仿宋_GBK" w:eastAsia="方正仿宋_GBK"/>
                <w:color w:val="auto"/>
                <w:szCs w:val="21"/>
              </w:rPr>
            </w:pPr>
            <w:r>
              <w:rPr>
                <w:rFonts w:hint="eastAsia" w:ascii="方正仿宋_GBK" w:eastAsia="方正仿宋_GBK" w:cs="方正仿宋_GBK"/>
                <w:color w:val="auto"/>
                <w:szCs w:val="21"/>
              </w:rPr>
              <w:t>安全施工</w:t>
            </w:r>
          </w:p>
        </w:tc>
        <w:tc>
          <w:tcPr>
            <w:tcW w:w="525" w:type="dxa"/>
            <w:vMerge w:val="restart"/>
            <w:noWrap w:val="0"/>
            <w:vAlign w:val="center"/>
          </w:tcPr>
          <w:p w14:paraId="7AFE21D6">
            <w:pPr>
              <w:pStyle w:val="55"/>
              <w:spacing w:line="300" w:lineRule="exact"/>
              <w:jc w:val="center"/>
              <w:rPr>
                <w:rFonts w:ascii="方正仿宋_GBK" w:eastAsia="方正仿宋_GBK"/>
                <w:color w:val="auto"/>
                <w:szCs w:val="21"/>
              </w:rPr>
            </w:pPr>
            <w:r>
              <w:rPr>
                <w:rFonts w:hint="eastAsia" w:ascii="方正仿宋_GBK" w:eastAsia="方正仿宋_GBK" w:cs="方正仿宋_GBK"/>
                <w:color w:val="auto"/>
                <w:szCs w:val="21"/>
              </w:rPr>
              <w:t>高处作业防护</w:t>
            </w:r>
          </w:p>
        </w:tc>
        <w:tc>
          <w:tcPr>
            <w:tcW w:w="1545" w:type="dxa"/>
            <w:noWrap w:val="0"/>
            <w:vAlign w:val="center"/>
          </w:tcPr>
          <w:p w14:paraId="4004253B">
            <w:pPr>
              <w:pStyle w:val="55"/>
              <w:spacing w:line="300" w:lineRule="exact"/>
              <w:rPr>
                <w:rFonts w:ascii="方正仿宋_GBK" w:eastAsia="方正仿宋_GBK"/>
                <w:color w:val="auto"/>
                <w:szCs w:val="21"/>
              </w:rPr>
            </w:pPr>
            <w:r>
              <w:rPr>
                <w:rFonts w:hint="eastAsia" w:ascii="方正仿宋_GBK" w:eastAsia="方正仿宋_GBK" w:cs="方正仿宋_GBK"/>
                <w:color w:val="auto"/>
                <w:szCs w:val="21"/>
              </w:rPr>
              <w:t>楼层、屋面、阳台等临边</w:t>
            </w:r>
          </w:p>
        </w:tc>
        <w:tc>
          <w:tcPr>
            <w:tcW w:w="6645" w:type="dxa"/>
            <w:noWrap w:val="0"/>
            <w:vAlign w:val="center"/>
          </w:tcPr>
          <w:p w14:paraId="403990CF">
            <w:pPr>
              <w:pStyle w:val="55"/>
              <w:spacing w:line="300" w:lineRule="exact"/>
              <w:rPr>
                <w:rFonts w:ascii="方正仿宋_GBK" w:eastAsia="方正仿宋_GBK"/>
                <w:color w:val="auto"/>
                <w:szCs w:val="21"/>
              </w:rPr>
            </w:pPr>
            <w:r>
              <w:rPr>
                <w:rFonts w:hint="eastAsia" w:ascii="方正仿宋_GBK" w:eastAsia="方正仿宋_GBK" w:cs="方正仿宋_GBK"/>
                <w:color w:val="auto"/>
                <w:szCs w:val="21"/>
              </w:rPr>
              <w:t>设两道防护栏杆和</w:t>
            </w:r>
            <w:r>
              <w:rPr>
                <w:rFonts w:ascii="方正仿宋_GBK" w:eastAsia="方正仿宋_GBK" w:cs="方正仿宋_GBK"/>
                <w:color w:val="auto"/>
                <w:szCs w:val="21"/>
              </w:rPr>
              <w:t>18cm</w:t>
            </w:r>
            <w:r>
              <w:rPr>
                <w:rFonts w:hint="eastAsia" w:ascii="方正仿宋_GBK" w:eastAsia="方正仿宋_GBK" w:cs="方正仿宋_GBK"/>
                <w:color w:val="auto"/>
                <w:szCs w:val="21"/>
              </w:rPr>
              <w:t>高的踢脚板，用密目式安全立网全封闭。</w:t>
            </w:r>
          </w:p>
        </w:tc>
      </w:tr>
      <w:tr w14:paraId="77C6E1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6148C126">
            <w:pPr>
              <w:pStyle w:val="55"/>
              <w:spacing w:line="300" w:lineRule="exact"/>
              <w:jc w:val="center"/>
              <w:rPr>
                <w:rFonts w:ascii="方正仿宋_GBK" w:eastAsia="方正仿宋_GBK"/>
                <w:color w:val="auto"/>
                <w:szCs w:val="21"/>
              </w:rPr>
            </w:pPr>
          </w:p>
        </w:tc>
        <w:tc>
          <w:tcPr>
            <w:tcW w:w="525" w:type="dxa"/>
            <w:vMerge w:val="continue"/>
            <w:noWrap w:val="0"/>
            <w:vAlign w:val="center"/>
          </w:tcPr>
          <w:p w14:paraId="10138CCA">
            <w:pPr>
              <w:pStyle w:val="55"/>
              <w:spacing w:line="300" w:lineRule="exact"/>
              <w:jc w:val="center"/>
              <w:rPr>
                <w:rFonts w:ascii="方正仿宋_GBK" w:eastAsia="方正仿宋_GBK"/>
                <w:color w:val="auto"/>
                <w:szCs w:val="21"/>
              </w:rPr>
            </w:pPr>
          </w:p>
        </w:tc>
        <w:tc>
          <w:tcPr>
            <w:tcW w:w="1545" w:type="dxa"/>
            <w:noWrap w:val="0"/>
            <w:vAlign w:val="center"/>
          </w:tcPr>
          <w:p w14:paraId="3C6767DF">
            <w:pPr>
              <w:pStyle w:val="55"/>
              <w:spacing w:line="300" w:lineRule="exact"/>
              <w:rPr>
                <w:rFonts w:ascii="方正仿宋_GBK" w:eastAsia="方正仿宋_GBK"/>
                <w:color w:val="auto"/>
                <w:szCs w:val="21"/>
              </w:rPr>
            </w:pPr>
            <w:r>
              <w:rPr>
                <w:rFonts w:hint="eastAsia" w:ascii="方正仿宋_GBK" w:eastAsia="方正仿宋_GBK" w:cs="方正仿宋_GBK"/>
                <w:color w:val="auto"/>
                <w:szCs w:val="21"/>
              </w:rPr>
              <w:t>通道口</w:t>
            </w:r>
          </w:p>
        </w:tc>
        <w:tc>
          <w:tcPr>
            <w:tcW w:w="6645" w:type="dxa"/>
            <w:noWrap w:val="0"/>
            <w:vAlign w:val="center"/>
          </w:tcPr>
          <w:p w14:paraId="2D5BCCDF">
            <w:pPr>
              <w:pStyle w:val="55"/>
              <w:spacing w:line="300" w:lineRule="exact"/>
              <w:rPr>
                <w:rFonts w:ascii="方正仿宋_GBK" w:eastAsia="方正仿宋_GBK"/>
                <w:color w:val="auto"/>
                <w:szCs w:val="21"/>
              </w:rPr>
            </w:pPr>
            <w:r>
              <w:rPr>
                <w:rFonts w:hint="eastAsia" w:ascii="方正仿宋_GBK" w:eastAsia="方正仿宋_GBK" w:cs="方正仿宋_GBK"/>
                <w:color w:val="auto"/>
                <w:szCs w:val="21"/>
              </w:rPr>
              <w:t>设防护棚，防护棚应为不小于</w:t>
            </w:r>
            <w:r>
              <w:rPr>
                <w:rFonts w:ascii="方正仿宋_GBK" w:eastAsia="方正仿宋_GBK" w:cs="方正仿宋_GBK"/>
                <w:color w:val="auto"/>
                <w:szCs w:val="21"/>
              </w:rPr>
              <w:t>5cm</w:t>
            </w:r>
            <w:r>
              <w:rPr>
                <w:rFonts w:hint="eastAsia" w:ascii="方正仿宋_GBK" w:eastAsia="方正仿宋_GBK" w:cs="方正仿宋_GBK"/>
                <w:color w:val="auto"/>
                <w:szCs w:val="21"/>
              </w:rPr>
              <w:t>厚的木板或两道相距</w:t>
            </w:r>
            <w:r>
              <w:rPr>
                <w:rFonts w:ascii="方正仿宋_GBK" w:eastAsia="方正仿宋_GBK" w:cs="方正仿宋_GBK"/>
                <w:color w:val="auto"/>
                <w:szCs w:val="21"/>
              </w:rPr>
              <w:t>50cm</w:t>
            </w:r>
            <w:r>
              <w:rPr>
                <w:rFonts w:hint="eastAsia" w:ascii="方正仿宋_GBK" w:eastAsia="方正仿宋_GBK" w:cs="方正仿宋_GBK"/>
                <w:color w:val="auto"/>
                <w:szCs w:val="21"/>
              </w:rPr>
              <w:t>的竹笆。两侧应沿栏杆架用密目式安全网封闭。</w:t>
            </w:r>
          </w:p>
        </w:tc>
      </w:tr>
      <w:tr w14:paraId="6657A9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7D0B2074">
            <w:pPr>
              <w:pStyle w:val="55"/>
              <w:spacing w:line="300" w:lineRule="exact"/>
              <w:jc w:val="center"/>
              <w:rPr>
                <w:rFonts w:ascii="方正仿宋_GBK" w:eastAsia="方正仿宋_GBK"/>
                <w:color w:val="auto"/>
                <w:szCs w:val="21"/>
              </w:rPr>
            </w:pPr>
          </w:p>
        </w:tc>
        <w:tc>
          <w:tcPr>
            <w:tcW w:w="525" w:type="dxa"/>
            <w:vMerge w:val="continue"/>
            <w:noWrap w:val="0"/>
            <w:vAlign w:val="center"/>
          </w:tcPr>
          <w:p w14:paraId="1CC1668E">
            <w:pPr>
              <w:pStyle w:val="55"/>
              <w:spacing w:line="300" w:lineRule="exact"/>
              <w:jc w:val="center"/>
              <w:rPr>
                <w:rFonts w:ascii="方正仿宋_GBK" w:eastAsia="方正仿宋_GBK"/>
                <w:color w:val="auto"/>
                <w:szCs w:val="21"/>
              </w:rPr>
            </w:pPr>
          </w:p>
        </w:tc>
        <w:tc>
          <w:tcPr>
            <w:tcW w:w="1545" w:type="dxa"/>
            <w:noWrap w:val="0"/>
            <w:vAlign w:val="center"/>
          </w:tcPr>
          <w:p w14:paraId="0398754F">
            <w:pPr>
              <w:pStyle w:val="55"/>
              <w:spacing w:line="300" w:lineRule="exact"/>
              <w:rPr>
                <w:rFonts w:ascii="方正仿宋_GBK" w:eastAsia="方正仿宋_GBK"/>
                <w:color w:val="auto"/>
                <w:szCs w:val="21"/>
              </w:rPr>
            </w:pPr>
            <w:r>
              <w:rPr>
                <w:rFonts w:hint="eastAsia" w:ascii="方正仿宋_GBK" w:eastAsia="方正仿宋_GBK" w:cs="方正仿宋_GBK"/>
                <w:color w:val="auto"/>
                <w:szCs w:val="21"/>
              </w:rPr>
              <w:t>预留洞口</w:t>
            </w:r>
          </w:p>
        </w:tc>
        <w:tc>
          <w:tcPr>
            <w:tcW w:w="6645" w:type="dxa"/>
            <w:noWrap w:val="0"/>
            <w:vAlign w:val="center"/>
          </w:tcPr>
          <w:p w14:paraId="0CC83218">
            <w:pPr>
              <w:pStyle w:val="55"/>
              <w:spacing w:line="300" w:lineRule="exact"/>
              <w:rPr>
                <w:rFonts w:ascii="方正仿宋_GBK" w:eastAsia="方正仿宋_GBK"/>
                <w:color w:val="auto"/>
                <w:szCs w:val="21"/>
              </w:rPr>
            </w:pPr>
            <w:r>
              <w:rPr>
                <w:rFonts w:hint="eastAsia" w:ascii="方正仿宋_GBK" w:eastAsia="方正仿宋_GBK" w:cs="方正仿宋_GBK"/>
                <w:color w:val="auto"/>
                <w:szCs w:val="21"/>
              </w:rPr>
              <w:t>用硬质材料全封闭，短边超过</w:t>
            </w:r>
            <w:r>
              <w:rPr>
                <w:rFonts w:ascii="方正仿宋_GBK" w:eastAsia="方正仿宋_GBK" w:cs="方正仿宋_GBK"/>
                <w:color w:val="auto"/>
                <w:szCs w:val="21"/>
              </w:rPr>
              <w:t>1.5m</w:t>
            </w:r>
            <w:r>
              <w:rPr>
                <w:rFonts w:hint="eastAsia" w:ascii="方正仿宋_GBK" w:eastAsia="方正仿宋_GBK" w:cs="方正仿宋_GBK"/>
                <w:color w:val="auto"/>
                <w:szCs w:val="21"/>
              </w:rPr>
              <w:t>长的洞口，除封闭外四周还应设有防护栏杆。</w:t>
            </w:r>
          </w:p>
        </w:tc>
      </w:tr>
      <w:tr w14:paraId="121953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738" w:type="dxa"/>
            <w:vMerge w:val="continue"/>
            <w:noWrap w:val="0"/>
            <w:vAlign w:val="center"/>
          </w:tcPr>
          <w:p w14:paraId="1A871994">
            <w:pPr>
              <w:pStyle w:val="55"/>
              <w:spacing w:line="300" w:lineRule="exact"/>
              <w:jc w:val="center"/>
              <w:rPr>
                <w:rFonts w:ascii="方正仿宋_GBK" w:eastAsia="方正仿宋_GBK"/>
                <w:color w:val="auto"/>
                <w:szCs w:val="21"/>
              </w:rPr>
            </w:pPr>
          </w:p>
        </w:tc>
        <w:tc>
          <w:tcPr>
            <w:tcW w:w="525" w:type="dxa"/>
            <w:vMerge w:val="continue"/>
            <w:noWrap w:val="0"/>
            <w:vAlign w:val="center"/>
          </w:tcPr>
          <w:p w14:paraId="3C839E9C">
            <w:pPr>
              <w:pStyle w:val="55"/>
              <w:spacing w:line="300" w:lineRule="exact"/>
              <w:jc w:val="center"/>
              <w:rPr>
                <w:rFonts w:ascii="方正仿宋_GBK" w:eastAsia="方正仿宋_GBK"/>
                <w:color w:val="auto"/>
                <w:szCs w:val="21"/>
              </w:rPr>
            </w:pPr>
          </w:p>
        </w:tc>
        <w:tc>
          <w:tcPr>
            <w:tcW w:w="1545" w:type="dxa"/>
            <w:noWrap w:val="0"/>
            <w:vAlign w:val="center"/>
          </w:tcPr>
          <w:p w14:paraId="2950E562">
            <w:pPr>
              <w:pStyle w:val="55"/>
              <w:spacing w:line="300" w:lineRule="exact"/>
              <w:rPr>
                <w:rFonts w:ascii="方正仿宋_GBK" w:eastAsia="方正仿宋_GBK"/>
                <w:color w:val="auto"/>
                <w:szCs w:val="21"/>
              </w:rPr>
            </w:pPr>
            <w:r>
              <w:rPr>
                <w:rFonts w:hint="eastAsia" w:ascii="方正仿宋_GBK" w:eastAsia="方正仿宋_GBK" w:cs="方正仿宋_GBK"/>
                <w:color w:val="auto"/>
                <w:szCs w:val="21"/>
              </w:rPr>
              <w:t>电梯井口</w:t>
            </w:r>
          </w:p>
        </w:tc>
        <w:tc>
          <w:tcPr>
            <w:tcW w:w="6645" w:type="dxa"/>
            <w:noWrap w:val="0"/>
            <w:vAlign w:val="center"/>
          </w:tcPr>
          <w:p w14:paraId="424A6D6B">
            <w:pPr>
              <w:pStyle w:val="55"/>
              <w:spacing w:line="300" w:lineRule="exact"/>
              <w:rPr>
                <w:rFonts w:ascii="方正仿宋_GBK" w:eastAsia="方正仿宋_GBK"/>
                <w:color w:val="auto"/>
                <w:szCs w:val="21"/>
              </w:rPr>
            </w:pPr>
            <w:r>
              <w:rPr>
                <w:rFonts w:hint="eastAsia" w:ascii="方正仿宋_GBK" w:eastAsia="方正仿宋_GBK" w:cs="方正仿宋_GBK"/>
                <w:color w:val="auto"/>
                <w:szCs w:val="21"/>
              </w:rPr>
              <w:t>设置定型化、工具化的防护门，在电梯井内每隔</w:t>
            </w:r>
            <w:r>
              <w:rPr>
                <w:rFonts w:ascii="方正仿宋_GBK" w:eastAsia="方正仿宋_GBK" w:cs="方正仿宋_GBK"/>
                <w:color w:val="auto"/>
                <w:szCs w:val="21"/>
              </w:rPr>
              <w:t>2</w:t>
            </w:r>
            <w:r>
              <w:rPr>
                <w:rFonts w:hint="eastAsia" w:ascii="方正仿宋_GBK" w:eastAsia="方正仿宋_GBK" w:cs="方正仿宋_GBK"/>
                <w:color w:val="auto"/>
                <w:szCs w:val="21"/>
              </w:rPr>
              <w:t>层（不大于</w:t>
            </w:r>
            <w:r>
              <w:rPr>
                <w:rFonts w:ascii="方正仿宋_GBK" w:eastAsia="方正仿宋_GBK" w:cs="方正仿宋_GBK"/>
                <w:color w:val="auto"/>
                <w:szCs w:val="21"/>
              </w:rPr>
              <w:t>10m</w:t>
            </w:r>
            <w:r>
              <w:rPr>
                <w:rFonts w:hint="eastAsia" w:ascii="方正仿宋_GBK" w:eastAsia="方正仿宋_GBK" w:cs="方正仿宋_GBK"/>
                <w:color w:val="auto"/>
                <w:szCs w:val="21"/>
              </w:rPr>
              <w:t>）设置一道水平防护。</w:t>
            </w:r>
          </w:p>
        </w:tc>
      </w:tr>
      <w:tr w14:paraId="697D9D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30265AE4">
            <w:pPr>
              <w:pStyle w:val="55"/>
              <w:spacing w:line="300" w:lineRule="exact"/>
              <w:jc w:val="center"/>
              <w:rPr>
                <w:rFonts w:ascii="方正仿宋_GBK" w:eastAsia="方正仿宋_GBK"/>
                <w:color w:val="auto"/>
                <w:szCs w:val="21"/>
              </w:rPr>
            </w:pPr>
          </w:p>
        </w:tc>
        <w:tc>
          <w:tcPr>
            <w:tcW w:w="525" w:type="dxa"/>
            <w:vMerge w:val="continue"/>
            <w:noWrap w:val="0"/>
            <w:vAlign w:val="center"/>
          </w:tcPr>
          <w:p w14:paraId="08D1D54D">
            <w:pPr>
              <w:pStyle w:val="55"/>
              <w:spacing w:line="300" w:lineRule="exact"/>
              <w:jc w:val="center"/>
              <w:rPr>
                <w:rFonts w:ascii="方正仿宋_GBK" w:eastAsia="方正仿宋_GBK"/>
                <w:color w:val="auto"/>
                <w:szCs w:val="21"/>
              </w:rPr>
            </w:pPr>
          </w:p>
        </w:tc>
        <w:tc>
          <w:tcPr>
            <w:tcW w:w="1545" w:type="dxa"/>
            <w:noWrap w:val="0"/>
            <w:vAlign w:val="center"/>
          </w:tcPr>
          <w:p w14:paraId="63EAFABB">
            <w:pPr>
              <w:pStyle w:val="55"/>
              <w:spacing w:line="300" w:lineRule="exact"/>
              <w:rPr>
                <w:rFonts w:ascii="方正仿宋_GBK" w:eastAsia="方正仿宋_GBK"/>
                <w:color w:val="auto"/>
                <w:szCs w:val="21"/>
              </w:rPr>
            </w:pPr>
            <w:r>
              <w:rPr>
                <w:rFonts w:hint="eastAsia" w:ascii="方正仿宋_GBK" w:eastAsia="方正仿宋_GBK" w:cs="方正仿宋_GBK"/>
                <w:color w:val="auto"/>
                <w:szCs w:val="21"/>
              </w:rPr>
              <w:t>楼梯边</w:t>
            </w:r>
          </w:p>
        </w:tc>
        <w:tc>
          <w:tcPr>
            <w:tcW w:w="6645" w:type="dxa"/>
            <w:noWrap w:val="0"/>
            <w:vAlign w:val="center"/>
          </w:tcPr>
          <w:p w14:paraId="7C408E49">
            <w:pPr>
              <w:pStyle w:val="55"/>
              <w:spacing w:line="300" w:lineRule="exact"/>
              <w:rPr>
                <w:rFonts w:ascii="方正仿宋_GBK" w:eastAsia="方正仿宋_GBK"/>
                <w:color w:val="auto"/>
                <w:szCs w:val="21"/>
              </w:rPr>
            </w:pPr>
            <w:r>
              <w:rPr>
                <w:rFonts w:hint="eastAsia" w:ascii="方正仿宋_GBK" w:eastAsia="方正仿宋_GBK" w:cs="方正仿宋_GBK"/>
                <w:color w:val="auto"/>
                <w:szCs w:val="21"/>
              </w:rPr>
              <w:t>设</w:t>
            </w:r>
            <w:r>
              <w:rPr>
                <w:rFonts w:ascii="方正仿宋_GBK" w:eastAsia="方正仿宋_GBK" w:cs="方正仿宋_GBK"/>
                <w:color w:val="auto"/>
                <w:szCs w:val="21"/>
              </w:rPr>
              <w:t>1.2m</w:t>
            </w:r>
            <w:r>
              <w:rPr>
                <w:rFonts w:hint="eastAsia" w:ascii="方正仿宋_GBK" w:eastAsia="方正仿宋_GBK" w:cs="方正仿宋_GBK"/>
                <w:color w:val="auto"/>
                <w:szCs w:val="21"/>
              </w:rPr>
              <w:t>高的定型化、工具化的防护栏，</w:t>
            </w:r>
            <w:r>
              <w:rPr>
                <w:rFonts w:ascii="方正仿宋_GBK" w:eastAsia="方正仿宋_GBK" w:cs="方正仿宋_GBK"/>
                <w:color w:val="auto"/>
                <w:szCs w:val="21"/>
              </w:rPr>
              <w:t>18cm</w:t>
            </w:r>
            <w:r>
              <w:rPr>
                <w:rFonts w:hint="eastAsia" w:ascii="方正仿宋_GBK" w:eastAsia="方正仿宋_GBK" w:cs="方正仿宋_GBK"/>
                <w:color w:val="auto"/>
                <w:szCs w:val="21"/>
              </w:rPr>
              <w:t>高的踢脚板。</w:t>
            </w:r>
          </w:p>
        </w:tc>
      </w:tr>
      <w:tr w14:paraId="401F05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5CC349CB">
            <w:pPr>
              <w:pStyle w:val="55"/>
              <w:spacing w:line="300" w:lineRule="exact"/>
              <w:jc w:val="center"/>
              <w:rPr>
                <w:rFonts w:ascii="方正仿宋_GBK" w:eastAsia="方正仿宋_GBK"/>
                <w:color w:val="auto"/>
                <w:szCs w:val="21"/>
              </w:rPr>
            </w:pPr>
          </w:p>
        </w:tc>
        <w:tc>
          <w:tcPr>
            <w:tcW w:w="525" w:type="dxa"/>
            <w:vMerge w:val="continue"/>
            <w:noWrap w:val="0"/>
            <w:vAlign w:val="center"/>
          </w:tcPr>
          <w:p w14:paraId="4AC5C196">
            <w:pPr>
              <w:pStyle w:val="55"/>
              <w:spacing w:line="300" w:lineRule="exact"/>
              <w:jc w:val="center"/>
              <w:rPr>
                <w:rFonts w:ascii="方正仿宋_GBK" w:eastAsia="方正仿宋_GBK"/>
                <w:color w:val="auto"/>
                <w:szCs w:val="21"/>
              </w:rPr>
            </w:pPr>
          </w:p>
        </w:tc>
        <w:tc>
          <w:tcPr>
            <w:tcW w:w="1545" w:type="dxa"/>
            <w:noWrap w:val="0"/>
            <w:vAlign w:val="center"/>
          </w:tcPr>
          <w:p w14:paraId="2A848475">
            <w:pPr>
              <w:pStyle w:val="55"/>
              <w:spacing w:line="300" w:lineRule="exact"/>
              <w:rPr>
                <w:rFonts w:ascii="方正仿宋_GBK" w:eastAsia="方正仿宋_GBK"/>
                <w:color w:val="auto"/>
                <w:szCs w:val="21"/>
              </w:rPr>
            </w:pPr>
            <w:r>
              <w:rPr>
                <w:rFonts w:hint="eastAsia" w:ascii="方正仿宋_GBK" w:eastAsia="方正仿宋_GBK" w:cs="方正仿宋_GBK"/>
                <w:color w:val="auto"/>
                <w:szCs w:val="21"/>
              </w:rPr>
              <w:t>垂直方向交叉作业</w:t>
            </w:r>
          </w:p>
        </w:tc>
        <w:tc>
          <w:tcPr>
            <w:tcW w:w="6645" w:type="dxa"/>
            <w:noWrap w:val="0"/>
            <w:vAlign w:val="center"/>
          </w:tcPr>
          <w:p w14:paraId="6150DDC2">
            <w:pPr>
              <w:pStyle w:val="55"/>
              <w:spacing w:line="300" w:lineRule="exact"/>
              <w:rPr>
                <w:rFonts w:ascii="方正仿宋_GBK" w:eastAsia="方正仿宋_GBK"/>
                <w:color w:val="auto"/>
                <w:szCs w:val="21"/>
              </w:rPr>
            </w:pPr>
            <w:r>
              <w:rPr>
                <w:rFonts w:hint="eastAsia" w:ascii="方正仿宋_GBK" w:eastAsia="方正仿宋_GBK" w:cs="方正仿宋_GBK"/>
                <w:color w:val="auto"/>
                <w:szCs w:val="21"/>
              </w:rPr>
              <w:t>设置防护隔离棚或其它设施。</w:t>
            </w:r>
          </w:p>
        </w:tc>
      </w:tr>
      <w:tr w14:paraId="3DFF7E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490464A2">
            <w:pPr>
              <w:pStyle w:val="55"/>
              <w:spacing w:line="300" w:lineRule="exact"/>
              <w:jc w:val="center"/>
              <w:rPr>
                <w:rFonts w:ascii="方正仿宋_GBK" w:eastAsia="方正仿宋_GBK"/>
                <w:color w:val="auto"/>
                <w:szCs w:val="21"/>
              </w:rPr>
            </w:pPr>
          </w:p>
        </w:tc>
        <w:tc>
          <w:tcPr>
            <w:tcW w:w="525" w:type="dxa"/>
            <w:vMerge w:val="continue"/>
            <w:noWrap w:val="0"/>
            <w:vAlign w:val="center"/>
          </w:tcPr>
          <w:p w14:paraId="265E1FAA">
            <w:pPr>
              <w:pStyle w:val="55"/>
              <w:spacing w:line="300" w:lineRule="exact"/>
              <w:jc w:val="center"/>
              <w:rPr>
                <w:rFonts w:ascii="方正仿宋_GBK" w:eastAsia="方正仿宋_GBK"/>
                <w:color w:val="auto"/>
                <w:szCs w:val="21"/>
              </w:rPr>
            </w:pPr>
          </w:p>
        </w:tc>
        <w:tc>
          <w:tcPr>
            <w:tcW w:w="1545" w:type="dxa"/>
            <w:noWrap w:val="0"/>
            <w:vAlign w:val="center"/>
          </w:tcPr>
          <w:p w14:paraId="3380614C">
            <w:pPr>
              <w:pStyle w:val="55"/>
              <w:spacing w:line="300" w:lineRule="exact"/>
              <w:rPr>
                <w:rFonts w:ascii="方正仿宋_GBK" w:eastAsia="方正仿宋_GBK"/>
                <w:color w:val="auto"/>
                <w:szCs w:val="21"/>
              </w:rPr>
            </w:pPr>
            <w:r>
              <w:rPr>
                <w:rFonts w:hint="eastAsia" w:ascii="方正仿宋_GBK" w:eastAsia="方正仿宋_GBK" w:cs="方正仿宋_GBK"/>
                <w:color w:val="auto"/>
                <w:szCs w:val="21"/>
              </w:rPr>
              <w:t>高处作业</w:t>
            </w:r>
          </w:p>
        </w:tc>
        <w:tc>
          <w:tcPr>
            <w:tcW w:w="6645" w:type="dxa"/>
            <w:noWrap w:val="0"/>
            <w:vAlign w:val="center"/>
          </w:tcPr>
          <w:p w14:paraId="5D0D24F2">
            <w:pPr>
              <w:pStyle w:val="55"/>
              <w:spacing w:line="300" w:lineRule="exact"/>
              <w:rPr>
                <w:rFonts w:ascii="方正仿宋_GBK" w:eastAsia="方正仿宋_GBK"/>
                <w:color w:val="auto"/>
                <w:szCs w:val="21"/>
              </w:rPr>
            </w:pPr>
            <w:r>
              <w:rPr>
                <w:rFonts w:hint="eastAsia" w:ascii="方正仿宋_GBK" w:eastAsia="方正仿宋_GBK" w:cs="方正仿宋_GBK"/>
                <w:color w:val="auto"/>
                <w:szCs w:val="21"/>
              </w:rPr>
              <w:t>有悬挂安全带的悬索或其它设施，有操作平台，有上下的梯子或其它形式的通道。</w:t>
            </w:r>
          </w:p>
        </w:tc>
      </w:tr>
      <w:tr w14:paraId="66CF42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4B504D4E">
            <w:pPr>
              <w:pStyle w:val="55"/>
              <w:spacing w:line="300" w:lineRule="exact"/>
              <w:jc w:val="center"/>
              <w:rPr>
                <w:rFonts w:ascii="方正仿宋_GBK" w:eastAsia="方正仿宋_GBK"/>
                <w:color w:val="auto"/>
                <w:szCs w:val="21"/>
              </w:rPr>
            </w:pPr>
          </w:p>
        </w:tc>
        <w:tc>
          <w:tcPr>
            <w:tcW w:w="525" w:type="dxa"/>
            <w:vMerge w:val="continue"/>
            <w:noWrap w:val="0"/>
            <w:vAlign w:val="center"/>
          </w:tcPr>
          <w:p w14:paraId="0B60D068">
            <w:pPr>
              <w:pStyle w:val="55"/>
              <w:spacing w:line="300" w:lineRule="exact"/>
              <w:jc w:val="center"/>
              <w:rPr>
                <w:rFonts w:ascii="方正仿宋_GBK" w:eastAsia="方正仿宋_GBK"/>
                <w:color w:val="auto"/>
                <w:szCs w:val="21"/>
              </w:rPr>
            </w:pPr>
          </w:p>
        </w:tc>
        <w:tc>
          <w:tcPr>
            <w:tcW w:w="1545" w:type="dxa"/>
            <w:noWrap w:val="0"/>
            <w:vAlign w:val="center"/>
          </w:tcPr>
          <w:p w14:paraId="1C0ECDF9">
            <w:pPr>
              <w:pStyle w:val="55"/>
              <w:spacing w:line="300" w:lineRule="exact"/>
              <w:rPr>
                <w:rFonts w:ascii="方正仿宋_GBK" w:eastAsia="方正仿宋_GBK"/>
                <w:color w:val="auto"/>
                <w:szCs w:val="21"/>
              </w:rPr>
            </w:pPr>
            <w:r>
              <w:rPr>
                <w:rFonts w:hint="eastAsia" w:ascii="方正仿宋_GBK" w:eastAsia="方正仿宋_GBK" w:cs="方正仿宋_GBK"/>
                <w:color w:val="auto"/>
                <w:szCs w:val="21"/>
              </w:rPr>
              <w:t>基坑、物料平台</w:t>
            </w:r>
          </w:p>
        </w:tc>
        <w:tc>
          <w:tcPr>
            <w:tcW w:w="6645" w:type="dxa"/>
            <w:noWrap w:val="0"/>
            <w:vAlign w:val="center"/>
          </w:tcPr>
          <w:p w14:paraId="75059F70">
            <w:pPr>
              <w:pStyle w:val="55"/>
              <w:spacing w:line="300" w:lineRule="exact"/>
              <w:rPr>
                <w:rFonts w:ascii="方正仿宋_GBK" w:eastAsia="方正仿宋_GBK"/>
                <w:color w:val="auto"/>
                <w:szCs w:val="21"/>
              </w:rPr>
            </w:pPr>
            <w:r>
              <w:rPr>
                <w:rFonts w:hint="eastAsia" w:ascii="方正仿宋_GBK" w:eastAsia="方正仿宋_GBK" w:cs="方正仿宋_GBK"/>
                <w:color w:val="auto"/>
                <w:szCs w:val="21"/>
              </w:rPr>
              <w:t>设</w:t>
            </w:r>
            <w:r>
              <w:rPr>
                <w:rFonts w:ascii="方正仿宋_GBK" w:eastAsia="方正仿宋_GBK" w:cs="方正仿宋_GBK"/>
                <w:color w:val="auto"/>
                <w:szCs w:val="21"/>
              </w:rPr>
              <w:t>1.2m</w:t>
            </w:r>
            <w:r>
              <w:rPr>
                <w:rFonts w:hint="eastAsia" w:ascii="方正仿宋_GBK" w:eastAsia="方正仿宋_GBK" w:cs="方正仿宋_GBK"/>
                <w:color w:val="auto"/>
                <w:szCs w:val="21"/>
              </w:rPr>
              <w:t>高标准化的防护栏，用密目式安全立网封闭，悬挂标识。</w:t>
            </w:r>
          </w:p>
        </w:tc>
      </w:tr>
      <w:tr w14:paraId="5EA549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0A309BA3">
            <w:pPr>
              <w:pStyle w:val="55"/>
              <w:spacing w:line="300" w:lineRule="exact"/>
              <w:jc w:val="center"/>
              <w:rPr>
                <w:rFonts w:ascii="方正仿宋_GBK" w:eastAsia="方正仿宋_GBK"/>
                <w:color w:val="auto"/>
                <w:szCs w:val="21"/>
              </w:rPr>
            </w:pPr>
          </w:p>
        </w:tc>
        <w:tc>
          <w:tcPr>
            <w:tcW w:w="2070" w:type="dxa"/>
            <w:gridSpan w:val="2"/>
            <w:noWrap w:val="0"/>
            <w:vAlign w:val="center"/>
          </w:tcPr>
          <w:p w14:paraId="370A997A">
            <w:pPr>
              <w:pStyle w:val="55"/>
              <w:spacing w:line="300" w:lineRule="exact"/>
              <w:jc w:val="center"/>
              <w:rPr>
                <w:rFonts w:ascii="方正仿宋_GBK" w:eastAsia="方正仿宋_GBK"/>
                <w:color w:val="auto"/>
                <w:szCs w:val="21"/>
              </w:rPr>
            </w:pPr>
            <w:r>
              <w:rPr>
                <w:rFonts w:hint="eastAsia" w:ascii="方正仿宋_GBK" w:eastAsia="方正仿宋_GBK" w:cs="方正仿宋_GBK"/>
                <w:color w:val="auto"/>
                <w:szCs w:val="21"/>
              </w:rPr>
              <w:t>安全防护用品</w:t>
            </w:r>
          </w:p>
        </w:tc>
        <w:tc>
          <w:tcPr>
            <w:tcW w:w="6645" w:type="dxa"/>
            <w:noWrap w:val="0"/>
            <w:vAlign w:val="center"/>
          </w:tcPr>
          <w:p w14:paraId="7BCECAB7">
            <w:pPr>
              <w:pStyle w:val="55"/>
              <w:spacing w:line="300" w:lineRule="exact"/>
              <w:rPr>
                <w:rFonts w:ascii="方正仿宋_GBK" w:eastAsia="方正仿宋_GBK"/>
                <w:color w:val="auto"/>
                <w:szCs w:val="21"/>
              </w:rPr>
            </w:pPr>
            <w:r>
              <w:rPr>
                <w:rFonts w:hint="eastAsia" w:ascii="方正仿宋_GBK" w:eastAsia="方正仿宋_GBK" w:cs="方正仿宋_GBK"/>
                <w:color w:val="auto"/>
                <w:szCs w:val="21"/>
              </w:rPr>
              <w:t>安全帽、安全带、特种作业人员（电工、焊工、架子工等）防护服装、用品等。</w:t>
            </w:r>
          </w:p>
        </w:tc>
      </w:tr>
      <w:tr w14:paraId="5BDC3D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738" w:type="dxa"/>
            <w:vMerge w:val="restart"/>
            <w:noWrap w:val="0"/>
            <w:vAlign w:val="center"/>
          </w:tcPr>
          <w:p w14:paraId="32F3CE1E">
            <w:pPr>
              <w:pStyle w:val="55"/>
              <w:spacing w:line="300" w:lineRule="exact"/>
              <w:jc w:val="center"/>
              <w:rPr>
                <w:rFonts w:ascii="方正仿宋_GBK" w:eastAsia="方正仿宋_GBK"/>
                <w:color w:val="auto"/>
                <w:szCs w:val="21"/>
              </w:rPr>
            </w:pPr>
            <w:r>
              <w:rPr>
                <w:rFonts w:hint="eastAsia" w:ascii="方正仿宋_GBK" w:eastAsia="方正仿宋_GBK" w:cs="方正仿宋_GBK"/>
                <w:color w:val="auto"/>
                <w:szCs w:val="21"/>
              </w:rPr>
              <w:t>其它</w:t>
            </w:r>
          </w:p>
        </w:tc>
        <w:tc>
          <w:tcPr>
            <w:tcW w:w="525" w:type="dxa"/>
            <w:vMerge w:val="restart"/>
            <w:noWrap w:val="0"/>
            <w:vAlign w:val="center"/>
          </w:tcPr>
          <w:p w14:paraId="5CB83F48">
            <w:pPr>
              <w:pStyle w:val="55"/>
              <w:spacing w:line="300" w:lineRule="exact"/>
              <w:jc w:val="center"/>
              <w:rPr>
                <w:rFonts w:ascii="方正仿宋_GBK" w:eastAsia="方正仿宋_GBK"/>
                <w:color w:val="auto"/>
                <w:szCs w:val="21"/>
              </w:rPr>
            </w:pPr>
            <w:r>
              <w:rPr>
                <w:rFonts w:hint="eastAsia" w:ascii="方正仿宋_GBK" w:eastAsia="方正仿宋_GBK" w:cs="方正仿宋_GBK"/>
                <w:color w:val="auto"/>
                <w:szCs w:val="21"/>
              </w:rPr>
              <w:t>机械设备防护</w:t>
            </w:r>
          </w:p>
        </w:tc>
        <w:tc>
          <w:tcPr>
            <w:tcW w:w="1545" w:type="dxa"/>
            <w:noWrap w:val="0"/>
            <w:vAlign w:val="center"/>
          </w:tcPr>
          <w:p w14:paraId="10477E92">
            <w:pPr>
              <w:pStyle w:val="55"/>
              <w:spacing w:line="300" w:lineRule="exact"/>
              <w:jc w:val="center"/>
              <w:rPr>
                <w:rFonts w:ascii="方正仿宋_GBK" w:eastAsia="方正仿宋_GBK"/>
                <w:color w:val="auto"/>
                <w:szCs w:val="21"/>
              </w:rPr>
            </w:pPr>
            <w:r>
              <w:rPr>
                <w:rFonts w:hint="eastAsia" w:ascii="方正仿宋_GBK" w:eastAsia="方正仿宋_GBK" w:cs="方正仿宋_GBK"/>
                <w:color w:val="auto"/>
                <w:szCs w:val="21"/>
              </w:rPr>
              <w:t>中小型机械</w:t>
            </w:r>
          </w:p>
        </w:tc>
        <w:tc>
          <w:tcPr>
            <w:tcW w:w="6645" w:type="dxa"/>
            <w:noWrap w:val="0"/>
            <w:vAlign w:val="center"/>
          </w:tcPr>
          <w:p w14:paraId="086191B3">
            <w:pPr>
              <w:pStyle w:val="55"/>
              <w:spacing w:line="300" w:lineRule="exact"/>
              <w:rPr>
                <w:rFonts w:ascii="方正仿宋_GBK" w:eastAsia="方正仿宋_GBK"/>
                <w:color w:val="auto"/>
                <w:szCs w:val="21"/>
              </w:rPr>
            </w:pPr>
            <w:r>
              <w:rPr>
                <w:rFonts w:hint="eastAsia" w:ascii="方正仿宋_GBK" w:eastAsia="方正仿宋_GBK" w:cs="方正仿宋_GBK"/>
                <w:color w:val="auto"/>
                <w:szCs w:val="21"/>
              </w:rPr>
              <w:t>设防护棚（同通道口防护并有防雨措施）。</w:t>
            </w:r>
          </w:p>
        </w:tc>
      </w:tr>
      <w:tr w14:paraId="5DC91A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74A9379F">
            <w:pPr>
              <w:pStyle w:val="55"/>
              <w:spacing w:line="300" w:lineRule="exact"/>
              <w:jc w:val="center"/>
              <w:rPr>
                <w:rFonts w:ascii="方正仿宋_GBK" w:eastAsia="方正仿宋_GBK"/>
                <w:color w:val="auto"/>
                <w:szCs w:val="21"/>
              </w:rPr>
            </w:pPr>
          </w:p>
        </w:tc>
        <w:tc>
          <w:tcPr>
            <w:tcW w:w="525" w:type="dxa"/>
            <w:vMerge w:val="continue"/>
            <w:noWrap w:val="0"/>
            <w:vAlign w:val="center"/>
          </w:tcPr>
          <w:p w14:paraId="153FC1AB">
            <w:pPr>
              <w:pStyle w:val="55"/>
              <w:spacing w:line="300" w:lineRule="exact"/>
              <w:jc w:val="center"/>
              <w:rPr>
                <w:rFonts w:ascii="方正仿宋_GBK" w:eastAsia="方正仿宋_GBK"/>
                <w:color w:val="auto"/>
                <w:szCs w:val="21"/>
              </w:rPr>
            </w:pPr>
          </w:p>
        </w:tc>
        <w:tc>
          <w:tcPr>
            <w:tcW w:w="1545" w:type="dxa"/>
            <w:noWrap w:val="0"/>
            <w:vAlign w:val="center"/>
          </w:tcPr>
          <w:p w14:paraId="3B2E431F">
            <w:pPr>
              <w:pStyle w:val="55"/>
              <w:spacing w:line="300" w:lineRule="exact"/>
              <w:jc w:val="center"/>
              <w:rPr>
                <w:rFonts w:ascii="方正仿宋_GBK" w:eastAsia="方正仿宋_GBK"/>
                <w:color w:val="auto"/>
                <w:szCs w:val="21"/>
              </w:rPr>
            </w:pPr>
            <w:r>
              <w:rPr>
                <w:rFonts w:hint="eastAsia" w:ascii="方正仿宋_GBK" w:eastAsia="方正仿宋_GBK" w:cs="方正仿宋_GBK"/>
                <w:color w:val="auto"/>
                <w:szCs w:val="21"/>
              </w:rPr>
              <w:t>垂直运输设备</w:t>
            </w:r>
          </w:p>
        </w:tc>
        <w:tc>
          <w:tcPr>
            <w:tcW w:w="6645" w:type="dxa"/>
            <w:noWrap w:val="0"/>
            <w:vAlign w:val="center"/>
          </w:tcPr>
          <w:p w14:paraId="54CD63E0">
            <w:pPr>
              <w:pStyle w:val="55"/>
              <w:spacing w:line="300" w:lineRule="exact"/>
              <w:rPr>
                <w:rFonts w:ascii="方正仿宋_GBK" w:eastAsia="方正仿宋_GBK"/>
                <w:color w:val="auto"/>
                <w:szCs w:val="21"/>
              </w:rPr>
            </w:pPr>
            <w:r>
              <w:rPr>
                <w:rFonts w:ascii="方正仿宋_GBK" w:eastAsia="方正仿宋_GBK" w:cs="方正仿宋_GBK"/>
                <w:color w:val="auto"/>
                <w:szCs w:val="21"/>
              </w:rPr>
              <w:t xml:space="preserve">1. </w:t>
            </w:r>
            <w:r>
              <w:rPr>
                <w:rFonts w:hint="eastAsia" w:ascii="方正仿宋_GBK" w:eastAsia="方正仿宋_GBK" w:cs="方正仿宋_GBK"/>
                <w:color w:val="auto"/>
                <w:szCs w:val="21"/>
              </w:rPr>
              <w:t>垂直运输设备检测、检验、日常维护、保养等。</w:t>
            </w:r>
          </w:p>
          <w:p w14:paraId="573145A9">
            <w:pPr>
              <w:pStyle w:val="55"/>
              <w:spacing w:line="300" w:lineRule="exact"/>
              <w:rPr>
                <w:rFonts w:ascii="方正仿宋_GBK" w:eastAsia="方正仿宋_GBK"/>
                <w:color w:val="auto"/>
                <w:szCs w:val="21"/>
              </w:rPr>
            </w:pPr>
            <w:r>
              <w:rPr>
                <w:rFonts w:ascii="方正仿宋_GBK" w:eastAsia="方正仿宋_GBK" w:cs="方正仿宋_GBK"/>
                <w:color w:val="auto"/>
                <w:szCs w:val="21"/>
              </w:rPr>
              <w:t xml:space="preserve">2. </w:t>
            </w:r>
            <w:r>
              <w:rPr>
                <w:rFonts w:hint="eastAsia" w:ascii="方正仿宋_GBK" w:eastAsia="方正仿宋_GBK" w:cs="方正仿宋_GBK"/>
                <w:color w:val="auto"/>
                <w:szCs w:val="21"/>
              </w:rPr>
              <w:t>物料提升机、施工电梯等物料平台搭设、外侧用密目式安全立网全封闭，有安全通道、安全防护门、防护棚等。</w:t>
            </w:r>
          </w:p>
        </w:tc>
      </w:tr>
      <w:tr w14:paraId="0A285E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noWrap w:val="0"/>
            <w:vAlign w:val="center"/>
          </w:tcPr>
          <w:p w14:paraId="5D6A46B6">
            <w:pPr>
              <w:pStyle w:val="55"/>
              <w:spacing w:line="300" w:lineRule="exact"/>
              <w:jc w:val="center"/>
              <w:rPr>
                <w:rFonts w:ascii="方正仿宋_GBK" w:eastAsia="方正仿宋_GBK"/>
                <w:color w:val="auto"/>
                <w:szCs w:val="21"/>
              </w:rPr>
            </w:pPr>
          </w:p>
        </w:tc>
        <w:tc>
          <w:tcPr>
            <w:tcW w:w="2070" w:type="dxa"/>
            <w:gridSpan w:val="2"/>
            <w:noWrap w:val="0"/>
            <w:vAlign w:val="center"/>
          </w:tcPr>
          <w:p w14:paraId="6B97CA47">
            <w:pPr>
              <w:pStyle w:val="55"/>
              <w:spacing w:line="300" w:lineRule="exact"/>
              <w:jc w:val="center"/>
              <w:rPr>
                <w:rFonts w:ascii="方正仿宋_GBK" w:eastAsia="方正仿宋_GBK"/>
                <w:color w:val="auto"/>
                <w:szCs w:val="21"/>
              </w:rPr>
            </w:pPr>
            <w:r>
              <w:rPr>
                <w:rFonts w:hint="eastAsia" w:ascii="方正仿宋_GBK" w:eastAsia="方正仿宋_GBK" w:cs="方正仿宋_GBK"/>
                <w:color w:val="auto"/>
                <w:szCs w:val="21"/>
              </w:rPr>
              <w:t>专家论证审查</w:t>
            </w:r>
          </w:p>
        </w:tc>
        <w:tc>
          <w:tcPr>
            <w:tcW w:w="6645" w:type="dxa"/>
            <w:noWrap w:val="0"/>
            <w:vAlign w:val="center"/>
          </w:tcPr>
          <w:p w14:paraId="206F665B">
            <w:pPr>
              <w:pStyle w:val="55"/>
              <w:spacing w:line="300" w:lineRule="exact"/>
              <w:rPr>
                <w:rFonts w:ascii="方正仿宋_GBK" w:eastAsia="方正仿宋_GBK"/>
                <w:color w:val="auto"/>
                <w:szCs w:val="21"/>
              </w:rPr>
            </w:pPr>
            <w:r>
              <w:rPr>
                <w:rFonts w:hint="eastAsia" w:ascii="方正仿宋_GBK" w:eastAsia="方正仿宋_GBK" w:cs="方正仿宋_GBK"/>
                <w:color w:val="auto"/>
                <w:szCs w:val="21"/>
              </w:rPr>
              <w:t>超过一定规模的危险性较大分部分项工程专家论证审查。</w:t>
            </w:r>
          </w:p>
        </w:tc>
      </w:tr>
      <w:tr w14:paraId="746DF5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noWrap w:val="0"/>
            <w:vAlign w:val="center"/>
          </w:tcPr>
          <w:p w14:paraId="5A892B18">
            <w:pPr>
              <w:pStyle w:val="55"/>
              <w:spacing w:line="300" w:lineRule="exact"/>
              <w:jc w:val="center"/>
              <w:rPr>
                <w:rFonts w:ascii="方正仿宋_GBK" w:eastAsia="方正仿宋_GBK"/>
                <w:color w:val="auto"/>
                <w:szCs w:val="21"/>
              </w:rPr>
            </w:pPr>
          </w:p>
        </w:tc>
        <w:tc>
          <w:tcPr>
            <w:tcW w:w="2070" w:type="dxa"/>
            <w:gridSpan w:val="2"/>
            <w:noWrap w:val="0"/>
            <w:vAlign w:val="center"/>
          </w:tcPr>
          <w:p w14:paraId="0B084E04">
            <w:pPr>
              <w:pStyle w:val="55"/>
              <w:spacing w:line="300" w:lineRule="exact"/>
              <w:jc w:val="center"/>
              <w:rPr>
                <w:rFonts w:ascii="方正仿宋_GBK" w:eastAsia="方正仿宋_GBK"/>
                <w:color w:val="auto"/>
                <w:szCs w:val="21"/>
              </w:rPr>
            </w:pPr>
            <w:r>
              <w:rPr>
                <w:rFonts w:hint="eastAsia" w:ascii="方正仿宋_GBK" w:eastAsia="方正仿宋_GBK" w:cs="方正仿宋_GBK"/>
                <w:color w:val="auto"/>
                <w:szCs w:val="21"/>
              </w:rPr>
              <w:t>应急救援预案</w:t>
            </w:r>
          </w:p>
        </w:tc>
        <w:tc>
          <w:tcPr>
            <w:tcW w:w="6645" w:type="dxa"/>
            <w:noWrap w:val="0"/>
            <w:vAlign w:val="center"/>
          </w:tcPr>
          <w:p w14:paraId="2EA71F0C">
            <w:pPr>
              <w:pStyle w:val="55"/>
              <w:spacing w:line="300" w:lineRule="exact"/>
              <w:rPr>
                <w:rFonts w:ascii="方正仿宋_GBK" w:eastAsia="方正仿宋_GBK"/>
                <w:color w:val="auto"/>
                <w:szCs w:val="21"/>
              </w:rPr>
            </w:pPr>
            <w:r>
              <w:rPr>
                <w:rFonts w:hint="eastAsia" w:ascii="方正仿宋_GBK" w:eastAsia="方正仿宋_GBK" w:cs="方正仿宋_GBK"/>
                <w:color w:val="auto"/>
                <w:szCs w:val="21"/>
              </w:rPr>
              <w:t>救援器材准备及演练等。</w:t>
            </w:r>
          </w:p>
        </w:tc>
      </w:tr>
      <w:tr w14:paraId="752C90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bottom w:val="single" w:color="auto" w:sz="12" w:space="0"/>
            </w:tcBorders>
            <w:noWrap w:val="0"/>
            <w:vAlign w:val="center"/>
          </w:tcPr>
          <w:p w14:paraId="6EE28841">
            <w:pPr>
              <w:pStyle w:val="55"/>
              <w:spacing w:line="300" w:lineRule="exact"/>
              <w:jc w:val="center"/>
              <w:rPr>
                <w:rFonts w:ascii="方正仿宋_GBK" w:eastAsia="方正仿宋_GBK"/>
                <w:color w:val="auto"/>
                <w:szCs w:val="21"/>
              </w:rPr>
            </w:pPr>
          </w:p>
        </w:tc>
        <w:tc>
          <w:tcPr>
            <w:tcW w:w="2070" w:type="dxa"/>
            <w:gridSpan w:val="2"/>
            <w:tcBorders>
              <w:bottom w:val="single" w:color="auto" w:sz="12" w:space="0"/>
            </w:tcBorders>
            <w:noWrap w:val="0"/>
            <w:vAlign w:val="center"/>
          </w:tcPr>
          <w:p w14:paraId="43667A07">
            <w:pPr>
              <w:pStyle w:val="55"/>
              <w:spacing w:line="300" w:lineRule="exact"/>
              <w:jc w:val="center"/>
              <w:rPr>
                <w:rFonts w:ascii="方正仿宋_GBK" w:eastAsia="方正仿宋_GBK"/>
                <w:color w:val="auto"/>
                <w:szCs w:val="21"/>
              </w:rPr>
            </w:pPr>
            <w:r>
              <w:rPr>
                <w:rFonts w:hint="eastAsia" w:ascii="方正仿宋_GBK" w:eastAsia="方正仿宋_GBK" w:cs="方正仿宋_GBK"/>
                <w:color w:val="auto"/>
                <w:szCs w:val="21"/>
              </w:rPr>
              <w:t>非正常情况施工</w:t>
            </w:r>
          </w:p>
        </w:tc>
        <w:tc>
          <w:tcPr>
            <w:tcW w:w="6645" w:type="dxa"/>
            <w:tcBorders>
              <w:bottom w:val="single" w:color="auto" w:sz="12" w:space="0"/>
            </w:tcBorders>
            <w:noWrap w:val="0"/>
            <w:vAlign w:val="center"/>
          </w:tcPr>
          <w:p w14:paraId="399814CF">
            <w:pPr>
              <w:pStyle w:val="55"/>
              <w:spacing w:line="300" w:lineRule="exact"/>
              <w:rPr>
                <w:rFonts w:ascii="方正仿宋_GBK" w:eastAsia="方正仿宋_GBK"/>
                <w:color w:val="auto"/>
                <w:szCs w:val="21"/>
              </w:rPr>
            </w:pPr>
            <w:r>
              <w:rPr>
                <w:rFonts w:hint="eastAsia" w:ascii="方正仿宋_GBK" w:eastAsia="方正仿宋_GBK" w:cs="方正仿宋_GBK"/>
                <w:color w:val="auto"/>
                <w:szCs w:val="21"/>
              </w:rPr>
              <w:t>其它特殊情况下的防护费用，如：城市主干道、人流密集、河边等处施工及文物、古建筑、古树保护等。</w:t>
            </w:r>
          </w:p>
        </w:tc>
      </w:tr>
    </w:tbl>
    <w:p w14:paraId="4ACF6B1E">
      <w:pPr>
        <w:pStyle w:val="55"/>
        <w:spacing w:line="240" w:lineRule="atLeast"/>
        <w:ind w:firstLine="546"/>
        <w:jc w:val="center"/>
        <w:rPr>
          <w:b/>
          <w:bCs/>
          <w:color w:val="auto"/>
          <w:w w:val="90"/>
          <w:sz w:val="24"/>
          <w:szCs w:val="24"/>
        </w:rPr>
      </w:pPr>
    </w:p>
    <w:p w14:paraId="0B5D5A20">
      <w:pPr>
        <w:pStyle w:val="55"/>
        <w:spacing w:before="156" w:beforeLines="50"/>
        <w:ind w:firstLine="420" w:firstLineChars="200"/>
        <w:rPr>
          <w:rFonts w:cs="宋体"/>
          <w:color w:val="auto"/>
          <w:szCs w:val="21"/>
        </w:rPr>
      </w:pPr>
      <w:r>
        <w:rPr>
          <w:rFonts w:hint="eastAsia" w:cs="宋体"/>
          <w:color w:val="auto"/>
          <w:szCs w:val="21"/>
        </w:rPr>
        <w:t>注：本表所列建筑工程安全文明施工费，是依据现行法律法规及标准规范确定的。如法律法规和标准规范修订，本表所列项目应按照修订后的法律法规和标准规范进行调整。</w:t>
      </w:r>
    </w:p>
    <w:p w14:paraId="713448C6">
      <w:pPr>
        <w:pStyle w:val="55"/>
        <w:spacing w:before="156" w:beforeLines="50"/>
        <w:ind w:firstLine="420" w:firstLineChars="200"/>
        <w:rPr>
          <w:rFonts w:cs="宋体"/>
          <w:color w:val="auto"/>
          <w:szCs w:val="21"/>
        </w:rPr>
      </w:pPr>
    </w:p>
    <w:p w14:paraId="1E89C9F4">
      <w:pPr>
        <w:rPr>
          <w:rFonts w:hint="eastAsia" w:ascii="宋体" w:hAnsi="宋体" w:eastAsia="宋体" w:cs="宋体"/>
          <w:b/>
          <w:color w:val="auto"/>
          <w:sz w:val="28"/>
          <w:szCs w:val="28"/>
          <w:highlight w:val="none"/>
          <w:lang w:val="en-US" w:eastAsia="zh-CN"/>
        </w:rPr>
      </w:pPr>
      <w:bookmarkStart w:id="2414" w:name="_Toc21891"/>
      <w:bookmarkStart w:id="2415" w:name="_Toc32582"/>
      <w:bookmarkStart w:id="2416" w:name="_Toc24798"/>
      <w:r>
        <w:rPr>
          <w:rFonts w:hint="eastAsia" w:ascii="宋体" w:hAnsi="宋体" w:eastAsia="宋体" w:cs="宋体"/>
          <w:b/>
          <w:color w:val="auto"/>
          <w:sz w:val="28"/>
          <w:szCs w:val="28"/>
          <w:highlight w:val="none"/>
          <w:lang w:val="en-US" w:eastAsia="zh-CN"/>
        </w:rPr>
        <w:br w:type="page"/>
      </w:r>
    </w:p>
    <w:p w14:paraId="00C23715">
      <w:pPr>
        <w:keepNext w:val="0"/>
        <w:keepLines w:val="0"/>
        <w:pageBreakBefore w:val="0"/>
        <w:widowControl w:val="0"/>
        <w:numPr>
          <w:ilvl w:val="0"/>
          <w:numId w:val="0"/>
        </w:numPr>
        <w:wordWrap/>
        <w:topLinePunct w:val="0"/>
        <w:bidi w:val="0"/>
        <w:spacing w:line="440" w:lineRule="atLeast"/>
        <w:outlineLvl w:val="2"/>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8.</w:t>
      </w:r>
      <w:bookmarkEnd w:id="2414"/>
      <w:bookmarkEnd w:id="2415"/>
      <w:bookmarkEnd w:id="2416"/>
      <w:bookmarkStart w:id="2417" w:name="_Toc10529"/>
      <w:bookmarkStart w:id="2418" w:name="_Toc21352"/>
      <w:bookmarkStart w:id="2419" w:name="_Toc297"/>
      <w:bookmarkStart w:id="2420" w:name="_Toc497927084"/>
      <w:bookmarkStart w:id="2421" w:name="_Toc28672"/>
      <w:bookmarkStart w:id="2422" w:name="_Toc9339"/>
      <w:r>
        <w:rPr>
          <w:rFonts w:hint="eastAsia" w:ascii="宋体" w:hAnsi="宋体" w:eastAsia="宋体" w:cs="宋体"/>
          <w:b/>
          <w:color w:val="auto"/>
          <w:sz w:val="28"/>
          <w:szCs w:val="28"/>
          <w:highlight w:val="none"/>
          <w:lang w:val="en-US" w:eastAsia="zh-CN"/>
        </w:rPr>
        <w:t>城乡清洁工程渣土清运承诺书（必须提供）。</w:t>
      </w:r>
      <w:bookmarkEnd w:id="2417"/>
      <w:bookmarkEnd w:id="2418"/>
      <w:bookmarkEnd w:id="2419"/>
    </w:p>
    <w:p w14:paraId="0F8FB459">
      <w:pPr>
        <w:keepNext w:val="0"/>
        <w:keepLines w:val="0"/>
        <w:pageBreakBefore w:val="0"/>
        <w:widowControl w:val="0"/>
        <w:numPr>
          <w:ilvl w:val="0"/>
          <w:numId w:val="0"/>
        </w:numPr>
        <w:wordWrap/>
        <w:topLinePunct w:val="0"/>
        <w:bidi w:val="0"/>
        <w:jc w:val="both"/>
        <w:rPr>
          <w:rFonts w:hint="eastAsia"/>
          <w:color w:val="auto"/>
          <w:highlight w:val="none"/>
        </w:rPr>
      </w:pPr>
    </w:p>
    <w:p w14:paraId="64B76570">
      <w:pPr>
        <w:spacing w:line="300" w:lineRule="auto"/>
        <w:jc w:val="left"/>
        <w:rPr>
          <w:rFonts w:hint="eastAsia" w:ascii="宋体" w:hAnsi="宋体"/>
          <w:b/>
          <w:color w:val="auto"/>
          <w:sz w:val="28"/>
          <w:szCs w:val="28"/>
        </w:rPr>
      </w:pPr>
      <w:r>
        <w:rPr>
          <w:rFonts w:hint="eastAsia" w:ascii="宋体" w:hAnsi="宋体"/>
          <w:b/>
          <w:color w:val="auto"/>
          <w:sz w:val="28"/>
          <w:szCs w:val="28"/>
        </w:rPr>
        <w:t>（按照桂林市建设工程招标站市建招字[2011]02号的规定承诺，格式自拟）</w:t>
      </w:r>
    </w:p>
    <w:p w14:paraId="1264A18D">
      <w:pPr>
        <w:keepNext w:val="0"/>
        <w:keepLines w:val="0"/>
        <w:pageBreakBefore w:val="0"/>
        <w:widowControl w:val="0"/>
        <w:wordWrap/>
        <w:topLinePunct w:val="0"/>
        <w:bidi w:val="0"/>
        <w:rPr>
          <w:rFonts w:hint="eastAsia"/>
          <w:color w:val="auto"/>
          <w:highlight w:val="none"/>
        </w:rPr>
      </w:pPr>
    </w:p>
    <w:p w14:paraId="261C38A3">
      <w:pPr>
        <w:rPr>
          <w:rFonts w:hint="eastAsia" w:ascii="宋体" w:hAnsi="宋体" w:eastAsia="宋体" w:cs="宋体"/>
          <w:b/>
          <w:bCs/>
          <w:color w:val="auto"/>
          <w:sz w:val="32"/>
          <w:szCs w:val="32"/>
          <w:highlight w:val="none"/>
        </w:rPr>
      </w:pPr>
      <w:bookmarkStart w:id="2423" w:name="_Toc13622"/>
      <w:r>
        <w:rPr>
          <w:rFonts w:hint="eastAsia" w:ascii="宋体" w:hAnsi="宋体" w:eastAsia="宋体" w:cs="宋体"/>
          <w:b/>
          <w:bCs/>
          <w:color w:val="auto"/>
          <w:sz w:val="32"/>
          <w:szCs w:val="32"/>
          <w:highlight w:val="none"/>
        </w:rPr>
        <w:br w:type="page"/>
      </w:r>
    </w:p>
    <w:p w14:paraId="49C7D715">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420" w:leftChars="0"/>
        <w:jc w:val="center"/>
        <w:textAlignment w:val="auto"/>
        <w:outlineLvl w:val="1"/>
        <w:rPr>
          <w:rFonts w:hint="eastAsia" w:ascii="宋体" w:hAnsi="宋体" w:eastAsia="宋体" w:cs="宋体"/>
          <w:color w:val="auto"/>
          <w:szCs w:val="21"/>
          <w:highlight w:val="none"/>
        </w:rPr>
      </w:pPr>
      <w:r>
        <w:rPr>
          <w:rFonts w:hint="eastAsia" w:ascii="宋体" w:hAnsi="宋体" w:eastAsia="宋体" w:cs="宋体"/>
          <w:b/>
          <w:bCs/>
          <w:color w:val="auto"/>
          <w:sz w:val="32"/>
          <w:szCs w:val="32"/>
          <w:highlight w:val="none"/>
        </w:rPr>
        <w:t>（</w:t>
      </w:r>
      <w:r>
        <w:rPr>
          <w:rFonts w:hint="eastAsia" w:ascii="宋体" w:hAnsi="宋体" w:cs="宋体"/>
          <w:b/>
          <w:bCs/>
          <w:color w:val="auto"/>
          <w:sz w:val="32"/>
          <w:szCs w:val="32"/>
          <w:highlight w:val="none"/>
          <w:lang w:eastAsia="zh-CN"/>
        </w:rPr>
        <w:t>三</w:t>
      </w:r>
      <w:r>
        <w:rPr>
          <w:rFonts w:hint="eastAsia" w:ascii="宋体" w:hAnsi="宋体" w:eastAsia="宋体" w:cs="宋体"/>
          <w:b/>
          <w:bCs/>
          <w:color w:val="auto"/>
          <w:sz w:val="32"/>
          <w:szCs w:val="32"/>
          <w:highlight w:val="none"/>
        </w:rPr>
        <w:t>）其</w:t>
      </w:r>
      <w:r>
        <w:rPr>
          <w:rFonts w:hint="eastAsia" w:ascii="宋体" w:hAnsi="宋体" w:eastAsia="宋体" w:cs="宋体"/>
          <w:b/>
          <w:bCs/>
          <w:color w:val="auto"/>
          <w:sz w:val="32"/>
          <w:szCs w:val="32"/>
          <w:highlight w:val="none"/>
          <w:lang w:eastAsia="zh-CN"/>
        </w:rPr>
        <w:t>他</w:t>
      </w:r>
      <w:r>
        <w:rPr>
          <w:rFonts w:hint="eastAsia" w:ascii="宋体" w:hAnsi="宋体" w:eastAsia="宋体" w:cs="宋体"/>
          <w:b/>
          <w:bCs/>
          <w:color w:val="auto"/>
          <w:sz w:val="32"/>
          <w:szCs w:val="32"/>
          <w:highlight w:val="none"/>
        </w:rPr>
        <w:t>有效证明材料目录</w:t>
      </w:r>
      <w:bookmarkEnd w:id="2420"/>
      <w:bookmarkEnd w:id="2421"/>
      <w:bookmarkEnd w:id="2422"/>
      <w:bookmarkEnd w:id="2423"/>
    </w:p>
    <w:p w14:paraId="7DBBBA6F">
      <w:pPr>
        <w:keepNext w:val="0"/>
        <w:keepLines w:val="0"/>
        <w:pageBreakBefore w:val="0"/>
        <w:widowControl w:val="0"/>
        <w:wordWrap/>
        <w:topLinePunct w:val="0"/>
        <w:bidi w:val="0"/>
        <w:spacing w:line="360" w:lineRule="auto"/>
        <w:ind w:firstLine="420" w:firstLineChars="200"/>
        <w:rPr>
          <w:rFonts w:hint="eastAsia" w:ascii="宋体" w:hAnsi="宋体" w:cs="宋体"/>
          <w:color w:val="auto"/>
          <w:sz w:val="21"/>
          <w:szCs w:val="21"/>
          <w:highlight w:val="none"/>
          <w:lang w:val="en-US" w:eastAsia="zh-CN"/>
        </w:rPr>
      </w:pPr>
    </w:p>
    <w:p w14:paraId="261B2CD8">
      <w:pPr>
        <w:keepNext w:val="0"/>
        <w:keepLines w:val="0"/>
        <w:pageBreakBefore w:val="0"/>
        <w:widowControl w:val="0"/>
        <w:wordWrap/>
        <w:topLinePunct w:val="0"/>
        <w:bidi w:val="0"/>
        <w:spacing w:line="360" w:lineRule="auto"/>
        <w:rPr>
          <w:rFonts w:hint="eastAsia" w:ascii="宋体" w:hAnsi="宋体" w:cs="宋体"/>
          <w:color w:val="auto"/>
          <w:sz w:val="21"/>
          <w:szCs w:val="21"/>
          <w:highlight w:val="none"/>
          <w:lang w:val="en-US" w:eastAsia="zh-CN"/>
        </w:rPr>
      </w:pPr>
    </w:p>
    <w:p w14:paraId="7D210B2A">
      <w:pPr>
        <w:keepNext w:val="0"/>
        <w:keepLines w:val="0"/>
        <w:pageBreakBefore w:val="0"/>
        <w:widowControl w:val="0"/>
        <w:wordWrap/>
        <w:topLinePunct w:val="0"/>
        <w:bidi w:val="0"/>
        <w:spacing w:line="240" w:lineRule="auto"/>
        <w:outlineLvl w:val="2"/>
        <w:rPr>
          <w:rFonts w:hint="eastAsia" w:ascii="宋体" w:hAnsi="宋体" w:eastAsia="宋体" w:cs="宋体"/>
          <w:b/>
          <w:bCs/>
          <w:iCs/>
          <w:color w:val="auto"/>
          <w:kern w:val="2"/>
          <w:sz w:val="28"/>
          <w:szCs w:val="28"/>
          <w:highlight w:val="none"/>
          <w:lang w:val="en-US" w:eastAsia="zh-CN" w:bidi="ar-SA"/>
        </w:rPr>
      </w:pPr>
      <w:r>
        <w:rPr>
          <w:rFonts w:hint="eastAsia" w:ascii="宋体" w:hAnsi="宋体" w:cs="宋体"/>
          <w:b/>
          <w:bCs/>
          <w:iCs/>
          <w:color w:val="auto"/>
          <w:kern w:val="2"/>
          <w:sz w:val="28"/>
          <w:szCs w:val="28"/>
          <w:highlight w:val="none"/>
          <w:lang w:val="en-US" w:eastAsia="zh-CN" w:bidi="ar-SA"/>
        </w:rPr>
        <w:t>1.供应商2023年1月1日以来具有类似工程的业绩</w:t>
      </w:r>
      <w:r>
        <w:rPr>
          <w:rFonts w:hint="eastAsia" w:ascii="宋体" w:hAnsi="宋体" w:eastAsia="宋体" w:cs="宋体"/>
          <w:b/>
          <w:bCs/>
          <w:iCs/>
          <w:color w:val="auto"/>
          <w:kern w:val="2"/>
          <w:sz w:val="28"/>
          <w:szCs w:val="28"/>
          <w:highlight w:val="none"/>
          <w:lang w:val="en-US" w:eastAsia="zh-CN" w:bidi="ar-SA"/>
        </w:rPr>
        <w:t>（无不良记录，以中标（成交）通知书或签订的合同或竣工证明文件为准，并能清晰反映项目的名称、采购内容、采购金额、采购时间）（如有）；</w:t>
      </w:r>
    </w:p>
    <w:p w14:paraId="09D2B4F6">
      <w:pPr>
        <w:keepNext w:val="0"/>
        <w:keepLines w:val="0"/>
        <w:pageBreakBefore w:val="0"/>
        <w:widowControl w:val="0"/>
        <w:wordWrap/>
        <w:topLinePunct w:val="0"/>
        <w:bidi w:val="0"/>
        <w:spacing w:line="360" w:lineRule="auto"/>
        <w:ind w:firstLine="420" w:firstLineChars="200"/>
        <w:rPr>
          <w:rFonts w:hint="eastAsia" w:ascii="宋体" w:hAnsi="宋体" w:eastAsia="宋体" w:cs="宋体"/>
          <w:color w:val="auto"/>
          <w:sz w:val="21"/>
          <w:szCs w:val="21"/>
          <w:highlight w:val="none"/>
          <w:lang w:val="en-US" w:eastAsia="zh-CN"/>
        </w:rPr>
      </w:pPr>
    </w:p>
    <w:p w14:paraId="1711013B">
      <w:pPr>
        <w:pStyle w:val="9"/>
        <w:keepNext w:val="0"/>
        <w:keepLines w:val="0"/>
        <w:pageBreakBefore w:val="0"/>
        <w:widowControl w:val="0"/>
        <w:wordWrap/>
        <w:topLinePunct w:val="0"/>
        <w:bidi w:val="0"/>
        <w:rPr>
          <w:rFonts w:hint="eastAsia" w:ascii="宋体" w:hAnsi="宋体" w:eastAsia="宋体" w:cs="宋体"/>
          <w:color w:val="auto"/>
          <w:sz w:val="21"/>
          <w:szCs w:val="21"/>
          <w:highlight w:val="none"/>
          <w:lang w:val="en-US" w:eastAsia="zh-CN"/>
        </w:rPr>
      </w:pPr>
    </w:p>
    <w:p w14:paraId="137D4116">
      <w:pPr>
        <w:keepNext w:val="0"/>
        <w:keepLines w:val="0"/>
        <w:pageBreakBefore w:val="0"/>
        <w:widowControl w:val="0"/>
        <w:wordWrap/>
        <w:topLinePunct w:val="0"/>
        <w:bidi w:val="0"/>
        <w:spacing w:line="240" w:lineRule="auto"/>
        <w:outlineLvl w:val="2"/>
        <w:rPr>
          <w:rFonts w:hint="eastAsia" w:ascii="宋体" w:hAnsi="宋体" w:cs="宋体"/>
          <w:b/>
          <w:bCs/>
          <w:iCs/>
          <w:color w:val="auto"/>
          <w:sz w:val="28"/>
          <w:szCs w:val="28"/>
          <w:highlight w:val="none"/>
          <w:lang w:val="en-US" w:eastAsia="zh-CN"/>
        </w:rPr>
      </w:pPr>
      <w:r>
        <w:rPr>
          <w:rFonts w:hint="eastAsia" w:ascii="宋体" w:hAnsi="宋体" w:cs="宋体"/>
          <w:b/>
          <w:bCs/>
          <w:iCs/>
          <w:color w:val="auto"/>
          <w:sz w:val="28"/>
          <w:szCs w:val="28"/>
          <w:highlight w:val="none"/>
          <w:lang w:val="en-US" w:eastAsia="zh-CN"/>
        </w:rPr>
        <w:t>2.供应商</w:t>
      </w:r>
      <w:r>
        <w:rPr>
          <w:rFonts w:hint="eastAsia" w:ascii="宋体" w:hAnsi="宋体" w:cs="宋体"/>
          <w:b/>
          <w:bCs/>
          <w:iCs/>
          <w:color w:val="auto"/>
          <w:sz w:val="28"/>
          <w:szCs w:val="28"/>
          <w:highlight w:val="none"/>
          <w:lang w:eastAsia="zh-CN"/>
        </w:rPr>
        <w:t>2023年1月1日</w:t>
      </w:r>
      <w:r>
        <w:rPr>
          <w:rFonts w:hint="eastAsia" w:ascii="宋体" w:hAnsi="宋体" w:cs="宋体"/>
          <w:b/>
          <w:bCs/>
          <w:iCs/>
          <w:color w:val="auto"/>
          <w:sz w:val="28"/>
          <w:szCs w:val="28"/>
          <w:highlight w:val="none"/>
          <w:lang w:val="en-US" w:eastAsia="zh-CN"/>
        </w:rPr>
        <w:t>以来</w:t>
      </w:r>
      <w:r>
        <w:rPr>
          <w:rFonts w:hint="eastAsia" w:ascii="宋体" w:hAnsi="宋体" w:cs="宋体"/>
          <w:b/>
          <w:bCs/>
          <w:iCs/>
          <w:color w:val="auto"/>
          <w:sz w:val="28"/>
          <w:szCs w:val="28"/>
          <w:highlight w:val="none"/>
        </w:rPr>
        <w:t>获奖情况</w:t>
      </w:r>
      <w:r>
        <w:rPr>
          <w:rFonts w:hint="eastAsia" w:ascii="宋体" w:hAnsi="宋体" w:cs="宋体"/>
          <w:b/>
          <w:bCs/>
          <w:iCs/>
          <w:color w:val="auto"/>
          <w:sz w:val="28"/>
          <w:szCs w:val="28"/>
          <w:highlight w:val="none"/>
          <w:lang w:eastAsia="zh-CN"/>
        </w:rPr>
        <w:t>（</w:t>
      </w:r>
      <w:r>
        <w:rPr>
          <w:rFonts w:hint="eastAsia" w:ascii="宋体" w:hAnsi="宋体" w:cs="宋体"/>
          <w:b/>
          <w:bCs/>
          <w:iCs/>
          <w:color w:val="auto"/>
          <w:sz w:val="28"/>
          <w:szCs w:val="28"/>
          <w:highlight w:val="none"/>
          <w:lang w:val="en-US" w:eastAsia="zh-CN"/>
        </w:rPr>
        <w:t>如有</w:t>
      </w:r>
      <w:r>
        <w:rPr>
          <w:rFonts w:hint="eastAsia" w:ascii="宋体" w:hAnsi="宋体" w:cs="宋体"/>
          <w:b/>
          <w:bCs/>
          <w:iCs/>
          <w:color w:val="auto"/>
          <w:sz w:val="28"/>
          <w:szCs w:val="28"/>
          <w:highlight w:val="none"/>
          <w:lang w:eastAsia="zh-CN"/>
        </w:rPr>
        <w:t>）</w:t>
      </w:r>
    </w:p>
    <w:p w14:paraId="519CFD4E">
      <w:pPr>
        <w:pStyle w:val="9"/>
        <w:keepNext w:val="0"/>
        <w:keepLines w:val="0"/>
        <w:pageBreakBefore w:val="0"/>
        <w:widowControl w:val="0"/>
        <w:wordWrap/>
        <w:topLinePunct w:val="0"/>
        <w:bidi w:val="0"/>
        <w:rPr>
          <w:rFonts w:hint="eastAsia"/>
          <w:color w:val="auto"/>
          <w:highlight w:val="none"/>
          <w:lang w:val="en-US" w:eastAsia="zh-CN"/>
        </w:rPr>
      </w:pPr>
    </w:p>
    <w:p w14:paraId="7F1FFDAD">
      <w:pPr>
        <w:keepNext w:val="0"/>
        <w:keepLines w:val="0"/>
        <w:pageBreakBefore w:val="0"/>
        <w:widowControl w:val="0"/>
        <w:wordWrap/>
        <w:topLinePunct w:val="0"/>
        <w:bidi w:val="0"/>
        <w:spacing w:line="240" w:lineRule="auto"/>
        <w:rPr>
          <w:rFonts w:hint="default" w:ascii="宋体" w:hAnsi="宋体" w:cs="宋体"/>
          <w:b/>
          <w:bCs/>
          <w:iCs/>
          <w:color w:val="auto"/>
          <w:kern w:val="2"/>
          <w:sz w:val="28"/>
          <w:szCs w:val="28"/>
          <w:highlight w:val="none"/>
          <w:lang w:val="en-US" w:eastAsia="zh-CN" w:bidi="ar-SA"/>
        </w:rPr>
      </w:pPr>
    </w:p>
    <w:p w14:paraId="4DE6A25F">
      <w:pPr>
        <w:keepNext w:val="0"/>
        <w:keepLines w:val="0"/>
        <w:pageBreakBefore w:val="0"/>
        <w:widowControl w:val="0"/>
        <w:wordWrap/>
        <w:topLinePunct w:val="0"/>
        <w:bidi w:val="0"/>
        <w:spacing w:line="240" w:lineRule="auto"/>
        <w:rPr>
          <w:rFonts w:hint="default" w:ascii="宋体" w:hAnsi="宋体" w:cs="宋体"/>
          <w:b/>
          <w:bCs/>
          <w:iCs/>
          <w:color w:val="auto"/>
          <w:kern w:val="2"/>
          <w:sz w:val="28"/>
          <w:szCs w:val="28"/>
          <w:highlight w:val="none"/>
          <w:lang w:val="en-US" w:eastAsia="zh-CN" w:bidi="ar-SA"/>
        </w:rPr>
      </w:pPr>
    </w:p>
    <w:p w14:paraId="21A61A33">
      <w:pPr>
        <w:keepNext w:val="0"/>
        <w:keepLines w:val="0"/>
        <w:pageBreakBefore w:val="0"/>
        <w:widowControl w:val="0"/>
        <w:wordWrap/>
        <w:topLinePunct w:val="0"/>
        <w:bidi w:val="0"/>
        <w:spacing w:line="240" w:lineRule="auto"/>
        <w:outlineLvl w:val="2"/>
        <w:rPr>
          <w:rFonts w:hint="eastAsia" w:ascii="宋体" w:hAnsi="宋体" w:eastAsia="宋体" w:cs="宋体"/>
          <w:b/>
          <w:bCs/>
          <w:iCs/>
          <w:color w:val="auto"/>
          <w:kern w:val="2"/>
          <w:sz w:val="28"/>
          <w:szCs w:val="28"/>
          <w:highlight w:val="none"/>
          <w:lang w:val="en-US" w:eastAsia="zh-CN" w:bidi="ar-SA"/>
        </w:rPr>
      </w:pPr>
      <w:r>
        <w:rPr>
          <w:rFonts w:hint="eastAsia" w:ascii="宋体" w:hAnsi="宋体" w:cs="宋体"/>
          <w:b/>
          <w:bCs/>
          <w:iCs/>
          <w:color w:val="auto"/>
          <w:kern w:val="2"/>
          <w:sz w:val="28"/>
          <w:szCs w:val="28"/>
          <w:highlight w:val="none"/>
          <w:lang w:val="en-US" w:eastAsia="zh-CN" w:bidi="ar-SA"/>
        </w:rPr>
        <w:t>3</w:t>
      </w:r>
      <w:r>
        <w:rPr>
          <w:rFonts w:hint="eastAsia" w:ascii="宋体" w:hAnsi="宋体" w:eastAsia="宋体" w:cs="宋体"/>
          <w:b/>
          <w:bCs/>
          <w:iCs/>
          <w:color w:val="auto"/>
          <w:kern w:val="2"/>
          <w:sz w:val="28"/>
          <w:szCs w:val="28"/>
          <w:highlight w:val="none"/>
          <w:lang w:val="en-US" w:eastAsia="zh-CN" w:bidi="ar-SA"/>
        </w:rPr>
        <w:t>.供应商可结合本项目的评审办法视自身情况自行提交其它相关证明材料。</w:t>
      </w:r>
    </w:p>
    <w:p w14:paraId="58B667E4">
      <w:pPr>
        <w:keepNext w:val="0"/>
        <w:keepLines w:val="0"/>
        <w:pageBreakBefore w:val="0"/>
        <w:widowControl w:val="0"/>
        <w:wordWrap/>
        <w:topLinePunct w:val="0"/>
        <w:bidi w:val="0"/>
        <w:spacing w:line="360" w:lineRule="auto"/>
        <w:ind w:firstLine="480" w:firstLineChars="200"/>
        <w:rPr>
          <w:rFonts w:hint="eastAsia" w:ascii="宋体" w:hAnsi="宋体" w:eastAsia="宋体" w:cs="宋体"/>
          <w:color w:val="auto"/>
          <w:sz w:val="24"/>
          <w:highlight w:val="none"/>
        </w:rPr>
      </w:pPr>
    </w:p>
    <w:p w14:paraId="7FBD7D79">
      <w:pPr>
        <w:keepNext w:val="0"/>
        <w:keepLines w:val="0"/>
        <w:pageBreakBefore w:val="0"/>
        <w:widowControl w:val="0"/>
        <w:wordWrap/>
        <w:topLinePunct w:val="0"/>
        <w:bidi w:val="0"/>
        <w:outlineLvl w:val="9"/>
        <w:rPr>
          <w:rFonts w:hint="eastAsia"/>
          <w:color w:val="auto"/>
          <w:highlight w:val="none"/>
        </w:rPr>
      </w:pPr>
      <w:r>
        <w:rPr>
          <w:rFonts w:hint="eastAsia"/>
          <w:color w:val="auto"/>
          <w:highlight w:val="none"/>
        </w:rPr>
        <w:br w:type="page"/>
      </w:r>
    </w:p>
    <w:p w14:paraId="7EAC9AD7">
      <w:pPr>
        <w:pStyle w:val="2"/>
        <w:keepNext w:val="0"/>
        <w:keepLines w:val="0"/>
        <w:pageBreakBefore w:val="0"/>
        <w:widowControl w:val="0"/>
        <w:wordWrap/>
        <w:topLinePunct w:val="0"/>
        <w:bidi w:val="0"/>
        <w:spacing w:line="240" w:lineRule="auto"/>
        <w:jc w:val="center"/>
        <w:outlineLvl w:val="0"/>
        <w:rPr>
          <w:rFonts w:hint="eastAsia"/>
          <w:color w:val="auto"/>
          <w:highlight w:val="none"/>
        </w:rPr>
      </w:pPr>
      <w:bookmarkStart w:id="2424" w:name="_Toc25736"/>
      <w:r>
        <w:rPr>
          <w:rFonts w:hint="eastAsia"/>
          <w:color w:val="auto"/>
          <w:highlight w:val="none"/>
        </w:rPr>
        <w:t>第七章</w:t>
      </w:r>
      <w:r>
        <w:rPr>
          <w:rFonts w:hint="eastAsia"/>
          <w:color w:val="auto"/>
          <w:highlight w:val="none"/>
          <w:lang w:val="en-US" w:eastAsia="zh-CN"/>
        </w:rPr>
        <w:t xml:space="preserve"> </w:t>
      </w:r>
      <w:r>
        <w:rPr>
          <w:rFonts w:hint="eastAsia"/>
          <w:color w:val="auto"/>
          <w:highlight w:val="none"/>
        </w:rPr>
        <w:t>图纸</w:t>
      </w:r>
      <w:bookmarkEnd w:id="2424"/>
    </w:p>
    <w:p w14:paraId="497433B7">
      <w:pPr>
        <w:keepNext w:val="0"/>
        <w:keepLines w:val="0"/>
        <w:pageBreakBefore w:val="0"/>
        <w:widowControl w:val="0"/>
        <w:wordWrap/>
        <w:topLinePunct w:val="0"/>
        <w:bidi w:val="0"/>
        <w:jc w:val="center"/>
        <w:rPr>
          <w:rFonts w:hint="eastAsia"/>
          <w:color w:val="auto"/>
          <w:highlight w:val="none"/>
        </w:rPr>
      </w:pPr>
    </w:p>
    <w:p w14:paraId="7571A44F">
      <w:pPr>
        <w:keepNext w:val="0"/>
        <w:keepLines w:val="0"/>
        <w:pageBreakBefore w:val="0"/>
        <w:widowControl w:val="0"/>
        <w:wordWrap/>
        <w:topLinePunct w:val="0"/>
        <w:bidi w:val="0"/>
        <w:spacing w:line="240" w:lineRule="auto"/>
        <w:jc w:val="center"/>
        <w:outlineLvl w:val="9"/>
        <w:rPr>
          <w:rFonts w:hint="default"/>
          <w:color w:val="auto"/>
          <w:sz w:val="36"/>
          <w:szCs w:val="36"/>
          <w:highlight w:val="none"/>
          <w:lang w:val="en-US" w:eastAsia="zh-CN"/>
        </w:rPr>
      </w:pPr>
      <w:r>
        <w:rPr>
          <w:rFonts w:hint="default"/>
          <w:color w:val="auto"/>
          <w:sz w:val="36"/>
          <w:szCs w:val="36"/>
          <w:highlight w:val="none"/>
          <w:lang w:val="en-US" w:eastAsia="zh-CN"/>
        </w:rPr>
        <w:t>另附（电子版自行下载）</w:t>
      </w:r>
    </w:p>
    <w:p w14:paraId="1D3EA79E">
      <w:pPr>
        <w:keepNext w:val="0"/>
        <w:keepLines w:val="0"/>
        <w:pageBreakBefore w:val="0"/>
        <w:widowControl w:val="0"/>
        <w:wordWrap/>
        <w:topLinePunct w:val="0"/>
        <w:bidi w:val="0"/>
        <w:rPr>
          <w:color w:val="auto"/>
          <w:highlight w:val="none"/>
        </w:rPr>
      </w:pPr>
    </w:p>
    <w:p w14:paraId="4E4D2CEA">
      <w:pPr>
        <w:keepNext w:val="0"/>
        <w:keepLines w:val="0"/>
        <w:pageBreakBefore w:val="0"/>
        <w:widowControl w:val="0"/>
        <w:wordWrap/>
        <w:topLinePunct w:val="0"/>
        <w:bidi w:val="0"/>
        <w:rPr>
          <w:color w:val="auto"/>
          <w:highlight w:val="none"/>
        </w:rPr>
      </w:pPr>
    </w:p>
    <w:p w14:paraId="61F93AB6">
      <w:pPr>
        <w:keepNext w:val="0"/>
        <w:keepLines w:val="0"/>
        <w:pageBreakBefore w:val="0"/>
        <w:widowControl w:val="0"/>
        <w:wordWrap/>
        <w:topLinePunct w:val="0"/>
        <w:bidi w:val="0"/>
        <w:rPr>
          <w:color w:val="auto"/>
        </w:rPr>
      </w:pPr>
    </w:p>
    <w:sectPr>
      <w:headerReference r:id="rId8" w:type="default"/>
      <w:footerReference r:id="rId9" w:type="default"/>
      <w:pgSz w:w="11910" w:h="16850"/>
      <w:pgMar w:top="1304" w:right="1134" w:bottom="1191" w:left="1247" w:header="876" w:footer="861" w:gutter="0"/>
      <w:pgNumType w:fmt="decimal"/>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auto"/>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47BD0">
    <w:pPr>
      <w:pStyle w:val="13"/>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41B504A1">
                          <w:pPr>
                            <w:pStyle w:val="13"/>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LOwMsfEAQAAmgMAAA4AAAAAAAAAAQAgAAAAHwEAAGRycy9lMm9Eb2MueG1s&#10;UEsFBgAAAAAGAAYAWQEAAFUFAAAAAA==&#10;">
              <v:fill on="f" focussize="0,0"/>
              <v:stroke on="f"/>
              <v:imagedata o:title=""/>
              <o:lock v:ext="edit" aspectratio="f"/>
              <v:textbox inset="0mm,0mm,0mm,0mm" style="mso-fit-shape-to-text:t;">
                <w:txbxContent>
                  <w:p w14:paraId="41B504A1">
                    <w:pPr>
                      <w:pStyle w:val="13"/>
                    </w:pPr>
                    <w:r>
                      <w:fldChar w:fldCharType="begin"/>
                    </w:r>
                    <w:r>
                      <w:instrText xml:space="preserve"> PAGE  \* MERGEFORMAT </w:instrText>
                    </w:r>
                    <w:r>
                      <w:fldChar w:fldCharType="separate"/>
                    </w:r>
                    <w:r>
                      <w:t>2</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35B76">
    <w:pPr>
      <w:pStyle w:val="13"/>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矩形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62780789">
                          <w:pPr>
                            <w:pStyle w:val="1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Bfqq+fEAQAAmgMAAA4AAAAAAAAAAQAgAAAAHwEAAGRycy9lMm9Eb2MueG1s&#10;UEsFBgAAAAAGAAYAWQEAAFUFAAAAAA==&#10;">
              <v:fill on="f" focussize="0,0"/>
              <v:stroke on="f"/>
              <v:imagedata o:title=""/>
              <o:lock v:ext="edit" aspectratio="f"/>
              <v:textbox inset="0mm,0mm,0mm,0mm" style="mso-fit-shape-to-text:t;">
                <w:txbxContent>
                  <w:p w14:paraId="62780789">
                    <w:pPr>
                      <w:pStyle w:val="13"/>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1DABC">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矩形 4099"/>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43012EDB">
                          <w:pPr>
                            <w:pStyle w:val="13"/>
                          </w:pPr>
                          <w:r>
                            <w:fldChar w:fldCharType="begin"/>
                          </w:r>
                          <w:r>
                            <w:instrText xml:space="preserve"> PAGE  \* MERGEFORMAT </w:instrText>
                          </w:r>
                          <w:r>
                            <w:fldChar w:fldCharType="separate"/>
                          </w:r>
                          <w:r>
                            <w:t>4</w:t>
                          </w:r>
                          <w:r>
                            <w:fldChar w:fldCharType="end"/>
                          </w:r>
                        </w:p>
                      </w:txbxContent>
                    </wps:txbx>
                    <wps:bodyPr wrap="none" lIns="0" tIns="0" rIns="0" bIns="0" upright="0">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Ll1uVLQAAAABQEAAA8AAAAAAAAAAQAgAAAAIgAAAGRycy9kb3ducmV2Lnht&#10;bFBLAQIUABQAAAAIAIdO4kBsme5pyAEAAKADAAAOAAAAAAAAAAEAIAAAAB8BAABkcnMvZTJvRG9j&#10;LnhtbFBLBQYAAAAABgAGAFkBAABZBQAAAAA=&#10;">
              <v:fill on="f" focussize="0,0"/>
              <v:stroke on="f"/>
              <v:imagedata o:title=""/>
              <o:lock v:ext="edit" aspectratio="f"/>
              <v:textbox inset="0mm,0mm,0mm,0mm" style="mso-fit-shape-to-text:t;">
                <w:txbxContent>
                  <w:p w14:paraId="43012EDB">
                    <w:pPr>
                      <w:pStyle w:val="13"/>
                    </w:pPr>
                    <w:r>
                      <w:fldChar w:fldCharType="begin"/>
                    </w:r>
                    <w:r>
                      <w:instrText xml:space="preserve"> PAGE  \* MERGEFORMAT </w:instrText>
                    </w:r>
                    <w:r>
                      <w:fldChar w:fldCharType="separate"/>
                    </w:r>
                    <w:r>
                      <w:t>4</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C9B69">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0" name="矩形 4100"/>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1F89854B">
                          <w:pPr>
                            <w:pStyle w:val="1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5dblS0AAAAAUBAAAPAAAAAAAAAAEAIAAAACIAAABkcnMvZG93bnJldi54bWxQ&#10;SwECFAAUAAAACACHTuJAvXcEWcYBAACgAwAADgAAAAAAAAABACAAAAAfAQAAZHJzL2Uyb0RvYy54&#10;bWxQSwUGAAAAAAYABgBZAQAAVwUAAAAA&#10;">
              <v:fill on="f" focussize="0,0"/>
              <v:stroke on="f"/>
              <v:imagedata o:title=""/>
              <o:lock v:ext="edit" aspectratio="f"/>
              <v:textbox inset="0mm,0mm,0mm,0mm" style="mso-fit-shape-to-text:t;">
                <w:txbxContent>
                  <w:p w14:paraId="1F89854B">
                    <w:pPr>
                      <w:pStyle w:val="13"/>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9A22A">
    <w:pPr>
      <w:pStyle w:val="13"/>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DDA806">
                          <w:pPr>
                            <w:pStyle w:val="13"/>
                            <w:jc w:val="center"/>
                          </w:pPr>
                          <w:r>
                            <w:fldChar w:fldCharType="begin"/>
                          </w:r>
                          <w:r>
                            <w:instrText xml:space="preserve">PAGE   \* MERGEFORMAT</w:instrText>
                          </w:r>
                          <w:r>
                            <w:fldChar w:fldCharType="separate"/>
                          </w:r>
                          <w:r>
                            <w:rPr>
                              <w:lang w:val="zh-CN"/>
                            </w:rP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2DDA806">
                    <w:pPr>
                      <w:pStyle w:val="13"/>
                      <w:jc w:val="center"/>
                    </w:pPr>
                    <w:r>
                      <w:fldChar w:fldCharType="begin"/>
                    </w:r>
                    <w:r>
                      <w:instrText xml:space="preserve">PAGE   \* MERGEFORMAT</w:instrText>
                    </w:r>
                    <w:r>
                      <w:fldChar w:fldCharType="separate"/>
                    </w:r>
                    <w:r>
                      <w:rPr>
                        <w:lang w:val="zh-CN"/>
                      </w:rPr>
                      <w:t>65</w:t>
                    </w:r>
                    <w:r>
                      <w:fldChar w:fldCharType="end"/>
                    </w:r>
                  </w:p>
                </w:txbxContent>
              </v:textbox>
            </v:shape>
          </w:pict>
        </mc:Fallback>
      </mc:AlternateContent>
    </w:r>
  </w:p>
  <w:p w14:paraId="24A0D494">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14239">
    <w:pPr>
      <w:pStyle w:val="13"/>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1" name="矩形 410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2D9C915B">
                          <w:pPr>
                            <w:pStyle w:val="13"/>
                          </w:pPr>
                          <w:r>
                            <w:fldChar w:fldCharType="begin"/>
                          </w:r>
                          <w:r>
                            <w:instrText xml:space="preserve"> PAGE  \* MERGEFORMAT </w:instrText>
                          </w:r>
                          <w:r>
                            <w:fldChar w:fldCharType="separate"/>
                          </w:r>
                          <w:r>
                            <w:t>64</w:t>
                          </w:r>
                          <w:r>
                            <w:fldChar w:fldCharType="end"/>
                          </w:r>
                        </w:p>
                      </w:txbxContent>
                    </wps:txbx>
                    <wps:bodyPr wrap="none" lIns="0" tIns="0" rIns="0" bIns="0" upright="0">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uXW5UtAAAAAFAQAADwAAAAAAAAABACAAAAAiAAAAZHJzL2Rvd25yZXYueG1s&#10;UEsBAhQAFAAAAAgAh07iQPhLAYDHAQAAoAMAAA4AAAAAAAAAAQAgAAAAHwEAAGRycy9lMm9Eb2Mu&#10;eG1sUEsFBgAAAAAGAAYAWQEAAFgFAAAAAA==&#10;">
              <v:fill on="f" focussize="0,0"/>
              <v:stroke on="f"/>
              <v:imagedata o:title=""/>
              <o:lock v:ext="edit" aspectratio="f"/>
              <v:textbox inset="0mm,0mm,0mm,0mm" style="mso-fit-shape-to-text:t;">
                <w:txbxContent>
                  <w:p w14:paraId="2D9C915B">
                    <w:pPr>
                      <w:pStyle w:val="13"/>
                    </w:pPr>
                    <w:r>
                      <w:fldChar w:fldCharType="begin"/>
                    </w:r>
                    <w:r>
                      <w:instrText xml:space="preserve"> PAGE  \* MERGEFORMAT </w:instrText>
                    </w:r>
                    <w:r>
                      <w:fldChar w:fldCharType="separate"/>
                    </w:r>
                    <w:r>
                      <w:t>64</w:t>
                    </w:r>
                    <w:r>
                      <w:fldChar w:fldCharType="end"/>
                    </w:r>
                  </w:p>
                </w:txbxContent>
              </v:textbox>
            </v:rect>
          </w:pict>
        </mc:Fallback>
      </mc:AlternateContent>
    </w:r>
  </w:p>
  <w:p w14:paraId="1B2643ED">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B24C5">
    <w:pPr>
      <w:pStyle w:val="14"/>
      <w:pBdr>
        <w:top w:val="none" w:color="auto" w:sz="0" w:space="0"/>
        <w:left w:val="none" w:color="auto" w:sz="0" w:space="0"/>
        <w:bottom w:val="none" w:color="auto" w:sz="0" w:space="1"/>
        <w:right w:val="none" w:color="auto" w:sz="0" w:space="0"/>
        <w:between w:val="none" w:color="auto" w:sz="0" w:space="0"/>
      </w:pBdr>
      <w:ind w:firstLine="0" w:firstLineChars="0"/>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2"/>
      <w:numFmt w:val="decimal"/>
      <w:suff w:val="nothing"/>
      <w:lvlText w:val="（%1）"/>
      <w:lvlJc w:val="left"/>
    </w:lvl>
  </w:abstractNum>
  <w:abstractNum w:abstractNumId="1">
    <w:nsid w:val="00000003"/>
    <w:multiLevelType w:val="singleLevel"/>
    <w:tmpl w:val="00000003"/>
    <w:lvl w:ilvl="0" w:tentative="0">
      <w:start w:val="1"/>
      <w:numFmt w:val="chineseCounting"/>
      <w:suff w:val="space"/>
      <w:lvlText w:val="第%1部分"/>
      <w:lvlJc w:val="left"/>
      <w:rPr>
        <w:rFonts w:hint="eastAsia"/>
      </w:rPr>
    </w:lvl>
  </w:abstractNum>
  <w:abstractNum w:abstractNumId="2">
    <w:nsid w:val="00000005"/>
    <w:multiLevelType w:val="multilevel"/>
    <w:tmpl w:val="00000005"/>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3">
    <w:nsid w:val="00000006"/>
    <w:multiLevelType w:val="singleLevel"/>
    <w:tmpl w:val="00000006"/>
    <w:lvl w:ilvl="0" w:tentative="0">
      <w:start w:val="1"/>
      <w:numFmt w:val="chineseCounting"/>
      <w:suff w:val="nothing"/>
      <w:lvlText w:val="（%1）"/>
      <w:lvlJc w:val="left"/>
      <w:pPr>
        <w:ind w:left="482"/>
      </w:pPr>
      <w:rPr>
        <w:rFonts w:hint="eastAsia"/>
      </w:rPr>
    </w:lvl>
  </w:abstractNum>
  <w:abstractNum w:abstractNumId="4">
    <w:nsid w:val="00000009"/>
    <w:multiLevelType w:val="singleLevel"/>
    <w:tmpl w:val="00000009"/>
    <w:lvl w:ilvl="0" w:tentative="0">
      <w:start w:val="4"/>
      <w:numFmt w:val="decimal"/>
      <w:suff w:val="nothing"/>
      <w:lvlText w:val="（%1）"/>
      <w:lvlJc w:val="left"/>
    </w:lvl>
  </w:abstractNum>
  <w:abstractNum w:abstractNumId="5">
    <w:nsid w:val="0000000A"/>
    <w:multiLevelType w:val="singleLevel"/>
    <w:tmpl w:val="0000000A"/>
    <w:lvl w:ilvl="0" w:tentative="0">
      <w:start w:val="2"/>
      <w:numFmt w:val="decimal"/>
      <w:suff w:val="nothing"/>
      <w:lvlText w:val="（%1）"/>
      <w:lvlJc w:val="left"/>
    </w:lvl>
  </w:abstractNum>
  <w:abstractNum w:abstractNumId="6">
    <w:nsid w:val="0000000C"/>
    <w:multiLevelType w:val="singleLevel"/>
    <w:tmpl w:val="0000000C"/>
    <w:lvl w:ilvl="0" w:tentative="0">
      <w:start w:val="6"/>
      <w:numFmt w:val="chineseCounting"/>
      <w:suff w:val="nothing"/>
      <w:lvlText w:val="%1、"/>
      <w:lvlJc w:val="left"/>
      <w:rPr>
        <w:rFonts w:hint="eastAsia"/>
      </w:rPr>
    </w:lvl>
  </w:abstractNum>
  <w:abstractNum w:abstractNumId="7">
    <w:nsid w:val="0000000D"/>
    <w:multiLevelType w:val="singleLevel"/>
    <w:tmpl w:val="0000000D"/>
    <w:lvl w:ilvl="0" w:tentative="0">
      <w:start w:val="2"/>
      <w:numFmt w:val="decimal"/>
      <w:lvlText w:val="%1."/>
      <w:lvlJc w:val="left"/>
      <w:pPr>
        <w:tabs>
          <w:tab w:val="left" w:pos="312"/>
        </w:tabs>
      </w:pPr>
    </w:lvl>
  </w:abstractNum>
  <w:abstractNum w:abstractNumId="8">
    <w:nsid w:val="00000010"/>
    <w:multiLevelType w:val="singleLevel"/>
    <w:tmpl w:val="00000010"/>
    <w:lvl w:ilvl="0" w:tentative="0">
      <w:start w:val="5"/>
      <w:numFmt w:val="decimal"/>
      <w:suff w:val="space"/>
      <w:lvlText w:val="%1."/>
      <w:lvlJc w:val="left"/>
    </w:lvl>
  </w:abstractNum>
  <w:abstractNum w:abstractNumId="9">
    <w:nsid w:val="66D869F1"/>
    <w:multiLevelType w:val="singleLevel"/>
    <w:tmpl w:val="66D869F1"/>
    <w:lvl w:ilvl="0" w:tentative="0">
      <w:start w:val="1"/>
      <w:numFmt w:val="chineseCounting"/>
      <w:suff w:val="nothing"/>
      <w:lvlText w:val="（%1）"/>
      <w:lvlJc w:val="left"/>
      <w:pPr>
        <w:ind w:left="482"/>
      </w:pPr>
      <w:rPr>
        <w:rFonts w:hint="eastAsia"/>
      </w:rPr>
    </w:lvl>
  </w:abstractNum>
  <w:abstractNum w:abstractNumId="10">
    <w:nsid w:val="7D335EFA"/>
    <w:multiLevelType w:val="singleLevel"/>
    <w:tmpl w:val="7D335EFA"/>
    <w:lvl w:ilvl="0" w:tentative="0">
      <w:start w:val="1"/>
      <w:numFmt w:val="decimal"/>
      <w:suff w:val="space"/>
      <w:lvlText w:val="%1."/>
      <w:lvlJc w:val="left"/>
    </w:lvl>
  </w:abstractNum>
  <w:num w:numId="1">
    <w:abstractNumId w:val="2"/>
  </w:num>
  <w:num w:numId="2">
    <w:abstractNumId w:val="8"/>
  </w:num>
  <w:num w:numId="3">
    <w:abstractNumId w:val="0"/>
  </w:num>
  <w:num w:numId="4">
    <w:abstractNumId w:val="1"/>
  </w:num>
  <w:num w:numId="5">
    <w:abstractNumId w:val="4"/>
  </w:num>
  <w:num w:numId="6">
    <w:abstractNumId w:val="3"/>
  </w:num>
  <w:num w:numId="7">
    <w:abstractNumId w:val="5"/>
  </w:num>
  <w:num w:numId="8">
    <w:abstractNumId w:val="6"/>
  </w:num>
  <w:num w:numId="9">
    <w:abstractNumId w:val="7"/>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5OTBjMGE3NzAzY2JmZjg2MTZhMGMwYTFkYWIxODQifQ=="/>
    <w:docVar w:name="KSO_WPS_MARK_KEY" w:val="a3adb148-270f-42ae-9ec3-2fe99b1ace6b"/>
  </w:docVars>
  <w:rsids>
    <w:rsidRoot w:val="23B209CE"/>
    <w:rsid w:val="00854A72"/>
    <w:rsid w:val="00930024"/>
    <w:rsid w:val="00B80FE2"/>
    <w:rsid w:val="00FA5C08"/>
    <w:rsid w:val="01076FA8"/>
    <w:rsid w:val="01747E56"/>
    <w:rsid w:val="01810306"/>
    <w:rsid w:val="01B26CA5"/>
    <w:rsid w:val="01C144D9"/>
    <w:rsid w:val="01CA6557"/>
    <w:rsid w:val="01DE5CAD"/>
    <w:rsid w:val="021013A5"/>
    <w:rsid w:val="02111B48"/>
    <w:rsid w:val="022A4193"/>
    <w:rsid w:val="024E143B"/>
    <w:rsid w:val="025F388A"/>
    <w:rsid w:val="02AF6CE3"/>
    <w:rsid w:val="02F97044"/>
    <w:rsid w:val="030F53B2"/>
    <w:rsid w:val="03462ABC"/>
    <w:rsid w:val="03803123"/>
    <w:rsid w:val="03BF4B97"/>
    <w:rsid w:val="042042C5"/>
    <w:rsid w:val="045A35CA"/>
    <w:rsid w:val="0513305A"/>
    <w:rsid w:val="05467449"/>
    <w:rsid w:val="05951810"/>
    <w:rsid w:val="06336531"/>
    <w:rsid w:val="06435EAF"/>
    <w:rsid w:val="068C3E93"/>
    <w:rsid w:val="06E4782C"/>
    <w:rsid w:val="06E55C44"/>
    <w:rsid w:val="06FB0143"/>
    <w:rsid w:val="07A1571D"/>
    <w:rsid w:val="086955C6"/>
    <w:rsid w:val="08E953CE"/>
    <w:rsid w:val="08F136C4"/>
    <w:rsid w:val="09016473"/>
    <w:rsid w:val="098F3F42"/>
    <w:rsid w:val="09954AB1"/>
    <w:rsid w:val="09B278C7"/>
    <w:rsid w:val="09B434E5"/>
    <w:rsid w:val="09CE31B8"/>
    <w:rsid w:val="09EA30C6"/>
    <w:rsid w:val="09F2400E"/>
    <w:rsid w:val="0A540824"/>
    <w:rsid w:val="0A623D92"/>
    <w:rsid w:val="0A68645A"/>
    <w:rsid w:val="0AC92FC0"/>
    <w:rsid w:val="0B1526A9"/>
    <w:rsid w:val="0B7E7B06"/>
    <w:rsid w:val="0B815649"/>
    <w:rsid w:val="0BF26547"/>
    <w:rsid w:val="0C120DD4"/>
    <w:rsid w:val="0C9462C4"/>
    <w:rsid w:val="0C9F66CF"/>
    <w:rsid w:val="0CF61E52"/>
    <w:rsid w:val="0CFB167C"/>
    <w:rsid w:val="0D3B5CCB"/>
    <w:rsid w:val="0D4D384D"/>
    <w:rsid w:val="0D814026"/>
    <w:rsid w:val="0D851C9F"/>
    <w:rsid w:val="0E685C3E"/>
    <w:rsid w:val="0E814C31"/>
    <w:rsid w:val="0E836F5A"/>
    <w:rsid w:val="0E8A2861"/>
    <w:rsid w:val="0E985859"/>
    <w:rsid w:val="0F3D3F7D"/>
    <w:rsid w:val="0FA364D6"/>
    <w:rsid w:val="100625C1"/>
    <w:rsid w:val="10117CE4"/>
    <w:rsid w:val="110D5B7B"/>
    <w:rsid w:val="110E3E23"/>
    <w:rsid w:val="114B314A"/>
    <w:rsid w:val="115B4F75"/>
    <w:rsid w:val="11AF4BBA"/>
    <w:rsid w:val="11CB3AC2"/>
    <w:rsid w:val="121466E6"/>
    <w:rsid w:val="12274A70"/>
    <w:rsid w:val="12927940"/>
    <w:rsid w:val="129E2CF7"/>
    <w:rsid w:val="131B4F5E"/>
    <w:rsid w:val="133D1DB4"/>
    <w:rsid w:val="138A52B7"/>
    <w:rsid w:val="13DF73EA"/>
    <w:rsid w:val="13E64BF6"/>
    <w:rsid w:val="13EE3A98"/>
    <w:rsid w:val="144D471F"/>
    <w:rsid w:val="14C77D01"/>
    <w:rsid w:val="14CA2983"/>
    <w:rsid w:val="15333EEC"/>
    <w:rsid w:val="154F3F14"/>
    <w:rsid w:val="159643E7"/>
    <w:rsid w:val="159C7209"/>
    <w:rsid w:val="15B14D7D"/>
    <w:rsid w:val="15CA279E"/>
    <w:rsid w:val="15FC62BD"/>
    <w:rsid w:val="16310E58"/>
    <w:rsid w:val="16465E0D"/>
    <w:rsid w:val="16616190"/>
    <w:rsid w:val="16665843"/>
    <w:rsid w:val="16717134"/>
    <w:rsid w:val="174773A9"/>
    <w:rsid w:val="174A07CA"/>
    <w:rsid w:val="17603632"/>
    <w:rsid w:val="17880A68"/>
    <w:rsid w:val="17A64643"/>
    <w:rsid w:val="182757CA"/>
    <w:rsid w:val="183A22A9"/>
    <w:rsid w:val="18995E33"/>
    <w:rsid w:val="18CE6C54"/>
    <w:rsid w:val="18D81900"/>
    <w:rsid w:val="18DD0389"/>
    <w:rsid w:val="190951E0"/>
    <w:rsid w:val="193502FE"/>
    <w:rsid w:val="19392E3F"/>
    <w:rsid w:val="196B6B32"/>
    <w:rsid w:val="1996543D"/>
    <w:rsid w:val="1A5A3C35"/>
    <w:rsid w:val="1B235074"/>
    <w:rsid w:val="1C273F78"/>
    <w:rsid w:val="1C905109"/>
    <w:rsid w:val="1C9F0600"/>
    <w:rsid w:val="1D232A04"/>
    <w:rsid w:val="1D2C3EA2"/>
    <w:rsid w:val="1DA7240B"/>
    <w:rsid w:val="1DB623BE"/>
    <w:rsid w:val="1DBE016A"/>
    <w:rsid w:val="1E1E141D"/>
    <w:rsid w:val="1E870D71"/>
    <w:rsid w:val="1EB50842"/>
    <w:rsid w:val="1EC473C2"/>
    <w:rsid w:val="1ED32208"/>
    <w:rsid w:val="1EE55015"/>
    <w:rsid w:val="1F1032A0"/>
    <w:rsid w:val="1F501AAA"/>
    <w:rsid w:val="1F5F50D5"/>
    <w:rsid w:val="1F894870"/>
    <w:rsid w:val="204A64FA"/>
    <w:rsid w:val="206F41B2"/>
    <w:rsid w:val="20B10327"/>
    <w:rsid w:val="20D02B91"/>
    <w:rsid w:val="20D62F99"/>
    <w:rsid w:val="20F42C33"/>
    <w:rsid w:val="210B2B5C"/>
    <w:rsid w:val="21254CE9"/>
    <w:rsid w:val="21B4613A"/>
    <w:rsid w:val="21E604A4"/>
    <w:rsid w:val="21F04E7F"/>
    <w:rsid w:val="22410797"/>
    <w:rsid w:val="225E509B"/>
    <w:rsid w:val="22936DBB"/>
    <w:rsid w:val="22FD6FFC"/>
    <w:rsid w:val="233A6539"/>
    <w:rsid w:val="233F60BE"/>
    <w:rsid w:val="23B209CE"/>
    <w:rsid w:val="24267689"/>
    <w:rsid w:val="24750783"/>
    <w:rsid w:val="24E32A79"/>
    <w:rsid w:val="2593624D"/>
    <w:rsid w:val="25D56865"/>
    <w:rsid w:val="25F64473"/>
    <w:rsid w:val="26107DAF"/>
    <w:rsid w:val="26B27A86"/>
    <w:rsid w:val="272F61A5"/>
    <w:rsid w:val="27C47BDC"/>
    <w:rsid w:val="27F31225"/>
    <w:rsid w:val="28240B14"/>
    <w:rsid w:val="28416434"/>
    <w:rsid w:val="28610884"/>
    <w:rsid w:val="28856C91"/>
    <w:rsid w:val="289C18BC"/>
    <w:rsid w:val="28BE7A85"/>
    <w:rsid w:val="28DE1ED5"/>
    <w:rsid w:val="294361DC"/>
    <w:rsid w:val="294A756A"/>
    <w:rsid w:val="29504EF8"/>
    <w:rsid w:val="297B2F8F"/>
    <w:rsid w:val="29954C89"/>
    <w:rsid w:val="29B22546"/>
    <w:rsid w:val="29CE3619"/>
    <w:rsid w:val="2A0A2709"/>
    <w:rsid w:val="2A1B07AF"/>
    <w:rsid w:val="2A3C3B80"/>
    <w:rsid w:val="2AA768F7"/>
    <w:rsid w:val="2AA902C1"/>
    <w:rsid w:val="2AC109ED"/>
    <w:rsid w:val="2B092F16"/>
    <w:rsid w:val="2BA36C87"/>
    <w:rsid w:val="2BD55DD1"/>
    <w:rsid w:val="2BE86762"/>
    <w:rsid w:val="2C5405BE"/>
    <w:rsid w:val="2C5B2595"/>
    <w:rsid w:val="2C710C40"/>
    <w:rsid w:val="2C994A91"/>
    <w:rsid w:val="2CC111F3"/>
    <w:rsid w:val="2CC807E2"/>
    <w:rsid w:val="2CE51307"/>
    <w:rsid w:val="2CFB0902"/>
    <w:rsid w:val="2D1316FD"/>
    <w:rsid w:val="2D2F0DD7"/>
    <w:rsid w:val="2D327988"/>
    <w:rsid w:val="2D416F5A"/>
    <w:rsid w:val="2D4A5D8B"/>
    <w:rsid w:val="2D4E36E0"/>
    <w:rsid w:val="2D7D7F0E"/>
    <w:rsid w:val="2D881B71"/>
    <w:rsid w:val="2D8A43D9"/>
    <w:rsid w:val="2DC41EB4"/>
    <w:rsid w:val="2DDF4725"/>
    <w:rsid w:val="2E2F6D2F"/>
    <w:rsid w:val="2E505623"/>
    <w:rsid w:val="2E8F2AA0"/>
    <w:rsid w:val="2EEB1EFD"/>
    <w:rsid w:val="2F083808"/>
    <w:rsid w:val="2F2D7712"/>
    <w:rsid w:val="2F570FD7"/>
    <w:rsid w:val="2FBA3A84"/>
    <w:rsid w:val="2FCA6D0F"/>
    <w:rsid w:val="307733DF"/>
    <w:rsid w:val="309923A3"/>
    <w:rsid w:val="30A13F14"/>
    <w:rsid w:val="31BE0AF5"/>
    <w:rsid w:val="321C4D20"/>
    <w:rsid w:val="322F14F8"/>
    <w:rsid w:val="323E0EA4"/>
    <w:rsid w:val="32625925"/>
    <w:rsid w:val="32731C98"/>
    <w:rsid w:val="329B25B1"/>
    <w:rsid w:val="32B85545"/>
    <w:rsid w:val="32C73614"/>
    <w:rsid w:val="32CD46FA"/>
    <w:rsid w:val="32D1748A"/>
    <w:rsid w:val="32D43751"/>
    <w:rsid w:val="3342616B"/>
    <w:rsid w:val="3370276B"/>
    <w:rsid w:val="33E228F6"/>
    <w:rsid w:val="342F58BD"/>
    <w:rsid w:val="346C65E7"/>
    <w:rsid w:val="34BB756E"/>
    <w:rsid w:val="351C510B"/>
    <w:rsid w:val="352855CC"/>
    <w:rsid w:val="35436F4B"/>
    <w:rsid w:val="3622665A"/>
    <w:rsid w:val="36D3462E"/>
    <w:rsid w:val="36FF7BE6"/>
    <w:rsid w:val="37321D6A"/>
    <w:rsid w:val="37E008FA"/>
    <w:rsid w:val="3810197F"/>
    <w:rsid w:val="38674207"/>
    <w:rsid w:val="392408C7"/>
    <w:rsid w:val="397D4DF2"/>
    <w:rsid w:val="39AC2DE9"/>
    <w:rsid w:val="39AE0E6C"/>
    <w:rsid w:val="39F2758E"/>
    <w:rsid w:val="3A1F2379"/>
    <w:rsid w:val="3AB33BF5"/>
    <w:rsid w:val="3ACE232F"/>
    <w:rsid w:val="3B2415F7"/>
    <w:rsid w:val="3B2C2032"/>
    <w:rsid w:val="3B4A33FA"/>
    <w:rsid w:val="3B8E578E"/>
    <w:rsid w:val="3BAA1905"/>
    <w:rsid w:val="3C801D8D"/>
    <w:rsid w:val="3CD63197"/>
    <w:rsid w:val="3D0973F3"/>
    <w:rsid w:val="3D324146"/>
    <w:rsid w:val="3D6604A8"/>
    <w:rsid w:val="3D672791"/>
    <w:rsid w:val="3D6C0B43"/>
    <w:rsid w:val="3DBD58B9"/>
    <w:rsid w:val="3DC01751"/>
    <w:rsid w:val="3E417A1E"/>
    <w:rsid w:val="3E4823FE"/>
    <w:rsid w:val="3E620F26"/>
    <w:rsid w:val="3EA451FF"/>
    <w:rsid w:val="3EB56CCB"/>
    <w:rsid w:val="3EC56310"/>
    <w:rsid w:val="3F8E7D59"/>
    <w:rsid w:val="411E127C"/>
    <w:rsid w:val="4176182C"/>
    <w:rsid w:val="42543E0F"/>
    <w:rsid w:val="42701998"/>
    <w:rsid w:val="428D0A5E"/>
    <w:rsid w:val="42BE6BA7"/>
    <w:rsid w:val="42C27D1A"/>
    <w:rsid w:val="42DF33AE"/>
    <w:rsid w:val="42F223AD"/>
    <w:rsid w:val="43106535"/>
    <w:rsid w:val="435E7881"/>
    <w:rsid w:val="43E4263E"/>
    <w:rsid w:val="43EA173C"/>
    <w:rsid w:val="4445651F"/>
    <w:rsid w:val="44C71C31"/>
    <w:rsid w:val="44C86445"/>
    <w:rsid w:val="451C5E07"/>
    <w:rsid w:val="454C3B6C"/>
    <w:rsid w:val="454F5136"/>
    <w:rsid w:val="456E0E90"/>
    <w:rsid w:val="463827CD"/>
    <w:rsid w:val="4660465C"/>
    <w:rsid w:val="46E110B6"/>
    <w:rsid w:val="471A6376"/>
    <w:rsid w:val="477A6033"/>
    <w:rsid w:val="47876685"/>
    <w:rsid w:val="47C307BC"/>
    <w:rsid w:val="47F53158"/>
    <w:rsid w:val="480E25A0"/>
    <w:rsid w:val="48504112"/>
    <w:rsid w:val="48627FD5"/>
    <w:rsid w:val="48837E5F"/>
    <w:rsid w:val="489F6B33"/>
    <w:rsid w:val="48EE729C"/>
    <w:rsid w:val="49096D51"/>
    <w:rsid w:val="491B4E9A"/>
    <w:rsid w:val="492E6109"/>
    <w:rsid w:val="499165E2"/>
    <w:rsid w:val="49B87D1D"/>
    <w:rsid w:val="49C80690"/>
    <w:rsid w:val="49F517A6"/>
    <w:rsid w:val="4A49083D"/>
    <w:rsid w:val="4A7C186B"/>
    <w:rsid w:val="4AA12965"/>
    <w:rsid w:val="4AA91EEB"/>
    <w:rsid w:val="4AD8457E"/>
    <w:rsid w:val="4B853E5E"/>
    <w:rsid w:val="4B9761E7"/>
    <w:rsid w:val="4B987C7D"/>
    <w:rsid w:val="4BA34B8C"/>
    <w:rsid w:val="4BBA0742"/>
    <w:rsid w:val="4BF90C50"/>
    <w:rsid w:val="4C001FDF"/>
    <w:rsid w:val="4C863C7B"/>
    <w:rsid w:val="4D3D5C8A"/>
    <w:rsid w:val="4D550108"/>
    <w:rsid w:val="4D5E614B"/>
    <w:rsid w:val="4DC67CB4"/>
    <w:rsid w:val="4E090986"/>
    <w:rsid w:val="4E7919E9"/>
    <w:rsid w:val="4EA23D83"/>
    <w:rsid w:val="4EB1136E"/>
    <w:rsid w:val="4EE51018"/>
    <w:rsid w:val="4F943127"/>
    <w:rsid w:val="4F957A56"/>
    <w:rsid w:val="4FB77937"/>
    <w:rsid w:val="4FD454FD"/>
    <w:rsid w:val="500D180C"/>
    <w:rsid w:val="501D5EB6"/>
    <w:rsid w:val="502344EE"/>
    <w:rsid w:val="502913D8"/>
    <w:rsid w:val="5038161B"/>
    <w:rsid w:val="50C25AB5"/>
    <w:rsid w:val="50D82199"/>
    <w:rsid w:val="51394A0A"/>
    <w:rsid w:val="516B4221"/>
    <w:rsid w:val="51B51175"/>
    <w:rsid w:val="51B73F2E"/>
    <w:rsid w:val="5277467D"/>
    <w:rsid w:val="52891B1E"/>
    <w:rsid w:val="52B61649"/>
    <w:rsid w:val="52E11055"/>
    <w:rsid w:val="5302663C"/>
    <w:rsid w:val="53245B96"/>
    <w:rsid w:val="53717EB1"/>
    <w:rsid w:val="53B37937"/>
    <w:rsid w:val="53FC0BBB"/>
    <w:rsid w:val="54225EF4"/>
    <w:rsid w:val="54556C40"/>
    <w:rsid w:val="54AB2D04"/>
    <w:rsid w:val="55494F54"/>
    <w:rsid w:val="55B72D22"/>
    <w:rsid w:val="560B1CAC"/>
    <w:rsid w:val="56D818DD"/>
    <w:rsid w:val="576F3CA2"/>
    <w:rsid w:val="58432FA3"/>
    <w:rsid w:val="58501BF8"/>
    <w:rsid w:val="58A61818"/>
    <w:rsid w:val="58B06B3A"/>
    <w:rsid w:val="596C2A61"/>
    <w:rsid w:val="59B63CDD"/>
    <w:rsid w:val="5A2E27F7"/>
    <w:rsid w:val="5A917744"/>
    <w:rsid w:val="5AA9471E"/>
    <w:rsid w:val="5AAA7A0F"/>
    <w:rsid w:val="5B182331"/>
    <w:rsid w:val="5B2F1F99"/>
    <w:rsid w:val="5B3F0F1F"/>
    <w:rsid w:val="5B7C7503"/>
    <w:rsid w:val="5BBA7DD7"/>
    <w:rsid w:val="5BEA2363"/>
    <w:rsid w:val="5C93389B"/>
    <w:rsid w:val="5CAC13C7"/>
    <w:rsid w:val="5D1D22C5"/>
    <w:rsid w:val="5D1F7594"/>
    <w:rsid w:val="5D283143"/>
    <w:rsid w:val="5D702ACB"/>
    <w:rsid w:val="5E0771FD"/>
    <w:rsid w:val="5E1E0FC7"/>
    <w:rsid w:val="5E2751A9"/>
    <w:rsid w:val="5E4A70E9"/>
    <w:rsid w:val="5E563C2D"/>
    <w:rsid w:val="5E954808"/>
    <w:rsid w:val="5F0157EA"/>
    <w:rsid w:val="5F2005BE"/>
    <w:rsid w:val="5F710B0D"/>
    <w:rsid w:val="5FE506D1"/>
    <w:rsid w:val="60600E46"/>
    <w:rsid w:val="606324FB"/>
    <w:rsid w:val="60ED2193"/>
    <w:rsid w:val="61CD6067"/>
    <w:rsid w:val="624C78D4"/>
    <w:rsid w:val="63572A24"/>
    <w:rsid w:val="638B442C"/>
    <w:rsid w:val="63D731CD"/>
    <w:rsid w:val="63E47698"/>
    <w:rsid w:val="645B401D"/>
    <w:rsid w:val="669141F7"/>
    <w:rsid w:val="66D17929"/>
    <w:rsid w:val="673D5A3D"/>
    <w:rsid w:val="67537840"/>
    <w:rsid w:val="675B41A5"/>
    <w:rsid w:val="67BD6138"/>
    <w:rsid w:val="67D2295F"/>
    <w:rsid w:val="68172D06"/>
    <w:rsid w:val="686C3925"/>
    <w:rsid w:val="68997F4C"/>
    <w:rsid w:val="68BC1A6D"/>
    <w:rsid w:val="68C85398"/>
    <w:rsid w:val="69305F28"/>
    <w:rsid w:val="69334B40"/>
    <w:rsid w:val="695E05AF"/>
    <w:rsid w:val="69B02971"/>
    <w:rsid w:val="6A283551"/>
    <w:rsid w:val="6A2E78BF"/>
    <w:rsid w:val="6ABA7D22"/>
    <w:rsid w:val="6ACD408E"/>
    <w:rsid w:val="6AD4162A"/>
    <w:rsid w:val="6AD62942"/>
    <w:rsid w:val="6B160431"/>
    <w:rsid w:val="6B3D0830"/>
    <w:rsid w:val="6B413622"/>
    <w:rsid w:val="6B7E6624"/>
    <w:rsid w:val="6B971CE9"/>
    <w:rsid w:val="6BEC5C84"/>
    <w:rsid w:val="6BEE32A7"/>
    <w:rsid w:val="6C1E1A90"/>
    <w:rsid w:val="6C472EBA"/>
    <w:rsid w:val="6C7831D1"/>
    <w:rsid w:val="6CE32BE3"/>
    <w:rsid w:val="6D670B53"/>
    <w:rsid w:val="6DA67458"/>
    <w:rsid w:val="6E48423C"/>
    <w:rsid w:val="6E625D89"/>
    <w:rsid w:val="6E66587A"/>
    <w:rsid w:val="6E7D71C4"/>
    <w:rsid w:val="6E865CD4"/>
    <w:rsid w:val="6E972615"/>
    <w:rsid w:val="6ECD796F"/>
    <w:rsid w:val="6ED22F0F"/>
    <w:rsid w:val="6ED963DF"/>
    <w:rsid w:val="6F0F3D67"/>
    <w:rsid w:val="6F143527"/>
    <w:rsid w:val="6F8C4DB8"/>
    <w:rsid w:val="6F991C7F"/>
    <w:rsid w:val="704A2F79"/>
    <w:rsid w:val="70514AD5"/>
    <w:rsid w:val="70896495"/>
    <w:rsid w:val="70F712E9"/>
    <w:rsid w:val="711D2C54"/>
    <w:rsid w:val="71A36DE5"/>
    <w:rsid w:val="721B6FB3"/>
    <w:rsid w:val="72C62D8B"/>
    <w:rsid w:val="72F0605A"/>
    <w:rsid w:val="73A6496A"/>
    <w:rsid w:val="74116287"/>
    <w:rsid w:val="74C43904"/>
    <w:rsid w:val="75354FCD"/>
    <w:rsid w:val="75CB690A"/>
    <w:rsid w:val="75EC1E64"/>
    <w:rsid w:val="76397D18"/>
    <w:rsid w:val="76402E54"/>
    <w:rsid w:val="766813E4"/>
    <w:rsid w:val="76E91AA1"/>
    <w:rsid w:val="77000835"/>
    <w:rsid w:val="77021803"/>
    <w:rsid w:val="771334B6"/>
    <w:rsid w:val="777059BB"/>
    <w:rsid w:val="77DC4DFE"/>
    <w:rsid w:val="77DF7C32"/>
    <w:rsid w:val="77E872FF"/>
    <w:rsid w:val="783562BD"/>
    <w:rsid w:val="785B5495"/>
    <w:rsid w:val="78BC7FAA"/>
    <w:rsid w:val="78F11590"/>
    <w:rsid w:val="79594288"/>
    <w:rsid w:val="798E2128"/>
    <w:rsid w:val="79A25CE0"/>
    <w:rsid w:val="79B52941"/>
    <w:rsid w:val="7A3945A5"/>
    <w:rsid w:val="7AB3762E"/>
    <w:rsid w:val="7ACA53E2"/>
    <w:rsid w:val="7B184E96"/>
    <w:rsid w:val="7C6929D9"/>
    <w:rsid w:val="7C6D071B"/>
    <w:rsid w:val="7C75312C"/>
    <w:rsid w:val="7C763CBA"/>
    <w:rsid w:val="7CAD6D69"/>
    <w:rsid w:val="7D1E37C3"/>
    <w:rsid w:val="7D8506D3"/>
    <w:rsid w:val="7D983576"/>
    <w:rsid w:val="7DDC0909"/>
    <w:rsid w:val="7DE30CC2"/>
    <w:rsid w:val="7DF6567D"/>
    <w:rsid w:val="7E0834F3"/>
    <w:rsid w:val="7E350DC4"/>
    <w:rsid w:val="7E4333AF"/>
    <w:rsid w:val="7EF65C63"/>
    <w:rsid w:val="7F1C462C"/>
    <w:rsid w:val="7FE42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36"/>
      <w:szCs w:val="44"/>
    </w:rPr>
  </w:style>
  <w:style w:type="paragraph" w:styleId="3">
    <w:name w:val="heading 2"/>
    <w:basedOn w:val="1"/>
    <w:next w:val="1"/>
    <w:qFormat/>
    <w:uiPriority w:val="0"/>
    <w:pPr>
      <w:keepNext/>
      <w:keepLines/>
      <w:spacing w:before="260" w:after="260" w:line="415" w:lineRule="auto"/>
      <w:outlineLvl w:val="1"/>
    </w:pPr>
    <w:rPr>
      <w:rFonts w:ascii="Cambria" w:hAnsi="Cambria"/>
      <w:b/>
      <w:bCs/>
      <w:sz w:val="32"/>
      <w:szCs w:val="32"/>
    </w:rPr>
  </w:style>
  <w:style w:type="paragraph" w:styleId="4">
    <w:name w:val="heading 3"/>
    <w:basedOn w:val="1"/>
    <w:next w:val="1"/>
    <w:link w:val="33"/>
    <w:qFormat/>
    <w:uiPriority w:val="0"/>
    <w:pPr>
      <w:keepNext/>
      <w:keepLines/>
      <w:widowControl/>
      <w:spacing w:before="260" w:after="260" w:line="416" w:lineRule="auto"/>
      <w:outlineLvl w:val="2"/>
    </w:pPr>
    <w:rPr>
      <w:b/>
      <w:bCs/>
      <w:sz w:val="24"/>
      <w:szCs w:val="32"/>
    </w:rPr>
  </w:style>
  <w:style w:type="paragraph" w:styleId="5">
    <w:name w:val="heading 4"/>
    <w:basedOn w:val="1"/>
    <w:next w:val="1"/>
    <w:qFormat/>
    <w:uiPriority w:val="0"/>
    <w:pPr>
      <w:keepNext/>
      <w:keepLines/>
      <w:widowControl/>
      <w:spacing w:before="200" w:line="276" w:lineRule="auto"/>
      <w:jc w:val="left"/>
      <w:outlineLvl w:val="3"/>
    </w:pPr>
    <w:rPr>
      <w:rFonts w:ascii="Calibri Light" w:hAnsi="Calibri Light" w:cs="Times New Roman"/>
      <w:b/>
      <w:bCs/>
      <w:iCs/>
      <w:szCs w:val="22"/>
    </w:rPr>
  </w:style>
  <w:style w:type="paragraph" w:styleId="6">
    <w:name w:val="heading 5"/>
    <w:basedOn w:val="1"/>
    <w:next w:val="1"/>
    <w:qFormat/>
    <w:uiPriority w:val="99"/>
    <w:pPr>
      <w:keepNext/>
      <w:keepLines/>
      <w:spacing w:before="280" w:after="290" w:line="376" w:lineRule="auto"/>
      <w:outlineLvl w:val="4"/>
    </w:pPr>
    <w:rPr>
      <w:b/>
      <w:bCs/>
      <w:sz w:val="28"/>
      <w:szCs w:val="28"/>
    </w:rPr>
  </w:style>
  <w:style w:type="character" w:default="1" w:styleId="29">
    <w:name w:val="Default Paragraph Font"/>
    <w:semiHidden/>
    <w:qFormat/>
    <w:uiPriority w:val="0"/>
  </w:style>
  <w:style w:type="table" w:default="1" w:styleId="27">
    <w:name w:val="Normal Table"/>
    <w:semiHidden/>
    <w:qFormat/>
    <w:uiPriority w:val="0"/>
    <w:tblPr>
      <w:tblCellMar>
        <w:top w:w="0" w:type="dxa"/>
        <w:left w:w="108" w:type="dxa"/>
        <w:bottom w:w="0" w:type="dxa"/>
        <w:right w:w="108" w:type="dxa"/>
      </w:tblCellMar>
    </w:tblPr>
  </w:style>
  <w:style w:type="paragraph" w:styleId="7">
    <w:name w:val="index 8"/>
    <w:basedOn w:val="1"/>
    <w:next w:val="1"/>
    <w:qFormat/>
    <w:uiPriority w:val="0"/>
    <w:pPr>
      <w:ind w:left="1400" w:leftChars="1400" w:firstLine="0"/>
    </w:pPr>
  </w:style>
  <w:style w:type="paragraph" w:styleId="8">
    <w:name w:val="annotation text"/>
    <w:basedOn w:val="1"/>
    <w:qFormat/>
    <w:uiPriority w:val="0"/>
    <w:pPr>
      <w:widowControl/>
      <w:jc w:val="left"/>
    </w:pPr>
    <w:rPr>
      <w:rFonts w:ascii="Calibri" w:hAnsi="Calibri" w:eastAsia="宋体" w:cs="Times New Roman"/>
    </w:rPr>
  </w:style>
  <w:style w:type="paragraph" w:styleId="9">
    <w:name w:val="Body Text"/>
    <w:basedOn w:val="1"/>
    <w:next w:val="1"/>
    <w:qFormat/>
    <w:uiPriority w:val="0"/>
    <w:pPr>
      <w:spacing w:after="120"/>
    </w:pPr>
  </w:style>
  <w:style w:type="paragraph" w:styleId="10">
    <w:name w:val="Body Text Indent"/>
    <w:basedOn w:val="1"/>
    <w:qFormat/>
    <w:uiPriority w:val="0"/>
    <w:pPr>
      <w:spacing w:after="120" w:line="360" w:lineRule="exact"/>
      <w:ind w:left="420" w:leftChars="200" w:firstLine="200" w:firstLineChars="200"/>
    </w:pPr>
  </w:style>
  <w:style w:type="paragraph" w:styleId="11">
    <w:name w:val="Block Text"/>
    <w:basedOn w:val="1"/>
    <w:qFormat/>
    <w:uiPriority w:val="0"/>
    <w:pPr>
      <w:widowControl/>
      <w:overflowPunct w:val="0"/>
      <w:autoSpaceDE w:val="0"/>
      <w:autoSpaceDN w:val="0"/>
      <w:adjustRightInd w:val="0"/>
      <w:snapToGrid w:val="0"/>
      <w:spacing w:line="360" w:lineRule="auto"/>
      <w:ind w:left="1440" w:right="-510" w:hanging="759"/>
      <w:textAlignment w:val="baseline"/>
    </w:pPr>
    <w:rPr>
      <w:kern w:val="0"/>
      <w:sz w:val="24"/>
      <w:szCs w:val="20"/>
    </w:rPr>
  </w:style>
  <w:style w:type="paragraph" w:styleId="12">
    <w:name w:val="Plain Text"/>
    <w:basedOn w:val="1"/>
    <w:next w:val="7"/>
    <w:qFormat/>
    <w:uiPriority w:val="0"/>
    <w:rPr>
      <w:rFonts w:ascii="宋体" w:hAnsi="Courier New" w:cs="Times New Roman"/>
      <w:szCs w:val="22"/>
    </w:rPr>
  </w:style>
  <w:style w:type="paragraph" w:styleId="13">
    <w:name w:val="footer"/>
    <w:basedOn w:val="1"/>
    <w:next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style>
  <w:style w:type="paragraph" w:styleId="16">
    <w:name w:val="toc 2"/>
    <w:basedOn w:val="1"/>
    <w:next w:val="1"/>
    <w:qFormat/>
    <w:uiPriority w:val="39"/>
    <w:pPr>
      <w:ind w:left="420" w:leftChars="200"/>
    </w:p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8">
    <w:name w:val="Title"/>
    <w:basedOn w:val="1"/>
    <w:next w:val="1"/>
    <w:qFormat/>
    <w:uiPriority w:val="99"/>
    <w:pPr>
      <w:jc w:val="center"/>
    </w:pPr>
    <w:rPr>
      <w:rFonts w:ascii="Arial" w:hAnsi="Arial" w:eastAsia="宋体" w:cs="Arial"/>
      <w:b/>
      <w:sz w:val="32"/>
      <w:u w:val="single"/>
    </w:rPr>
  </w:style>
  <w:style w:type="paragraph" w:styleId="19">
    <w:name w:val="Body Text First Indent"/>
    <w:basedOn w:val="20"/>
    <w:next w:val="23"/>
    <w:qFormat/>
    <w:uiPriority w:val="0"/>
    <w:pPr>
      <w:spacing w:after="120"/>
      <w:ind w:firstLine="420" w:firstLineChars="100"/>
    </w:pPr>
    <w:rPr>
      <w:rFonts w:ascii="Times New Roman" w:hAnsi="Times New Roman"/>
      <w:szCs w:val="24"/>
    </w:rPr>
  </w:style>
  <w:style w:type="paragraph" w:customStyle="1" w:styleId="20">
    <w:name w:val="正文文本_0"/>
    <w:basedOn w:val="21"/>
    <w:next w:val="22"/>
    <w:qFormat/>
    <w:uiPriority w:val="99"/>
    <w:pPr>
      <w:adjustRightInd w:val="0"/>
      <w:spacing w:after="60" w:line="360" w:lineRule="atLeast"/>
      <w:ind w:left="72" w:leftChars="30" w:right="30" w:rightChars="30"/>
      <w:jc w:val="center"/>
    </w:pPr>
    <w:rPr>
      <w:rFonts w:ascii="Calibri" w:hAnsi="Calibri"/>
      <w:kern w:val="0"/>
      <w:sz w:val="20"/>
      <w:szCs w:val="20"/>
      <w:lang w:val="zh-CN" w:eastAsia="zh-CN"/>
    </w:rPr>
  </w:style>
  <w:style w:type="paragraph" w:customStyle="1" w:styleId="21">
    <w:name w:val="正文_0"/>
    <w:next w:val="2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正文_2_0"/>
    <w:next w:val="19"/>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
    <w:name w:val="正文缩进_0"/>
    <w:basedOn w:val="22"/>
    <w:next w:val="24"/>
    <w:qFormat/>
    <w:uiPriority w:val="99"/>
    <w:pPr>
      <w:ind w:firstLine="420"/>
    </w:pPr>
    <w:rPr>
      <w:rFonts w:ascii="Times New Roman" w:hAnsi="Times New Roman"/>
      <w:szCs w:val="20"/>
    </w:rPr>
  </w:style>
  <w:style w:type="paragraph" w:customStyle="1" w:styleId="24">
    <w:name w:val="_Style 50"/>
    <w:basedOn w:val="22"/>
    <w:next w:val="25"/>
    <w:qFormat/>
    <w:uiPriority w:val="0"/>
    <w:pPr>
      <w:widowControl/>
      <w:spacing w:before="100" w:beforeAutospacing="1" w:after="100" w:afterAutospacing="1"/>
    </w:pPr>
    <w:rPr>
      <w:rFonts w:ascii="宋体" w:hAnsi="宋体"/>
    </w:rPr>
  </w:style>
  <w:style w:type="paragraph" w:customStyle="1" w:styleId="25">
    <w:name w:val="普通(网站)_0"/>
    <w:basedOn w:val="22"/>
    <w:next w:val="22"/>
    <w:qFormat/>
    <w:uiPriority w:val="0"/>
    <w:pPr>
      <w:widowControl/>
      <w:spacing w:before="100" w:beforeAutospacing="1" w:after="100" w:afterAutospacing="1"/>
      <w:jc w:val="left"/>
    </w:pPr>
    <w:rPr>
      <w:rFonts w:ascii="宋体" w:hAnsi="宋体" w:cs="宋体"/>
      <w:kern w:val="0"/>
      <w:sz w:val="24"/>
      <w:szCs w:val="24"/>
    </w:rPr>
  </w:style>
  <w:style w:type="paragraph" w:styleId="26">
    <w:name w:val="Body Text First Indent 2"/>
    <w:basedOn w:val="10"/>
    <w:qFormat/>
    <w:uiPriority w:val="99"/>
    <w:pPr>
      <w:ind w:firstLine="420" w:firstLineChars="200"/>
    </w:pPr>
  </w:style>
  <w:style w:type="table" w:styleId="28">
    <w:name w:val="Table Grid"/>
    <w:basedOn w:val="2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Hyperlink"/>
    <w:basedOn w:val="29"/>
    <w:qFormat/>
    <w:uiPriority w:val="0"/>
    <w:rPr>
      <w:color w:val="0000FF"/>
      <w:u w:val="single"/>
    </w:rPr>
  </w:style>
  <w:style w:type="paragraph" w:customStyle="1" w:styleId="31">
    <w:name w:val="Default"/>
    <w:basedOn w:val="18"/>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styleId="32">
    <w:name w:val="List Paragraph"/>
    <w:basedOn w:val="1"/>
    <w:qFormat/>
    <w:uiPriority w:val="0"/>
    <w:pPr>
      <w:ind w:firstLine="420" w:firstLineChars="200"/>
    </w:pPr>
  </w:style>
  <w:style w:type="character" w:customStyle="1" w:styleId="33">
    <w:name w:val="标题 3 字符"/>
    <w:link w:val="4"/>
    <w:qFormat/>
    <w:uiPriority w:val="0"/>
    <w:rPr>
      <w:b/>
      <w:bCs/>
      <w:sz w:val="24"/>
      <w:szCs w:val="32"/>
    </w:rPr>
  </w:style>
  <w:style w:type="paragraph" w:customStyle="1" w:styleId="34">
    <w:name w:val="表格文字"/>
    <w:basedOn w:val="1"/>
    <w:qFormat/>
    <w:uiPriority w:val="0"/>
    <w:pPr>
      <w:spacing w:before="25" w:after="25" w:line="240" w:lineRule="auto"/>
      <w:ind w:firstLine="0"/>
      <w:jc w:val="left"/>
    </w:pPr>
    <w:rPr>
      <w:bCs/>
      <w:spacing w:val="10"/>
      <w:kern w:val="0"/>
      <w:sz w:val="24"/>
    </w:rPr>
  </w:style>
  <w:style w:type="paragraph" w:customStyle="1" w:styleId="35">
    <w:name w:val="p0"/>
    <w:basedOn w:val="1"/>
    <w:qFormat/>
    <w:uiPriority w:val="0"/>
    <w:pPr>
      <w:widowControl/>
    </w:pPr>
    <w:rPr>
      <w:rFonts w:ascii="Calibri" w:hAnsi="Calibri" w:cs="宋体"/>
      <w:kern w:val="0"/>
      <w:szCs w:val="21"/>
    </w:rPr>
  </w:style>
  <w:style w:type="paragraph" w:customStyle="1" w:styleId="36">
    <w:name w:val="首行缩进"/>
    <w:basedOn w:val="1"/>
    <w:qFormat/>
    <w:uiPriority w:val="0"/>
    <w:pPr>
      <w:spacing w:line="360" w:lineRule="auto"/>
      <w:ind w:firstLine="480" w:firstLineChars="200"/>
    </w:pPr>
    <w:rPr>
      <w:rFonts w:ascii="宋体" w:hAnsi="宋体"/>
      <w:kern w:val="0"/>
      <w:sz w:val="24"/>
    </w:rPr>
  </w:style>
  <w:style w:type="paragraph" w:customStyle="1" w:styleId="37">
    <w:name w:val="正文小标题_0"/>
    <w:basedOn w:val="38"/>
    <w:qFormat/>
    <w:uiPriority w:val="0"/>
    <w:pPr>
      <w:spacing w:line="420" w:lineRule="exact"/>
    </w:pPr>
    <w:rPr>
      <w:rFonts w:hAnsi="宋体" w:eastAsia="宋体"/>
      <w:sz w:val="21"/>
      <w:szCs w:val="21"/>
    </w:rPr>
  </w:style>
  <w:style w:type="paragraph" w:customStyle="1" w:styleId="38">
    <w:name w:val="标题 1_0"/>
    <w:basedOn w:val="21"/>
    <w:next w:val="21"/>
    <w:qFormat/>
    <w:uiPriority w:val="99"/>
    <w:pPr>
      <w:keepNext/>
      <w:keepLines/>
      <w:spacing w:line="360" w:lineRule="auto"/>
      <w:outlineLvl w:val="0"/>
    </w:pPr>
    <w:rPr>
      <w:rFonts w:eastAsia="黑体"/>
      <w:b/>
      <w:bCs/>
      <w:kern w:val="44"/>
      <w:sz w:val="32"/>
      <w:szCs w:val="44"/>
    </w:rPr>
  </w:style>
  <w:style w:type="paragraph" w:customStyle="1" w:styleId="39">
    <w:name w:val="正文_1_0"/>
    <w:qFormat/>
    <w:uiPriority w:val="99"/>
    <w:pPr>
      <w:widowControl w:val="0"/>
      <w:jc w:val="both"/>
    </w:pPr>
    <w:rPr>
      <w:rFonts w:ascii="Times New Roman" w:hAnsi="Times New Roman" w:eastAsia="宋体" w:cs="Times New Roman"/>
      <w:kern w:val="2"/>
      <w:sz w:val="21"/>
      <w:szCs w:val="20"/>
      <w:lang w:val="en-US" w:eastAsia="zh-CN" w:bidi="ar-SA"/>
    </w:rPr>
  </w:style>
  <w:style w:type="paragraph" w:customStyle="1" w:styleId="40">
    <w:name w:val="正文呀2_0"/>
    <w:basedOn w:val="41"/>
    <w:qFormat/>
    <w:uiPriority w:val="0"/>
    <w:rPr>
      <w:rFonts w:ascii="Times New Roman" w:hAnsi="Times New Roman"/>
    </w:rPr>
  </w:style>
  <w:style w:type="paragraph" w:customStyle="1" w:styleId="41">
    <w:name w:val="正文呀_0"/>
    <w:basedOn w:val="39"/>
    <w:qFormat/>
    <w:uiPriority w:val="0"/>
    <w:pPr>
      <w:spacing w:line="420" w:lineRule="exact"/>
      <w:ind w:firstLine="420" w:firstLineChars="200"/>
    </w:pPr>
    <w:rPr>
      <w:rFonts w:ascii="宋体" w:hAnsi="宋体"/>
      <w:szCs w:val="21"/>
    </w:rPr>
  </w:style>
  <w:style w:type="paragraph" w:customStyle="1" w:styleId="42">
    <w:name w:val="正文呀2_1"/>
    <w:basedOn w:val="43"/>
    <w:qFormat/>
    <w:uiPriority w:val="0"/>
    <w:rPr>
      <w:rFonts w:ascii="Times New Roman" w:hAnsi="Times New Roman" w:eastAsia="宋体" w:cs="Times New Roman"/>
      <w:kern w:val="2"/>
      <w:sz w:val="21"/>
      <w:lang w:val="en-US" w:eastAsia="zh-CN"/>
    </w:rPr>
  </w:style>
  <w:style w:type="paragraph" w:customStyle="1" w:styleId="43">
    <w:name w:val="正文呀_1"/>
    <w:basedOn w:val="21"/>
    <w:qFormat/>
    <w:uiPriority w:val="0"/>
    <w:pPr>
      <w:spacing w:line="420" w:lineRule="exact"/>
      <w:ind w:firstLine="420" w:firstLineChars="200"/>
    </w:pPr>
    <w:rPr>
      <w:rFonts w:ascii="宋体" w:hAnsi="宋体"/>
      <w:kern w:val="0"/>
      <w:sz w:val="20"/>
      <w:szCs w:val="21"/>
      <w:lang w:val="zh-CN" w:eastAsia="zh-CN"/>
    </w:rPr>
  </w:style>
  <w:style w:type="paragraph" w:customStyle="1" w:styleId="44">
    <w:name w:val="纯文本_0"/>
    <w:basedOn w:val="21"/>
    <w:qFormat/>
    <w:uiPriority w:val="0"/>
    <w:rPr>
      <w:rFonts w:ascii="宋体" w:hAnsi="Courier New"/>
      <w:szCs w:val="24"/>
    </w:rPr>
  </w:style>
  <w:style w:type="paragraph" w:customStyle="1" w:styleId="45">
    <w:name w:val="无间隔_0"/>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7">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48">
    <w:name w:val="NormalCharacter"/>
    <w:qFormat/>
    <w:uiPriority w:val="0"/>
  </w:style>
  <w:style w:type="paragraph" w:customStyle="1" w:styleId="49">
    <w:name w:val="BodyText"/>
    <w:basedOn w:val="1"/>
    <w:qFormat/>
    <w:uiPriority w:val="0"/>
    <w:pPr>
      <w:spacing w:after="60" w:line="360" w:lineRule="atLeast"/>
      <w:ind w:left="72" w:leftChars="30" w:right="30" w:rightChars="30"/>
      <w:jc w:val="center"/>
    </w:pPr>
    <w:rPr>
      <w:kern w:val="0"/>
      <w:sz w:val="20"/>
      <w:szCs w:val="20"/>
    </w:rPr>
  </w:style>
  <w:style w:type="paragraph" w:customStyle="1" w:styleId="50">
    <w:name w:val="PlainText"/>
    <w:basedOn w:val="1"/>
    <w:next w:val="51"/>
    <w:qFormat/>
    <w:uiPriority w:val="0"/>
    <w:rPr>
      <w:rFonts w:ascii="宋体" w:hAnsi="Courier New"/>
      <w:szCs w:val="20"/>
    </w:rPr>
  </w:style>
  <w:style w:type="paragraph" w:customStyle="1" w:styleId="51">
    <w:name w:val="Index8"/>
    <w:basedOn w:val="1"/>
    <w:next w:val="1"/>
    <w:qFormat/>
    <w:uiPriority w:val="0"/>
    <w:pPr>
      <w:ind w:left="2940"/>
    </w:pPr>
  </w:style>
  <w:style w:type="paragraph" w:customStyle="1" w:styleId="52">
    <w:name w:val="style4"/>
    <w:basedOn w:val="1"/>
    <w:next w:val="53"/>
    <w:qFormat/>
    <w:uiPriority w:val="0"/>
    <w:pPr>
      <w:widowControl/>
      <w:spacing w:before="280" w:after="280"/>
    </w:pPr>
    <w:rPr>
      <w:rFonts w:ascii="宋体"/>
      <w:sz w:val="18"/>
    </w:rPr>
  </w:style>
  <w:style w:type="paragraph" w:customStyle="1" w:styleId="53">
    <w:name w:val="2"/>
    <w:basedOn w:val="4"/>
    <w:next w:val="1"/>
    <w:qFormat/>
    <w:uiPriority w:val="0"/>
    <w:pPr>
      <w:widowControl w:val="0"/>
      <w:spacing w:before="120" w:beforeLines="50" w:after="120" w:afterLines="50" w:line="240" w:lineRule="auto"/>
      <w:jc w:val="center"/>
    </w:pPr>
    <w:rPr>
      <w:rFonts w:ascii="黑体" w:eastAsia="黑体"/>
      <w:sz w:val="44"/>
      <w:szCs w:val="28"/>
    </w:rPr>
  </w:style>
  <w:style w:type="paragraph" w:customStyle="1" w:styleId="54">
    <w:name w:val="_Style 2"/>
    <w:qFormat/>
    <w:uiPriority w:val="1"/>
    <w:rPr>
      <w:rFonts w:ascii="Times New Roman" w:hAnsi="Times New Roman" w:eastAsia="宋体" w:cs="Times New Roman"/>
      <w:sz w:val="22"/>
      <w:szCs w:val="22"/>
      <w:lang w:val="en-US" w:eastAsia="zh-CN" w:bidi="ar-SA"/>
    </w:rPr>
  </w:style>
  <w:style w:type="paragraph" w:customStyle="1" w:styleId="55">
    <w:name w:val="正文_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6">
    <w:name w:val="正文_4"/>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5.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4.wmf"/><Relationship Id="rId17" Type="http://schemas.openxmlformats.org/officeDocument/2006/relationships/oleObject" Target="embeddings/oleObject4.bin"/><Relationship Id="rId16" Type="http://schemas.openxmlformats.org/officeDocument/2006/relationships/image" Target="media/image3.wmf"/><Relationship Id="rId15" Type="http://schemas.openxmlformats.org/officeDocument/2006/relationships/oleObject" Target="embeddings/oleObject3.bin"/><Relationship Id="rId14" Type="http://schemas.openxmlformats.org/officeDocument/2006/relationships/image" Target="media/image2.wmf"/><Relationship Id="rId13" Type="http://schemas.openxmlformats.org/officeDocument/2006/relationships/oleObject" Target="embeddings/oleObject2.bin"/><Relationship Id="rId12" Type="http://schemas.openxmlformats.org/officeDocument/2006/relationships/image" Target="media/image1.wmf"/><Relationship Id="rId11" Type="http://schemas.openxmlformats.org/officeDocument/2006/relationships/oleObject" Target="embeddings/oleObject1.bin"/><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145</Pages>
  <Words>18216</Words>
  <Characters>19706</Characters>
  <Lines>0</Lines>
  <Paragraphs>0</Paragraphs>
  <TotalTime>11</TotalTime>
  <ScaleCrop>false</ScaleCrop>
  <LinksUpToDate>false</LinksUpToDate>
  <CharactersWithSpaces>19978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2024-06-03T12:38:00Z</dcterms:created>
  <dc:creator>Administrator</dc:creator>
  <cp:lastModifiedBy>MG</cp:lastModifiedBy>
  <cp:lastPrinted>2025-10-31T02:44:00Z</cp:lastPrinted>
  <dcterms:modified xsi:type="dcterms:W3CDTF">2025-10-31T07:41:59Z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E100F5940F04432E956075D3A5C91F77_11</vt:lpwstr>
  </property>
  <property fmtid="{D5CDD505-2E9C-101B-9397-08002B2CF9AE}" pid="4" name="KSOTemplateDocerSaveRecord">
    <vt:lpwstr>eyJoZGlkIjoiNWQ4YzA0OTBhNTIxMjA5YmE5MjRiMmQ4Y2EzZDUxZDMiLCJ1c2VySWQiOiI3MDkyNzg1NzUifQ==</vt:lpwstr>
  </property>
</Properties>
</file>