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691B">
      <w:pPr>
        <w:pStyle w:val="17"/>
        <w:rPr>
          <w:rFonts w:hAnsi="宋体" w:cs="宋体"/>
          <w:b/>
          <w:bCs/>
          <w:color w:val="auto"/>
          <w:spacing w:val="80"/>
          <w:sz w:val="64"/>
          <w:highlight w:val="none"/>
        </w:rPr>
      </w:pPr>
    </w:p>
    <w:p w14:paraId="52A5C8FA">
      <w:pPr>
        <w:pStyle w:val="17"/>
        <w:jc w:val="center"/>
        <w:rPr>
          <w:rFonts w:hAnsi="宋体" w:cs="宋体"/>
          <w:b/>
          <w:bCs/>
          <w:color w:val="auto"/>
          <w:spacing w:val="80"/>
          <w:sz w:val="72"/>
          <w:highlight w:val="none"/>
        </w:rPr>
      </w:pPr>
      <w:r>
        <w:rPr>
          <w:rFonts w:hint="eastAsia" w:ascii="黑体" w:hAnsi="黑体" w:eastAsia="黑体" w:cs="宋体"/>
          <w:b/>
          <w:bCs/>
          <w:color w:val="auto"/>
          <w:spacing w:val="80"/>
          <w:sz w:val="52"/>
          <w:szCs w:val="52"/>
          <w:highlight w:val="none"/>
        </w:rPr>
        <w:t>广西</w:t>
      </w:r>
      <w:r>
        <w:rPr>
          <w:rFonts w:hint="eastAsia" w:ascii="黑体" w:hAnsi="黑体" w:eastAsia="黑体" w:cs="宋体"/>
          <w:b/>
          <w:bCs/>
          <w:color w:val="auto"/>
          <w:spacing w:val="80"/>
          <w:sz w:val="52"/>
          <w:szCs w:val="52"/>
          <w:highlight w:val="none"/>
          <w:lang w:val="en-US" w:eastAsia="zh-CN"/>
        </w:rPr>
        <w:t>奥金斯</w:t>
      </w:r>
      <w:r>
        <w:rPr>
          <w:rFonts w:hint="eastAsia" w:ascii="黑体" w:hAnsi="黑体" w:eastAsia="黑体" w:cs="宋体"/>
          <w:b/>
          <w:bCs/>
          <w:color w:val="auto"/>
          <w:spacing w:val="80"/>
          <w:sz w:val="52"/>
          <w:szCs w:val="52"/>
          <w:highlight w:val="none"/>
        </w:rPr>
        <w:t>项目管理有限公司</w:t>
      </w:r>
    </w:p>
    <w:p w14:paraId="7A0E7DF6">
      <w:pPr>
        <w:pStyle w:val="17"/>
        <w:jc w:val="center"/>
        <w:rPr>
          <w:rFonts w:hAnsi="宋体" w:cs="宋体"/>
          <w:b/>
          <w:bCs/>
          <w:color w:val="auto"/>
          <w:sz w:val="72"/>
          <w:highlight w:val="none"/>
        </w:rPr>
      </w:pPr>
    </w:p>
    <w:p w14:paraId="4BA96133">
      <w:pPr>
        <w:pStyle w:val="17"/>
        <w:jc w:val="center"/>
        <w:rPr>
          <w:rFonts w:hAnsi="宋体" w:cs="宋体"/>
          <w:color w:val="auto"/>
          <w:highlight w:val="none"/>
        </w:rPr>
      </w:pPr>
    </w:p>
    <w:p w14:paraId="49CB08C0">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7F2EC027">
      <w:pPr>
        <w:pStyle w:val="17"/>
        <w:rPr>
          <w:rFonts w:hAnsi="宋体" w:cs="宋体"/>
          <w:color w:val="auto"/>
          <w:highlight w:val="none"/>
        </w:rPr>
      </w:pPr>
    </w:p>
    <w:p w14:paraId="4DFF3E02">
      <w:pPr>
        <w:pStyle w:val="17"/>
        <w:jc w:val="center"/>
        <w:rPr>
          <w:rFonts w:hAnsi="宋体" w:cs="宋体"/>
          <w:b/>
          <w:color w:val="auto"/>
          <w:sz w:val="28"/>
          <w:szCs w:val="28"/>
          <w:highlight w:val="none"/>
        </w:rPr>
      </w:pPr>
    </w:p>
    <w:p w14:paraId="4F039C29">
      <w:pPr>
        <w:pStyle w:val="17"/>
        <w:rPr>
          <w:rFonts w:hAnsi="宋体" w:cs="宋体"/>
          <w:color w:val="auto"/>
          <w:highlight w:val="none"/>
        </w:rPr>
      </w:pPr>
    </w:p>
    <w:p w14:paraId="4F54CD72">
      <w:pPr>
        <w:pStyle w:val="17"/>
        <w:rPr>
          <w:rFonts w:hAnsi="宋体" w:cs="宋体"/>
          <w:color w:val="auto"/>
          <w:highlight w:val="none"/>
        </w:rPr>
      </w:pPr>
    </w:p>
    <w:p w14:paraId="75018747">
      <w:pPr>
        <w:pStyle w:val="17"/>
        <w:rPr>
          <w:rFonts w:hAnsi="宋体" w:cs="宋体"/>
          <w:color w:val="auto"/>
          <w:highlight w:val="none"/>
        </w:rPr>
      </w:pPr>
    </w:p>
    <w:p w14:paraId="344ED5A9">
      <w:pPr>
        <w:ind w:left="3602" w:leftChars="760" w:hanging="2006" w:hangingChars="500"/>
        <w:rPr>
          <w:rFonts w:hint="eastAsia" w:ascii="宋体" w:hAnsi="宋体" w:eastAsia="宋体" w:cs="宋体"/>
          <w:b/>
          <w:bCs/>
          <w:color w:val="auto"/>
          <w:spacing w:val="-36"/>
          <w:sz w:val="32"/>
          <w:highlight w:val="none"/>
          <w:lang w:val="en-US" w:eastAsia="zh-CN"/>
        </w:rPr>
      </w:pPr>
      <w:r>
        <w:rPr>
          <w:rFonts w:hint="eastAsia" w:ascii="宋体" w:hAnsi="宋体" w:cs="宋体"/>
          <w:b/>
          <w:bCs/>
          <w:color w:val="auto"/>
          <w:spacing w:val="40"/>
          <w:sz w:val="32"/>
          <w:highlight w:val="none"/>
        </w:rPr>
        <w:t>项目名称：南溪山医院基建零星工程服务项目</w:t>
      </w:r>
    </w:p>
    <w:p w14:paraId="2FBBE655">
      <w:pPr>
        <w:ind w:left="-2" w:leftChars="-1" w:firstLine="1605" w:firstLineChars="400"/>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项目编号：GXZC2025-G3-001637-GXAJ</w:t>
      </w:r>
      <w:r>
        <w:rPr>
          <w:rFonts w:hint="eastAsia" w:ascii="宋体" w:hAnsi="宋体" w:cs="宋体"/>
          <w:b/>
          <w:bCs/>
          <w:color w:val="auto"/>
          <w:spacing w:val="40"/>
          <w:sz w:val="32"/>
          <w:highlight w:val="none"/>
          <w:lang w:val="en-US" w:eastAsia="zh-CN"/>
        </w:rPr>
        <w:t xml:space="preserve">  </w:t>
      </w:r>
    </w:p>
    <w:p w14:paraId="4A5D876A">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41C4EE09">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52363EC5">
      <w:pPr>
        <w:ind w:left="103" w:leftChars="49" w:firstLine="1470" w:firstLineChars="700"/>
        <w:jc w:val="center"/>
        <w:rPr>
          <w:rFonts w:ascii="宋体" w:hAnsi="宋体" w:cs="宋体"/>
          <w:color w:val="auto"/>
          <w:highlight w:val="none"/>
        </w:rPr>
      </w:pPr>
    </w:p>
    <w:p w14:paraId="54D3CF4C">
      <w:pPr>
        <w:ind w:left="103" w:leftChars="49" w:firstLine="1470" w:firstLineChars="700"/>
        <w:jc w:val="center"/>
        <w:rPr>
          <w:rFonts w:ascii="宋体" w:hAnsi="宋体" w:cs="宋体"/>
          <w:color w:val="auto"/>
          <w:highlight w:val="none"/>
        </w:rPr>
      </w:pPr>
    </w:p>
    <w:p w14:paraId="6A45072C">
      <w:pPr>
        <w:ind w:left="103" w:leftChars="49" w:firstLine="1470" w:firstLineChars="700"/>
        <w:jc w:val="center"/>
        <w:rPr>
          <w:rFonts w:ascii="宋体" w:hAnsi="宋体" w:cs="宋体"/>
          <w:color w:val="auto"/>
          <w:highlight w:val="none"/>
        </w:rPr>
      </w:pPr>
    </w:p>
    <w:p w14:paraId="75085883">
      <w:pPr>
        <w:ind w:left="103" w:leftChars="49" w:firstLine="1470" w:firstLineChars="700"/>
        <w:jc w:val="center"/>
        <w:rPr>
          <w:rFonts w:ascii="宋体" w:hAnsi="宋体" w:cs="宋体"/>
          <w:color w:val="auto"/>
          <w:highlight w:val="none"/>
        </w:rPr>
      </w:pPr>
    </w:p>
    <w:p w14:paraId="470DEB1C">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采购代理机构：广西</w:t>
      </w:r>
      <w:r>
        <w:rPr>
          <w:rFonts w:hint="eastAsia" w:ascii="宋体" w:hAnsi="宋体" w:cs="宋体"/>
          <w:b/>
          <w:bCs/>
          <w:color w:val="auto"/>
          <w:spacing w:val="40"/>
          <w:sz w:val="32"/>
          <w:szCs w:val="32"/>
          <w:highlight w:val="none"/>
          <w:lang w:val="en-US" w:eastAsia="zh-CN"/>
        </w:rPr>
        <w:t>奥金斯</w:t>
      </w:r>
      <w:r>
        <w:rPr>
          <w:rFonts w:hint="eastAsia" w:ascii="宋体" w:hAnsi="宋体" w:cs="宋体"/>
          <w:b/>
          <w:bCs/>
          <w:color w:val="auto"/>
          <w:spacing w:val="40"/>
          <w:sz w:val="32"/>
          <w:szCs w:val="32"/>
          <w:highlight w:val="none"/>
        </w:rPr>
        <w:t>项目管理有限公司</w:t>
      </w:r>
    </w:p>
    <w:p w14:paraId="3AF9D609">
      <w:pPr>
        <w:jc w:val="center"/>
        <w:rPr>
          <w:rFonts w:ascii="宋体" w:hAnsi="宋体" w:cs="宋体"/>
          <w:bCs/>
          <w:color w:val="auto"/>
          <w:sz w:val="30"/>
          <w:szCs w:val="30"/>
          <w:highlight w:val="none"/>
        </w:r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6</w:t>
      </w:r>
      <w:r>
        <w:rPr>
          <w:rFonts w:hint="eastAsia" w:ascii="宋体" w:hAnsi="宋体" w:cs="宋体"/>
          <w:b/>
          <w:bCs/>
          <w:color w:val="auto"/>
          <w:sz w:val="32"/>
          <w:highlight w:val="none"/>
        </w:rPr>
        <w:t>月</w:t>
      </w:r>
    </w:p>
    <w:p w14:paraId="608A199B">
      <w:pPr>
        <w:pStyle w:val="121"/>
        <w:jc w:val="center"/>
        <w:rPr>
          <w:rFonts w:ascii="宋体" w:hAnsi="宋体" w:eastAsia="宋体" w:cs="宋体"/>
          <w:color w:val="auto"/>
          <w:highlight w:val="none"/>
          <w:lang w:val="zh-CN"/>
        </w:rPr>
        <w:sectPr>
          <w:pgSz w:w="11906" w:h="16838"/>
          <w:pgMar w:top="1440" w:right="1080" w:bottom="1440" w:left="1080" w:header="851" w:footer="992" w:gutter="0"/>
          <w:pgNumType w:fmt="numberInDash"/>
          <w:cols w:space="720" w:num="1"/>
          <w:docGrid w:type="lines" w:linePitch="312" w:charSpace="0"/>
        </w:sectPr>
      </w:pPr>
    </w:p>
    <w:p w14:paraId="200EEB4D">
      <w:pPr>
        <w:jc w:val="center"/>
        <w:rPr>
          <w:rFonts w:ascii="宋体" w:hAnsi="宋体" w:cs="宋体"/>
          <w:b/>
          <w:bCs/>
          <w:color w:val="auto"/>
          <w:sz w:val="24"/>
          <w:highlight w:val="none"/>
        </w:rPr>
      </w:pPr>
      <w:r>
        <w:rPr>
          <w:rFonts w:hint="eastAsia" w:ascii="宋体" w:hAnsi="宋体" w:cs="宋体"/>
          <w:b/>
          <w:bCs/>
          <w:color w:val="auto"/>
          <w:sz w:val="24"/>
          <w:highlight w:val="none"/>
        </w:rPr>
        <w:t>目 录</w:t>
      </w:r>
    </w:p>
    <w:p w14:paraId="09973C29">
      <w:pPr>
        <w:pStyle w:val="23"/>
        <w:tabs>
          <w:tab w:val="right" w:leader="dot" w:pos="9746"/>
        </w:tabs>
        <w:rPr>
          <w:rFonts w:ascii="宋体" w:hAnsi="宋体" w:cs="宋体"/>
          <w:color w:val="auto"/>
          <w:szCs w:val="21"/>
          <w:highlight w:val="none"/>
        </w:rPr>
      </w:pPr>
    </w:p>
    <w:p w14:paraId="53729E2A">
      <w:pPr>
        <w:pStyle w:val="23"/>
        <w:tabs>
          <w:tab w:val="right" w:leader="dot" w:pos="9746"/>
        </w:tabs>
        <w:rPr>
          <w:rFonts w:ascii="宋体" w:hAnsi="宋体" w:cs="宋体"/>
          <w:color w:val="auto"/>
          <w:szCs w:val="21"/>
          <w:highlight w:val="none"/>
        </w:rPr>
      </w:pPr>
    </w:p>
    <w:p w14:paraId="0C568A05">
      <w:pPr>
        <w:pStyle w:val="23"/>
        <w:tabs>
          <w:tab w:val="right" w:leader="dot" w:pos="9746"/>
        </w:tabs>
        <w:rPr>
          <w:rFonts w:ascii="宋体" w:hAnsi="宋体" w:cs="宋体"/>
          <w:color w:val="auto"/>
          <w:szCs w:val="21"/>
          <w:highlight w:val="none"/>
        </w:rPr>
      </w:pPr>
    </w:p>
    <w:p w14:paraId="024AE99F">
      <w:pPr>
        <w:pStyle w:val="23"/>
        <w:tabs>
          <w:tab w:val="right" w:leader="dot" w:pos="9746"/>
        </w:tabs>
        <w:rPr>
          <w:rFonts w:ascii="宋体" w:hAnsi="宋体" w:cs="宋体"/>
          <w:b/>
          <w:color w:val="auto"/>
          <w:sz w:val="24"/>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"_Toc461" </w:instrText>
      </w:r>
      <w:r>
        <w:rPr>
          <w:color w:val="auto"/>
          <w:highlight w:val="none"/>
        </w:rPr>
        <w:fldChar w:fldCharType="separate"/>
      </w:r>
      <w:r>
        <w:rPr>
          <w:rFonts w:hint="eastAsia" w:ascii="宋体" w:hAnsi="宋体" w:cs="宋体"/>
          <w:b/>
          <w:color w:val="auto"/>
          <w:sz w:val="24"/>
          <w:highlight w:val="none"/>
        </w:rPr>
        <w:t>第一章 公开招标公告</w:t>
      </w:r>
      <w:r>
        <w:rPr>
          <w:b/>
          <w:color w:val="auto"/>
          <w:sz w:val="24"/>
          <w:highlight w:val="none"/>
        </w:rPr>
        <w:tab/>
      </w:r>
      <w:r>
        <w:rPr>
          <w:b/>
          <w:color w:val="auto"/>
          <w:sz w:val="24"/>
          <w:highlight w:val="none"/>
        </w:rPr>
        <w:fldChar w:fldCharType="begin"/>
      </w:r>
      <w:r>
        <w:rPr>
          <w:b/>
          <w:color w:val="auto"/>
          <w:sz w:val="24"/>
          <w:highlight w:val="none"/>
        </w:rPr>
        <w:instrText xml:space="preserve"> PAGEREF _Toc461 </w:instrText>
      </w:r>
      <w:r>
        <w:rPr>
          <w:b/>
          <w:color w:val="auto"/>
          <w:sz w:val="24"/>
          <w:highlight w:val="none"/>
        </w:rPr>
        <w:fldChar w:fldCharType="separate"/>
      </w:r>
      <w:r>
        <w:rPr>
          <w:b/>
          <w:color w:val="auto"/>
          <w:sz w:val="24"/>
          <w:highlight w:val="none"/>
        </w:rPr>
        <w:t>2</w:t>
      </w:r>
      <w:r>
        <w:rPr>
          <w:b/>
          <w:color w:val="auto"/>
          <w:sz w:val="24"/>
          <w:highlight w:val="none"/>
        </w:rPr>
        <w:fldChar w:fldCharType="end"/>
      </w:r>
      <w:r>
        <w:rPr>
          <w:b/>
          <w:color w:val="auto"/>
          <w:sz w:val="24"/>
          <w:highlight w:val="none"/>
        </w:rPr>
        <w:fldChar w:fldCharType="end"/>
      </w:r>
    </w:p>
    <w:p w14:paraId="04A8E0E4">
      <w:pPr>
        <w:rPr>
          <w:b/>
          <w:color w:val="auto"/>
          <w:sz w:val="24"/>
          <w:highlight w:val="none"/>
        </w:rPr>
      </w:pPr>
    </w:p>
    <w:p w14:paraId="6FDCA261">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宋体" w:hAnsi="宋体" w:cs="宋体"/>
          <w:b/>
          <w:bCs/>
          <w:color w:val="auto"/>
          <w:kern w:val="44"/>
          <w:sz w:val="24"/>
          <w:highlight w:val="none"/>
        </w:rPr>
        <w:t>第二章 投标人须知</w:t>
      </w:r>
      <w:r>
        <w:rPr>
          <w:b/>
          <w:color w:val="auto"/>
          <w:sz w:val="24"/>
          <w:highlight w:val="none"/>
        </w:rPr>
        <w:tab/>
      </w:r>
      <w:r>
        <w:rPr>
          <w:b/>
          <w:color w:val="auto"/>
          <w:sz w:val="24"/>
          <w:highlight w:val="none"/>
        </w:rPr>
        <w:fldChar w:fldCharType="begin"/>
      </w:r>
      <w:r>
        <w:rPr>
          <w:b/>
          <w:color w:val="auto"/>
          <w:sz w:val="24"/>
          <w:highlight w:val="none"/>
        </w:rPr>
        <w:instrText xml:space="preserve"> PAGEREF _Toc8888 </w:instrText>
      </w:r>
      <w:r>
        <w:rPr>
          <w:b/>
          <w:color w:val="auto"/>
          <w:sz w:val="24"/>
          <w:highlight w:val="none"/>
        </w:rPr>
        <w:fldChar w:fldCharType="separate"/>
      </w:r>
      <w:r>
        <w:rPr>
          <w:b/>
          <w:color w:val="auto"/>
          <w:sz w:val="24"/>
          <w:highlight w:val="none"/>
        </w:rPr>
        <w:t>5</w:t>
      </w:r>
      <w:r>
        <w:rPr>
          <w:b/>
          <w:color w:val="auto"/>
          <w:sz w:val="24"/>
          <w:highlight w:val="none"/>
        </w:rPr>
        <w:fldChar w:fldCharType="end"/>
      </w:r>
      <w:r>
        <w:rPr>
          <w:b/>
          <w:color w:val="auto"/>
          <w:sz w:val="24"/>
          <w:highlight w:val="none"/>
        </w:rPr>
        <w:fldChar w:fldCharType="end"/>
      </w:r>
    </w:p>
    <w:p w14:paraId="7424C85B">
      <w:pPr>
        <w:rPr>
          <w:b/>
          <w:color w:val="auto"/>
          <w:sz w:val="24"/>
          <w:highlight w:val="none"/>
        </w:rPr>
      </w:pPr>
    </w:p>
    <w:p w14:paraId="3A36E2DF">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"_Toc12794" </w:instrText>
      </w:r>
      <w:r>
        <w:rPr>
          <w:color w:val="auto"/>
          <w:highlight w:val="none"/>
        </w:rPr>
        <w:fldChar w:fldCharType="separate"/>
      </w:r>
      <w:r>
        <w:rPr>
          <w:rFonts w:hint="eastAsia"/>
          <w:b/>
          <w:color w:val="auto"/>
          <w:sz w:val="24"/>
          <w:highlight w:val="none"/>
        </w:rPr>
        <w:t xml:space="preserve">第三章 </w:t>
      </w:r>
      <w:r>
        <w:rPr>
          <w:rFonts w:hint="eastAsia"/>
          <w:b/>
          <w:color w:val="auto"/>
          <w:sz w:val="24"/>
          <w:highlight w:val="none"/>
          <w:lang w:val="en-US" w:eastAsia="zh-CN"/>
        </w:rPr>
        <w:t>服务</w:t>
      </w:r>
      <w:r>
        <w:rPr>
          <w:rFonts w:hint="eastAsia"/>
          <w:b/>
          <w:color w:val="auto"/>
          <w:sz w:val="24"/>
          <w:highlight w:val="none"/>
        </w:rPr>
        <w:t>采购需求</w:t>
      </w:r>
      <w:r>
        <w:rPr>
          <w:b/>
          <w:color w:val="auto"/>
          <w:sz w:val="24"/>
          <w:highlight w:val="none"/>
        </w:rPr>
        <w:tab/>
      </w:r>
      <w:r>
        <w:rPr>
          <w:b/>
          <w:color w:val="auto"/>
          <w:sz w:val="24"/>
          <w:highlight w:val="none"/>
        </w:rPr>
        <w:fldChar w:fldCharType="begin"/>
      </w:r>
      <w:r>
        <w:rPr>
          <w:b/>
          <w:color w:val="auto"/>
          <w:sz w:val="24"/>
          <w:highlight w:val="none"/>
        </w:rPr>
        <w:instrText xml:space="preserve"> PAGEREF _Toc12794 </w:instrText>
      </w:r>
      <w:r>
        <w:rPr>
          <w:b/>
          <w:color w:val="auto"/>
          <w:sz w:val="24"/>
          <w:highlight w:val="none"/>
        </w:rPr>
        <w:fldChar w:fldCharType="separate"/>
      </w:r>
      <w:r>
        <w:rPr>
          <w:b/>
          <w:color w:val="auto"/>
          <w:sz w:val="24"/>
          <w:highlight w:val="none"/>
        </w:rPr>
        <w:t>20</w:t>
      </w:r>
      <w:r>
        <w:rPr>
          <w:b/>
          <w:color w:val="auto"/>
          <w:sz w:val="24"/>
          <w:highlight w:val="none"/>
        </w:rPr>
        <w:fldChar w:fldCharType="end"/>
      </w:r>
      <w:r>
        <w:rPr>
          <w:b/>
          <w:color w:val="auto"/>
          <w:sz w:val="24"/>
          <w:highlight w:val="none"/>
        </w:rPr>
        <w:fldChar w:fldCharType="end"/>
      </w:r>
    </w:p>
    <w:p w14:paraId="6719B487">
      <w:pPr>
        <w:rPr>
          <w:b/>
          <w:color w:val="auto"/>
          <w:sz w:val="24"/>
          <w:highlight w:val="none"/>
        </w:rPr>
      </w:pPr>
    </w:p>
    <w:p w14:paraId="28EA3BFB">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"_Toc22812" </w:instrText>
      </w:r>
      <w:r>
        <w:rPr>
          <w:color w:val="auto"/>
          <w:highlight w:val="none"/>
        </w:rPr>
        <w:fldChar w:fldCharType="separate"/>
      </w:r>
      <w:r>
        <w:rPr>
          <w:rFonts w:hint="eastAsia" w:ascii="宋体" w:hAnsi="宋体" w:cs="宋体"/>
          <w:b/>
          <w:color w:val="auto"/>
          <w:sz w:val="24"/>
          <w:highlight w:val="none"/>
        </w:rPr>
        <w:t>第四章 评标办法</w:t>
      </w:r>
      <w:r>
        <w:rPr>
          <w:b/>
          <w:color w:val="auto"/>
          <w:sz w:val="24"/>
          <w:highlight w:val="none"/>
        </w:rPr>
        <w:tab/>
      </w:r>
      <w:r>
        <w:rPr>
          <w:b/>
          <w:color w:val="auto"/>
          <w:sz w:val="24"/>
          <w:highlight w:val="none"/>
        </w:rPr>
        <w:fldChar w:fldCharType="begin"/>
      </w:r>
      <w:r>
        <w:rPr>
          <w:b/>
          <w:color w:val="auto"/>
          <w:sz w:val="24"/>
          <w:highlight w:val="none"/>
        </w:rPr>
        <w:instrText xml:space="preserve"> PAGEREF _Toc22812 </w:instrText>
      </w:r>
      <w:r>
        <w:rPr>
          <w:b/>
          <w:color w:val="auto"/>
          <w:sz w:val="24"/>
          <w:highlight w:val="none"/>
        </w:rPr>
        <w:fldChar w:fldCharType="separate"/>
      </w:r>
      <w:r>
        <w:rPr>
          <w:b/>
          <w:color w:val="auto"/>
          <w:sz w:val="24"/>
          <w:highlight w:val="none"/>
        </w:rPr>
        <w:t>21</w:t>
      </w:r>
      <w:r>
        <w:rPr>
          <w:b/>
          <w:color w:val="auto"/>
          <w:sz w:val="24"/>
          <w:highlight w:val="none"/>
        </w:rPr>
        <w:fldChar w:fldCharType="end"/>
      </w:r>
      <w:r>
        <w:rPr>
          <w:b/>
          <w:color w:val="auto"/>
          <w:sz w:val="24"/>
          <w:highlight w:val="none"/>
        </w:rPr>
        <w:fldChar w:fldCharType="end"/>
      </w:r>
    </w:p>
    <w:p w14:paraId="2C4C0F31">
      <w:pPr>
        <w:rPr>
          <w:b/>
          <w:color w:val="auto"/>
          <w:sz w:val="24"/>
          <w:highlight w:val="none"/>
        </w:rPr>
      </w:pPr>
    </w:p>
    <w:p w14:paraId="64905B70">
      <w:pPr>
        <w:pStyle w:val="23"/>
        <w:tabs>
          <w:tab w:val="right" w:leader="dot" w:pos="9746"/>
        </w:tabs>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"_Toc30884" </w:instrText>
      </w:r>
      <w:r>
        <w:rPr>
          <w:color w:val="auto"/>
          <w:highlight w:val="none"/>
        </w:rPr>
        <w:fldChar w:fldCharType="separate"/>
      </w:r>
      <w:r>
        <w:rPr>
          <w:rFonts w:hint="eastAsia" w:ascii="宋体" w:hAnsi="宋体" w:cs="宋体"/>
          <w:b/>
          <w:bCs/>
          <w:color w:val="auto"/>
          <w:kern w:val="44"/>
          <w:sz w:val="24"/>
          <w:highlight w:val="none"/>
        </w:rPr>
        <w:t>第五章 采购合同（合同主要条款及格式）</w:t>
      </w:r>
      <w:r>
        <w:rPr>
          <w:b/>
          <w:color w:val="auto"/>
          <w:sz w:val="24"/>
          <w:highlight w:val="none"/>
        </w:rPr>
        <w:tab/>
      </w:r>
      <w:r>
        <w:rPr>
          <w:b/>
          <w:color w:val="auto"/>
          <w:sz w:val="24"/>
          <w:highlight w:val="none"/>
        </w:rPr>
        <w:fldChar w:fldCharType="begin"/>
      </w:r>
      <w:r>
        <w:rPr>
          <w:b/>
          <w:color w:val="auto"/>
          <w:sz w:val="24"/>
          <w:highlight w:val="none"/>
        </w:rPr>
        <w:instrText xml:space="preserve"> PAGEREF _Toc30884 </w:instrText>
      </w:r>
      <w:r>
        <w:rPr>
          <w:b/>
          <w:color w:val="auto"/>
          <w:sz w:val="24"/>
          <w:highlight w:val="none"/>
        </w:rPr>
        <w:fldChar w:fldCharType="separate"/>
      </w:r>
      <w:r>
        <w:rPr>
          <w:b/>
          <w:color w:val="auto"/>
          <w:sz w:val="24"/>
          <w:highlight w:val="none"/>
        </w:rPr>
        <w:t>39</w:t>
      </w:r>
      <w:r>
        <w:rPr>
          <w:b/>
          <w:color w:val="auto"/>
          <w:sz w:val="24"/>
          <w:highlight w:val="none"/>
        </w:rPr>
        <w:fldChar w:fldCharType="end"/>
      </w:r>
      <w:r>
        <w:rPr>
          <w:b/>
          <w:color w:val="auto"/>
          <w:sz w:val="24"/>
          <w:highlight w:val="none"/>
        </w:rPr>
        <w:fldChar w:fldCharType="end"/>
      </w:r>
    </w:p>
    <w:p w14:paraId="0EE64A1D">
      <w:pPr>
        <w:rPr>
          <w:b/>
          <w:color w:val="auto"/>
          <w:sz w:val="24"/>
          <w:highlight w:val="none"/>
        </w:rPr>
      </w:pPr>
    </w:p>
    <w:p w14:paraId="1BF1936E">
      <w:pPr>
        <w:pStyle w:val="23"/>
        <w:tabs>
          <w:tab w:val="right" w:leader="dot" w:pos="9746"/>
        </w:tabs>
        <w:rPr>
          <w:b/>
          <w:color w:val="auto"/>
          <w:sz w:val="24"/>
          <w:highlight w:val="none"/>
        </w:rPr>
      </w:pPr>
      <w:r>
        <w:rPr>
          <w:color w:val="auto"/>
          <w:highlight w:val="none"/>
        </w:rPr>
        <w:fldChar w:fldCharType="begin"/>
      </w:r>
      <w:r>
        <w:rPr>
          <w:color w:val="auto"/>
          <w:highlight w:val="none"/>
        </w:rPr>
        <w:instrText xml:space="preserve"> HYPERLINK \l "_Toc18889" </w:instrText>
      </w:r>
      <w:r>
        <w:rPr>
          <w:color w:val="auto"/>
          <w:highlight w:val="none"/>
        </w:rPr>
        <w:fldChar w:fldCharType="separate"/>
      </w:r>
      <w:r>
        <w:rPr>
          <w:rFonts w:hint="eastAsia" w:ascii="宋体" w:hAnsi="宋体" w:cs="宋体"/>
          <w:b/>
          <w:bCs/>
          <w:color w:val="auto"/>
          <w:kern w:val="44"/>
          <w:sz w:val="24"/>
          <w:highlight w:val="none"/>
        </w:rPr>
        <w:t>第六章 投标文件（格式）</w:t>
      </w:r>
      <w:r>
        <w:rPr>
          <w:b/>
          <w:color w:val="auto"/>
          <w:sz w:val="24"/>
          <w:highlight w:val="none"/>
        </w:rPr>
        <w:tab/>
      </w:r>
      <w:r>
        <w:rPr>
          <w:b/>
          <w:color w:val="auto"/>
          <w:sz w:val="24"/>
          <w:highlight w:val="none"/>
        </w:rPr>
        <w:fldChar w:fldCharType="begin"/>
      </w:r>
      <w:r>
        <w:rPr>
          <w:b/>
          <w:color w:val="auto"/>
          <w:sz w:val="24"/>
          <w:highlight w:val="none"/>
        </w:rPr>
        <w:instrText xml:space="preserve"> PAGEREF _Toc18889 </w:instrText>
      </w:r>
      <w:r>
        <w:rPr>
          <w:b/>
          <w:color w:val="auto"/>
          <w:sz w:val="24"/>
          <w:highlight w:val="none"/>
        </w:rPr>
        <w:fldChar w:fldCharType="separate"/>
      </w:r>
      <w:r>
        <w:rPr>
          <w:b/>
          <w:color w:val="auto"/>
          <w:sz w:val="24"/>
          <w:highlight w:val="none"/>
        </w:rPr>
        <w:t>39</w:t>
      </w:r>
      <w:r>
        <w:rPr>
          <w:b/>
          <w:color w:val="auto"/>
          <w:sz w:val="24"/>
          <w:highlight w:val="none"/>
        </w:rPr>
        <w:fldChar w:fldCharType="end"/>
      </w:r>
      <w:r>
        <w:rPr>
          <w:b/>
          <w:color w:val="auto"/>
          <w:sz w:val="24"/>
          <w:highlight w:val="none"/>
        </w:rPr>
        <w:fldChar w:fldCharType="end"/>
      </w:r>
    </w:p>
    <w:p w14:paraId="57450033">
      <w:pPr>
        <w:rPr>
          <w:rFonts w:ascii="宋体" w:hAnsi="宋体" w:cs="宋体"/>
          <w:color w:val="auto"/>
          <w:szCs w:val="21"/>
          <w:highlight w:val="none"/>
        </w:rPr>
      </w:pPr>
      <w:r>
        <w:rPr>
          <w:rFonts w:hint="eastAsia" w:ascii="宋体" w:hAnsi="宋体" w:cs="宋体"/>
          <w:color w:val="auto"/>
          <w:szCs w:val="21"/>
          <w:highlight w:val="none"/>
        </w:rPr>
        <w:fldChar w:fldCharType="end"/>
      </w:r>
    </w:p>
    <w:p w14:paraId="3CCBFF45">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p>
    <w:p w14:paraId="642E51FE">
      <w:pPr>
        <w:pStyle w:val="2"/>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19680"/>
      <w:bookmarkStart w:id="1" w:name="_Toc461"/>
      <w:bookmarkStart w:id="2" w:name="_Toc9643"/>
      <w:bookmarkStart w:id="3" w:name="_Toc28359001"/>
      <w:bookmarkStart w:id="4" w:name="_Toc35393789"/>
      <w:r>
        <w:rPr>
          <w:rFonts w:hint="eastAsia" w:ascii="宋体" w:hAnsi="宋体" w:cs="宋体"/>
          <w:color w:val="auto"/>
          <w:sz w:val="32"/>
          <w:szCs w:val="32"/>
          <w:highlight w:val="none"/>
        </w:rPr>
        <w:t>公开招标公告</w:t>
      </w:r>
      <w:bookmarkEnd w:id="0"/>
      <w:bookmarkEnd w:id="1"/>
      <w:bookmarkEnd w:id="2"/>
      <w:bookmarkEnd w:id="3"/>
      <w:bookmarkEnd w:id="4"/>
    </w:p>
    <w:tbl>
      <w:tblPr>
        <w:tblStyle w:val="33"/>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A9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962" w:type="dxa"/>
          </w:tcPr>
          <w:p w14:paraId="61517E84">
            <w:pPr>
              <w:spacing w:line="38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78859AF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南溪山医院基建零星工程服务项目的潜在投标人应在</w:t>
            </w:r>
            <w:r>
              <w:rPr>
                <w:rFonts w:hint="eastAsia" w:ascii="宋体" w:hAnsi="宋体" w:eastAsia="宋体" w:cs="宋体"/>
                <w:color w:val="auto"/>
                <w:sz w:val="21"/>
                <w:szCs w:val="21"/>
                <w:highlight w:val="none"/>
                <w:u w:val="none"/>
                <w:shd w:val="clear" w:color="auto" w:fill="auto"/>
              </w:rPr>
              <w:t>广西政府采购云平台（https://www.gcy.zfcg.gxzf.gov.cn/）</w:t>
            </w:r>
            <w:r>
              <w:rPr>
                <w:rFonts w:hint="eastAsia" w:ascii="宋体" w:hAnsi="宋体" w:cs="宋体"/>
                <w:color w:val="auto"/>
                <w:szCs w:val="21"/>
                <w:highlight w:val="none"/>
              </w:rPr>
              <w:t>获取招标文件，并于202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日9点30分（北京时间）前递交投标文件。</w:t>
            </w:r>
          </w:p>
        </w:tc>
      </w:tr>
    </w:tbl>
    <w:p w14:paraId="1CCA3530">
      <w:pPr>
        <w:rPr>
          <w:rFonts w:ascii="宋体" w:hAnsi="宋体" w:cs="宋体"/>
          <w:color w:val="auto"/>
          <w:szCs w:val="21"/>
          <w:highlight w:val="none"/>
        </w:rPr>
      </w:pPr>
    </w:p>
    <w:p w14:paraId="27848323">
      <w:pPr>
        <w:rPr>
          <w:rFonts w:ascii="宋体" w:hAnsi="宋体" w:cs="宋体"/>
          <w:color w:val="auto"/>
          <w:szCs w:val="21"/>
          <w:highlight w:val="none"/>
        </w:rPr>
      </w:pPr>
      <w:bookmarkStart w:id="5" w:name="_Toc35393621"/>
      <w:bookmarkStart w:id="6" w:name="_Toc28359002"/>
      <w:bookmarkStart w:id="7" w:name="_Toc28359079"/>
      <w:bookmarkStart w:id="8" w:name="_Toc35393790"/>
      <w:bookmarkStart w:id="9" w:name="_Hlk24379207"/>
      <w:r>
        <w:rPr>
          <w:rFonts w:hint="eastAsia" w:ascii="宋体" w:hAnsi="宋体" w:cs="宋体"/>
          <w:color w:val="auto"/>
          <w:szCs w:val="21"/>
          <w:highlight w:val="none"/>
        </w:rPr>
        <w:t>一、项目基本情况</w:t>
      </w:r>
      <w:bookmarkEnd w:id="5"/>
      <w:bookmarkEnd w:id="6"/>
      <w:bookmarkEnd w:id="7"/>
      <w:bookmarkEnd w:id="8"/>
    </w:p>
    <w:p w14:paraId="793B5E0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项目编号：GXZC2025-G3-001637-GXAJ</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lang w:val="en-US" w:eastAsia="zh-CN"/>
        </w:rPr>
        <w:t xml:space="preserve"> </w:t>
      </w:r>
    </w:p>
    <w:p w14:paraId="3892D75A">
      <w:pPr>
        <w:spacing w:line="38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项目名称：</w:t>
      </w:r>
      <w:bookmarkEnd w:id="9"/>
      <w:r>
        <w:rPr>
          <w:rFonts w:hint="eastAsia" w:ascii="宋体" w:hAnsi="宋体" w:cs="宋体"/>
          <w:bCs/>
          <w:color w:val="auto"/>
          <w:szCs w:val="21"/>
          <w:highlight w:val="none"/>
        </w:rPr>
        <w:t>南溪山医院基建零星工程服务项目</w:t>
      </w:r>
    </w:p>
    <w:p w14:paraId="4461F7F4">
      <w:pPr>
        <w:spacing w:line="3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预算总金额（元）：</w:t>
      </w:r>
      <w:r>
        <w:rPr>
          <w:rFonts w:hint="eastAsia" w:ascii="宋体" w:hAnsi="宋体" w:cs="宋体"/>
          <w:color w:val="auto"/>
          <w:szCs w:val="21"/>
          <w:highlight w:val="none"/>
          <w:lang w:val="en-US" w:eastAsia="zh-CN"/>
        </w:rPr>
        <w:t>900万元（其中A分标：300万元，B分标：300万元，C分标：300万元）</w:t>
      </w:r>
    </w:p>
    <w:p w14:paraId="5AD4ADC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867万元（其中A分标：288万元，B分标：294万元，C分标：285万元）</w:t>
      </w:r>
    </w:p>
    <w:p w14:paraId="5FB1810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下浮率控制价：</w:t>
      </w:r>
      <w:r>
        <w:rPr>
          <w:rFonts w:hint="eastAsia" w:ascii="宋体" w:hAnsi="宋体" w:cs="宋体"/>
          <w:color w:val="auto"/>
          <w:szCs w:val="21"/>
          <w:highlight w:val="none"/>
        </w:rPr>
        <w:t>A分标下浮率控制价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4%，B分标下浮率控制价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2%，C分标下浮率控制价≥5%。</w:t>
      </w:r>
    </w:p>
    <w:p w14:paraId="5C7D575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33"/>
        <w:tblpPr w:leftFromText="180" w:rightFromText="180" w:vertAnchor="text" w:horzAnchor="page" w:tblpXSpec="center" w:tblpY="27"/>
        <w:tblOverlap w:val="never"/>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837"/>
        <w:gridCol w:w="738"/>
        <w:gridCol w:w="862"/>
        <w:gridCol w:w="3067"/>
      </w:tblGrid>
      <w:tr w14:paraId="32F7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38E729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分标号</w:t>
            </w:r>
          </w:p>
        </w:tc>
        <w:tc>
          <w:tcPr>
            <w:tcW w:w="3837" w:type="dxa"/>
            <w:tcBorders>
              <w:top w:val="single" w:color="auto" w:sz="4" w:space="0"/>
              <w:left w:val="nil"/>
              <w:bottom w:val="single" w:color="auto" w:sz="4" w:space="0"/>
              <w:right w:val="single" w:color="auto" w:sz="4" w:space="0"/>
            </w:tcBorders>
            <w:noWrap w:val="0"/>
            <w:vAlign w:val="center"/>
          </w:tcPr>
          <w:p w14:paraId="63D4E6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标的</w:t>
            </w:r>
            <w:r>
              <w:rPr>
                <w:rFonts w:hint="eastAsia" w:ascii="宋体" w:hAnsi="宋体" w:cs="宋体"/>
                <w:color w:val="auto"/>
                <w:szCs w:val="21"/>
                <w:highlight w:val="none"/>
              </w:rPr>
              <w:t>名称</w:t>
            </w:r>
          </w:p>
        </w:tc>
        <w:tc>
          <w:tcPr>
            <w:tcW w:w="738" w:type="dxa"/>
            <w:tcBorders>
              <w:top w:val="single" w:color="auto" w:sz="4" w:space="0"/>
              <w:left w:val="nil"/>
              <w:bottom w:val="single" w:color="auto" w:sz="4" w:space="0"/>
              <w:right w:val="single" w:color="auto" w:sz="4" w:space="0"/>
            </w:tcBorders>
            <w:noWrap w:val="0"/>
            <w:vAlign w:val="center"/>
          </w:tcPr>
          <w:p w14:paraId="3D7FD8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62" w:type="dxa"/>
            <w:tcBorders>
              <w:top w:val="single" w:color="auto" w:sz="4" w:space="0"/>
              <w:left w:val="nil"/>
              <w:bottom w:val="single" w:color="auto" w:sz="4" w:space="0"/>
              <w:right w:val="single" w:color="auto" w:sz="4" w:space="0"/>
            </w:tcBorders>
            <w:noWrap w:val="0"/>
            <w:vAlign w:val="center"/>
          </w:tcPr>
          <w:p w14:paraId="4501C6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067" w:type="dxa"/>
            <w:tcBorders>
              <w:top w:val="single" w:color="auto" w:sz="4" w:space="0"/>
              <w:left w:val="nil"/>
              <w:bottom w:val="single" w:color="auto" w:sz="4" w:space="0"/>
              <w:right w:val="single" w:color="auto" w:sz="4" w:space="0"/>
            </w:tcBorders>
            <w:noWrap w:val="0"/>
            <w:vAlign w:val="center"/>
          </w:tcPr>
          <w:p w14:paraId="0CC831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w:t>
            </w:r>
          </w:p>
        </w:tc>
      </w:tr>
      <w:tr w14:paraId="2848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3FE32D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3837" w:type="dxa"/>
            <w:tcBorders>
              <w:top w:val="single" w:color="auto" w:sz="4" w:space="0"/>
              <w:left w:val="nil"/>
              <w:bottom w:val="single" w:color="auto" w:sz="4" w:space="0"/>
              <w:right w:val="single" w:color="auto" w:sz="4" w:space="0"/>
            </w:tcBorders>
            <w:noWrap w:val="0"/>
            <w:vAlign w:val="center"/>
          </w:tcPr>
          <w:p w14:paraId="1419AB3E">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南溪山医院基建零星工程服务A分标</w:t>
            </w:r>
          </w:p>
        </w:tc>
        <w:tc>
          <w:tcPr>
            <w:tcW w:w="738" w:type="dxa"/>
            <w:tcBorders>
              <w:top w:val="single" w:color="auto" w:sz="4" w:space="0"/>
              <w:left w:val="nil"/>
              <w:bottom w:val="single" w:color="auto" w:sz="4" w:space="0"/>
              <w:right w:val="single" w:color="auto" w:sz="4" w:space="0"/>
            </w:tcBorders>
            <w:noWrap w:val="0"/>
            <w:vAlign w:val="center"/>
          </w:tcPr>
          <w:p w14:paraId="4FA56571">
            <w:pPr>
              <w:spacing w:line="360" w:lineRule="auto"/>
              <w:jc w:val="center"/>
              <w:rPr>
                <w:rFonts w:hint="eastAsia" w:ascii="宋体" w:hAnsi="宋体" w:cs="宋体"/>
                <w:color w:val="auto"/>
                <w:szCs w:val="21"/>
                <w:highlight w:val="none"/>
              </w:rPr>
            </w:pPr>
            <w:r>
              <w:rPr>
                <w:rFonts w:hint="eastAsia" w:ascii="宋体" w:hAnsi="宋体" w:cs="宋体"/>
                <w:bCs/>
                <w:color w:val="auto"/>
                <w:kern w:val="0"/>
                <w:szCs w:val="21"/>
                <w:highlight w:val="none"/>
                <w:lang w:bidi="ar"/>
              </w:rPr>
              <w:t>1</w:t>
            </w:r>
          </w:p>
        </w:tc>
        <w:tc>
          <w:tcPr>
            <w:tcW w:w="862" w:type="dxa"/>
            <w:tcBorders>
              <w:top w:val="single" w:color="auto" w:sz="4" w:space="0"/>
              <w:left w:val="nil"/>
              <w:bottom w:val="single" w:color="auto" w:sz="4" w:space="0"/>
              <w:right w:val="single" w:color="auto" w:sz="4" w:space="0"/>
            </w:tcBorders>
            <w:noWrap w:val="0"/>
            <w:vAlign w:val="center"/>
          </w:tcPr>
          <w:p w14:paraId="0D340331">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3067" w:type="dxa"/>
            <w:vMerge w:val="restart"/>
            <w:tcBorders>
              <w:top w:val="single" w:color="auto" w:sz="4" w:space="0"/>
              <w:left w:val="nil"/>
              <w:right w:val="single" w:color="auto" w:sz="4" w:space="0"/>
            </w:tcBorders>
            <w:noWrap w:val="0"/>
            <w:vAlign w:val="center"/>
          </w:tcPr>
          <w:p w14:paraId="2B4DB82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p>
        </w:tc>
      </w:tr>
      <w:tr w14:paraId="432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0BF51020">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p>
        </w:tc>
        <w:tc>
          <w:tcPr>
            <w:tcW w:w="3837" w:type="dxa"/>
            <w:tcBorders>
              <w:top w:val="single" w:color="auto" w:sz="4" w:space="0"/>
              <w:left w:val="nil"/>
              <w:bottom w:val="single" w:color="auto" w:sz="4" w:space="0"/>
              <w:right w:val="single" w:color="auto" w:sz="4" w:space="0"/>
            </w:tcBorders>
            <w:noWrap w:val="0"/>
            <w:vAlign w:val="center"/>
          </w:tcPr>
          <w:p w14:paraId="7D4BF55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南溪山医院基建零星工程服务</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分标</w:t>
            </w:r>
          </w:p>
        </w:tc>
        <w:tc>
          <w:tcPr>
            <w:tcW w:w="738" w:type="dxa"/>
            <w:tcBorders>
              <w:top w:val="single" w:color="auto" w:sz="4" w:space="0"/>
              <w:left w:val="nil"/>
              <w:bottom w:val="single" w:color="auto" w:sz="4" w:space="0"/>
              <w:right w:val="single" w:color="auto" w:sz="4" w:space="0"/>
            </w:tcBorders>
            <w:noWrap w:val="0"/>
            <w:vAlign w:val="center"/>
          </w:tcPr>
          <w:p w14:paraId="2740FEEF">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862" w:type="dxa"/>
            <w:tcBorders>
              <w:top w:val="single" w:color="auto" w:sz="4" w:space="0"/>
              <w:left w:val="nil"/>
              <w:bottom w:val="single" w:color="auto" w:sz="4" w:space="0"/>
              <w:right w:val="single" w:color="auto" w:sz="4" w:space="0"/>
            </w:tcBorders>
            <w:noWrap w:val="0"/>
            <w:vAlign w:val="center"/>
          </w:tcPr>
          <w:p w14:paraId="6658C59F">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w:t>
            </w:r>
          </w:p>
        </w:tc>
        <w:tc>
          <w:tcPr>
            <w:tcW w:w="3067" w:type="dxa"/>
            <w:vMerge w:val="continue"/>
            <w:tcBorders>
              <w:left w:val="nil"/>
              <w:right w:val="single" w:color="auto" w:sz="4" w:space="0"/>
            </w:tcBorders>
            <w:noWrap w:val="0"/>
            <w:vAlign w:val="center"/>
          </w:tcPr>
          <w:p w14:paraId="2A45E5FE">
            <w:pPr>
              <w:spacing w:line="360" w:lineRule="auto"/>
              <w:jc w:val="center"/>
              <w:rPr>
                <w:rFonts w:hint="eastAsia" w:ascii="宋体" w:hAnsi="宋体" w:cs="宋体"/>
                <w:color w:val="auto"/>
                <w:szCs w:val="21"/>
                <w:highlight w:val="none"/>
              </w:rPr>
            </w:pPr>
          </w:p>
        </w:tc>
      </w:tr>
      <w:tr w14:paraId="32F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14:paraId="77EA59C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C</w:t>
            </w:r>
          </w:p>
        </w:tc>
        <w:tc>
          <w:tcPr>
            <w:tcW w:w="3837" w:type="dxa"/>
            <w:tcBorders>
              <w:top w:val="single" w:color="auto" w:sz="4" w:space="0"/>
              <w:left w:val="nil"/>
              <w:bottom w:val="single" w:color="auto" w:sz="4" w:space="0"/>
              <w:right w:val="single" w:color="auto" w:sz="4" w:space="0"/>
            </w:tcBorders>
            <w:noWrap w:val="0"/>
            <w:vAlign w:val="center"/>
          </w:tcPr>
          <w:p w14:paraId="73229E4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南溪山医院基建零星工程服务</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分标</w:t>
            </w:r>
          </w:p>
        </w:tc>
        <w:tc>
          <w:tcPr>
            <w:tcW w:w="738" w:type="dxa"/>
            <w:tcBorders>
              <w:top w:val="single" w:color="auto" w:sz="4" w:space="0"/>
              <w:left w:val="nil"/>
              <w:bottom w:val="single" w:color="auto" w:sz="4" w:space="0"/>
              <w:right w:val="single" w:color="auto" w:sz="4" w:space="0"/>
            </w:tcBorders>
            <w:noWrap w:val="0"/>
            <w:vAlign w:val="center"/>
          </w:tcPr>
          <w:p w14:paraId="5D3C017C">
            <w:pPr>
              <w:spacing w:line="360" w:lineRule="auto"/>
              <w:jc w:val="center"/>
              <w:rPr>
                <w:rFonts w:hint="eastAsia" w:ascii="宋体" w:hAnsi="宋体" w:eastAsia="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1</w:t>
            </w:r>
          </w:p>
        </w:tc>
        <w:tc>
          <w:tcPr>
            <w:tcW w:w="862" w:type="dxa"/>
            <w:tcBorders>
              <w:top w:val="single" w:color="auto" w:sz="4" w:space="0"/>
              <w:left w:val="nil"/>
              <w:bottom w:val="single" w:color="auto" w:sz="4" w:space="0"/>
              <w:right w:val="single" w:color="auto" w:sz="4" w:space="0"/>
            </w:tcBorders>
            <w:noWrap w:val="0"/>
            <w:vAlign w:val="center"/>
          </w:tcPr>
          <w:p w14:paraId="2B25B55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3067" w:type="dxa"/>
            <w:vMerge w:val="continue"/>
            <w:tcBorders>
              <w:left w:val="nil"/>
              <w:right w:val="single" w:color="auto" w:sz="4" w:space="0"/>
            </w:tcBorders>
            <w:noWrap w:val="0"/>
            <w:vAlign w:val="center"/>
          </w:tcPr>
          <w:p w14:paraId="149F7690">
            <w:pPr>
              <w:spacing w:line="360" w:lineRule="auto"/>
              <w:jc w:val="center"/>
              <w:rPr>
                <w:rFonts w:hint="eastAsia" w:ascii="宋体" w:hAnsi="宋体" w:cs="宋体"/>
                <w:color w:val="auto"/>
                <w:szCs w:val="21"/>
                <w:highlight w:val="none"/>
              </w:rPr>
            </w:pPr>
          </w:p>
        </w:tc>
      </w:tr>
    </w:tbl>
    <w:p w14:paraId="52A89EC6">
      <w:pPr>
        <w:spacing w:line="380" w:lineRule="exact"/>
        <w:ind w:firstLine="420" w:firstLineChars="200"/>
        <w:rPr>
          <w:rFonts w:hint="eastAsia" w:ascii="宋体" w:hAnsi="宋体" w:cs="宋体"/>
          <w:color w:val="auto"/>
          <w:szCs w:val="21"/>
          <w:highlight w:val="none"/>
        </w:rPr>
      </w:pPr>
    </w:p>
    <w:p w14:paraId="2FED7FCB">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 xml:space="preserve">    合同履行期限：自合同签订之日起三年。</w:t>
      </w:r>
    </w:p>
    <w:p w14:paraId="3A5D4B0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本项目（否）接受联合体投标。</w:t>
      </w:r>
    </w:p>
    <w:p w14:paraId="21C53C91">
      <w:pPr>
        <w:rPr>
          <w:rFonts w:ascii="宋体" w:hAnsi="宋体" w:cs="宋体"/>
          <w:color w:val="auto"/>
          <w:szCs w:val="21"/>
          <w:highlight w:val="none"/>
        </w:rPr>
      </w:pPr>
      <w:bookmarkStart w:id="10" w:name="_Toc28359003"/>
      <w:bookmarkStart w:id="11" w:name="_Toc35393791"/>
      <w:bookmarkStart w:id="12" w:name="_Toc28359080"/>
      <w:bookmarkStart w:id="13" w:name="_Toc35393622"/>
      <w:r>
        <w:rPr>
          <w:rFonts w:hint="eastAsia" w:ascii="宋体" w:hAnsi="宋体" w:cs="宋体"/>
          <w:color w:val="auto"/>
          <w:szCs w:val="21"/>
          <w:highlight w:val="none"/>
        </w:rPr>
        <w:t>二、申请人的资格要求：</w:t>
      </w:r>
      <w:bookmarkEnd w:id="10"/>
      <w:bookmarkEnd w:id="11"/>
      <w:bookmarkEnd w:id="12"/>
      <w:bookmarkEnd w:id="13"/>
    </w:p>
    <w:p w14:paraId="7D0DDE30">
      <w:pPr>
        <w:spacing w:line="360" w:lineRule="auto"/>
        <w:ind w:firstLine="420" w:firstLineChars="200"/>
        <w:rPr>
          <w:rFonts w:hint="eastAsia" w:ascii="宋体" w:cs="宋体"/>
          <w:color w:val="auto"/>
          <w:szCs w:val="21"/>
          <w:highlight w:val="none"/>
        </w:rPr>
      </w:pPr>
      <w:bookmarkStart w:id="14" w:name="_Toc28359004"/>
      <w:bookmarkStart w:id="15" w:name="_Toc28359081"/>
      <w:r>
        <w:rPr>
          <w:rFonts w:hint="eastAsia" w:ascii="宋体" w:cs="宋体"/>
          <w:color w:val="auto"/>
          <w:szCs w:val="21"/>
          <w:highlight w:val="none"/>
          <w:lang w:bidi="ar"/>
        </w:rPr>
        <w:t>1.满足《中华人民共和国政府采购法》第二十二条规定；</w:t>
      </w:r>
    </w:p>
    <w:p w14:paraId="778AEBCF">
      <w:pPr>
        <w:spacing w:line="360" w:lineRule="auto"/>
        <w:ind w:firstLine="420" w:firstLineChars="200"/>
        <w:rPr>
          <w:rFonts w:hint="eastAsia" w:ascii="宋体" w:hAnsi="宋体" w:eastAsia="宋体" w:cs="宋体"/>
          <w:color w:val="auto"/>
          <w:szCs w:val="21"/>
          <w:highlight w:val="none"/>
          <w:lang w:eastAsia="zh-CN"/>
        </w:rPr>
      </w:pPr>
      <w:r>
        <w:rPr>
          <w:rFonts w:hint="eastAsia" w:ascii="宋体" w:cs="宋体"/>
          <w:color w:val="auto"/>
          <w:szCs w:val="21"/>
          <w:highlight w:val="none"/>
          <w:lang w:bidi="ar"/>
        </w:rPr>
        <w:t>2.落实政府采购政策需满足的资格要求：</w:t>
      </w:r>
      <w:r>
        <w:rPr>
          <w:rFonts w:hint="eastAsia" w:cs="宋体"/>
          <w:color w:val="auto"/>
          <w:szCs w:val="21"/>
          <w:highlight w:val="none"/>
          <w:lang w:val="en-US" w:eastAsia="zh-CN" w:bidi="ar"/>
        </w:rPr>
        <w:t>本项目为</w:t>
      </w:r>
      <w:r>
        <w:rPr>
          <w:rFonts w:hint="eastAsia" w:cs="宋体"/>
          <w:color w:val="auto"/>
          <w:szCs w:val="21"/>
          <w:highlight w:val="none"/>
          <w:lang w:bidi="ar"/>
        </w:rPr>
        <w:t>专门面向中小</w:t>
      </w:r>
      <w:r>
        <w:rPr>
          <w:rFonts w:hint="eastAsia" w:cs="宋体"/>
          <w:color w:val="auto"/>
          <w:szCs w:val="21"/>
          <w:highlight w:val="none"/>
          <w:lang w:val="en-US" w:eastAsia="zh-CN" w:bidi="ar"/>
        </w:rPr>
        <w:t>微</w:t>
      </w:r>
      <w:r>
        <w:rPr>
          <w:rFonts w:hint="eastAsia" w:cs="宋体"/>
          <w:color w:val="auto"/>
          <w:szCs w:val="21"/>
          <w:highlight w:val="none"/>
          <w:lang w:bidi="ar"/>
        </w:rPr>
        <w:t>企业采购的项目（供应商应为中小微企业</w:t>
      </w:r>
      <w:r>
        <w:rPr>
          <w:rFonts w:hint="eastAsia" w:cs="宋体"/>
          <w:color w:val="auto"/>
          <w:szCs w:val="21"/>
          <w:highlight w:val="none"/>
          <w:lang w:val="en-US" w:eastAsia="zh-CN" w:bidi="ar"/>
        </w:rPr>
        <w:t>或</w:t>
      </w:r>
      <w:r>
        <w:rPr>
          <w:rFonts w:hint="eastAsia" w:cs="宋体"/>
          <w:color w:val="auto"/>
          <w:szCs w:val="21"/>
          <w:highlight w:val="none"/>
          <w:lang w:bidi="ar"/>
        </w:rPr>
        <w:t>监狱企业</w:t>
      </w:r>
      <w:r>
        <w:rPr>
          <w:rFonts w:hint="eastAsia" w:cs="宋体"/>
          <w:color w:val="auto"/>
          <w:szCs w:val="21"/>
          <w:highlight w:val="none"/>
          <w:lang w:val="en-US" w:eastAsia="zh-CN" w:bidi="ar"/>
        </w:rPr>
        <w:t>或</w:t>
      </w:r>
      <w:r>
        <w:rPr>
          <w:rFonts w:hint="eastAsia" w:cs="宋体"/>
          <w:color w:val="auto"/>
          <w:szCs w:val="21"/>
          <w:highlight w:val="none"/>
          <w:lang w:bidi="ar"/>
        </w:rPr>
        <w:t>残疾人福利性单位</w:t>
      </w:r>
      <w:r>
        <w:rPr>
          <w:color w:val="auto"/>
          <w:szCs w:val="21"/>
          <w:highlight w:val="none"/>
          <w:lang w:bidi="ar"/>
        </w:rPr>
        <w:t>)</w:t>
      </w:r>
      <w:r>
        <w:rPr>
          <w:rFonts w:hint="eastAsia"/>
          <w:color w:val="auto"/>
          <w:szCs w:val="21"/>
          <w:highlight w:val="none"/>
          <w:lang w:eastAsia="zh-CN" w:bidi="ar"/>
        </w:rPr>
        <w:t>。</w:t>
      </w:r>
    </w:p>
    <w:p w14:paraId="41A6B78A">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bidi="ar"/>
        </w:rPr>
        <w:t>3.本项目的特定资格要求：</w:t>
      </w:r>
    </w:p>
    <w:p w14:paraId="742D4CBC">
      <w:pPr>
        <w:spacing w:line="360" w:lineRule="auto"/>
        <w:ind w:firstLine="840" w:firstLineChars="400"/>
        <w:rPr>
          <w:rFonts w:hint="eastAsia" w:ascii="宋体" w:cs="宋体"/>
          <w:color w:val="auto"/>
          <w:szCs w:val="21"/>
          <w:highlight w:val="none"/>
          <w:lang w:bidi="ar"/>
        </w:rPr>
      </w:pPr>
      <w:r>
        <w:rPr>
          <w:rFonts w:hint="eastAsia" w:ascii="宋体" w:cs="宋体"/>
          <w:color w:val="auto"/>
          <w:szCs w:val="21"/>
          <w:highlight w:val="none"/>
          <w:lang w:bidi="ar"/>
        </w:rPr>
        <w:t>3.1具备建筑工程施工总承包三级及以上资质且具有有效的安全生产许可证的企业，并在人员、资金等方面具备相应的建设能力。</w:t>
      </w:r>
    </w:p>
    <w:p w14:paraId="62CD36D0">
      <w:pPr>
        <w:spacing w:line="360" w:lineRule="auto"/>
        <w:ind w:firstLine="840" w:firstLineChars="400"/>
        <w:rPr>
          <w:rFonts w:hint="eastAsia" w:ascii="宋体" w:hAnsi="宋体" w:cs="宋体"/>
          <w:color w:val="auto"/>
          <w:szCs w:val="21"/>
          <w:highlight w:val="none"/>
        </w:rPr>
      </w:pPr>
      <w:r>
        <w:rPr>
          <w:rFonts w:hint="eastAsia" w:ascii="宋体" w:cs="宋体"/>
          <w:color w:val="auto"/>
          <w:szCs w:val="21"/>
          <w:highlight w:val="none"/>
          <w:lang w:bidi="ar"/>
        </w:rPr>
        <w:t>3.2拟任项目经理要求具备建筑工程专业二级及以上注册建造师资格，并具有B类安全生产考核合格证。</w:t>
      </w:r>
    </w:p>
    <w:p w14:paraId="67128E2A">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val="en-US" w:eastAsia="zh-CN" w:bidi="ar"/>
        </w:rPr>
        <w:t>4</w:t>
      </w:r>
      <w:r>
        <w:rPr>
          <w:rFonts w:hint="eastAsia" w:ascii="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D1E671">
      <w:pPr>
        <w:spacing w:line="360" w:lineRule="auto"/>
        <w:ind w:firstLine="420" w:firstLineChars="200"/>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2B34DCB">
      <w:pPr>
        <w:spacing w:line="360" w:lineRule="auto"/>
        <w:ind w:firstLine="420" w:firstLineChars="200"/>
        <w:rPr>
          <w:rFonts w:hint="default" w:ascii="宋体" w:eastAsia="宋体" w:cs="宋体"/>
          <w:color w:val="auto"/>
          <w:szCs w:val="21"/>
          <w:highlight w:val="none"/>
          <w:lang w:val="en-US" w:eastAsia="zh-CN" w:bidi="ar"/>
        </w:rPr>
      </w:pPr>
      <w:r>
        <w:rPr>
          <w:rFonts w:hint="eastAsia" w:ascii="宋体" w:cs="宋体"/>
          <w:color w:val="auto"/>
          <w:szCs w:val="21"/>
          <w:highlight w:val="none"/>
          <w:lang w:val="en-US" w:eastAsia="zh-CN" w:bidi="ar"/>
        </w:rPr>
        <w:t>6.本项目共划分为3个分标：3个分标由3家不同的投标单位作为中标单位。投标单位可参加3个分标的任何一个分标或多个分标，但只能中标3个分标的其中1个分标，依据评审顺序，若投多个分标的投标人已为第一中标候选人的，不得参与其他分标的评审，且每分标参加评审的投标单位家数不得少于3家，评审顺序分别为A分标、B分标、C分标。</w:t>
      </w:r>
    </w:p>
    <w:p w14:paraId="1CEA334D">
      <w:pPr>
        <w:rPr>
          <w:rFonts w:ascii="宋体" w:hAnsi="宋体" w:cs="宋体"/>
          <w:color w:val="auto"/>
          <w:szCs w:val="21"/>
          <w:highlight w:val="none"/>
        </w:rPr>
      </w:pPr>
      <w:bookmarkStart w:id="16" w:name="_Toc35393792"/>
      <w:bookmarkStart w:id="17" w:name="_Toc35393623"/>
      <w:r>
        <w:rPr>
          <w:rFonts w:hint="eastAsia" w:ascii="宋体" w:hAnsi="宋体" w:cs="宋体"/>
          <w:color w:val="auto"/>
          <w:szCs w:val="21"/>
          <w:highlight w:val="none"/>
        </w:rPr>
        <w:t>三、获取招标文件</w:t>
      </w:r>
      <w:bookmarkEnd w:id="14"/>
      <w:bookmarkEnd w:id="15"/>
      <w:bookmarkEnd w:id="16"/>
      <w:bookmarkEnd w:id="17"/>
    </w:p>
    <w:p w14:paraId="0DBB675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时间：招标公告发布之时起至投标截止时间止，每天上午00:00至12:00 ，下午12:00至23:59（北京时间，法定节假日除外）</w:t>
      </w:r>
    </w:p>
    <w:p w14:paraId="50554B82">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eastAsia="宋体" w:cs="宋体"/>
          <w:color w:val="auto"/>
          <w:sz w:val="21"/>
          <w:szCs w:val="21"/>
          <w:highlight w:val="none"/>
          <w:u w:val="none"/>
          <w:shd w:val="clear" w:color="auto" w:fill="auto"/>
        </w:rPr>
        <w:t>广西政府采购云平台（https://www.gcy.zfcg.gxzf.gov.cn/）</w:t>
      </w:r>
    </w:p>
    <w:p w14:paraId="33169C2F">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eastAsia="宋体" w:cs="宋体"/>
          <w:bCs/>
          <w:color w:val="auto"/>
          <w:sz w:val="21"/>
          <w:szCs w:val="21"/>
          <w:highlight w:val="none"/>
          <w:shd w:val="clear" w:color="auto" w:fill="auto"/>
        </w:rPr>
        <w:t>潜在供应商</w:t>
      </w:r>
      <w:r>
        <w:rPr>
          <w:rFonts w:hint="eastAsia" w:ascii="宋体" w:hAnsi="宋体" w:eastAsia="宋体" w:cs="宋体"/>
          <w:color w:val="auto"/>
          <w:sz w:val="21"/>
          <w:szCs w:val="21"/>
          <w:highlight w:val="none"/>
          <w:shd w:val="clear" w:color="auto" w:fill="auto"/>
        </w:rPr>
        <w:t>应</w:t>
      </w:r>
      <w:r>
        <w:rPr>
          <w:rFonts w:hint="eastAsia" w:ascii="宋体" w:hAnsi="宋体" w:eastAsia="宋体" w:cs="宋体"/>
          <w:color w:val="auto"/>
          <w:kern w:val="0"/>
          <w:sz w:val="21"/>
          <w:szCs w:val="21"/>
          <w:highlight w:val="none"/>
          <w:shd w:val="clear" w:color="auto" w:fill="auto"/>
        </w:rPr>
        <w:t>登录</w:t>
      </w:r>
      <w:r>
        <w:rPr>
          <w:rFonts w:hint="eastAsia" w:ascii="宋体" w:hAnsi="宋体" w:eastAsia="宋体" w:cs="宋体"/>
          <w:color w:val="auto"/>
          <w:kern w:val="0"/>
          <w:sz w:val="21"/>
          <w:szCs w:val="21"/>
          <w:highlight w:val="none"/>
          <w:shd w:val="clear" w:color="auto" w:fill="auto"/>
          <w:lang w:eastAsia="zh-CN"/>
        </w:rPr>
        <w:t>广西政府采购云平台https://www.gcy.zfcg.gxzf.gov.cn/</w:t>
      </w:r>
      <w:r>
        <w:rPr>
          <w:rFonts w:hint="eastAsia" w:ascii="宋体" w:hAnsi="宋体" w:eastAsia="宋体" w:cs="宋体"/>
          <w:color w:val="auto"/>
          <w:kern w:val="0"/>
          <w:sz w:val="21"/>
          <w:szCs w:val="21"/>
          <w:highlight w:val="none"/>
          <w:shd w:val="clear" w:color="auto" w:fill="auto"/>
        </w:rPr>
        <w:t>在线申请获取采购文件（进入“项目采购”应用，在获取采购文件菜单中选择项目，申请获取采购文件）</w:t>
      </w:r>
      <w:r>
        <w:rPr>
          <w:rFonts w:hint="eastAsia" w:ascii="宋体" w:hAnsi="宋体" w:cs="宋体"/>
          <w:color w:val="auto"/>
          <w:szCs w:val="21"/>
          <w:highlight w:val="none"/>
        </w:rPr>
        <w:t xml:space="preserve">。  </w:t>
      </w:r>
    </w:p>
    <w:p w14:paraId="21FC0191">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5804140B">
      <w:pPr>
        <w:rPr>
          <w:rFonts w:ascii="宋体" w:hAnsi="宋体" w:cs="宋体"/>
          <w:color w:val="auto"/>
          <w:szCs w:val="21"/>
          <w:highlight w:val="none"/>
        </w:rPr>
      </w:pPr>
      <w:bookmarkStart w:id="18" w:name="_Toc28359005"/>
      <w:bookmarkStart w:id="19" w:name="_Toc28359082"/>
      <w:bookmarkStart w:id="20" w:name="_Toc35393624"/>
      <w:bookmarkStart w:id="21" w:name="_Toc35393793"/>
      <w:r>
        <w:rPr>
          <w:rFonts w:hint="eastAsia" w:ascii="宋体" w:hAnsi="宋体" w:cs="宋体"/>
          <w:color w:val="auto"/>
          <w:szCs w:val="21"/>
          <w:highlight w:val="none"/>
        </w:rPr>
        <w:t>四、提交投标文件</w:t>
      </w:r>
      <w:bookmarkEnd w:id="18"/>
      <w:bookmarkEnd w:id="19"/>
      <w:r>
        <w:rPr>
          <w:rFonts w:hint="eastAsia" w:ascii="宋体" w:hAnsi="宋体" w:cs="宋体"/>
          <w:color w:val="auto"/>
          <w:szCs w:val="21"/>
          <w:highlight w:val="none"/>
        </w:rPr>
        <w:t>截止时间、开标时间和地点</w:t>
      </w:r>
      <w:bookmarkEnd w:id="20"/>
      <w:bookmarkEnd w:id="21"/>
    </w:p>
    <w:p w14:paraId="7A1F446D">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日9时30分</w:t>
      </w:r>
      <w:r>
        <w:rPr>
          <w:rFonts w:hint="eastAsia" w:ascii="宋体" w:hAnsi="宋体" w:cs="宋体"/>
          <w:bCs/>
          <w:color w:val="auto"/>
          <w:szCs w:val="21"/>
          <w:highlight w:val="none"/>
        </w:rPr>
        <w:t>（北京时间）。</w:t>
      </w:r>
    </w:p>
    <w:p w14:paraId="56C9C0E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点：通过广西政府采购云平台实行在线投标。</w:t>
      </w:r>
    </w:p>
    <w:p w14:paraId="54F6A352">
      <w:pPr>
        <w:spacing w:line="38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开标时间：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日9时30分</w:t>
      </w:r>
      <w:r>
        <w:rPr>
          <w:rFonts w:hint="eastAsia" w:ascii="宋体" w:hAnsi="宋体" w:cs="宋体"/>
          <w:bCs/>
          <w:color w:val="auto"/>
          <w:szCs w:val="21"/>
          <w:highlight w:val="none"/>
        </w:rPr>
        <w:t>（北京时间）</w:t>
      </w:r>
      <w:r>
        <w:rPr>
          <w:rFonts w:hint="eastAsia" w:ascii="宋体" w:hAnsi="宋体" w:cs="宋体"/>
          <w:color w:val="auto"/>
          <w:szCs w:val="21"/>
          <w:highlight w:val="none"/>
        </w:rPr>
        <w:t>截标后。</w:t>
      </w:r>
    </w:p>
    <w:p w14:paraId="0F88B57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地点：通过广西政府采购云平台实行在线解密开启。</w:t>
      </w:r>
    </w:p>
    <w:p w14:paraId="11E4EFCA">
      <w:pPr>
        <w:rPr>
          <w:rFonts w:ascii="宋体" w:hAnsi="宋体" w:cs="宋体"/>
          <w:color w:val="auto"/>
          <w:szCs w:val="21"/>
          <w:highlight w:val="none"/>
        </w:rPr>
      </w:pPr>
      <w:bookmarkStart w:id="22" w:name="_Toc28359007"/>
      <w:bookmarkStart w:id="23" w:name="_Toc28359084"/>
      <w:bookmarkStart w:id="24" w:name="_Toc35393794"/>
      <w:bookmarkStart w:id="25" w:name="_Toc35393625"/>
      <w:r>
        <w:rPr>
          <w:rFonts w:hint="eastAsia" w:ascii="宋体" w:hAnsi="宋体" w:cs="宋体"/>
          <w:color w:val="auto"/>
          <w:szCs w:val="21"/>
          <w:highlight w:val="none"/>
        </w:rPr>
        <w:t>五、公告期限</w:t>
      </w:r>
      <w:bookmarkEnd w:id="22"/>
      <w:bookmarkEnd w:id="23"/>
      <w:bookmarkEnd w:id="24"/>
      <w:bookmarkEnd w:id="25"/>
    </w:p>
    <w:p w14:paraId="7FD591F8">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522C10F">
      <w:pPr>
        <w:rPr>
          <w:rFonts w:ascii="宋体" w:hAnsi="宋体" w:cs="宋体"/>
          <w:color w:val="auto"/>
          <w:szCs w:val="21"/>
          <w:highlight w:val="none"/>
        </w:rPr>
      </w:pPr>
      <w:bookmarkStart w:id="26" w:name="_Toc35393795"/>
      <w:bookmarkStart w:id="27" w:name="_Toc35393626"/>
      <w:r>
        <w:rPr>
          <w:rFonts w:hint="eastAsia" w:ascii="宋体" w:hAnsi="宋体" w:cs="宋体"/>
          <w:color w:val="auto"/>
          <w:szCs w:val="21"/>
          <w:highlight w:val="none"/>
        </w:rPr>
        <w:t>六、其他补充事宜</w:t>
      </w:r>
      <w:bookmarkEnd w:id="26"/>
      <w:bookmarkEnd w:id="27"/>
    </w:p>
    <w:p w14:paraId="7595F22E">
      <w:pPr>
        <w:spacing w:line="380" w:lineRule="exact"/>
        <w:rPr>
          <w:rFonts w:ascii="宋体" w:hAnsi="宋体" w:cs="宋体"/>
          <w:color w:val="auto"/>
          <w:szCs w:val="21"/>
          <w:highlight w:val="none"/>
        </w:rPr>
      </w:pPr>
      <w:bookmarkStart w:id="28" w:name="_Toc28359008"/>
      <w:bookmarkStart w:id="29" w:name="_Toc35393796"/>
      <w:bookmarkStart w:id="30" w:name="_Toc35393627"/>
      <w:bookmarkStart w:id="31" w:name="_Toc28359085"/>
      <w:r>
        <w:rPr>
          <w:rFonts w:hint="eastAsia" w:ascii="宋体" w:hAnsi="宋体" w:cs="宋体"/>
          <w:color w:val="auto"/>
          <w:szCs w:val="21"/>
          <w:highlight w:val="none"/>
        </w:rPr>
        <w:t>1.本项目需要落实的政府采购政策</w:t>
      </w:r>
    </w:p>
    <w:p w14:paraId="56F26D50">
      <w:pPr>
        <w:spacing w:line="3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（1）《政府采购促进中小企业发展管理办法》（财库[2020]46号），</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专门面向中小微企业采购，本项目采购标的在 《中小企业划分标准》所属行业为：</w:t>
      </w:r>
      <w:r>
        <w:rPr>
          <w:rFonts w:hint="eastAsia" w:ascii="宋体" w:hAnsi="宋体" w:cs="宋体"/>
          <w:color w:val="auto"/>
          <w:szCs w:val="21"/>
          <w:highlight w:val="none"/>
          <w:lang w:val="en-US" w:eastAsia="zh-CN"/>
        </w:rPr>
        <w:t>建筑业</w:t>
      </w:r>
      <w:r>
        <w:rPr>
          <w:rFonts w:hint="eastAsia" w:ascii="宋体" w:hAnsi="宋体" w:cs="宋体"/>
          <w:color w:val="auto"/>
          <w:szCs w:val="21"/>
          <w:highlight w:val="none"/>
          <w:lang w:eastAsia="zh-CN"/>
        </w:rPr>
        <w:t>；</w:t>
      </w:r>
    </w:p>
    <w:p w14:paraId="0FE9E69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（2）《关于政府采购支持监狱企业发展有关问题的通知》（财库[2014]68号）。</w:t>
      </w:r>
    </w:p>
    <w:p w14:paraId="41C4D8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3315281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（4）强制采购节能产品、优先采购节能产品、环境标志产品。</w:t>
      </w:r>
    </w:p>
    <w:p w14:paraId="2D3A14D9">
      <w:pPr>
        <w:spacing w:line="380" w:lineRule="exact"/>
        <w:rPr>
          <w:rFonts w:ascii="宋体" w:hAnsi="宋体" w:cs="宋体"/>
          <w:color w:val="auto"/>
          <w:szCs w:val="21"/>
          <w:highlight w:val="none"/>
        </w:rPr>
      </w:pPr>
      <w:r>
        <w:rPr>
          <w:rFonts w:hint="eastAsia" w:ascii="宋体" w:hAnsi="宋体" w:cs="宋体"/>
          <w:color w:val="auto"/>
          <w:szCs w:val="21"/>
          <w:highlight w:val="none"/>
        </w:rPr>
        <w:t>2.信息公告发布媒体：</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（中国政府采购网）、zfcg.gxzf.gov.cn（广西壮族自治区政府采购网）。</w:t>
      </w:r>
    </w:p>
    <w:p w14:paraId="087D147C">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.投标文件解密时间：截标时间后30分钟内（202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日9时30分至10时00分)投标人可以登录广西政府采购云平台，用“项目采购-开标评标”功能进行解密投标文件。若投标人在规定时间内无法解密或解密失败，可以以电子备份投标文件作为依据</w:t>
      </w:r>
      <w:r>
        <w:rPr>
          <w:rFonts w:hint="eastAsia" w:ascii="宋体" w:hAnsi="宋体" w:cs="宋体"/>
          <w:b/>
          <w:color w:val="auto"/>
          <w:szCs w:val="21"/>
          <w:highlight w:val="none"/>
        </w:rPr>
        <w:t>【在接到无法解密或解密失败的通知后，投标人可根据自身实际情况按通知时要求的时间到桂林市公共资源交易中心</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color w:val="auto"/>
          <w:szCs w:val="21"/>
          <w:highlight w:val="none"/>
        </w:rPr>
        <w:t>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D43BDD8">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.在线投标（电子投标）说明</w:t>
      </w:r>
    </w:p>
    <w:p w14:paraId="02B7640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实行在线投标响应（电子投标），投标人需要先安装“政采云电子交易客户端”，并按照本招标文件和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的要求，通过“政采云电子交易客户端”编制并加密投标文件。投标人未按规定编制并加密的投标文件，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将予以拒收。</w:t>
      </w:r>
    </w:p>
    <w:p w14:paraId="6E263F7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参与在线投标时如遇平台技术问题详询95763。</w:t>
      </w:r>
    </w:p>
    <w:p w14:paraId="5667A41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网站进行查阅；</w:t>
      </w:r>
      <w:r>
        <w:rPr>
          <w:rFonts w:hint="eastAsia" w:ascii="宋体" w:hAnsi="宋体" w:cs="宋体"/>
          <w:b/>
          <w:color w:val="auto"/>
          <w:szCs w:val="21"/>
          <w:highlight w:val="none"/>
        </w:rPr>
        <w:t>（完成CA数字证书办理预计一周左右，建议供应商获取投标文件后立即办理。）</w:t>
      </w:r>
    </w:p>
    <w:p w14:paraId="41A89E5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（3）投标人应当在投标截止时间前，将生成的“投标文件”上传递交至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6A3112D6">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14:paraId="52072708">
      <w:pPr>
        <w:rPr>
          <w:rFonts w:ascii="宋体" w:hAnsi="宋体" w:cs="宋体"/>
          <w:color w:val="auto"/>
          <w:szCs w:val="21"/>
          <w:highlight w:val="none"/>
        </w:rPr>
      </w:pPr>
      <w:r>
        <w:rPr>
          <w:rFonts w:hint="eastAsia" w:ascii="宋体" w:hAnsi="宋体" w:cs="宋体"/>
          <w:color w:val="auto"/>
          <w:szCs w:val="21"/>
          <w:highlight w:val="none"/>
        </w:rPr>
        <w:t>七、对本次招标提出询问，请按以下方式联系。</w:t>
      </w:r>
      <w:bookmarkEnd w:id="28"/>
      <w:bookmarkEnd w:id="29"/>
      <w:bookmarkEnd w:id="30"/>
      <w:bookmarkEnd w:id="31"/>
    </w:p>
    <w:p w14:paraId="1BD70000">
      <w:pPr>
        <w:widowControl/>
        <w:spacing w:line="380" w:lineRule="exact"/>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2D11E66A">
      <w:pPr>
        <w:spacing w:line="380" w:lineRule="exact"/>
        <w:ind w:firstLine="840" w:firstLineChars="400"/>
        <w:jc w:val="left"/>
        <w:rPr>
          <w:rFonts w:hint="eastAsia" w:ascii="宋体" w:hAnsi="宋体" w:cs="宋体"/>
          <w:color w:val="auto"/>
          <w:szCs w:val="21"/>
          <w:highlight w:val="none"/>
        </w:rPr>
      </w:pPr>
      <w:bookmarkStart w:id="32" w:name="_Toc28359009"/>
      <w:bookmarkStart w:id="33" w:name="_Toc28359086"/>
      <w:r>
        <w:rPr>
          <w:rFonts w:hint="eastAsia" w:ascii="宋体" w:hAnsi="宋体" w:cs="宋体"/>
          <w:color w:val="auto"/>
          <w:szCs w:val="21"/>
          <w:highlight w:val="none"/>
        </w:rPr>
        <w:t>名称：广西壮族自治区南溪山医院（广西壮族自治区第二人民医院）</w:t>
      </w:r>
    </w:p>
    <w:p w14:paraId="4A610C8E">
      <w:pPr>
        <w:spacing w:line="38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地址： 桂林市象山区崇信路46号</w:t>
      </w:r>
    </w:p>
    <w:p w14:paraId="5D5D1D64">
      <w:pPr>
        <w:spacing w:line="380" w:lineRule="exact"/>
        <w:ind w:firstLine="945" w:firstLineChars="45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杨科长</w:t>
      </w:r>
    </w:p>
    <w:p w14:paraId="6AE99301">
      <w:pPr>
        <w:spacing w:line="380" w:lineRule="exact"/>
        <w:ind w:firstLine="945" w:firstLineChars="450"/>
        <w:jc w:val="left"/>
        <w:rPr>
          <w:rFonts w:hint="eastAsia" w:ascii="宋体" w:hAnsi="宋体" w:cs="宋体"/>
          <w:color w:val="auto"/>
          <w:szCs w:val="21"/>
          <w:highlight w:val="none"/>
        </w:rPr>
      </w:pPr>
      <w:r>
        <w:rPr>
          <w:rFonts w:hint="eastAsia" w:ascii="宋体" w:hAnsi="宋体" w:cs="宋体"/>
          <w:color w:val="auto"/>
          <w:szCs w:val="21"/>
          <w:highlight w:val="none"/>
        </w:rPr>
        <w:t>联系方式：0773-7592156</w:t>
      </w:r>
    </w:p>
    <w:p w14:paraId="3B474D15">
      <w:pPr>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2"/>
      <w:bookmarkEnd w:id="33"/>
    </w:p>
    <w:p w14:paraId="4378719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广西</w:t>
      </w:r>
      <w:r>
        <w:rPr>
          <w:rFonts w:hint="eastAsia" w:ascii="宋体" w:hAnsi="宋体" w:cs="宋体"/>
          <w:color w:val="auto"/>
          <w:szCs w:val="21"/>
          <w:highlight w:val="none"/>
          <w:u w:val="single"/>
          <w:lang w:val="en-US" w:eastAsia="zh-CN"/>
        </w:rPr>
        <w:t>奥金斯</w:t>
      </w:r>
      <w:r>
        <w:rPr>
          <w:rFonts w:hint="eastAsia" w:ascii="宋体" w:hAnsi="宋体" w:cs="宋体"/>
          <w:color w:val="auto"/>
          <w:szCs w:val="21"/>
          <w:highlight w:val="none"/>
          <w:u w:val="single"/>
        </w:rPr>
        <w:t>项目管理有限公司</w:t>
      </w:r>
    </w:p>
    <w:p w14:paraId="30FC2BCD">
      <w:pPr>
        <w:spacing w:line="380" w:lineRule="exact"/>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桂林市秀峰区翠竹路23号</w:t>
      </w:r>
      <w:r>
        <w:rPr>
          <w:rFonts w:hint="eastAsia" w:ascii="宋体" w:hAnsi="宋体" w:cs="宋体"/>
          <w:color w:val="auto"/>
          <w:szCs w:val="21"/>
          <w:highlight w:val="none"/>
          <w:u w:val="single"/>
          <w:lang w:val="en-US" w:eastAsia="zh-CN"/>
        </w:rPr>
        <w:t>50-2</w:t>
      </w:r>
    </w:p>
    <w:p w14:paraId="0A7BFD2F">
      <w:pPr>
        <w:spacing w:line="380" w:lineRule="exact"/>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34" w:name="_Toc28359010"/>
      <w:bookmarkStart w:id="35" w:name="_Toc28359087"/>
      <w:r>
        <w:rPr>
          <w:rFonts w:hint="eastAsia" w:ascii="宋体" w:hAnsi="宋体" w:cs="宋体"/>
          <w:color w:val="auto"/>
          <w:szCs w:val="21"/>
          <w:highlight w:val="none"/>
          <w:u w:val="single"/>
        </w:rPr>
        <w:t>0773-</w:t>
      </w:r>
      <w:r>
        <w:rPr>
          <w:rFonts w:hint="eastAsia" w:ascii="宋体" w:hAnsi="宋体" w:cs="宋体"/>
          <w:color w:val="auto"/>
          <w:szCs w:val="21"/>
          <w:highlight w:val="none"/>
          <w:u w:val="single"/>
          <w:lang w:val="en-US" w:eastAsia="zh-CN"/>
        </w:rPr>
        <w:t>2690777</w:t>
      </w:r>
    </w:p>
    <w:p w14:paraId="5A2B047E">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项目联系方式</w:t>
      </w:r>
      <w:bookmarkEnd w:id="34"/>
      <w:bookmarkEnd w:id="35"/>
    </w:p>
    <w:p w14:paraId="5B410357">
      <w:pPr>
        <w:pStyle w:val="17"/>
        <w:spacing w:line="380" w:lineRule="exact"/>
        <w:ind w:firstLine="630" w:firstLineChars="300"/>
        <w:rPr>
          <w:rFonts w:hAnsi="宋体" w:cs="宋体"/>
          <w:color w:val="auto"/>
          <w:szCs w:val="21"/>
          <w:highlight w:val="none"/>
        </w:rPr>
      </w:pPr>
      <w:r>
        <w:rPr>
          <w:rFonts w:hint="eastAsia" w:hAnsi="宋体" w:cs="宋体"/>
          <w:color w:val="auto"/>
          <w:szCs w:val="21"/>
          <w:highlight w:val="none"/>
        </w:rPr>
        <w:t>项目联系人：</w:t>
      </w:r>
      <w:r>
        <w:rPr>
          <w:rFonts w:hint="eastAsia" w:hAnsi="宋体" w:cs="宋体"/>
          <w:color w:val="auto"/>
          <w:szCs w:val="21"/>
          <w:highlight w:val="none"/>
          <w:u w:val="single"/>
          <w:lang w:val="en-US" w:eastAsia="zh-CN"/>
        </w:rPr>
        <w:t>杨</w:t>
      </w:r>
      <w:r>
        <w:rPr>
          <w:rFonts w:hint="eastAsia" w:hAnsi="宋体" w:cs="宋体"/>
          <w:color w:val="auto"/>
          <w:szCs w:val="21"/>
          <w:highlight w:val="none"/>
          <w:u w:val="single"/>
        </w:rPr>
        <w:t>工</w:t>
      </w:r>
    </w:p>
    <w:p w14:paraId="4E8E42BF">
      <w:pPr>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0773-2690777</w:t>
      </w:r>
    </w:p>
    <w:p w14:paraId="0CCEE75B">
      <w:pPr>
        <w:pStyle w:val="28"/>
        <w:spacing w:beforeAutospacing="0" w:afterAutospacing="0" w:line="440" w:lineRule="exact"/>
        <w:ind w:left="420" w:leftChars="200" w:firstLine="3570" w:firstLineChars="1700"/>
        <w:rPr>
          <w:rFonts w:hint="eastAsia" w:cs="微软雅黑"/>
          <w:bCs/>
          <w:color w:val="auto"/>
          <w:sz w:val="21"/>
          <w:szCs w:val="21"/>
          <w:highlight w:val="none"/>
          <w:shd w:val="clear" w:color="auto" w:fill="FFFFFF"/>
        </w:rPr>
      </w:pPr>
      <w:r>
        <w:rPr>
          <w:rFonts w:hint="eastAsia" w:cs="微软雅黑"/>
          <w:bCs/>
          <w:color w:val="auto"/>
          <w:sz w:val="21"/>
          <w:szCs w:val="21"/>
          <w:highlight w:val="none"/>
          <w:shd w:val="clear" w:color="auto" w:fill="FFFFFF"/>
        </w:rPr>
        <w:t>采购人：广西壮族自治区南溪山医院</w:t>
      </w:r>
    </w:p>
    <w:p w14:paraId="42B67E85">
      <w:pPr>
        <w:pStyle w:val="28"/>
        <w:spacing w:beforeAutospacing="0" w:afterAutospacing="0" w:line="440" w:lineRule="exact"/>
        <w:ind w:firstLine="4620" w:firstLineChars="2200"/>
        <w:rPr>
          <w:rFonts w:ascii="宋体" w:hAnsi="宋体" w:cs="微软雅黑"/>
          <w:bCs/>
          <w:color w:val="auto"/>
          <w:kern w:val="0"/>
          <w:szCs w:val="21"/>
          <w:highlight w:val="none"/>
          <w:shd w:val="clear" w:color="auto" w:fill="FFFFFF"/>
        </w:rPr>
      </w:pPr>
      <w:r>
        <w:rPr>
          <w:rFonts w:hint="eastAsia" w:cs="微软雅黑"/>
          <w:bCs/>
          <w:color w:val="auto"/>
          <w:sz w:val="21"/>
          <w:szCs w:val="21"/>
          <w:highlight w:val="none"/>
          <w:shd w:val="clear" w:color="auto" w:fill="FFFFFF"/>
        </w:rPr>
        <w:t>（广西壮族自治区第二人民医院）</w:t>
      </w:r>
    </w:p>
    <w:p w14:paraId="1DB79596">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采购代理机构：广西</w:t>
      </w:r>
      <w:r>
        <w:rPr>
          <w:rFonts w:hint="eastAsia" w:ascii="宋体" w:hAnsi="宋体" w:cs="微软雅黑"/>
          <w:bCs/>
          <w:color w:val="auto"/>
          <w:kern w:val="0"/>
          <w:szCs w:val="21"/>
          <w:highlight w:val="none"/>
          <w:shd w:val="clear" w:color="auto" w:fill="FFFFFF"/>
          <w:lang w:val="en-US" w:eastAsia="zh-CN"/>
        </w:rPr>
        <w:t>奥金斯</w:t>
      </w:r>
      <w:r>
        <w:rPr>
          <w:rFonts w:hint="eastAsia" w:ascii="宋体" w:hAnsi="宋体" w:cs="微软雅黑"/>
          <w:bCs/>
          <w:color w:val="auto"/>
          <w:kern w:val="0"/>
          <w:szCs w:val="21"/>
          <w:highlight w:val="none"/>
          <w:shd w:val="clear" w:color="auto" w:fill="FFFFFF"/>
        </w:rPr>
        <w:t xml:space="preserve">项目管理有限公司 </w:t>
      </w:r>
    </w:p>
    <w:p w14:paraId="246E8261">
      <w:pPr>
        <w:spacing w:line="440" w:lineRule="exact"/>
        <w:ind w:right="240"/>
        <w:jc w:val="center"/>
        <w:rPr>
          <w:rFonts w:ascii="宋体" w:hAnsi="宋体" w:cs="微软雅黑"/>
          <w:bCs/>
          <w:color w:val="auto"/>
          <w:kern w:val="0"/>
          <w:szCs w:val="21"/>
          <w:highlight w:val="none"/>
          <w:shd w:val="clear" w:color="auto" w:fill="FFFFFF"/>
        </w:rPr>
      </w:pPr>
      <w:r>
        <w:rPr>
          <w:rFonts w:hint="eastAsia" w:ascii="宋体" w:hAnsi="宋体" w:cs="微软雅黑"/>
          <w:bCs/>
          <w:color w:val="auto"/>
          <w:kern w:val="0"/>
          <w:szCs w:val="21"/>
          <w:highlight w:val="none"/>
          <w:shd w:val="clear" w:color="auto" w:fill="FFFFFF"/>
        </w:rPr>
        <w:t xml:space="preserve">                          202</w:t>
      </w:r>
      <w:r>
        <w:rPr>
          <w:rFonts w:hint="eastAsia" w:ascii="宋体" w:hAnsi="宋体" w:cs="微软雅黑"/>
          <w:bCs/>
          <w:color w:val="auto"/>
          <w:kern w:val="0"/>
          <w:szCs w:val="21"/>
          <w:highlight w:val="none"/>
          <w:shd w:val="clear" w:color="auto" w:fill="FFFFFF"/>
          <w:lang w:val="en-US" w:eastAsia="zh-CN"/>
        </w:rPr>
        <w:t>5</w:t>
      </w:r>
      <w:r>
        <w:rPr>
          <w:rFonts w:hint="eastAsia" w:ascii="宋体" w:hAnsi="宋体" w:cs="微软雅黑"/>
          <w:bCs/>
          <w:color w:val="auto"/>
          <w:kern w:val="0"/>
          <w:szCs w:val="21"/>
          <w:highlight w:val="none"/>
          <w:shd w:val="clear" w:color="auto" w:fill="FFFFFF"/>
        </w:rPr>
        <w:t>年</w:t>
      </w:r>
      <w:r>
        <w:rPr>
          <w:rFonts w:hint="eastAsia" w:ascii="宋体" w:hAnsi="宋体" w:cs="微软雅黑"/>
          <w:bCs/>
          <w:color w:val="auto"/>
          <w:kern w:val="0"/>
          <w:szCs w:val="21"/>
          <w:highlight w:val="none"/>
          <w:shd w:val="clear" w:color="auto" w:fill="FFFFFF"/>
          <w:lang w:val="en-US" w:eastAsia="zh-CN"/>
        </w:rPr>
        <w:t>6</w:t>
      </w:r>
      <w:r>
        <w:rPr>
          <w:rFonts w:hint="eastAsia" w:ascii="宋体" w:hAnsi="宋体" w:cs="微软雅黑"/>
          <w:bCs/>
          <w:color w:val="auto"/>
          <w:kern w:val="0"/>
          <w:szCs w:val="21"/>
          <w:highlight w:val="none"/>
          <w:shd w:val="clear" w:color="auto" w:fill="FFFFFF"/>
        </w:rPr>
        <w:t>月</w:t>
      </w:r>
      <w:r>
        <w:rPr>
          <w:rFonts w:hint="eastAsia" w:ascii="宋体" w:hAnsi="宋体" w:cs="微软雅黑"/>
          <w:bCs/>
          <w:color w:val="auto"/>
          <w:kern w:val="0"/>
          <w:szCs w:val="21"/>
          <w:highlight w:val="none"/>
          <w:shd w:val="clear" w:color="auto" w:fill="FFFFFF"/>
          <w:lang w:val="en-US" w:eastAsia="zh-CN"/>
        </w:rPr>
        <w:t>20</w:t>
      </w:r>
      <w:r>
        <w:rPr>
          <w:rFonts w:hint="eastAsia" w:ascii="宋体" w:hAnsi="宋体" w:cs="微软雅黑"/>
          <w:bCs/>
          <w:color w:val="auto"/>
          <w:kern w:val="0"/>
          <w:szCs w:val="21"/>
          <w:highlight w:val="none"/>
          <w:shd w:val="clear" w:color="auto" w:fill="FFFFFF"/>
        </w:rPr>
        <w:t>日</w:t>
      </w:r>
    </w:p>
    <w:p w14:paraId="3D796238">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6" w:name="_Toc8888"/>
      <w:bookmarkStart w:id="37" w:name="_Toc6817"/>
      <w:bookmarkStart w:id="38" w:name="_Toc12553"/>
      <w:bookmarkStart w:id="39" w:name="_Toc11477"/>
      <w:r>
        <w:rPr>
          <w:rFonts w:hint="eastAsia" w:ascii="宋体" w:hAnsi="宋体" w:cs="宋体"/>
          <w:b/>
          <w:bCs/>
          <w:color w:val="auto"/>
          <w:kern w:val="44"/>
          <w:sz w:val="32"/>
          <w:szCs w:val="32"/>
          <w:highlight w:val="none"/>
        </w:rPr>
        <w:t>第二章  投标人须知</w:t>
      </w:r>
      <w:bookmarkEnd w:id="36"/>
      <w:bookmarkEnd w:id="37"/>
      <w:bookmarkEnd w:id="38"/>
      <w:bookmarkEnd w:id="39"/>
    </w:p>
    <w:p w14:paraId="05CA908A">
      <w:pPr>
        <w:tabs>
          <w:tab w:val="left" w:pos="1065"/>
          <w:tab w:val="center" w:pos="4411"/>
        </w:tabs>
        <w:spacing w:line="440" w:lineRule="exact"/>
        <w:jc w:val="center"/>
        <w:outlineLvl w:val="1"/>
        <w:rPr>
          <w:rFonts w:ascii="宋体" w:hAnsi="宋体" w:cs="宋体"/>
          <w:b/>
          <w:color w:val="auto"/>
          <w:sz w:val="24"/>
          <w:highlight w:val="none"/>
        </w:rPr>
      </w:pPr>
      <w:bookmarkStart w:id="40" w:name="_Toc14561"/>
      <w:bookmarkStart w:id="41" w:name="_Toc17978"/>
      <w:bookmarkStart w:id="42" w:name="_Toc14222"/>
      <w:bookmarkStart w:id="43" w:name="_Toc495841753"/>
      <w:bookmarkStart w:id="44" w:name="_Toc26457"/>
      <w:r>
        <w:rPr>
          <w:rFonts w:hint="eastAsia" w:ascii="宋体" w:hAnsi="宋体" w:cs="宋体"/>
          <w:b/>
          <w:color w:val="auto"/>
          <w:sz w:val="24"/>
          <w:highlight w:val="none"/>
        </w:rPr>
        <w:t>投标人须知前附表</w:t>
      </w:r>
      <w:bookmarkEnd w:id="40"/>
      <w:bookmarkEnd w:id="41"/>
      <w:bookmarkEnd w:id="42"/>
      <w:bookmarkEnd w:id="43"/>
      <w:bookmarkEnd w:id="4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76F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4CE9E74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vAlign w:val="center"/>
          </w:tcPr>
          <w:p w14:paraId="03F8C93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vAlign w:val="center"/>
          </w:tcPr>
          <w:p w14:paraId="71A7638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vAlign w:val="center"/>
          </w:tcPr>
          <w:p w14:paraId="6A8D9AA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4777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DB208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vAlign w:val="center"/>
          </w:tcPr>
          <w:p w14:paraId="780D08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vAlign w:val="center"/>
          </w:tcPr>
          <w:p w14:paraId="21E733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vAlign w:val="center"/>
          </w:tcPr>
          <w:p w14:paraId="3C0F16EF">
            <w:pPr>
              <w:spacing w:line="340" w:lineRule="exact"/>
              <w:rPr>
                <w:rFonts w:ascii="宋体" w:hAnsi="宋体" w:cs="宋体"/>
                <w:color w:val="auto"/>
                <w:szCs w:val="21"/>
                <w:highlight w:val="none"/>
              </w:rPr>
            </w:pPr>
            <w:r>
              <w:rPr>
                <w:rFonts w:hint="eastAsia" w:ascii="宋体" w:hAnsi="宋体" w:cs="宋体"/>
                <w:color w:val="auto"/>
                <w:szCs w:val="21"/>
                <w:highlight w:val="none"/>
              </w:rPr>
              <w:t>项目名称：南溪山医院基建零星工程服务项目</w:t>
            </w:r>
          </w:p>
          <w:p w14:paraId="7B5986D6">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项目编号：GXZC2025-G3-001637-GXAJ</w:t>
            </w:r>
            <w:r>
              <w:rPr>
                <w:rFonts w:hint="eastAsia" w:ascii="宋体" w:hAnsi="宋体" w:cs="宋体"/>
                <w:color w:val="auto"/>
                <w:szCs w:val="21"/>
                <w:highlight w:val="none"/>
                <w:lang w:val="en-US" w:eastAsia="zh-CN"/>
              </w:rPr>
              <w:t xml:space="preserve"> </w:t>
            </w:r>
          </w:p>
        </w:tc>
      </w:tr>
      <w:tr w14:paraId="3D4A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025B1D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vAlign w:val="center"/>
          </w:tcPr>
          <w:p w14:paraId="7E5D12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vAlign w:val="center"/>
          </w:tcPr>
          <w:p w14:paraId="62BF47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vAlign w:val="center"/>
          </w:tcPr>
          <w:p w14:paraId="2231C4F7">
            <w:pPr>
              <w:spacing w:line="360" w:lineRule="auto"/>
              <w:rPr>
                <w:rFonts w:hint="eastAsia" w:ascii="宋体" w:cs="宋体"/>
                <w:color w:val="auto"/>
                <w:szCs w:val="21"/>
                <w:highlight w:val="none"/>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1满足《中华人民共和国政府采购法》第二十二条规定；</w:t>
            </w:r>
          </w:p>
          <w:p w14:paraId="0149A4E7">
            <w:pPr>
              <w:spacing w:line="360" w:lineRule="auto"/>
              <w:rPr>
                <w:rFonts w:hint="eastAsia" w:ascii="宋体" w:hAnsi="宋体" w:eastAsia="宋体" w:cs="宋体"/>
                <w:color w:val="auto"/>
                <w:szCs w:val="21"/>
                <w:highlight w:val="none"/>
                <w:lang w:eastAsia="zh-CN"/>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2落实政府采购政策需满足的资格要求：</w:t>
            </w:r>
            <w:r>
              <w:rPr>
                <w:rFonts w:hint="eastAsia" w:cs="宋体"/>
                <w:color w:val="auto"/>
                <w:szCs w:val="21"/>
                <w:highlight w:val="none"/>
                <w:lang w:val="en-US" w:eastAsia="zh-CN" w:bidi="ar"/>
              </w:rPr>
              <w:t>本项目为</w:t>
            </w:r>
            <w:r>
              <w:rPr>
                <w:rFonts w:hint="eastAsia" w:cs="宋体"/>
                <w:color w:val="auto"/>
                <w:szCs w:val="21"/>
                <w:highlight w:val="none"/>
                <w:lang w:bidi="ar"/>
              </w:rPr>
              <w:t>专门面向中小</w:t>
            </w:r>
            <w:r>
              <w:rPr>
                <w:rFonts w:hint="eastAsia" w:cs="宋体"/>
                <w:color w:val="auto"/>
                <w:szCs w:val="21"/>
                <w:highlight w:val="none"/>
                <w:lang w:val="en-US" w:eastAsia="zh-CN" w:bidi="ar"/>
              </w:rPr>
              <w:t>微</w:t>
            </w:r>
            <w:r>
              <w:rPr>
                <w:rFonts w:hint="eastAsia" w:cs="宋体"/>
                <w:color w:val="auto"/>
                <w:szCs w:val="21"/>
                <w:highlight w:val="none"/>
                <w:lang w:bidi="ar"/>
              </w:rPr>
              <w:t>企业采购的项目（供应商应为中小微企业</w:t>
            </w:r>
            <w:r>
              <w:rPr>
                <w:rFonts w:hint="eastAsia" w:cs="宋体"/>
                <w:color w:val="auto"/>
                <w:szCs w:val="21"/>
                <w:highlight w:val="none"/>
                <w:lang w:val="en-US" w:eastAsia="zh-CN" w:bidi="ar"/>
              </w:rPr>
              <w:t>或</w:t>
            </w:r>
            <w:r>
              <w:rPr>
                <w:rFonts w:hint="eastAsia" w:cs="宋体"/>
                <w:color w:val="auto"/>
                <w:szCs w:val="21"/>
                <w:highlight w:val="none"/>
                <w:lang w:bidi="ar"/>
              </w:rPr>
              <w:t>监狱企业</w:t>
            </w:r>
            <w:r>
              <w:rPr>
                <w:rFonts w:hint="eastAsia" w:cs="宋体"/>
                <w:color w:val="auto"/>
                <w:szCs w:val="21"/>
                <w:highlight w:val="none"/>
                <w:lang w:val="en-US" w:eastAsia="zh-CN" w:bidi="ar"/>
              </w:rPr>
              <w:t>或</w:t>
            </w:r>
            <w:r>
              <w:rPr>
                <w:rFonts w:hint="eastAsia" w:cs="宋体"/>
                <w:color w:val="auto"/>
                <w:szCs w:val="21"/>
                <w:highlight w:val="none"/>
                <w:lang w:bidi="ar"/>
              </w:rPr>
              <w:t>残疾人福利性单位</w:t>
            </w:r>
            <w:r>
              <w:rPr>
                <w:color w:val="auto"/>
                <w:szCs w:val="21"/>
                <w:highlight w:val="none"/>
                <w:lang w:bidi="ar"/>
              </w:rPr>
              <w:t>)</w:t>
            </w:r>
            <w:r>
              <w:rPr>
                <w:rFonts w:hint="eastAsia"/>
                <w:color w:val="auto"/>
                <w:szCs w:val="21"/>
                <w:highlight w:val="none"/>
                <w:lang w:eastAsia="zh-CN" w:bidi="ar"/>
              </w:rPr>
              <w:t>。</w:t>
            </w:r>
          </w:p>
          <w:p w14:paraId="0E928CCD">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3本项目的特定资格要求：</w:t>
            </w:r>
          </w:p>
          <w:p w14:paraId="0556E840">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3.1具备建筑工程施工总承包三级及以上资质且具有有效的安全生产许可证的企业，并在人员、资金等方面具备相应的建设能力。</w:t>
            </w:r>
          </w:p>
          <w:p w14:paraId="1275896D">
            <w:pPr>
              <w:spacing w:line="360" w:lineRule="auto"/>
              <w:rPr>
                <w:rFonts w:hint="eastAsia" w:ascii="宋体" w:hAnsi="宋体" w:cs="宋体"/>
                <w:color w:val="auto"/>
                <w:szCs w:val="21"/>
                <w:highlight w:val="none"/>
              </w:rPr>
            </w:pPr>
            <w:r>
              <w:rPr>
                <w:rFonts w:hint="eastAsia" w:ascii="宋体" w:cs="宋体"/>
                <w:color w:val="auto"/>
                <w:szCs w:val="21"/>
                <w:highlight w:val="none"/>
                <w:lang w:val="en-US" w:eastAsia="zh-CN" w:bidi="ar"/>
              </w:rPr>
              <w:t>5.</w:t>
            </w:r>
            <w:r>
              <w:rPr>
                <w:rFonts w:hint="eastAsia" w:ascii="宋体" w:cs="宋体"/>
                <w:color w:val="auto"/>
                <w:szCs w:val="21"/>
                <w:highlight w:val="none"/>
                <w:lang w:bidi="ar"/>
              </w:rPr>
              <w:t>3.2拟任项目经理要求具备建筑工程专业二级及以上注册建造师资格，并具有B类安全生产考核合格证。</w:t>
            </w:r>
          </w:p>
          <w:p w14:paraId="21411AE9">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5.4</w:t>
            </w:r>
            <w:r>
              <w:rPr>
                <w:rFonts w:hint="eastAsia" w:ascii="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F3ECB2">
            <w:pPr>
              <w:spacing w:line="360" w:lineRule="auto"/>
              <w:rPr>
                <w:rFonts w:hint="eastAsia" w:ascii="宋体" w:cs="宋体"/>
                <w:color w:val="auto"/>
                <w:szCs w:val="21"/>
                <w:highlight w:val="none"/>
                <w:lang w:bidi="ar"/>
              </w:rPr>
            </w:pPr>
            <w:r>
              <w:rPr>
                <w:rFonts w:hint="eastAsia" w:ascii="宋体" w:cs="宋体"/>
                <w:color w:val="auto"/>
                <w:szCs w:val="21"/>
                <w:highlight w:val="none"/>
                <w:lang w:val="en-US" w:eastAsia="zh-CN" w:bidi="ar"/>
              </w:rPr>
              <w:t>5.5</w:t>
            </w:r>
            <w:r>
              <w:rPr>
                <w:rFonts w:hint="eastAsia" w:asci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17A7177">
            <w:pPr>
              <w:spacing w:line="360" w:lineRule="auto"/>
              <w:rPr>
                <w:rFonts w:hint="default" w:ascii="宋体" w:eastAsia="宋体" w:cs="宋体"/>
                <w:color w:val="auto"/>
                <w:szCs w:val="21"/>
                <w:highlight w:val="none"/>
                <w:lang w:val="en-US" w:eastAsia="zh-CN" w:bidi="ar"/>
              </w:rPr>
            </w:pPr>
            <w:r>
              <w:rPr>
                <w:rFonts w:hint="eastAsia" w:ascii="宋体" w:cs="宋体"/>
                <w:color w:val="auto"/>
                <w:szCs w:val="21"/>
                <w:highlight w:val="none"/>
                <w:lang w:val="en-US" w:eastAsia="zh-CN" w:bidi="ar"/>
              </w:rPr>
              <w:t>5.6本项目共划分为3个分标：3个分标由3家不同的投标单位作为中标单位。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tc>
      </w:tr>
      <w:tr w14:paraId="042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4AD2491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vAlign w:val="center"/>
          </w:tcPr>
          <w:p w14:paraId="4D85EEF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vAlign w:val="center"/>
          </w:tcPr>
          <w:p w14:paraId="367C14E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vAlign w:val="center"/>
          </w:tcPr>
          <w:p w14:paraId="672896A8">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38C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2A4EC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vAlign w:val="center"/>
          </w:tcPr>
          <w:p w14:paraId="471FCA07">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vAlign w:val="center"/>
          </w:tcPr>
          <w:p w14:paraId="65B6B7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vAlign w:val="center"/>
          </w:tcPr>
          <w:p w14:paraId="1B1D3F8E">
            <w:pPr>
              <w:spacing w:line="36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w:t>
            </w:r>
            <w:r>
              <w:rPr>
                <w:rFonts w:hint="eastAsia" w:ascii="宋体" w:hAnsi="宋体" w:cs="宋体"/>
                <w:b/>
                <w:color w:val="auto"/>
                <w:szCs w:val="21"/>
                <w:highlight w:val="none"/>
                <w:lang w:val="en-US" w:eastAsia="zh-CN"/>
              </w:rPr>
              <w:t>采购</w:t>
            </w:r>
            <w:r>
              <w:rPr>
                <w:rFonts w:hint="eastAsia" w:ascii="宋体" w:hAnsi="宋体" w:cs="宋体"/>
                <w:b/>
                <w:color w:val="auto"/>
                <w:szCs w:val="21"/>
                <w:highlight w:val="none"/>
              </w:rPr>
              <w:t>预算总金额（元）：</w:t>
            </w:r>
            <w:r>
              <w:rPr>
                <w:rFonts w:hint="eastAsia" w:ascii="宋体" w:hAnsi="宋体" w:cs="宋体"/>
                <w:b/>
                <w:color w:val="auto"/>
                <w:szCs w:val="21"/>
                <w:highlight w:val="none"/>
                <w:lang w:val="en-US" w:eastAsia="zh-CN"/>
              </w:rPr>
              <w:t>900万元（其中A分标：300万元，B分标：300万元，C分标：300万元）</w:t>
            </w:r>
          </w:p>
          <w:p w14:paraId="74D8E9D8">
            <w:pPr>
              <w:spacing w:line="360" w:lineRule="exact"/>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最高限价（如有）：</w:t>
            </w:r>
            <w:r>
              <w:rPr>
                <w:rFonts w:hint="eastAsia" w:ascii="宋体" w:hAnsi="宋体" w:cs="宋体"/>
                <w:b/>
                <w:color w:val="auto"/>
                <w:szCs w:val="21"/>
                <w:highlight w:val="none"/>
                <w:lang w:val="en-US" w:eastAsia="zh-CN"/>
              </w:rPr>
              <w:t>867万元（其中A分标：288万元，B分标：294万元，C分标：285万元）</w:t>
            </w:r>
          </w:p>
          <w:p w14:paraId="30B0ECB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下浮率控制价：</w:t>
            </w:r>
            <w:r>
              <w:rPr>
                <w:rFonts w:hint="eastAsia" w:ascii="宋体" w:hAnsi="宋体" w:cs="宋体"/>
                <w:color w:val="auto"/>
                <w:szCs w:val="21"/>
                <w:highlight w:val="none"/>
              </w:rPr>
              <w:t>A分标下浮率控制价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4%，B分标下浮率控制价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2%，C分标下浮率控制价≥5%。</w:t>
            </w:r>
            <w:r>
              <w:rPr>
                <w:rFonts w:hint="eastAsia" w:ascii="宋体" w:hAnsi="宋体" w:cs="宋体"/>
                <w:b/>
                <w:bCs/>
                <w:color w:val="auto"/>
                <w:szCs w:val="21"/>
                <w:highlight w:val="none"/>
              </w:rPr>
              <w:t>投标人报价必须大于等于</w:t>
            </w:r>
            <w:r>
              <w:rPr>
                <w:rFonts w:hint="eastAsia" w:ascii="宋体" w:hAnsi="宋体" w:cs="宋体"/>
                <w:b/>
                <w:bCs/>
                <w:color w:val="auto"/>
                <w:szCs w:val="21"/>
                <w:highlight w:val="none"/>
                <w:lang w:val="en-US" w:eastAsia="zh-CN"/>
              </w:rPr>
              <w:t>相应</w:t>
            </w:r>
            <w:r>
              <w:rPr>
                <w:rFonts w:hint="eastAsia" w:ascii="宋体" w:hAnsi="宋体" w:cs="宋体"/>
                <w:b/>
                <w:bCs/>
                <w:color w:val="auto"/>
                <w:szCs w:val="21"/>
                <w:highlight w:val="none"/>
              </w:rPr>
              <w:t>分标下浮率控制价，否则报价无效。</w:t>
            </w:r>
          </w:p>
          <w:p w14:paraId="64E1D51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15.2投标人必须就“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采购需求”中所投内容作完整唯一报价，否则，其投标将被拒绝；投标文件只允许有一个报价，有选择的或有条件的报价将不予接受。</w:t>
            </w:r>
          </w:p>
          <w:p w14:paraId="768FB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cs="宋体"/>
                <w:color w:val="auto"/>
                <w:szCs w:val="21"/>
                <w:highlight w:val="none"/>
                <w:lang w:eastAsia="zh-CN" w:bidi="ar"/>
              </w:rPr>
            </w:pPr>
            <w:r>
              <w:rPr>
                <w:rFonts w:hint="eastAsia" w:ascii="宋体" w:cs="宋体"/>
                <w:color w:val="auto"/>
                <w:szCs w:val="21"/>
                <w:highlight w:val="none"/>
                <w:lang w:val="en-US" w:eastAsia="zh-CN" w:bidi="ar"/>
              </w:rPr>
              <w:t>15.3</w:t>
            </w:r>
            <w:r>
              <w:rPr>
                <w:rFonts w:hint="eastAsia" w:ascii="宋体" w:cs="宋体"/>
                <w:color w:val="auto"/>
                <w:szCs w:val="21"/>
                <w:highlight w:val="none"/>
                <w:lang w:eastAsia="zh-CN" w:bidi="ar"/>
              </w:rPr>
              <w:t>本项目投标报价方式为</w:t>
            </w:r>
            <w:r>
              <w:rPr>
                <w:rFonts w:hint="eastAsia" w:ascii="宋体" w:cs="宋体"/>
                <w:color w:val="auto"/>
                <w:szCs w:val="21"/>
                <w:highlight w:val="none"/>
                <w:lang w:val="en-US" w:eastAsia="zh-CN" w:bidi="ar"/>
              </w:rPr>
              <w:t>下浮率</w:t>
            </w:r>
            <w:r>
              <w:rPr>
                <w:rFonts w:hint="eastAsia" w:ascii="宋体" w:cs="宋体"/>
                <w:color w:val="auto"/>
                <w:szCs w:val="21"/>
                <w:highlight w:val="none"/>
                <w:lang w:eastAsia="zh-CN" w:bidi="ar"/>
              </w:rPr>
              <w:t>报价。</w:t>
            </w:r>
          </w:p>
          <w:p w14:paraId="0CA240E8">
            <w:pPr>
              <w:spacing w:line="360" w:lineRule="exact"/>
              <w:rPr>
                <w:rFonts w:hint="default" w:ascii="宋体" w:hAnsi="宋体" w:eastAsia="宋体" w:cs="宋体"/>
                <w:color w:val="auto"/>
                <w:szCs w:val="21"/>
                <w:highlight w:val="none"/>
                <w:lang w:val="en-US" w:eastAsia="zh-CN"/>
              </w:rPr>
            </w:pPr>
            <w:r>
              <w:rPr>
                <w:rFonts w:hint="eastAsia" w:ascii="宋体" w:cs="宋体"/>
                <w:color w:val="auto"/>
                <w:szCs w:val="21"/>
                <w:highlight w:val="none"/>
                <w:lang w:bidi="ar"/>
              </w:rPr>
              <w:t>投标报价包括但不限于人工费及政策性人工费调整、材料费（材料损耗）、机械使用费、非标产品模具加工费、包装运输费、赶工补偿费、样品费、调试费、综合管理费、合理利润、税金、水电费、清洁卫生费、垃圾清运费、保险费、总包单位管理费以及投标人认为可能发生的风险费等直至完成工程交付标准所需的一切费用以及维保期间（养护期间）的全部费用。</w:t>
            </w:r>
          </w:p>
        </w:tc>
      </w:tr>
      <w:tr w14:paraId="6008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170105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vAlign w:val="center"/>
          </w:tcPr>
          <w:p w14:paraId="7001EB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vAlign w:val="center"/>
          </w:tcPr>
          <w:p w14:paraId="7B22397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vAlign w:val="center"/>
          </w:tcPr>
          <w:p w14:paraId="3C111262">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5FFE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5F25A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vAlign w:val="center"/>
          </w:tcPr>
          <w:p w14:paraId="51E320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vAlign w:val="center"/>
          </w:tcPr>
          <w:p w14:paraId="394DC5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tcPr>
          <w:p w14:paraId="5EA5F18E">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16ED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3F1003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vAlign w:val="center"/>
          </w:tcPr>
          <w:p w14:paraId="059E924D">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vAlign w:val="center"/>
          </w:tcPr>
          <w:p w14:paraId="5D65EF65">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投标文件的封装</w:t>
            </w:r>
          </w:p>
        </w:tc>
        <w:tc>
          <w:tcPr>
            <w:tcW w:w="7011" w:type="dxa"/>
            <w:vAlign w:val="center"/>
          </w:tcPr>
          <w:p w14:paraId="1184357D">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020E469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21F85666">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41E1A90C">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45EF8D33">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72248917">
            <w:pPr>
              <w:spacing w:line="360" w:lineRule="exact"/>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690297AC">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tc>
      </w:tr>
      <w:tr w14:paraId="3E9D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61D1A3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vAlign w:val="center"/>
          </w:tcPr>
          <w:p w14:paraId="349898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vAlign w:val="center"/>
          </w:tcPr>
          <w:p w14:paraId="6DD95DFC">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vAlign w:val="center"/>
          </w:tcPr>
          <w:p w14:paraId="6A199042">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5788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40A807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vAlign w:val="center"/>
          </w:tcPr>
          <w:p w14:paraId="562EC3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vAlign w:val="center"/>
          </w:tcPr>
          <w:p w14:paraId="3518A7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vAlign w:val="center"/>
          </w:tcPr>
          <w:p w14:paraId="0D218DE4">
            <w:pPr>
              <w:spacing w:line="360" w:lineRule="exact"/>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整之前将电子投标文件上传到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tc>
      </w:tr>
      <w:tr w14:paraId="45A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CB85D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vAlign w:val="center"/>
          </w:tcPr>
          <w:p w14:paraId="061917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vAlign w:val="center"/>
          </w:tcPr>
          <w:p w14:paraId="14BA107D">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vAlign w:val="center"/>
          </w:tcPr>
          <w:p w14:paraId="5C11C724">
            <w:pPr>
              <w:spacing w:line="360" w:lineRule="exac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日9时30分</w:t>
            </w:r>
            <w:r>
              <w:rPr>
                <w:rFonts w:hint="eastAsia" w:ascii="宋体" w:hAnsi="宋体" w:cs="宋体"/>
                <w:color w:val="auto"/>
                <w:highlight w:val="none"/>
                <w:u w:val="single"/>
              </w:rPr>
              <w:t>至10时00分</w:t>
            </w:r>
            <w:r>
              <w:rPr>
                <w:rFonts w:hint="eastAsia" w:ascii="宋体" w:hAnsi="宋体" w:cs="宋体"/>
                <w:color w:val="auto"/>
                <w:highlight w:val="none"/>
              </w:rPr>
              <w:t>)投标人可以登录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3</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highlight w:val="none"/>
              </w:rPr>
              <w:t>，若投标人在规定时间内无法解密或解密失败且未提供电子备份投标文件的(包含提供的电子备份文件无效或无法解密的情况)，视为投标无效。</w:t>
            </w:r>
          </w:p>
        </w:tc>
      </w:tr>
      <w:tr w14:paraId="6EFE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674198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vAlign w:val="center"/>
          </w:tcPr>
          <w:p w14:paraId="0F2D44D6">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vAlign w:val="center"/>
          </w:tcPr>
          <w:p w14:paraId="38D85B33">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tcPr>
          <w:p w14:paraId="42D0AE8E">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（北京时间）截标后。地点：通过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3</w:t>
            </w:r>
            <w:r>
              <w:rPr>
                <w:rFonts w:hint="eastAsia" w:ascii="宋体" w:hAnsi="宋体" w:cs="宋体"/>
                <w:b/>
                <w:bCs/>
                <w:color w:val="auto"/>
                <w:highlight w:val="none"/>
              </w:rPr>
              <w:t>号</w:t>
            </w:r>
            <w:r>
              <w:rPr>
                <w:rFonts w:hint="eastAsia" w:ascii="宋体" w:hAnsi="宋体" w:cs="宋体"/>
                <w:b/>
                <w:color w:val="auto"/>
                <w:szCs w:val="21"/>
                <w:highlight w:val="none"/>
                <w:lang w:val="en-US" w:eastAsia="zh-CN"/>
              </w:rPr>
              <w:t>政府采购</w:t>
            </w:r>
            <w:r>
              <w:rPr>
                <w:rFonts w:hint="eastAsia" w:ascii="宋体" w:hAnsi="宋体" w:cs="宋体"/>
                <w:b/>
                <w:color w:val="auto"/>
                <w:szCs w:val="21"/>
                <w:highlight w:val="none"/>
              </w:rPr>
              <w:t>开标</w:t>
            </w:r>
            <w:r>
              <w:rPr>
                <w:rFonts w:hint="eastAsia" w:ascii="宋体" w:hAnsi="宋体" w:cs="宋体"/>
                <w:b/>
                <w:color w:val="auto"/>
                <w:szCs w:val="21"/>
                <w:highlight w:val="none"/>
                <w:lang w:val="en-US" w:eastAsia="zh-CN"/>
              </w:rPr>
              <w:t>仓</w:t>
            </w:r>
            <w:r>
              <w:rPr>
                <w:rFonts w:hint="eastAsia" w:ascii="宋体" w:hAnsi="宋体" w:cs="宋体"/>
                <w:b/>
                <w:bCs/>
                <w:color w:val="auto"/>
                <w:highlight w:val="none"/>
              </w:rPr>
              <w:t>现场提交或以电子邮件的形式（以通知时所告知的电子邮箱地址为准）提交电子备份投标文件</w:t>
            </w:r>
            <w:r>
              <w:rPr>
                <w:rFonts w:hint="eastAsia" w:ascii="宋体" w:hAnsi="宋体" w:cs="宋体"/>
                <w:color w:val="auto"/>
                <w:szCs w:val="21"/>
                <w:highlight w:val="none"/>
              </w:rPr>
              <w:t>。</w:t>
            </w:r>
            <w:r>
              <w:rPr>
                <w:rFonts w:hint="eastAsia" w:ascii="宋体" w:hAnsi="宋体" w:cs="宋体"/>
                <w:color w:val="auto"/>
                <w:highlight w:val="none"/>
              </w:rPr>
              <w:t>投标人可以由法定代表人、负责人、自然人或其委托代理人出席开标会议。</w:t>
            </w:r>
          </w:p>
        </w:tc>
      </w:tr>
      <w:tr w14:paraId="08FE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5BFB3F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vAlign w:val="center"/>
          </w:tcPr>
          <w:p w14:paraId="30CA01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vAlign w:val="center"/>
          </w:tcPr>
          <w:p w14:paraId="44E5D7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vAlign w:val="center"/>
          </w:tcPr>
          <w:p w14:paraId="0E9D47CD">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评标委员会由采购人代表和有关技术、经济等方面的专家组成，成员人数共5人，其中采购人代表1人，技术、经济等专家 4人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评标委员会</w:t>
            </w:r>
            <w:r>
              <w:rPr>
                <w:rFonts w:hint="eastAsia"/>
                <w:color w:val="auto"/>
                <w:szCs w:val="21"/>
                <w:highlight w:val="none"/>
                <w:shd w:val="clear" w:color="auto" w:fill="auto"/>
                <w:lang w:val="en-US" w:eastAsia="zh-CN"/>
              </w:rPr>
              <w:t>从广西政采云平台</w:t>
            </w:r>
            <w:r>
              <w:rPr>
                <w:rFonts w:hint="eastAsia"/>
                <w:color w:val="auto"/>
                <w:szCs w:val="21"/>
                <w:highlight w:val="none"/>
                <w:shd w:val="clear" w:color="auto" w:fill="auto"/>
              </w:rPr>
              <w:t>政府采购评审专家库</w:t>
            </w:r>
            <w:r>
              <w:rPr>
                <w:rFonts w:hint="eastAsia"/>
                <w:color w:val="auto"/>
                <w:szCs w:val="21"/>
                <w:highlight w:val="none"/>
                <w:shd w:val="clear" w:color="auto" w:fill="auto"/>
                <w:lang w:val="en-US" w:eastAsia="zh-CN"/>
              </w:rPr>
              <w:t>中随机</w:t>
            </w:r>
            <w:r>
              <w:rPr>
                <w:rFonts w:hint="eastAsia"/>
                <w:color w:val="auto"/>
                <w:szCs w:val="21"/>
                <w:highlight w:val="none"/>
                <w:shd w:val="clear" w:color="auto" w:fill="auto"/>
              </w:rPr>
              <w:t>抽取</w:t>
            </w:r>
            <w:r>
              <w:rPr>
                <w:rFonts w:hint="eastAsia" w:ascii="宋体" w:hAnsi="宋体" w:cs="宋体"/>
                <w:color w:val="auto"/>
                <w:szCs w:val="21"/>
                <w:highlight w:val="none"/>
              </w:rPr>
              <w:t>。</w:t>
            </w:r>
          </w:p>
        </w:tc>
      </w:tr>
      <w:tr w14:paraId="27C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301B566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vAlign w:val="center"/>
          </w:tcPr>
          <w:p w14:paraId="58EEE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vAlign w:val="center"/>
          </w:tcPr>
          <w:p w14:paraId="04FC2A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vAlign w:val="center"/>
          </w:tcPr>
          <w:p w14:paraId="5CADA65B">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C6E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503CC1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vAlign w:val="center"/>
          </w:tcPr>
          <w:p w14:paraId="553430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vAlign w:val="center"/>
          </w:tcPr>
          <w:p w14:paraId="16EE7BBC">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vAlign w:val="center"/>
          </w:tcPr>
          <w:p w14:paraId="1713D46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6E738F35">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7194C6DD">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506459C0">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68FC3052">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2B3EE686">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CA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5D23DC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vAlign w:val="center"/>
          </w:tcPr>
          <w:p w14:paraId="1747ED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vAlign w:val="center"/>
          </w:tcPr>
          <w:p w14:paraId="326301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vAlign w:val="center"/>
          </w:tcPr>
          <w:p w14:paraId="720FC3D8">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CECE265">
            <w:pPr>
              <w:spacing w:line="360" w:lineRule="exact"/>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p>
        </w:tc>
      </w:tr>
      <w:tr w14:paraId="59AC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32E8E70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vAlign w:val="center"/>
          </w:tcPr>
          <w:p w14:paraId="26E9FF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vAlign w:val="center"/>
          </w:tcPr>
          <w:p w14:paraId="718A48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vAlign w:val="center"/>
          </w:tcPr>
          <w:p w14:paraId="072304CB">
            <w:pPr>
              <w:tabs>
                <w:tab w:val="left" w:pos="455"/>
              </w:tabs>
              <w:spacing w:line="360" w:lineRule="exact"/>
              <w:rPr>
                <w:b/>
                <w:color w:val="auto"/>
                <w:highlight w:val="none"/>
                <w:lang w:val="en-US" w:eastAsia="zh-CN"/>
              </w:rPr>
            </w:pPr>
            <w:r>
              <w:rPr>
                <w:rFonts w:hint="eastAsia"/>
                <w:b/>
                <w:color w:val="auto"/>
                <w:highlight w:val="none"/>
                <w:lang w:val="en-US" w:eastAsia="zh-CN"/>
              </w:rPr>
              <w:t>34.1履约质保金:按人民币壹拾万元整(￥100000.00)。</w:t>
            </w:r>
          </w:p>
          <w:p w14:paraId="65C682B6">
            <w:pPr>
              <w:tabs>
                <w:tab w:val="left" w:pos="455"/>
              </w:tabs>
              <w:spacing w:line="360" w:lineRule="exact"/>
              <w:rPr>
                <w:b/>
                <w:color w:val="auto"/>
                <w:highlight w:val="none"/>
                <w:lang w:val="en-US" w:eastAsia="zh-CN"/>
              </w:rPr>
            </w:pPr>
            <w:r>
              <w:rPr>
                <w:rFonts w:hint="eastAsia"/>
                <w:b/>
                <w:color w:val="auto"/>
                <w:highlight w:val="none"/>
                <w:lang w:val="en-US" w:eastAsia="zh-CN"/>
              </w:rPr>
              <w:t>34.2在合同签订之前，乙方需把履约保证金足额交到甲方指定账户。未提交履约保证金的，不予签订本合同。</w:t>
            </w:r>
          </w:p>
          <w:p w14:paraId="30ACF188">
            <w:pPr>
              <w:tabs>
                <w:tab w:val="left" w:pos="455"/>
              </w:tabs>
              <w:spacing w:line="360" w:lineRule="exact"/>
              <w:rPr>
                <w:b/>
                <w:color w:val="auto"/>
                <w:highlight w:val="none"/>
              </w:rPr>
            </w:pPr>
            <w:r>
              <w:rPr>
                <w:rFonts w:hint="eastAsia"/>
                <w:b/>
                <w:color w:val="auto"/>
                <w:highlight w:val="none"/>
                <w:lang w:val="en-US" w:eastAsia="zh-CN"/>
              </w:rPr>
              <w:t>34.3履约保证金的退还：由甲方负责办理。在合同期满后20个工作日内乙方提出书面申请，甲方在扣除乙方赔偿金或其他应从乙方扣回的款项后，一次性向乙方返还剩余部分的履约保证金（无息）。</w:t>
            </w:r>
          </w:p>
        </w:tc>
      </w:tr>
      <w:tr w14:paraId="404C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131F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vAlign w:val="center"/>
          </w:tcPr>
          <w:p w14:paraId="3F23140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vAlign w:val="center"/>
          </w:tcPr>
          <w:p w14:paraId="25407A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vAlign w:val="center"/>
          </w:tcPr>
          <w:p w14:paraId="25C69BCB">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25日</w:t>
            </w:r>
            <w:r>
              <w:rPr>
                <w:rFonts w:hint="eastAsia" w:ascii="宋体" w:hAnsi="宋体" w:cs="宋体"/>
                <w:color w:val="auto"/>
                <w:szCs w:val="21"/>
                <w:highlight w:val="none"/>
              </w:rPr>
              <w:t>内。中标人领取中标通知书后，应按规定与采购人签订合同。</w:t>
            </w:r>
          </w:p>
        </w:tc>
      </w:tr>
      <w:tr w14:paraId="52C3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2B466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vAlign w:val="center"/>
          </w:tcPr>
          <w:p w14:paraId="258AF2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vAlign w:val="center"/>
          </w:tcPr>
          <w:p w14:paraId="311514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vAlign w:val="center"/>
          </w:tcPr>
          <w:p w14:paraId="78060F58">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本级市</w:t>
            </w:r>
            <w:r>
              <w:rPr>
                <w:rFonts w:hint="eastAsia" w:ascii="宋体" w:hAnsi="宋体" w:cs="宋体"/>
                <w:color w:val="auto"/>
                <w:szCs w:val="21"/>
                <w:highlight w:val="none"/>
              </w:rPr>
              <w:t>财政部门备案。</w:t>
            </w:r>
          </w:p>
        </w:tc>
      </w:tr>
      <w:tr w14:paraId="06C7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2716148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vAlign w:val="center"/>
          </w:tcPr>
          <w:p w14:paraId="1B92A1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vAlign w:val="center"/>
          </w:tcPr>
          <w:p w14:paraId="608887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vAlign w:val="center"/>
          </w:tcPr>
          <w:p w14:paraId="4FDE822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本项目的招标代理服务费：参照计价格[2002]1980号《招标代理服务收费管理暂行办法》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w:t>
            </w:r>
            <w:r>
              <w:rPr>
                <w:rFonts w:hint="eastAsia" w:ascii="宋体" w:hAnsi="宋体" w:cs="宋体"/>
                <w:color w:val="auto"/>
                <w:szCs w:val="21"/>
                <w:highlight w:val="none"/>
                <w:lang w:val="en-US" w:eastAsia="zh-CN"/>
              </w:rPr>
              <w:t>下浮40%后的70%</w:t>
            </w:r>
            <w:r>
              <w:rPr>
                <w:rFonts w:hint="eastAsia" w:ascii="宋体" w:hAnsi="宋体" w:cs="宋体"/>
                <w:color w:val="auto"/>
                <w:szCs w:val="21"/>
                <w:highlight w:val="none"/>
              </w:rPr>
              <w:t>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项目管理有限公司一次性付清代理服务费。</w:t>
            </w:r>
          </w:p>
          <w:p w14:paraId="24B7E284">
            <w:pPr>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注：标项代理费不足3500元按3500元计。</w:t>
            </w:r>
          </w:p>
        </w:tc>
      </w:tr>
      <w:tr w14:paraId="25E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2CB790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vAlign w:val="center"/>
          </w:tcPr>
          <w:p w14:paraId="24351F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vAlign w:val="center"/>
          </w:tcPr>
          <w:p w14:paraId="1D249A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vAlign w:val="center"/>
          </w:tcPr>
          <w:p w14:paraId="064C010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奥金斯</w:t>
            </w:r>
            <w:r>
              <w:rPr>
                <w:rFonts w:hint="eastAsia" w:ascii="宋体" w:hAnsi="宋体" w:cs="宋体"/>
                <w:color w:val="auto"/>
                <w:highlight w:val="none"/>
              </w:rPr>
              <w:t>项目管理有限公司。</w:t>
            </w:r>
          </w:p>
        </w:tc>
      </w:tr>
      <w:tr w14:paraId="0CE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439782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vAlign w:val="center"/>
          </w:tcPr>
          <w:p w14:paraId="649F3C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vAlign w:val="center"/>
          </w:tcPr>
          <w:p w14:paraId="32738F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vAlign w:val="center"/>
          </w:tcPr>
          <w:p w14:paraId="430F27E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广西壮族自治区财政厅政府采购监督管理处</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0771-2189091</w:t>
            </w:r>
          </w:p>
        </w:tc>
      </w:tr>
    </w:tbl>
    <w:p w14:paraId="5DF926AD">
      <w:pPr>
        <w:spacing w:line="360" w:lineRule="auto"/>
        <w:jc w:val="center"/>
        <w:outlineLvl w:val="1"/>
        <w:rPr>
          <w:rFonts w:ascii="宋体" w:hAnsi="宋体" w:cs="宋体"/>
          <w:b/>
          <w:color w:val="auto"/>
          <w:sz w:val="28"/>
          <w:szCs w:val="28"/>
          <w:highlight w:val="none"/>
        </w:rPr>
      </w:pPr>
      <w:bookmarkStart w:id="45" w:name="_Toc495841754"/>
      <w:bookmarkStart w:id="46" w:name="_Toc3679"/>
      <w:r>
        <w:rPr>
          <w:rFonts w:hint="eastAsia" w:ascii="宋体" w:hAnsi="宋体" w:cs="宋体"/>
          <w:b/>
          <w:color w:val="auto"/>
          <w:sz w:val="28"/>
          <w:szCs w:val="28"/>
          <w:highlight w:val="none"/>
        </w:rPr>
        <w:br w:type="page"/>
      </w:r>
      <w:bookmarkStart w:id="47" w:name="_Toc9775"/>
      <w:bookmarkStart w:id="48" w:name="_Toc3164"/>
      <w:bookmarkStart w:id="49" w:name="_Toc11795"/>
      <w:r>
        <w:rPr>
          <w:rFonts w:hint="eastAsia" w:ascii="宋体" w:hAnsi="宋体" w:cs="宋体"/>
          <w:b/>
          <w:color w:val="auto"/>
          <w:sz w:val="28"/>
          <w:szCs w:val="28"/>
          <w:highlight w:val="none"/>
        </w:rPr>
        <w:t>一、总则</w:t>
      </w:r>
      <w:bookmarkEnd w:id="45"/>
      <w:bookmarkEnd w:id="46"/>
      <w:bookmarkEnd w:id="47"/>
      <w:bookmarkEnd w:id="48"/>
      <w:bookmarkEnd w:id="49"/>
    </w:p>
    <w:p w14:paraId="401DC5CC">
      <w:pPr>
        <w:spacing w:line="400" w:lineRule="exact"/>
        <w:ind w:firstLine="413" w:firstLineChars="196"/>
        <w:outlineLvl w:val="2"/>
        <w:rPr>
          <w:rFonts w:ascii="宋体" w:hAnsi="宋体" w:cs="宋体"/>
          <w:b/>
          <w:color w:val="auto"/>
          <w:szCs w:val="21"/>
          <w:highlight w:val="none"/>
        </w:rPr>
      </w:pPr>
      <w:bookmarkStart w:id="50" w:name="_Toc3575"/>
      <w:bookmarkStart w:id="51" w:name="_Toc23807"/>
      <w:bookmarkStart w:id="52" w:name="_Toc6019"/>
      <w:bookmarkStart w:id="53" w:name="_Toc9917"/>
      <w:r>
        <w:rPr>
          <w:rFonts w:hint="eastAsia" w:ascii="宋体" w:hAnsi="宋体" w:cs="宋体"/>
          <w:b/>
          <w:color w:val="auto"/>
          <w:szCs w:val="21"/>
          <w:highlight w:val="none"/>
        </w:rPr>
        <w:t>1. 项目名称及项目编号</w:t>
      </w:r>
      <w:bookmarkEnd w:id="50"/>
      <w:bookmarkEnd w:id="51"/>
      <w:bookmarkEnd w:id="52"/>
      <w:bookmarkEnd w:id="53"/>
    </w:p>
    <w:p w14:paraId="603E5E35">
      <w:pPr>
        <w:spacing w:line="340" w:lineRule="exact"/>
        <w:ind w:firstLine="420" w:firstLineChars="200"/>
        <w:rPr>
          <w:rFonts w:ascii="宋体" w:hAnsi="宋体" w:cs="宋体"/>
          <w:color w:val="auto"/>
          <w:szCs w:val="21"/>
          <w:highlight w:val="none"/>
        </w:rPr>
      </w:pPr>
      <w:bookmarkStart w:id="54" w:name="_Toc340"/>
      <w:r>
        <w:rPr>
          <w:rFonts w:hint="eastAsia" w:ascii="宋体" w:hAnsi="宋体" w:cs="宋体"/>
          <w:color w:val="auto"/>
          <w:szCs w:val="21"/>
          <w:highlight w:val="none"/>
        </w:rPr>
        <w:t>项目名称：南溪山医院基建零星工程服务项目</w:t>
      </w:r>
    </w:p>
    <w:p w14:paraId="08B9EA2E">
      <w:pPr>
        <w:spacing w:line="400" w:lineRule="exact"/>
        <w:ind w:firstLine="420" w:firstLineChars="200"/>
        <w:rPr>
          <w:rFonts w:hint="eastAsia" w:ascii="宋体" w:hAnsi="宋体" w:eastAsia="宋体" w:cs="宋体"/>
          <w:color w:val="auto"/>
          <w:szCs w:val="21"/>
          <w:highlight w:val="none"/>
          <w:lang w:eastAsia="zh-CN"/>
        </w:rPr>
      </w:pPr>
      <w:bookmarkStart w:id="55" w:name="_Toc7167"/>
      <w:bookmarkStart w:id="56" w:name="_Toc8277"/>
      <w:bookmarkStart w:id="57" w:name="_Toc6216"/>
      <w:bookmarkStart w:id="58" w:name="_Toc12938"/>
      <w:bookmarkStart w:id="59" w:name="_Toc9123"/>
      <w:bookmarkStart w:id="60" w:name="_Toc12501"/>
      <w:bookmarkStart w:id="61" w:name="_Toc31099"/>
      <w:bookmarkStart w:id="62" w:name="_Toc4835"/>
      <w:bookmarkStart w:id="63" w:name="_Toc13482"/>
      <w:bookmarkStart w:id="64" w:name="_Toc22222"/>
      <w:r>
        <w:rPr>
          <w:rFonts w:hint="eastAsia" w:ascii="宋体" w:hAnsi="宋体" w:cs="宋体"/>
          <w:color w:val="auto"/>
          <w:szCs w:val="21"/>
          <w:highlight w:val="none"/>
        </w:rPr>
        <w:t>项目编号：</w:t>
      </w:r>
      <w:bookmarkEnd w:id="55"/>
      <w:bookmarkEnd w:id="56"/>
      <w:bookmarkEnd w:id="57"/>
      <w:bookmarkEnd w:id="58"/>
      <w:bookmarkEnd w:id="59"/>
      <w:bookmarkEnd w:id="60"/>
      <w:bookmarkEnd w:id="61"/>
      <w:bookmarkEnd w:id="62"/>
      <w:bookmarkEnd w:id="63"/>
      <w:bookmarkEnd w:id="64"/>
      <w:r>
        <w:rPr>
          <w:rFonts w:hint="eastAsia" w:ascii="宋体" w:hAnsi="宋体" w:cs="宋体"/>
          <w:color w:val="auto"/>
          <w:szCs w:val="21"/>
          <w:highlight w:val="none"/>
        </w:rPr>
        <w:t>GXZC2025-G3-001637-GXAJ</w:t>
      </w:r>
      <w:r>
        <w:rPr>
          <w:rFonts w:hint="eastAsia" w:ascii="宋体" w:hAnsi="宋体" w:cs="宋体"/>
          <w:color w:val="auto"/>
          <w:szCs w:val="21"/>
          <w:highlight w:val="none"/>
          <w:lang w:val="en-US" w:eastAsia="zh-CN"/>
        </w:rPr>
        <w:t xml:space="preserve"> </w:t>
      </w:r>
    </w:p>
    <w:p w14:paraId="5AC07D47">
      <w:pPr>
        <w:spacing w:line="400" w:lineRule="exact"/>
        <w:ind w:firstLine="413" w:firstLineChars="196"/>
        <w:outlineLvl w:val="2"/>
        <w:rPr>
          <w:rFonts w:ascii="宋体" w:hAnsi="宋体" w:cs="宋体"/>
          <w:b/>
          <w:color w:val="auto"/>
          <w:szCs w:val="21"/>
          <w:highlight w:val="none"/>
        </w:rPr>
      </w:pPr>
      <w:bookmarkStart w:id="65" w:name="_Toc1834"/>
      <w:bookmarkStart w:id="66" w:name="_Toc6964"/>
      <w:bookmarkStart w:id="67" w:name="_Toc25564"/>
      <w:r>
        <w:rPr>
          <w:rFonts w:hint="eastAsia" w:ascii="宋体" w:hAnsi="宋体" w:cs="宋体"/>
          <w:b/>
          <w:color w:val="auto"/>
          <w:szCs w:val="21"/>
          <w:highlight w:val="none"/>
        </w:rPr>
        <w:t>2. 适应范围</w:t>
      </w:r>
      <w:bookmarkEnd w:id="54"/>
      <w:bookmarkEnd w:id="65"/>
      <w:bookmarkEnd w:id="66"/>
      <w:bookmarkEnd w:id="67"/>
    </w:p>
    <w:p w14:paraId="520311A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02625F1D">
      <w:pPr>
        <w:spacing w:line="400" w:lineRule="exact"/>
        <w:ind w:firstLine="413" w:firstLineChars="196"/>
        <w:outlineLvl w:val="2"/>
        <w:rPr>
          <w:rFonts w:ascii="宋体" w:hAnsi="宋体" w:cs="宋体"/>
          <w:b/>
          <w:color w:val="auto"/>
          <w:szCs w:val="21"/>
          <w:highlight w:val="none"/>
        </w:rPr>
      </w:pPr>
      <w:bookmarkStart w:id="68" w:name="_Toc1895"/>
      <w:bookmarkStart w:id="69" w:name="_Toc9873"/>
      <w:bookmarkStart w:id="70" w:name="_Toc27335"/>
      <w:bookmarkStart w:id="71" w:name="_Toc13271"/>
      <w:r>
        <w:rPr>
          <w:rFonts w:hint="eastAsia" w:ascii="宋体" w:hAnsi="宋体" w:cs="宋体"/>
          <w:b/>
          <w:color w:val="auto"/>
          <w:szCs w:val="21"/>
          <w:highlight w:val="none"/>
        </w:rPr>
        <w:t>3. 定义</w:t>
      </w:r>
      <w:bookmarkEnd w:id="68"/>
      <w:bookmarkEnd w:id="69"/>
      <w:bookmarkEnd w:id="70"/>
      <w:bookmarkEnd w:id="71"/>
    </w:p>
    <w:p w14:paraId="15197962">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694EE811">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1F4B7EF0">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581FCCE8">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286E5063">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510D33F5">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采购需求》中的“▲”号项及商务要求为实质性要求，不允许负偏离，否则投标无效。</w:t>
      </w:r>
    </w:p>
    <w:p w14:paraId="196D945C">
      <w:pPr>
        <w:spacing w:line="400" w:lineRule="exact"/>
        <w:ind w:firstLine="413" w:firstLineChars="196"/>
        <w:outlineLvl w:val="2"/>
        <w:rPr>
          <w:rFonts w:ascii="宋体" w:hAnsi="宋体" w:cs="宋体"/>
          <w:b/>
          <w:color w:val="auto"/>
          <w:szCs w:val="21"/>
          <w:highlight w:val="none"/>
        </w:rPr>
      </w:pPr>
      <w:bookmarkStart w:id="72" w:name="_Toc28906"/>
      <w:bookmarkStart w:id="73" w:name="_Toc194"/>
      <w:bookmarkStart w:id="74" w:name="_Toc31846"/>
      <w:bookmarkStart w:id="75" w:name="_Toc19935"/>
      <w:r>
        <w:rPr>
          <w:rFonts w:hint="eastAsia" w:ascii="宋体" w:hAnsi="宋体" w:cs="宋体"/>
          <w:b/>
          <w:color w:val="auto"/>
          <w:szCs w:val="21"/>
          <w:highlight w:val="none"/>
        </w:rPr>
        <w:t>4. 招标方式、评分办法</w:t>
      </w:r>
      <w:bookmarkEnd w:id="72"/>
      <w:bookmarkEnd w:id="73"/>
      <w:bookmarkEnd w:id="74"/>
      <w:bookmarkEnd w:id="75"/>
    </w:p>
    <w:p w14:paraId="3E7E3F25">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7FFB3B38">
      <w:pPr>
        <w:spacing w:line="400" w:lineRule="exact"/>
        <w:ind w:firstLine="413" w:firstLineChars="196"/>
        <w:outlineLvl w:val="2"/>
        <w:rPr>
          <w:rFonts w:ascii="宋体" w:hAnsi="宋体" w:cs="宋体"/>
          <w:b/>
          <w:color w:val="auto"/>
          <w:szCs w:val="21"/>
          <w:highlight w:val="none"/>
        </w:rPr>
      </w:pPr>
      <w:bookmarkStart w:id="76" w:name="_Toc18449"/>
      <w:bookmarkStart w:id="77" w:name="_Toc19879"/>
      <w:bookmarkStart w:id="78" w:name="_Toc598"/>
      <w:bookmarkStart w:id="79" w:name="_Toc17906"/>
      <w:r>
        <w:rPr>
          <w:rFonts w:hint="eastAsia" w:ascii="宋体" w:hAnsi="宋体" w:cs="宋体"/>
          <w:b/>
          <w:color w:val="auto"/>
          <w:szCs w:val="21"/>
          <w:highlight w:val="none"/>
        </w:rPr>
        <w:t>5. 投标人资格</w:t>
      </w:r>
      <w:bookmarkEnd w:id="76"/>
      <w:bookmarkEnd w:id="77"/>
      <w:bookmarkEnd w:id="78"/>
      <w:bookmarkEnd w:id="79"/>
    </w:p>
    <w:p w14:paraId="5F28AC54">
      <w:pPr>
        <w:spacing w:line="400" w:lineRule="exact"/>
        <w:ind w:firstLine="411" w:firstLineChars="196"/>
        <w:outlineLvl w:val="2"/>
        <w:rPr>
          <w:rFonts w:hint="eastAsia" w:ascii="宋体" w:hAnsi="宋体" w:cs="宋体"/>
          <w:color w:val="auto"/>
          <w:szCs w:val="21"/>
          <w:highlight w:val="none"/>
        </w:rPr>
      </w:pPr>
      <w:bookmarkStart w:id="80" w:name="_Toc24742"/>
      <w:bookmarkStart w:id="81" w:name="_Toc21769"/>
      <w:bookmarkStart w:id="82" w:name="_Toc25658"/>
      <w:bookmarkStart w:id="83" w:name="_Toc2826"/>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1满足《中华人民共和国政府采购法》第二十二条规定；</w:t>
      </w:r>
    </w:p>
    <w:p w14:paraId="63AAD080">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2落实政府采购政策需满足的资格要求：本项目为专门面向中小微企业采购的项目（供应商应为中小微企业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监狱企业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残疾人福利性单位)。</w:t>
      </w:r>
    </w:p>
    <w:p w14:paraId="262D719C">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3本项目的特定资格要求：</w:t>
      </w:r>
    </w:p>
    <w:p w14:paraId="41CF0729">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具备建筑工程施工总承包三级及以上资质且具有有效的安全生产许可证的企业，并在人员、资金等方面具备相应的建设能力。</w:t>
      </w:r>
    </w:p>
    <w:p w14:paraId="34715DA3">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3.2拟任项目经理要求具备建筑工程专业二级及以上注册建造师资格，并具有B类安全生产考核合格证。</w:t>
      </w:r>
    </w:p>
    <w:p w14:paraId="686AB883">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84C62A">
      <w:pPr>
        <w:spacing w:line="400" w:lineRule="exact"/>
        <w:ind w:firstLine="411" w:firstLineChars="196"/>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4911020">
      <w:pPr>
        <w:spacing w:line="360" w:lineRule="auto"/>
        <w:ind w:firstLine="420" w:firstLineChars="200"/>
        <w:rPr>
          <w:rFonts w:hint="eastAsia" w:ascii="宋体" w:hAnsi="宋体" w:cs="宋体"/>
          <w:color w:val="auto"/>
          <w:szCs w:val="21"/>
          <w:highlight w:val="none"/>
        </w:rPr>
      </w:pPr>
      <w:r>
        <w:rPr>
          <w:rFonts w:hint="eastAsia" w:ascii="宋体" w:cs="宋体"/>
          <w:color w:val="auto"/>
          <w:szCs w:val="21"/>
          <w:highlight w:val="none"/>
          <w:lang w:val="en-US" w:eastAsia="zh-CN" w:bidi="ar"/>
        </w:rPr>
        <w:t>5.6.本项目共划分为3个分标：3个分标由3家不同的投标单位作为中标单位。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p w14:paraId="3C10B5FA">
      <w:pPr>
        <w:spacing w:line="400" w:lineRule="exact"/>
        <w:ind w:firstLine="413" w:firstLineChars="196"/>
        <w:outlineLvl w:val="2"/>
        <w:rPr>
          <w:rFonts w:ascii="宋体" w:hAnsi="宋体" w:cs="宋体"/>
          <w:b/>
          <w:color w:val="auto"/>
          <w:szCs w:val="21"/>
          <w:highlight w:val="none"/>
        </w:rPr>
      </w:pPr>
      <w:r>
        <w:rPr>
          <w:rFonts w:hint="eastAsia" w:ascii="宋体" w:hAnsi="宋体" w:cs="宋体"/>
          <w:b/>
          <w:color w:val="auto"/>
          <w:szCs w:val="21"/>
          <w:highlight w:val="none"/>
        </w:rPr>
        <w:t>6. 投标费用</w:t>
      </w:r>
      <w:bookmarkEnd w:id="80"/>
      <w:bookmarkEnd w:id="81"/>
      <w:bookmarkEnd w:id="82"/>
      <w:bookmarkEnd w:id="83"/>
    </w:p>
    <w:p w14:paraId="55B9C2E7">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37802A5">
      <w:pPr>
        <w:spacing w:line="400" w:lineRule="exact"/>
        <w:ind w:firstLine="413" w:firstLineChars="196"/>
        <w:outlineLvl w:val="2"/>
        <w:rPr>
          <w:rFonts w:ascii="宋体" w:hAnsi="宋体" w:cs="宋体"/>
          <w:b/>
          <w:color w:val="auto"/>
          <w:szCs w:val="21"/>
          <w:highlight w:val="none"/>
        </w:rPr>
      </w:pPr>
      <w:bookmarkStart w:id="84" w:name="_Toc22702"/>
      <w:bookmarkStart w:id="85" w:name="_Toc20471"/>
      <w:bookmarkStart w:id="86" w:name="_Toc6563"/>
      <w:bookmarkStart w:id="87" w:name="_Toc3583"/>
      <w:r>
        <w:rPr>
          <w:rFonts w:hint="eastAsia" w:ascii="宋体" w:hAnsi="宋体" w:cs="宋体"/>
          <w:b/>
          <w:color w:val="auto"/>
          <w:szCs w:val="21"/>
          <w:highlight w:val="none"/>
        </w:rPr>
        <w:t>7. 联合体投标要求</w:t>
      </w:r>
      <w:bookmarkEnd w:id="84"/>
      <w:bookmarkEnd w:id="85"/>
      <w:bookmarkEnd w:id="86"/>
      <w:bookmarkEnd w:id="87"/>
    </w:p>
    <w:p w14:paraId="318C51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20C31735">
      <w:pPr>
        <w:spacing w:line="400" w:lineRule="exact"/>
        <w:ind w:firstLine="413" w:firstLineChars="196"/>
        <w:outlineLvl w:val="2"/>
        <w:rPr>
          <w:rFonts w:ascii="宋体" w:hAnsi="宋体" w:cs="宋体"/>
          <w:b/>
          <w:color w:val="auto"/>
          <w:szCs w:val="21"/>
          <w:highlight w:val="none"/>
        </w:rPr>
      </w:pPr>
      <w:bookmarkStart w:id="88" w:name="_Toc27336"/>
      <w:bookmarkStart w:id="89" w:name="_Toc5893"/>
      <w:bookmarkStart w:id="90" w:name="_Toc7639"/>
      <w:bookmarkStart w:id="91" w:name="_Toc6046"/>
      <w:r>
        <w:rPr>
          <w:rFonts w:hint="eastAsia" w:ascii="宋体" w:hAnsi="宋体" w:cs="宋体"/>
          <w:b/>
          <w:color w:val="auto"/>
          <w:szCs w:val="21"/>
          <w:highlight w:val="none"/>
        </w:rPr>
        <w:t>8. 转包与分包</w:t>
      </w:r>
      <w:bookmarkEnd w:id="88"/>
      <w:bookmarkEnd w:id="89"/>
      <w:bookmarkEnd w:id="90"/>
      <w:bookmarkEnd w:id="91"/>
    </w:p>
    <w:p w14:paraId="6B9DB9F1">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6984789F">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276A6886">
      <w:pPr>
        <w:spacing w:line="400" w:lineRule="exact"/>
        <w:ind w:firstLine="413" w:firstLineChars="196"/>
        <w:outlineLvl w:val="2"/>
        <w:rPr>
          <w:rFonts w:ascii="宋体" w:hAnsi="宋体" w:cs="宋体"/>
          <w:b/>
          <w:color w:val="auto"/>
          <w:szCs w:val="21"/>
          <w:highlight w:val="none"/>
        </w:rPr>
      </w:pPr>
      <w:bookmarkStart w:id="92" w:name="_Toc1504"/>
      <w:bookmarkStart w:id="93" w:name="_Toc25644"/>
      <w:bookmarkStart w:id="94" w:name="_Toc13781"/>
      <w:bookmarkStart w:id="95" w:name="_Toc27391"/>
      <w:r>
        <w:rPr>
          <w:rFonts w:hint="eastAsia" w:ascii="宋体" w:hAnsi="宋体" w:cs="宋体"/>
          <w:b/>
          <w:color w:val="auto"/>
          <w:szCs w:val="21"/>
          <w:highlight w:val="none"/>
        </w:rPr>
        <w:t>9. 特别说明</w:t>
      </w:r>
      <w:bookmarkEnd w:id="92"/>
      <w:bookmarkEnd w:id="93"/>
      <w:bookmarkEnd w:id="94"/>
      <w:bookmarkEnd w:id="95"/>
    </w:p>
    <w:p w14:paraId="5DBB4A41">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关联供应商不得参加同一合同项下政府采购活动，否则投标文件将被视为无效：</w:t>
      </w:r>
    </w:p>
    <w:p w14:paraId="10C01C10">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28B3F06">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1BE438BE">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14:paraId="3981B84B">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720205B">
      <w:pPr>
        <w:spacing w:line="400" w:lineRule="exact"/>
        <w:ind w:firstLine="413" w:firstLineChars="196"/>
        <w:outlineLvl w:val="2"/>
        <w:rPr>
          <w:rFonts w:ascii="宋体" w:hAnsi="宋体" w:cs="宋体"/>
          <w:b/>
          <w:color w:val="auto"/>
          <w:szCs w:val="21"/>
          <w:highlight w:val="none"/>
        </w:rPr>
      </w:pPr>
      <w:bookmarkStart w:id="96" w:name="_Toc16798"/>
      <w:bookmarkStart w:id="97" w:name="_Toc11946"/>
      <w:bookmarkStart w:id="98" w:name="_Toc8760"/>
      <w:bookmarkStart w:id="99" w:name="_Toc6489"/>
      <w:r>
        <w:rPr>
          <w:rFonts w:hint="eastAsia" w:ascii="宋体" w:hAnsi="宋体" w:cs="宋体"/>
          <w:b/>
          <w:color w:val="auto"/>
          <w:szCs w:val="21"/>
          <w:highlight w:val="none"/>
        </w:rPr>
        <w:t>10. 质疑和投诉</w:t>
      </w:r>
      <w:bookmarkEnd w:id="96"/>
      <w:bookmarkEnd w:id="97"/>
      <w:bookmarkEnd w:id="98"/>
      <w:bookmarkEnd w:id="99"/>
    </w:p>
    <w:p w14:paraId="74600C15">
      <w:pPr>
        <w:tabs>
          <w:tab w:val="left" w:pos="1635"/>
        </w:tabs>
        <w:spacing w:line="400" w:lineRule="exact"/>
        <w:ind w:firstLine="435"/>
        <w:rPr>
          <w:rFonts w:ascii="宋体" w:hAnsi="宋体" w:cs="宋体"/>
          <w:color w:val="auto"/>
          <w:szCs w:val="21"/>
          <w:highlight w:val="none"/>
        </w:rPr>
      </w:pPr>
      <w:bookmarkStart w:id="100" w:name="_Toc26087"/>
      <w:bookmarkStart w:id="101" w:name="_Toc8195"/>
      <w:r>
        <w:rPr>
          <w:rFonts w:hint="eastAsia" w:ascii="宋体" w:hAnsi="宋体" w:cs="宋体"/>
          <w:color w:val="auto"/>
          <w:szCs w:val="21"/>
          <w:highlight w:val="none"/>
        </w:rPr>
        <w:t>10.1投标人认为招标文件使自己的合法权益受到损害的，应当在本项目招标公告期限届满之日起七个工作日内以书面形式向广西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项目管理有限公司提出质疑。投标人认为招标过程或中标结果使自己的合法权益受到损害的，应当在采购程序环节结束之日或中标公告期限届满之日起七个工作日内，以书面形式向广西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项目管理有限公司提出质疑。广西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项目管理有限公司应认真做好质疑处理工作。</w:t>
      </w:r>
      <w:bookmarkEnd w:id="100"/>
      <w:bookmarkEnd w:id="101"/>
    </w:p>
    <w:p w14:paraId="3B28A18B">
      <w:pPr>
        <w:snapToGrid w:val="0"/>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接收质疑函方式：以书面形式（原件）提交</w:t>
      </w:r>
    </w:p>
    <w:p w14:paraId="40D5E7F6">
      <w:pPr>
        <w:snapToGrid w:val="0"/>
        <w:spacing w:line="440" w:lineRule="exact"/>
        <w:ind w:firstLine="420" w:firstLineChars="200"/>
        <w:rPr>
          <w:rFonts w:hint="default" w:ascii="宋体" w:hAnsi="宋体" w:eastAsia="宋体" w:cs="宋体"/>
          <w:color w:val="auto"/>
          <w:szCs w:val="20"/>
          <w:highlight w:val="none"/>
          <w:lang w:val="en-US" w:eastAsia="zh-CN"/>
        </w:rPr>
      </w:pPr>
      <w:r>
        <w:rPr>
          <w:rFonts w:hint="eastAsia" w:ascii="宋体" w:hAnsi="宋体" w:cs="宋体"/>
          <w:color w:val="auto"/>
          <w:szCs w:val="20"/>
          <w:highlight w:val="none"/>
        </w:rPr>
        <w:t>质疑联系人：广西</w:t>
      </w:r>
      <w:r>
        <w:rPr>
          <w:rFonts w:hint="eastAsia" w:ascii="宋体" w:hAnsi="宋体" w:cs="宋体"/>
          <w:color w:val="auto"/>
          <w:szCs w:val="20"/>
          <w:highlight w:val="none"/>
          <w:lang w:val="en-US" w:eastAsia="zh-CN"/>
        </w:rPr>
        <w:t>奥金斯</w:t>
      </w:r>
      <w:r>
        <w:rPr>
          <w:rFonts w:hint="eastAsia" w:ascii="宋体" w:hAnsi="宋体" w:cs="宋体"/>
          <w:color w:val="auto"/>
          <w:szCs w:val="20"/>
          <w:highlight w:val="none"/>
        </w:rPr>
        <w:t>项目管理有限公司，联系电话：0773-</w:t>
      </w:r>
      <w:r>
        <w:rPr>
          <w:rFonts w:hint="eastAsia" w:ascii="宋体" w:hAnsi="宋体" w:cs="宋体"/>
          <w:color w:val="auto"/>
          <w:szCs w:val="20"/>
          <w:highlight w:val="none"/>
          <w:lang w:val="en-US" w:eastAsia="zh-CN"/>
        </w:rPr>
        <w:t>2690777</w:t>
      </w:r>
    </w:p>
    <w:p w14:paraId="2E39FEE7">
      <w:pPr>
        <w:tabs>
          <w:tab w:val="left" w:pos="2190"/>
        </w:tabs>
        <w:spacing w:line="420" w:lineRule="exact"/>
        <w:ind w:firstLine="435"/>
        <w:rPr>
          <w:rFonts w:hint="default" w:ascii="宋体" w:hAnsi="宋体" w:eastAsia="宋体" w:cs="宋体"/>
          <w:color w:val="auto"/>
          <w:highlight w:val="none"/>
          <w:lang w:val="en-US" w:eastAsia="zh-CN"/>
        </w:rPr>
      </w:pPr>
      <w:r>
        <w:rPr>
          <w:rFonts w:hint="eastAsia" w:ascii="宋体" w:hAnsi="宋体" w:cs="宋体"/>
          <w:color w:val="auto"/>
          <w:szCs w:val="20"/>
          <w:highlight w:val="none"/>
        </w:rPr>
        <w:t>通讯地址：</w:t>
      </w:r>
      <w:r>
        <w:rPr>
          <w:rFonts w:hint="eastAsia" w:ascii="宋体" w:hAnsi="宋体" w:cs="宋体"/>
          <w:color w:val="auto"/>
          <w:highlight w:val="none"/>
        </w:rPr>
        <w:t>桂林市秀峰区翠竹路23号</w:t>
      </w:r>
      <w:r>
        <w:rPr>
          <w:rFonts w:hint="eastAsia" w:ascii="宋体" w:hAnsi="宋体" w:cs="宋体"/>
          <w:color w:val="auto"/>
          <w:highlight w:val="none"/>
          <w:lang w:val="en-US" w:eastAsia="zh-CN"/>
        </w:rPr>
        <w:t>50-2</w:t>
      </w:r>
    </w:p>
    <w:p w14:paraId="67C0BCAC">
      <w:pPr>
        <w:tabs>
          <w:tab w:val="left" w:pos="1635"/>
        </w:tabs>
        <w:spacing w:line="400" w:lineRule="exact"/>
        <w:ind w:firstLine="435"/>
        <w:rPr>
          <w:rFonts w:ascii="宋体" w:hAnsi="宋体" w:cs="宋体"/>
          <w:color w:val="auto"/>
          <w:szCs w:val="21"/>
          <w:highlight w:val="none"/>
        </w:rPr>
      </w:pPr>
      <w:bookmarkStart w:id="102" w:name="_Toc17981"/>
      <w:bookmarkStart w:id="103" w:name="_Toc5874"/>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投诉。</w:t>
      </w:r>
      <w:bookmarkEnd w:id="102"/>
      <w:bookmarkEnd w:id="103"/>
    </w:p>
    <w:p w14:paraId="3608355A">
      <w:pPr>
        <w:tabs>
          <w:tab w:val="left" w:pos="1635"/>
        </w:tabs>
        <w:spacing w:line="400" w:lineRule="exact"/>
        <w:ind w:firstLine="435"/>
        <w:rPr>
          <w:rFonts w:ascii="宋体" w:hAnsi="宋体" w:cs="宋体"/>
          <w:b/>
          <w:color w:val="auto"/>
          <w:sz w:val="28"/>
          <w:szCs w:val="28"/>
          <w:highlight w:val="none"/>
        </w:rPr>
      </w:pPr>
      <w:bookmarkStart w:id="104" w:name="_Toc613"/>
      <w:bookmarkStart w:id="105" w:name="_Toc23108"/>
      <w:r>
        <w:rPr>
          <w:rFonts w:hint="eastAsia" w:ascii="宋体" w:hAnsi="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bookmarkEnd w:id="104"/>
      <w:bookmarkEnd w:id="105"/>
    </w:p>
    <w:p w14:paraId="415267D2">
      <w:pPr>
        <w:spacing w:line="360" w:lineRule="auto"/>
        <w:jc w:val="center"/>
        <w:outlineLvl w:val="1"/>
        <w:rPr>
          <w:rFonts w:ascii="宋体" w:hAnsi="宋体" w:cs="宋体"/>
          <w:b/>
          <w:color w:val="auto"/>
          <w:sz w:val="28"/>
          <w:szCs w:val="28"/>
          <w:highlight w:val="none"/>
        </w:rPr>
      </w:pPr>
      <w:bookmarkStart w:id="106" w:name="_Toc11938"/>
      <w:bookmarkStart w:id="107" w:name="_Toc495841755"/>
      <w:bookmarkStart w:id="108" w:name="_Toc24358"/>
      <w:bookmarkStart w:id="109" w:name="_Toc26849"/>
      <w:bookmarkStart w:id="110" w:name="_Toc24908"/>
      <w:r>
        <w:rPr>
          <w:rFonts w:hint="eastAsia" w:ascii="宋体" w:hAnsi="宋体" w:cs="宋体"/>
          <w:b/>
          <w:color w:val="auto"/>
          <w:sz w:val="28"/>
          <w:szCs w:val="28"/>
          <w:highlight w:val="none"/>
        </w:rPr>
        <w:t>二、招标文件</w:t>
      </w:r>
      <w:bookmarkEnd w:id="106"/>
      <w:bookmarkEnd w:id="107"/>
      <w:bookmarkEnd w:id="108"/>
      <w:bookmarkEnd w:id="109"/>
      <w:bookmarkEnd w:id="110"/>
    </w:p>
    <w:p w14:paraId="4323B2BD">
      <w:pPr>
        <w:spacing w:line="400" w:lineRule="exact"/>
        <w:ind w:firstLine="413" w:firstLineChars="196"/>
        <w:outlineLvl w:val="2"/>
        <w:rPr>
          <w:rFonts w:ascii="宋体" w:hAnsi="宋体" w:cs="宋体"/>
          <w:b/>
          <w:color w:val="auto"/>
          <w:szCs w:val="21"/>
          <w:highlight w:val="none"/>
        </w:rPr>
      </w:pPr>
      <w:bookmarkStart w:id="111" w:name="_Toc1558"/>
      <w:bookmarkStart w:id="112" w:name="_Toc3397"/>
      <w:bookmarkStart w:id="113" w:name="_Toc1161"/>
      <w:bookmarkStart w:id="114" w:name="_Toc17941"/>
      <w:r>
        <w:rPr>
          <w:rFonts w:hint="eastAsia" w:ascii="宋体" w:hAnsi="宋体" w:cs="宋体"/>
          <w:b/>
          <w:color w:val="auto"/>
          <w:szCs w:val="21"/>
          <w:highlight w:val="none"/>
        </w:rPr>
        <w:t>11. 招标文件的构成</w:t>
      </w:r>
      <w:bookmarkEnd w:id="111"/>
      <w:bookmarkEnd w:id="112"/>
      <w:bookmarkEnd w:id="113"/>
      <w:bookmarkEnd w:id="114"/>
    </w:p>
    <w:p w14:paraId="22A560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6D0A410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2637F76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w:t>
      </w:r>
    </w:p>
    <w:p w14:paraId="37FC652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08F6EFF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2BCE45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08D7018C">
      <w:pPr>
        <w:spacing w:line="400" w:lineRule="exact"/>
        <w:ind w:firstLine="413" w:firstLineChars="196"/>
        <w:outlineLvl w:val="2"/>
        <w:rPr>
          <w:rFonts w:ascii="宋体" w:hAnsi="宋体" w:cs="宋体"/>
          <w:b/>
          <w:color w:val="auto"/>
          <w:szCs w:val="21"/>
          <w:highlight w:val="none"/>
        </w:rPr>
      </w:pPr>
      <w:bookmarkStart w:id="115" w:name="_Toc24191"/>
      <w:bookmarkStart w:id="116" w:name="_Toc230"/>
      <w:bookmarkStart w:id="117" w:name="_Toc22681"/>
      <w:bookmarkStart w:id="118" w:name="_Toc6277"/>
      <w:r>
        <w:rPr>
          <w:rFonts w:hint="eastAsia" w:ascii="宋体" w:hAnsi="宋体" w:cs="宋体"/>
          <w:b/>
          <w:color w:val="auto"/>
          <w:szCs w:val="21"/>
          <w:highlight w:val="none"/>
        </w:rPr>
        <w:t>12. 招标文件的澄清与修改</w:t>
      </w:r>
      <w:bookmarkEnd w:id="115"/>
      <w:bookmarkEnd w:id="116"/>
      <w:bookmarkEnd w:id="117"/>
      <w:bookmarkEnd w:id="118"/>
    </w:p>
    <w:p w14:paraId="42A11A31">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033ACAD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17E9FD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5473A2CA">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22A062F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0101E6FA">
      <w:pPr>
        <w:tabs>
          <w:tab w:val="left" w:pos="2190"/>
        </w:tabs>
        <w:spacing w:line="400" w:lineRule="exact"/>
        <w:ind w:firstLine="435"/>
        <w:rPr>
          <w:rFonts w:ascii="宋体" w:hAnsi="宋体" w:cs="宋体"/>
          <w:color w:val="auto"/>
          <w:szCs w:val="21"/>
          <w:highlight w:val="none"/>
        </w:rPr>
      </w:pPr>
    </w:p>
    <w:p w14:paraId="0C89CF05">
      <w:pPr>
        <w:spacing w:line="360" w:lineRule="auto"/>
        <w:jc w:val="center"/>
        <w:outlineLvl w:val="1"/>
        <w:rPr>
          <w:rFonts w:ascii="宋体" w:hAnsi="宋体" w:cs="宋体"/>
          <w:b/>
          <w:color w:val="auto"/>
          <w:sz w:val="28"/>
          <w:szCs w:val="28"/>
          <w:highlight w:val="none"/>
        </w:rPr>
      </w:pPr>
      <w:bookmarkStart w:id="119" w:name="_Toc31136"/>
      <w:bookmarkStart w:id="120" w:name="_Toc7631"/>
      <w:bookmarkStart w:id="121" w:name="_Toc17939"/>
      <w:bookmarkStart w:id="122" w:name="_Toc495841756"/>
      <w:bookmarkStart w:id="123" w:name="_Toc14040"/>
      <w:r>
        <w:rPr>
          <w:rFonts w:hint="eastAsia" w:ascii="宋体" w:hAnsi="宋体" w:cs="宋体"/>
          <w:b/>
          <w:color w:val="auto"/>
          <w:sz w:val="28"/>
          <w:szCs w:val="28"/>
          <w:highlight w:val="none"/>
        </w:rPr>
        <w:t>三、投标文件的编制</w:t>
      </w:r>
      <w:bookmarkEnd w:id="119"/>
      <w:bookmarkEnd w:id="120"/>
      <w:bookmarkEnd w:id="121"/>
      <w:bookmarkEnd w:id="122"/>
      <w:bookmarkEnd w:id="123"/>
    </w:p>
    <w:p w14:paraId="6782C8C0">
      <w:pPr>
        <w:spacing w:line="400" w:lineRule="exact"/>
        <w:ind w:firstLine="413" w:firstLineChars="196"/>
        <w:outlineLvl w:val="2"/>
        <w:rPr>
          <w:rFonts w:ascii="宋体" w:hAnsi="宋体" w:cs="宋体"/>
          <w:b/>
          <w:color w:val="auto"/>
          <w:szCs w:val="21"/>
          <w:highlight w:val="none"/>
        </w:rPr>
      </w:pPr>
      <w:bookmarkStart w:id="124" w:name="_Toc24340"/>
      <w:bookmarkStart w:id="125" w:name="_Toc15376"/>
      <w:bookmarkStart w:id="126" w:name="_Toc9027"/>
      <w:bookmarkStart w:id="127" w:name="_Toc15443"/>
      <w:r>
        <w:rPr>
          <w:rFonts w:hint="eastAsia" w:ascii="宋体" w:hAnsi="宋体" w:cs="宋体"/>
          <w:b/>
          <w:color w:val="auto"/>
          <w:szCs w:val="21"/>
          <w:highlight w:val="none"/>
        </w:rPr>
        <w:t>13. 投标文件的组成及要求</w:t>
      </w:r>
      <w:bookmarkEnd w:id="124"/>
      <w:bookmarkEnd w:id="125"/>
      <w:bookmarkEnd w:id="126"/>
      <w:bookmarkEnd w:id="127"/>
    </w:p>
    <w:p w14:paraId="1CB11CE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1657130B">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lang w:eastAsia="zh-CN"/>
        </w:rPr>
        <w:t>广西政府采购云平台</w:t>
      </w:r>
      <w:r>
        <w:rPr>
          <w:rFonts w:ascii="宋体" w:hAnsi="宋体" w:cs="宋体"/>
          <w:b/>
          <w:bCs/>
          <w:color w:val="auto"/>
          <w:szCs w:val="21"/>
          <w:highlight w:val="none"/>
        </w:rPr>
        <w:t>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 xml:space="preserve">指南可在 “http://www.ccgp-guangxi.gov.cn/PurchaseAdvisory/ImportantNotice/2866753.html”下载。 </w:t>
      </w:r>
    </w:p>
    <w:p w14:paraId="425F2C28">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287308F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02AFFFE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（1）投标人相应的法定代表人或负责人或自然人身份证正反面复印件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6420C62">
      <w:pPr>
        <w:tabs>
          <w:tab w:val="left" w:pos="1305"/>
        </w:tabs>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（2）投标人</w:t>
      </w:r>
      <w:r>
        <w:rPr>
          <w:rFonts w:hint="eastAsia" w:ascii="宋体" w:hAnsi="宋体" w:cs="宋体"/>
          <w:color w:val="auto"/>
          <w:szCs w:val="21"/>
          <w:highlight w:val="none"/>
        </w:rPr>
        <w:t>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r>
        <w:rPr>
          <w:rFonts w:hint="eastAsia" w:ascii="宋体" w:hAnsi="宋体" w:cs="宋体"/>
          <w:color w:val="auto"/>
          <w:kern w:val="0"/>
          <w:szCs w:val="21"/>
          <w:highlight w:val="none"/>
        </w:rPr>
        <w:t>：</w:t>
      </w:r>
    </w:p>
    <w:p w14:paraId="53FF558C">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kern w:val="0"/>
          <w:szCs w:val="21"/>
          <w:highlight w:val="none"/>
        </w:rPr>
        <w:t>（委托代理时必须提供）</w:t>
      </w:r>
      <w:r>
        <w:rPr>
          <w:rFonts w:hint="eastAsia" w:ascii="宋体" w:hAnsi="宋体" w:cs="宋体"/>
          <w:b/>
          <w:bCs/>
          <w:color w:val="auto"/>
          <w:szCs w:val="21"/>
          <w:highlight w:val="none"/>
        </w:rPr>
        <w:t>；</w:t>
      </w:r>
    </w:p>
    <w:p w14:paraId="0BD672B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r>
        <w:rPr>
          <w:rFonts w:hint="eastAsia" w:ascii="宋体" w:hAnsi="宋体"/>
          <w:color w:val="auto"/>
          <w:szCs w:val="21"/>
          <w:highlight w:val="none"/>
        </w:rPr>
        <w:t>；</w:t>
      </w:r>
    </w:p>
    <w:p w14:paraId="6B0EF132">
      <w:pPr>
        <w:tabs>
          <w:tab w:val="left" w:pos="1305"/>
        </w:tabs>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AB508F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（4）投标人参加采购活动前3年内在经营活动中没有重大违法记录及有关信用信息的书面声明</w:t>
      </w:r>
      <w:r>
        <w:rPr>
          <w:rFonts w:hint="eastAsia" w:ascii="宋体" w:hAnsi="宋体"/>
          <w:b/>
          <w:color w:val="auto"/>
          <w:szCs w:val="21"/>
          <w:highlight w:val="none"/>
        </w:rPr>
        <w:t>（格式见附件，必须提供）</w:t>
      </w:r>
      <w:r>
        <w:rPr>
          <w:rFonts w:hint="eastAsia" w:ascii="宋体" w:hAnsi="宋体"/>
          <w:color w:val="auto"/>
          <w:szCs w:val="21"/>
          <w:highlight w:val="none"/>
        </w:rPr>
        <w:t>；</w:t>
      </w:r>
    </w:p>
    <w:p w14:paraId="41B3B03E">
      <w:pPr>
        <w:tabs>
          <w:tab w:val="left" w:pos="1305"/>
        </w:tabs>
        <w:spacing w:line="400" w:lineRule="exact"/>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color w:val="auto"/>
          <w:szCs w:val="21"/>
          <w:highlight w:val="none"/>
        </w:rPr>
        <w:t>（5）</w:t>
      </w:r>
      <w:r>
        <w:rPr>
          <w:rFonts w:hint="eastAsia" w:ascii="宋体" w:hAnsi="宋体"/>
          <w:color w:val="auto"/>
          <w:szCs w:val="21"/>
          <w:highlight w:val="none"/>
          <w:lang w:val="en-US" w:eastAsia="zh-CN"/>
        </w:rPr>
        <w:t>供应商有效的资质证书复印件和安全生产许可证复印件</w:t>
      </w:r>
      <w:r>
        <w:rPr>
          <w:rFonts w:hint="eastAsia" w:ascii="宋体" w:hAnsi="宋体" w:cs="Times New Roman"/>
          <w:b/>
          <w:bCs/>
          <w:color w:val="auto"/>
          <w:kern w:val="2"/>
          <w:sz w:val="21"/>
          <w:szCs w:val="21"/>
          <w:highlight w:val="none"/>
          <w:lang w:val="en-US" w:eastAsia="zh-CN" w:bidi="ar-SA"/>
        </w:rPr>
        <w:t>（必须提供）</w:t>
      </w:r>
      <w:r>
        <w:rPr>
          <w:rFonts w:hint="eastAsia" w:ascii="宋体" w:hAnsi="宋体" w:cs="Times New Roman"/>
          <w:color w:val="auto"/>
          <w:kern w:val="2"/>
          <w:sz w:val="21"/>
          <w:szCs w:val="21"/>
          <w:highlight w:val="none"/>
          <w:lang w:val="en-US" w:eastAsia="zh-CN" w:bidi="ar-SA"/>
        </w:rPr>
        <w:t>；</w:t>
      </w:r>
    </w:p>
    <w:p w14:paraId="0ECDB391">
      <w:pPr>
        <w:tabs>
          <w:tab w:val="left" w:pos="1305"/>
        </w:tabs>
        <w:spacing w:line="400" w:lineRule="exact"/>
        <w:ind w:firstLine="420" w:firstLineChars="200"/>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（6）项目经理的注册建造师注册证书复印件、安全生产考核合格证书复印件（B类）</w:t>
      </w:r>
      <w:r>
        <w:rPr>
          <w:rFonts w:hint="eastAsia" w:ascii="宋体" w:hAnsi="宋体" w:cs="Times New Roman"/>
          <w:b/>
          <w:bCs/>
          <w:color w:val="auto"/>
          <w:kern w:val="2"/>
          <w:sz w:val="21"/>
          <w:szCs w:val="21"/>
          <w:highlight w:val="none"/>
          <w:lang w:val="en-US" w:eastAsia="zh-CN" w:bidi="ar-SA"/>
        </w:rPr>
        <w:t>（必须提供）；</w:t>
      </w:r>
    </w:p>
    <w:p w14:paraId="54DEBBCE">
      <w:pPr>
        <w:tabs>
          <w:tab w:val="left" w:pos="1305"/>
        </w:tabs>
        <w:spacing w:line="40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highlight w:val="none"/>
        </w:rPr>
        <w:t>提供中小微企业</w:t>
      </w:r>
      <w:r>
        <w:rPr>
          <w:rFonts w:hint="eastAsia" w:ascii="宋体" w:hAnsi="宋体" w:cs="宋体"/>
          <w:color w:val="auto"/>
          <w:highlight w:val="none"/>
          <w:lang w:val="en-US" w:eastAsia="zh-CN"/>
        </w:rPr>
        <w:t>或</w:t>
      </w:r>
      <w:r>
        <w:rPr>
          <w:rFonts w:hint="eastAsia" w:ascii="宋体" w:hAnsi="宋体" w:cs="宋体"/>
          <w:color w:val="auto"/>
          <w:highlight w:val="none"/>
        </w:rPr>
        <w:t>监狱企业</w:t>
      </w:r>
      <w:r>
        <w:rPr>
          <w:rFonts w:hint="eastAsia" w:ascii="宋体" w:hAnsi="宋体" w:cs="宋体"/>
          <w:color w:val="auto"/>
          <w:highlight w:val="none"/>
          <w:lang w:val="en-US" w:eastAsia="zh-CN"/>
        </w:rPr>
        <w:t>或</w:t>
      </w:r>
      <w:r>
        <w:rPr>
          <w:rFonts w:hint="eastAsia" w:ascii="宋体" w:hAnsi="宋体" w:cs="宋体"/>
          <w:color w:val="auto"/>
          <w:highlight w:val="none"/>
        </w:rPr>
        <w:t>残疾人福利性单位</w:t>
      </w:r>
      <w:r>
        <w:rPr>
          <w:rFonts w:hint="eastAsia" w:ascii="宋体" w:hAnsi="宋体" w:cs="宋体"/>
          <w:color w:val="auto"/>
          <w:highlight w:val="none"/>
          <w:lang w:val="en-US" w:eastAsia="zh-CN"/>
        </w:rPr>
        <w:t>声明函</w:t>
      </w:r>
      <w:r>
        <w:rPr>
          <w:rFonts w:hint="eastAsia" w:ascii="宋体" w:hAnsi="宋体" w:cs="宋体"/>
          <w:color w:val="auto"/>
          <w:highlight w:val="none"/>
        </w:rPr>
        <w:t>【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highlight w:val="none"/>
        </w:rPr>
        <w:t>（</w:t>
      </w:r>
      <w:r>
        <w:rPr>
          <w:rFonts w:hint="eastAsia" w:ascii="宋体" w:hAnsi="宋体" w:cs="宋体"/>
          <w:b/>
          <w:bCs/>
          <w:color w:val="auto"/>
          <w:highlight w:val="none"/>
          <w:lang w:val="en-US" w:eastAsia="zh-CN"/>
        </w:rPr>
        <w:t>必须</w:t>
      </w:r>
      <w:r>
        <w:rPr>
          <w:rFonts w:hint="eastAsia" w:ascii="宋体" w:hAnsi="宋体" w:cs="宋体"/>
          <w:b/>
          <w:bCs/>
          <w:color w:val="auto"/>
          <w:highlight w:val="none"/>
        </w:rPr>
        <w:t>提供）</w:t>
      </w:r>
      <w:r>
        <w:rPr>
          <w:rFonts w:hint="eastAsia" w:ascii="宋体" w:hAnsi="宋体" w:cs="宋体"/>
          <w:color w:val="auto"/>
          <w:highlight w:val="none"/>
        </w:rPr>
        <w:t>；</w:t>
      </w:r>
    </w:p>
    <w:p w14:paraId="053ED421">
      <w:pPr>
        <w:tabs>
          <w:tab w:val="left" w:pos="1305"/>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6DEC342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函及</w:t>
      </w:r>
      <w:r>
        <w:rPr>
          <w:rFonts w:hint="eastAsia" w:ascii="宋体" w:hAnsi="宋体" w:cs="宋体"/>
          <w:color w:val="auto"/>
          <w:szCs w:val="21"/>
          <w:highlight w:val="none"/>
        </w:rPr>
        <w:t>报价表</w:t>
      </w:r>
      <w:r>
        <w:rPr>
          <w:rFonts w:hint="eastAsia" w:ascii="宋体" w:hAnsi="宋体" w:cs="宋体"/>
          <w:b/>
          <w:bCs/>
          <w:color w:val="auto"/>
          <w:szCs w:val="21"/>
          <w:highlight w:val="none"/>
        </w:rPr>
        <w:t>（必须提供）</w:t>
      </w:r>
      <w:r>
        <w:rPr>
          <w:rFonts w:hint="eastAsia"/>
          <w:b/>
          <w:bCs/>
          <w:color w:val="auto"/>
          <w:highlight w:val="none"/>
        </w:rPr>
        <w:t>；</w:t>
      </w:r>
    </w:p>
    <w:p w14:paraId="76D5870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服务需求响应</w:t>
      </w:r>
      <w:r>
        <w:rPr>
          <w:rFonts w:hint="eastAsia" w:ascii="宋体" w:hAnsi="宋体" w:cs="宋体"/>
          <w:color w:val="auto"/>
          <w:szCs w:val="21"/>
          <w:highlight w:val="none"/>
        </w:rPr>
        <w:t>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7B138590">
      <w:pPr>
        <w:tabs>
          <w:tab w:val="left" w:pos="1305"/>
        </w:tabs>
        <w:spacing w:line="400" w:lineRule="exact"/>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）投标人的服务承诺方案</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6B0F43C">
      <w:pPr>
        <w:tabs>
          <w:tab w:val="left" w:pos="1305"/>
        </w:tabs>
        <w:spacing w:line="400" w:lineRule="exact"/>
        <w:ind w:firstLine="420" w:firstLineChars="200"/>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项目实施技术方案</w:t>
      </w:r>
      <w:r>
        <w:rPr>
          <w:rFonts w:hint="eastAsia" w:ascii="宋体" w:hAnsi="宋体" w:cs="宋体"/>
          <w:b/>
          <w:color w:val="auto"/>
          <w:szCs w:val="21"/>
          <w:highlight w:val="none"/>
          <w:lang w:val="en-US" w:eastAsia="zh-CN"/>
        </w:rPr>
        <w:t>（必须提供）；</w:t>
      </w:r>
    </w:p>
    <w:p w14:paraId="0E31CF22">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75E9C02F">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olor w:val="auto"/>
          <w:szCs w:val="21"/>
          <w:highlight w:val="none"/>
        </w:rPr>
        <w:t>2020年以来具有同类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无不良记录，以中标（成交）通知书或签订的合同复印件为准，并能清晰反映</w:t>
      </w:r>
      <w:r>
        <w:rPr>
          <w:rFonts w:hint="eastAsia" w:ascii="宋体" w:hAnsi="宋体"/>
          <w:color w:val="auto"/>
          <w:szCs w:val="21"/>
          <w:highlight w:val="none"/>
          <w:lang w:val="en-US" w:eastAsia="zh-CN"/>
        </w:rPr>
        <w:t>标的</w:t>
      </w:r>
      <w:r>
        <w:rPr>
          <w:rFonts w:hint="eastAsia" w:ascii="宋体" w:hAnsi="宋体"/>
          <w:color w:val="auto"/>
          <w:szCs w:val="21"/>
          <w:highlight w:val="none"/>
        </w:rPr>
        <w:t>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6ABB48FA">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3800A1A7">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3238C649">
      <w:pPr>
        <w:spacing w:line="400" w:lineRule="exact"/>
        <w:ind w:firstLine="420"/>
        <w:rPr>
          <w:rFonts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1CD468EC">
      <w:pPr>
        <w:spacing w:line="400" w:lineRule="exact"/>
        <w:ind w:firstLine="420"/>
        <w:rPr>
          <w:rFonts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1416ABEA">
      <w:pPr>
        <w:spacing w:line="400" w:lineRule="exact"/>
        <w:ind w:firstLine="420"/>
        <w:rPr>
          <w:rFonts w:ascii="宋体" w:hAnsi="宋体" w:cs="宋体"/>
          <w:b/>
          <w:bCs/>
          <w:color w:val="auto"/>
          <w:highlight w:val="none"/>
        </w:rPr>
      </w:pPr>
      <w:r>
        <w:rPr>
          <w:rFonts w:hint="eastAsia" w:ascii="宋体" w:hAnsi="宋体" w:cs="宋体"/>
          <w:b/>
          <w:bCs/>
          <w:color w:val="auto"/>
          <w:highlight w:val="none"/>
        </w:rPr>
        <w:t>特别说明：</w:t>
      </w:r>
    </w:p>
    <w:p w14:paraId="1D640790">
      <w:pPr>
        <w:tabs>
          <w:tab w:val="left" w:pos="1305"/>
        </w:tabs>
        <w:spacing w:line="400" w:lineRule="exact"/>
        <w:ind w:firstLine="422" w:firstLineChars="200"/>
        <w:rPr>
          <w:rFonts w:ascii="宋体" w:hAnsi="宋体" w:cs="宋体"/>
          <w:b/>
          <w:bCs/>
          <w:color w:val="auto"/>
          <w:szCs w:val="21"/>
          <w:highlight w:val="none"/>
        </w:rPr>
      </w:pPr>
      <w:bookmarkStart w:id="128"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42E7B60E">
      <w:pPr>
        <w:tabs>
          <w:tab w:val="left" w:pos="1305"/>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p>
    <w:p w14:paraId="54AB55C1">
      <w:pPr>
        <w:spacing w:line="400" w:lineRule="exact"/>
        <w:ind w:firstLine="413" w:firstLineChars="196"/>
        <w:outlineLvl w:val="2"/>
        <w:rPr>
          <w:rFonts w:ascii="宋体" w:hAnsi="宋体" w:cs="宋体"/>
          <w:b/>
          <w:color w:val="auto"/>
          <w:szCs w:val="21"/>
          <w:highlight w:val="none"/>
        </w:rPr>
      </w:pPr>
      <w:bookmarkStart w:id="129" w:name="_Toc21633"/>
      <w:bookmarkStart w:id="130" w:name="_Toc31974"/>
      <w:bookmarkStart w:id="131" w:name="_Toc10415"/>
      <w:r>
        <w:rPr>
          <w:rFonts w:hint="eastAsia" w:ascii="宋体" w:hAnsi="宋体" w:cs="宋体"/>
          <w:b/>
          <w:color w:val="auto"/>
          <w:szCs w:val="21"/>
          <w:highlight w:val="none"/>
        </w:rPr>
        <w:t>14. 投标文件的语言及计量</w:t>
      </w:r>
      <w:bookmarkEnd w:id="128"/>
      <w:bookmarkEnd w:id="129"/>
      <w:bookmarkEnd w:id="130"/>
      <w:bookmarkEnd w:id="131"/>
    </w:p>
    <w:p w14:paraId="51EECEA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44092DF">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52BB09A5">
      <w:pPr>
        <w:numPr>
          <w:ilvl w:val="0"/>
          <w:numId w:val="2"/>
        </w:numPr>
        <w:spacing w:line="400" w:lineRule="exact"/>
        <w:ind w:firstLine="413" w:firstLineChars="196"/>
        <w:outlineLvl w:val="2"/>
        <w:rPr>
          <w:rFonts w:ascii="宋体" w:hAnsi="宋体" w:cs="宋体"/>
          <w:b/>
          <w:color w:val="auto"/>
          <w:szCs w:val="21"/>
          <w:highlight w:val="none"/>
        </w:rPr>
      </w:pPr>
      <w:bookmarkStart w:id="132" w:name="_Toc22957"/>
      <w:bookmarkStart w:id="133" w:name="_Toc666"/>
      <w:bookmarkStart w:id="134" w:name="_Toc8372"/>
      <w:bookmarkStart w:id="135" w:name="_Toc13903"/>
      <w:r>
        <w:rPr>
          <w:rFonts w:hint="eastAsia" w:ascii="宋体" w:hAnsi="宋体" w:cs="宋体"/>
          <w:b/>
          <w:color w:val="auto"/>
          <w:szCs w:val="21"/>
          <w:highlight w:val="none"/>
        </w:rPr>
        <w:t>投标报价</w:t>
      </w:r>
      <w:bookmarkEnd w:id="132"/>
      <w:bookmarkEnd w:id="133"/>
      <w:bookmarkEnd w:id="134"/>
      <w:bookmarkEnd w:id="135"/>
    </w:p>
    <w:p w14:paraId="2E799D0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w:t>
      </w:r>
      <w:r>
        <w:rPr>
          <w:rFonts w:hint="eastAsia" w:ascii="宋体" w:hAnsi="宋体" w:cs="宋体"/>
          <w:b/>
          <w:color w:val="auto"/>
          <w:szCs w:val="21"/>
          <w:highlight w:val="none"/>
        </w:rPr>
        <w:t>本项目采购预算总金额（元）：900万元（其中A分标：300万元，B分标：300万元，C分标：300万元）</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最高限价：867万元（其中A分标：288万元，B分标：294万元，C分标：285万元）</w:t>
      </w:r>
      <w:r>
        <w:rPr>
          <w:rFonts w:hint="eastAsia" w:ascii="宋体" w:hAnsi="宋体" w:cs="宋体"/>
          <w:color w:val="auto"/>
          <w:szCs w:val="21"/>
          <w:highlight w:val="none"/>
          <w:lang w:val="en-US" w:eastAsia="zh-CN"/>
        </w:rPr>
        <w:t>，下浮率控制价：A分标下浮率控制价≥4%，B分标下浮率控制价≥2%，C分标下浮率控制价≥5%，</w:t>
      </w:r>
      <w:r>
        <w:rPr>
          <w:rFonts w:hint="eastAsia" w:ascii="宋体" w:hAnsi="宋体"/>
          <w:color w:val="auto"/>
          <w:szCs w:val="21"/>
          <w:highlight w:val="none"/>
        </w:rPr>
        <w:t>投标人报价必须大于等于</w:t>
      </w:r>
      <w:r>
        <w:rPr>
          <w:rFonts w:hint="eastAsia" w:ascii="宋体" w:hAnsi="宋体"/>
          <w:color w:val="auto"/>
          <w:szCs w:val="21"/>
          <w:highlight w:val="none"/>
          <w:lang w:val="en-US" w:eastAsia="zh-CN"/>
        </w:rPr>
        <w:t>相应</w:t>
      </w:r>
      <w:r>
        <w:rPr>
          <w:rFonts w:hint="eastAsia" w:ascii="宋体" w:hAnsi="宋体"/>
          <w:color w:val="auto"/>
          <w:szCs w:val="21"/>
          <w:highlight w:val="none"/>
        </w:rPr>
        <w:t>分标下浮率控制价，否则报价无效。</w:t>
      </w:r>
    </w:p>
    <w:p w14:paraId="79D17B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15.2投标人必须就“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采购需求”中所投内容作完整唯一报价，否则，其投标将被拒绝；投标文件只允许有一个报价，有选择的或有条件的报价将不予接受。</w:t>
      </w:r>
    </w:p>
    <w:p w14:paraId="19EC3B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投标报价应包括但不限于人工费及政策性人工费调整、材料费（材料损耗）、机械使用费、非标产品模具加工费、包装运输费、赶工补偿费、样品费、调试费、综合管理费、合理利润、税金、水电费、清洁卫生费、垃圾清运费、保险费、总包单位管理费以及投标人认为可能发生的风险费等直至完成工程交付标准所需的一切费用以及维保期间（养护期间）的全部费用</w:t>
      </w:r>
      <w:r>
        <w:rPr>
          <w:rFonts w:hint="eastAsia" w:ascii="宋体" w:hAnsi="宋体" w:cs="宋体"/>
          <w:color w:val="auto"/>
          <w:highlight w:val="none"/>
        </w:rPr>
        <w:t>。</w:t>
      </w:r>
    </w:p>
    <w:p w14:paraId="612799A0">
      <w:pPr>
        <w:spacing w:line="400" w:lineRule="exact"/>
        <w:ind w:firstLine="413" w:firstLineChars="196"/>
        <w:outlineLvl w:val="2"/>
        <w:rPr>
          <w:rFonts w:ascii="宋体" w:hAnsi="宋体" w:cs="宋体"/>
          <w:b/>
          <w:color w:val="auto"/>
          <w:szCs w:val="21"/>
          <w:highlight w:val="none"/>
        </w:rPr>
      </w:pPr>
      <w:bookmarkStart w:id="136" w:name="_Toc24338"/>
      <w:bookmarkStart w:id="137" w:name="_Toc7712"/>
      <w:bookmarkStart w:id="138" w:name="_Toc6473"/>
      <w:bookmarkStart w:id="139" w:name="_Toc22333"/>
      <w:r>
        <w:rPr>
          <w:rFonts w:hint="eastAsia" w:ascii="宋体" w:hAnsi="宋体" w:cs="宋体"/>
          <w:b/>
          <w:color w:val="auto"/>
          <w:szCs w:val="21"/>
          <w:highlight w:val="none"/>
        </w:rPr>
        <w:t>16. 投标有效期</w:t>
      </w:r>
      <w:bookmarkEnd w:id="136"/>
      <w:bookmarkEnd w:id="137"/>
      <w:bookmarkEnd w:id="138"/>
      <w:bookmarkEnd w:id="139"/>
    </w:p>
    <w:p w14:paraId="036C45A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09B0FE89">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2127BA47">
      <w:pPr>
        <w:spacing w:line="400" w:lineRule="exact"/>
        <w:ind w:firstLine="413" w:firstLineChars="196"/>
        <w:outlineLvl w:val="2"/>
        <w:rPr>
          <w:rFonts w:ascii="宋体" w:hAnsi="宋体" w:cs="宋体"/>
          <w:b/>
          <w:color w:val="auto"/>
          <w:szCs w:val="21"/>
          <w:highlight w:val="none"/>
        </w:rPr>
      </w:pPr>
      <w:bookmarkStart w:id="140" w:name="_Toc5668"/>
      <w:bookmarkStart w:id="141" w:name="_Toc20211"/>
      <w:bookmarkStart w:id="142" w:name="_Toc10058"/>
      <w:bookmarkStart w:id="143" w:name="_Toc23588"/>
      <w:r>
        <w:rPr>
          <w:rFonts w:hint="eastAsia" w:ascii="宋体" w:hAnsi="宋体" w:cs="宋体"/>
          <w:b/>
          <w:color w:val="auto"/>
          <w:szCs w:val="21"/>
          <w:highlight w:val="none"/>
        </w:rPr>
        <w:t>17. 投标保证金</w:t>
      </w:r>
      <w:bookmarkEnd w:id="140"/>
      <w:bookmarkEnd w:id="141"/>
      <w:bookmarkEnd w:id="142"/>
      <w:bookmarkEnd w:id="143"/>
    </w:p>
    <w:p w14:paraId="5175E366">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216A8A69">
      <w:pPr>
        <w:spacing w:line="400" w:lineRule="exact"/>
        <w:ind w:firstLine="413" w:firstLineChars="196"/>
        <w:outlineLvl w:val="2"/>
        <w:rPr>
          <w:rFonts w:ascii="宋体" w:hAnsi="宋体" w:cs="宋体"/>
          <w:b/>
          <w:color w:val="auto"/>
          <w:szCs w:val="21"/>
          <w:highlight w:val="none"/>
        </w:rPr>
      </w:pPr>
      <w:bookmarkStart w:id="144" w:name="_Toc30873"/>
      <w:bookmarkStart w:id="145" w:name="_Toc6809"/>
      <w:bookmarkStart w:id="146" w:name="_Toc20745"/>
      <w:bookmarkStart w:id="147" w:name="_Toc25494"/>
      <w:bookmarkStart w:id="148" w:name="_Toc17461"/>
      <w:bookmarkStart w:id="149" w:name="_Toc17385"/>
      <w:bookmarkStart w:id="150" w:name="_Toc24490"/>
      <w:r>
        <w:rPr>
          <w:rFonts w:hint="eastAsia" w:ascii="宋体" w:hAnsi="宋体" w:cs="宋体"/>
          <w:b/>
          <w:color w:val="auto"/>
          <w:szCs w:val="21"/>
          <w:highlight w:val="none"/>
        </w:rPr>
        <w:t>18. 投标文件的</w:t>
      </w:r>
      <w:bookmarkEnd w:id="144"/>
      <w:bookmarkEnd w:id="145"/>
      <w:r>
        <w:rPr>
          <w:rFonts w:hint="eastAsia" w:ascii="宋体" w:hAnsi="宋体" w:cs="宋体"/>
          <w:b/>
          <w:color w:val="auto"/>
          <w:szCs w:val="21"/>
          <w:highlight w:val="none"/>
        </w:rPr>
        <w:t>封装</w:t>
      </w:r>
      <w:bookmarkEnd w:id="146"/>
      <w:bookmarkEnd w:id="147"/>
      <w:bookmarkEnd w:id="148"/>
      <w:bookmarkEnd w:id="149"/>
    </w:p>
    <w:p w14:paraId="69006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6D4328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 CA 签章上目前没有法人（负责人）或授权代表签字信息，供应商在投标文件中涉及到签字的位置线下签好字然后扫描或者拍照做成 PDF 的格式即可。 </w:t>
      </w:r>
    </w:p>
    <w:p w14:paraId="5EEC36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投标文件不得涂改，若有修改错漏处，须法定代表人（负责人）或授权委托人签字。投标文件因字迹潦草或表达不清所引起的后果由供应商负责。</w:t>
      </w:r>
    </w:p>
    <w:p w14:paraId="781151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2AE51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5E715D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18.4.2各供应商在截标前应确保成为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xml:space="preserve">正式注册入库供应商，并完成 CA 数字证书申领。因未注册入库、未办理 CA 数字证书等原因造成无法投标或投标失败等后果由供应商自行承担。 </w:t>
      </w:r>
    </w:p>
    <w:p w14:paraId="1FB2AA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18.4.3供应商将政采云电子交易客户端下载、安装完成后，可通过账号密码或 CA 登录客户端进行投标文件制作。客户端请至网站下载专区查看，如有问题可拨打政采云客户服务热线 95763 进行咨询。</w:t>
      </w:r>
    </w:p>
    <w:bookmarkEnd w:id="150"/>
    <w:p w14:paraId="609431C4">
      <w:pPr>
        <w:spacing w:line="400" w:lineRule="exact"/>
        <w:ind w:firstLine="413" w:firstLineChars="196"/>
        <w:outlineLvl w:val="2"/>
        <w:rPr>
          <w:rFonts w:ascii="宋体" w:hAnsi="宋体" w:cs="宋体"/>
          <w:b/>
          <w:color w:val="auto"/>
          <w:szCs w:val="21"/>
          <w:highlight w:val="none"/>
        </w:rPr>
      </w:pPr>
      <w:bookmarkStart w:id="151" w:name="_Toc15044"/>
      <w:bookmarkStart w:id="152" w:name="_Toc15098"/>
      <w:bookmarkStart w:id="153" w:name="_Toc2957"/>
      <w:bookmarkStart w:id="154" w:name="_Toc12348"/>
      <w:bookmarkStart w:id="155" w:name="_Toc24718"/>
      <w:bookmarkStart w:id="156" w:name="_Toc31572"/>
      <w:r>
        <w:rPr>
          <w:rFonts w:hint="eastAsia" w:ascii="宋体" w:hAnsi="宋体" w:cs="宋体"/>
          <w:b/>
          <w:color w:val="auto"/>
          <w:szCs w:val="21"/>
          <w:highlight w:val="none"/>
        </w:rPr>
        <w:t>19. 投标文件的补充、修改和撤回</w:t>
      </w:r>
      <w:bookmarkEnd w:id="151"/>
      <w:bookmarkEnd w:id="152"/>
      <w:bookmarkEnd w:id="153"/>
      <w:bookmarkEnd w:id="154"/>
      <w:bookmarkEnd w:id="155"/>
    </w:p>
    <w:p w14:paraId="0B95A9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23A4E38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在投标文件递交截止时间后的投标文件有效期内，供应商不得撤回其投标文件。</w:t>
      </w:r>
    </w:p>
    <w:bookmarkEnd w:id="156"/>
    <w:p w14:paraId="394735B5">
      <w:pPr>
        <w:spacing w:line="400" w:lineRule="exact"/>
        <w:ind w:firstLine="413" w:firstLineChars="196"/>
        <w:outlineLvl w:val="2"/>
        <w:rPr>
          <w:rFonts w:ascii="宋体" w:hAnsi="宋体" w:cs="宋体"/>
          <w:b/>
          <w:color w:val="auto"/>
          <w:szCs w:val="21"/>
          <w:highlight w:val="none"/>
        </w:rPr>
      </w:pPr>
      <w:bookmarkStart w:id="157" w:name="_Toc13713"/>
      <w:bookmarkStart w:id="158" w:name="_Toc25760"/>
      <w:bookmarkStart w:id="159" w:name="_Toc16777"/>
      <w:bookmarkStart w:id="160" w:name="_Toc27123"/>
      <w:bookmarkStart w:id="161" w:name="_Toc8182"/>
      <w:r>
        <w:rPr>
          <w:rFonts w:hint="eastAsia" w:ascii="宋体" w:hAnsi="宋体" w:cs="宋体"/>
          <w:b/>
          <w:color w:val="auto"/>
          <w:szCs w:val="21"/>
          <w:highlight w:val="none"/>
        </w:rPr>
        <w:t>20. 投标文件的递交</w:t>
      </w:r>
      <w:bookmarkEnd w:id="157"/>
      <w:r>
        <w:rPr>
          <w:rFonts w:hint="eastAsia" w:ascii="宋体" w:hAnsi="宋体" w:cs="宋体"/>
          <w:b/>
          <w:color w:val="auto"/>
          <w:szCs w:val="21"/>
          <w:highlight w:val="none"/>
        </w:rPr>
        <w:t>和解密</w:t>
      </w:r>
      <w:bookmarkEnd w:id="158"/>
      <w:bookmarkEnd w:id="159"/>
      <w:bookmarkEnd w:id="160"/>
      <w:bookmarkEnd w:id="161"/>
    </w:p>
    <w:p w14:paraId="2C4C7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日9时30分整</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技术支持热线咨询，联系方式：95763。</w:t>
      </w:r>
    </w:p>
    <w:p w14:paraId="61BC3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日9时30分</w:t>
      </w:r>
      <w:r>
        <w:rPr>
          <w:rFonts w:hint="eastAsia" w:ascii="宋体" w:hAnsi="宋体" w:cs="宋体"/>
          <w:color w:val="auto"/>
          <w:highlight w:val="none"/>
          <w:u w:val="single"/>
        </w:rPr>
        <w:t>至10时00分</w:t>
      </w:r>
      <w:r>
        <w:rPr>
          <w:rFonts w:hint="eastAsia" w:ascii="宋体" w:hAnsi="宋体" w:cs="宋体"/>
          <w:color w:val="auto"/>
          <w:szCs w:val="21"/>
          <w:highlight w:val="none"/>
        </w:rPr>
        <w:t>)投标人可以登录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【在接到无法解密或解密失败的通知后，投标人可根据自身实际情况按通知时要求的时间到桂林市公共资源交易中心</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号政府采购开标仓现场提交或以电子邮件的形式（以通知时所告知的电子邮箱地址为准）提交电子备份投标文件】</w:t>
      </w:r>
      <w:r>
        <w:rPr>
          <w:rFonts w:hint="eastAsia" w:ascii="宋体" w:hAnsi="宋体" w:cs="宋体"/>
          <w:color w:val="auto"/>
          <w:szCs w:val="21"/>
          <w:highlight w:val="none"/>
        </w:rPr>
        <w:t>，若投标人在规定时间内无法解密或解密失败且未提供电子备份投标文件的(包含提供的电子备份文件无效或无法解密的情况)，视为投标无效。</w:t>
      </w:r>
    </w:p>
    <w:p w14:paraId="604DE8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0532F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电子投标文件的相关说明</w:t>
      </w:r>
    </w:p>
    <w:p w14:paraId="13ABB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0CDDBAA2">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6A8B37CB">
      <w:pPr>
        <w:pStyle w:val="50"/>
        <w:rPr>
          <w:color w:val="auto"/>
          <w:highlight w:val="none"/>
        </w:rPr>
      </w:pPr>
    </w:p>
    <w:p w14:paraId="772FDE7E">
      <w:pPr>
        <w:spacing w:line="360" w:lineRule="auto"/>
        <w:jc w:val="center"/>
        <w:outlineLvl w:val="1"/>
        <w:rPr>
          <w:rFonts w:ascii="宋体" w:hAnsi="宋体" w:cs="宋体"/>
          <w:b/>
          <w:color w:val="auto"/>
          <w:sz w:val="28"/>
          <w:szCs w:val="28"/>
          <w:highlight w:val="none"/>
        </w:rPr>
      </w:pPr>
      <w:bookmarkStart w:id="162" w:name="_Toc307"/>
      <w:bookmarkStart w:id="163" w:name="_Toc495841757"/>
      <w:bookmarkStart w:id="164" w:name="_Toc7699"/>
      <w:bookmarkStart w:id="165" w:name="_Toc29710"/>
      <w:bookmarkStart w:id="166" w:name="_Toc11812"/>
      <w:r>
        <w:rPr>
          <w:rFonts w:hint="eastAsia" w:ascii="宋体" w:hAnsi="宋体" w:cs="宋体"/>
          <w:b/>
          <w:color w:val="auto"/>
          <w:sz w:val="28"/>
          <w:szCs w:val="28"/>
          <w:highlight w:val="none"/>
        </w:rPr>
        <w:t>四、开标</w:t>
      </w:r>
      <w:bookmarkEnd w:id="162"/>
      <w:bookmarkEnd w:id="163"/>
      <w:bookmarkEnd w:id="164"/>
      <w:bookmarkEnd w:id="165"/>
      <w:bookmarkEnd w:id="166"/>
    </w:p>
    <w:p w14:paraId="776474B2">
      <w:pPr>
        <w:spacing w:line="400" w:lineRule="exact"/>
        <w:ind w:firstLine="413" w:firstLineChars="196"/>
        <w:outlineLvl w:val="2"/>
        <w:rPr>
          <w:rFonts w:ascii="宋体" w:hAnsi="宋体" w:cs="宋体"/>
          <w:b/>
          <w:color w:val="auto"/>
          <w:szCs w:val="21"/>
          <w:highlight w:val="none"/>
        </w:rPr>
      </w:pPr>
      <w:bookmarkStart w:id="167" w:name="_Toc19384"/>
      <w:bookmarkStart w:id="168" w:name="_Toc17073"/>
      <w:bookmarkStart w:id="169" w:name="_Toc11595"/>
      <w:bookmarkStart w:id="170" w:name="_Toc18451"/>
      <w:bookmarkStart w:id="171" w:name="_Toc14613"/>
      <w:bookmarkStart w:id="172" w:name="_Toc25198"/>
      <w:bookmarkStart w:id="173" w:name="_Toc495841758"/>
      <w:bookmarkStart w:id="174" w:name="_Toc13013"/>
      <w:r>
        <w:rPr>
          <w:rFonts w:hint="eastAsia" w:ascii="宋体" w:hAnsi="宋体" w:cs="宋体"/>
          <w:b/>
          <w:color w:val="auto"/>
          <w:szCs w:val="21"/>
          <w:highlight w:val="none"/>
        </w:rPr>
        <w:t>21. 开标时间及地点</w:t>
      </w:r>
      <w:bookmarkEnd w:id="167"/>
      <w:bookmarkEnd w:id="168"/>
      <w:bookmarkEnd w:id="169"/>
      <w:bookmarkEnd w:id="170"/>
      <w:bookmarkEnd w:id="171"/>
      <w:bookmarkEnd w:id="172"/>
    </w:p>
    <w:p w14:paraId="05118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2451B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bookmarkStart w:id="328" w:name="_GoBack"/>
      <w:bookmarkEnd w:id="328"/>
      <w:r>
        <w:rPr>
          <w:rFonts w:hint="eastAsia" w:ascii="宋体" w:hAnsi="宋体" w:cs="宋体"/>
          <w:color w:val="auto"/>
          <w:szCs w:val="21"/>
          <w:highlight w:val="none"/>
        </w:rPr>
        <w:t>日9时30分（北京时间）截标后。</w:t>
      </w:r>
    </w:p>
    <w:p w14:paraId="58BAC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263597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在接到无法解密或解密失败的通知后，投标人可根据自身实际情况按通知时要求的时间到桂林市公共资源交易中心</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号政府采购开标仓现场提交或以电子邮件的形式（以通知时所告知的电子邮箱地址为准）提交电子备份投标文件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14:paraId="63868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15928385">
      <w:pPr>
        <w:spacing w:line="360" w:lineRule="auto"/>
        <w:ind w:firstLine="422" w:firstLineChars="200"/>
        <w:rPr>
          <w:rFonts w:ascii="宋体" w:hAnsi="宋体" w:cs="宋体"/>
          <w:b/>
          <w:bCs/>
          <w:color w:val="auto"/>
          <w:szCs w:val="21"/>
          <w:highlight w:val="none"/>
        </w:rPr>
      </w:pPr>
      <w:bookmarkStart w:id="175" w:name="_Toc26562"/>
      <w:bookmarkStart w:id="176" w:name="_Toc8462"/>
      <w:bookmarkStart w:id="177" w:name="_Toc25753"/>
      <w:bookmarkStart w:id="178" w:name="_Toc11217"/>
      <w:bookmarkStart w:id="179" w:name="_Toc15515"/>
      <w:r>
        <w:rPr>
          <w:rFonts w:hint="eastAsia" w:ascii="宋体" w:hAnsi="宋体" w:cs="宋体"/>
          <w:b/>
          <w:bCs/>
          <w:color w:val="auto"/>
          <w:szCs w:val="21"/>
          <w:highlight w:val="none"/>
        </w:rPr>
        <w:t>22. 开标程序</w:t>
      </w:r>
      <w:bookmarkEnd w:id="175"/>
      <w:bookmarkEnd w:id="176"/>
      <w:bookmarkEnd w:id="177"/>
      <w:bookmarkEnd w:id="178"/>
      <w:bookmarkEnd w:id="179"/>
    </w:p>
    <w:p w14:paraId="4CAD7A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1F1B6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负责落实；</w:t>
      </w:r>
    </w:p>
    <w:p w14:paraId="2193C1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A40AC6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0C9F3C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5FCF97A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411D12F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22.2.3.开启投标人报价文件，开标活动组织人员宣读开标（报价）一览表有关内容，投标人代表如果认为宣读有误，可以当场提出异议。</w:t>
      </w:r>
    </w:p>
    <w:p w14:paraId="1FB3B15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3C5697A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71CE4EE4">
      <w:pPr>
        <w:pStyle w:val="50"/>
        <w:rPr>
          <w:color w:val="auto"/>
          <w:highlight w:val="none"/>
        </w:rPr>
      </w:pPr>
    </w:p>
    <w:p w14:paraId="4DCEE06B">
      <w:pPr>
        <w:spacing w:line="360" w:lineRule="auto"/>
        <w:jc w:val="center"/>
        <w:outlineLvl w:val="1"/>
        <w:rPr>
          <w:rFonts w:ascii="宋体" w:hAnsi="宋体" w:cs="宋体"/>
          <w:b/>
          <w:color w:val="auto"/>
          <w:sz w:val="28"/>
          <w:szCs w:val="28"/>
          <w:highlight w:val="none"/>
        </w:rPr>
      </w:pPr>
      <w:bookmarkStart w:id="180" w:name="_Toc5307"/>
      <w:bookmarkStart w:id="181" w:name="_Toc23919"/>
      <w:bookmarkStart w:id="182" w:name="_Toc6290"/>
      <w:r>
        <w:rPr>
          <w:rFonts w:hint="eastAsia" w:ascii="宋体" w:hAnsi="宋体" w:cs="宋体"/>
          <w:b/>
          <w:color w:val="auto"/>
          <w:sz w:val="28"/>
          <w:szCs w:val="28"/>
          <w:highlight w:val="none"/>
        </w:rPr>
        <w:t>五、资格性审查</w:t>
      </w:r>
      <w:bookmarkEnd w:id="173"/>
      <w:bookmarkEnd w:id="174"/>
      <w:bookmarkEnd w:id="180"/>
      <w:bookmarkEnd w:id="181"/>
      <w:bookmarkEnd w:id="182"/>
    </w:p>
    <w:p w14:paraId="23578E69">
      <w:pPr>
        <w:spacing w:line="400" w:lineRule="exact"/>
        <w:ind w:firstLine="413" w:firstLineChars="196"/>
        <w:outlineLvl w:val="2"/>
        <w:rPr>
          <w:rFonts w:ascii="宋体" w:hAnsi="宋体" w:cs="宋体"/>
          <w:b/>
          <w:color w:val="auto"/>
          <w:szCs w:val="21"/>
          <w:highlight w:val="none"/>
        </w:rPr>
      </w:pPr>
      <w:bookmarkStart w:id="183" w:name="_Toc9656"/>
      <w:bookmarkStart w:id="184" w:name="_Toc26297"/>
      <w:bookmarkStart w:id="185" w:name="_Toc9770"/>
      <w:bookmarkStart w:id="186" w:name="_Toc13578"/>
      <w:r>
        <w:rPr>
          <w:rFonts w:hint="eastAsia" w:ascii="宋体" w:hAnsi="宋体" w:cs="宋体"/>
          <w:b/>
          <w:color w:val="auto"/>
          <w:szCs w:val="21"/>
          <w:highlight w:val="none"/>
        </w:rPr>
        <w:t>23. 资格性审查</w:t>
      </w:r>
      <w:bookmarkEnd w:id="183"/>
      <w:bookmarkEnd w:id="184"/>
      <w:bookmarkEnd w:id="185"/>
      <w:bookmarkEnd w:id="186"/>
    </w:p>
    <w:p w14:paraId="32525801">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5D27DFE8">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5EE277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70C7AC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533E78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52B314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2341B8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4E27A7A2">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187" w:name="_Toc495841759"/>
      <w:bookmarkStart w:id="188" w:name="_Toc3415"/>
    </w:p>
    <w:p w14:paraId="056A6BEF">
      <w:pPr>
        <w:spacing w:line="360" w:lineRule="auto"/>
        <w:jc w:val="center"/>
        <w:outlineLvl w:val="1"/>
        <w:rPr>
          <w:rFonts w:ascii="宋体" w:hAnsi="宋体" w:cs="宋体"/>
          <w:b/>
          <w:color w:val="auto"/>
          <w:sz w:val="28"/>
          <w:szCs w:val="28"/>
          <w:highlight w:val="none"/>
        </w:rPr>
      </w:pPr>
      <w:bookmarkStart w:id="189" w:name="_Toc6984"/>
      <w:bookmarkStart w:id="190" w:name="_Toc32155"/>
      <w:bookmarkStart w:id="191" w:name="_Toc18708"/>
      <w:r>
        <w:rPr>
          <w:rFonts w:hint="eastAsia" w:ascii="宋体" w:hAnsi="宋体" w:cs="宋体"/>
          <w:b/>
          <w:color w:val="auto"/>
          <w:sz w:val="28"/>
          <w:szCs w:val="28"/>
          <w:highlight w:val="none"/>
        </w:rPr>
        <w:t>六、评标</w:t>
      </w:r>
      <w:bookmarkEnd w:id="187"/>
      <w:bookmarkEnd w:id="188"/>
      <w:bookmarkEnd w:id="189"/>
      <w:bookmarkEnd w:id="190"/>
      <w:bookmarkEnd w:id="191"/>
    </w:p>
    <w:p w14:paraId="56A853EF">
      <w:pPr>
        <w:spacing w:line="360" w:lineRule="exact"/>
        <w:ind w:firstLine="413" w:firstLineChars="196"/>
        <w:outlineLvl w:val="2"/>
        <w:rPr>
          <w:rFonts w:ascii="宋体" w:hAnsi="宋体" w:cs="宋体"/>
          <w:b/>
          <w:color w:val="auto"/>
          <w:szCs w:val="21"/>
          <w:highlight w:val="none"/>
        </w:rPr>
      </w:pPr>
      <w:bookmarkStart w:id="192" w:name="_Toc27261"/>
      <w:bookmarkStart w:id="193" w:name="_Toc21232"/>
      <w:bookmarkStart w:id="194" w:name="_Toc14749"/>
      <w:bookmarkStart w:id="195" w:name="_Toc2986"/>
      <w:r>
        <w:rPr>
          <w:rFonts w:hint="eastAsia" w:ascii="宋体" w:hAnsi="宋体" w:cs="宋体"/>
          <w:b/>
          <w:color w:val="auto"/>
          <w:szCs w:val="21"/>
          <w:highlight w:val="none"/>
        </w:rPr>
        <w:t>24. 评标委员会组成</w:t>
      </w:r>
      <w:bookmarkEnd w:id="192"/>
      <w:bookmarkEnd w:id="193"/>
      <w:bookmarkEnd w:id="194"/>
      <w:bookmarkEnd w:id="195"/>
    </w:p>
    <w:p w14:paraId="3746E200">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评标委员会由采购人代表和有关技术、经济等方面的专家组成，成员人数共5人，其中采购人代表1人，技术、经济等专家4人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评标委员会</w:t>
      </w:r>
      <w:r>
        <w:rPr>
          <w:rFonts w:hint="eastAsia"/>
          <w:color w:val="auto"/>
          <w:szCs w:val="21"/>
          <w:highlight w:val="none"/>
          <w:shd w:val="clear" w:color="auto" w:fill="auto"/>
          <w:lang w:val="en-US" w:eastAsia="zh-CN"/>
        </w:rPr>
        <w:t>从广西政采云平台</w:t>
      </w:r>
      <w:r>
        <w:rPr>
          <w:rFonts w:hint="eastAsia"/>
          <w:color w:val="auto"/>
          <w:szCs w:val="21"/>
          <w:highlight w:val="none"/>
          <w:shd w:val="clear" w:color="auto" w:fill="auto"/>
        </w:rPr>
        <w:t>政府采购评审专家库</w:t>
      </w:r>
      <w:r>
        <w:rPr>
          <w:rFonts w:hint="eastAsia"/>
          <w:color w:val="auto"/>
          <w:szCs w:val="21"/>
          <w:highlight w:val="none"/>
          <w:shd w:val="clear" w:color="auto" w:fill="auto"/>
          <w:lang w:val="en-US" w:eastAsia="zh-CN"/>
        </w:rPr>
        <w:t>中随机</w:t>
      </w:r>
      <w:r>
        <w:rPr>
          <w:rFonts w:hint="eastAsia"/>
          <w:color w:val="auto"/>
          <w:szCs w:val="21"/>
          <w:highlight w:val="none"/>
          <w:shd w:val="clear" w:color="auto" w:fill="auto"/>
        </w:rPr>
        <w:t>抽取</w:t>
      </w:r>
      <w:r>
        <w:rPr>
          <w:rFonts w:hint="eastAsia" w:ascii="宋体" w:hAnsi="宋体" w:cs="宋体"/>
          <w:color w:val="auto"/>
          <w:szCs w:val="21"/>
          <w:highlight w:val="none"/>
        </w:rPr>
        <w:t>。</w:t>
      </w:r>
    </w:p>
    <w:p w14:paraId="2E18DECF">
      <w:pPr>
        <w:spacing w:line="360" w:lineRule="exact"/>
        <w:ind w:firstLine="413" w:firstLineChars="196"/>
        <w:outlineLvl w:val="2"/>
        <w:rPr>
          <w:rFonts w:ascii="宋体" w:hAnsi="宋体" w:cs="宋体"/>
          <w:b/>
          <w:color w:val="auto"/>
          <w:szCs w:val="21"/>
          <w:highlight w:val="none"/>
        </w:rPr>
      </w:pPr>
      <w:bookmarkStart w:id="196" w:name="_Toc24437"/>
      <w:bookmarkStart w:id="197" w:name="_Toc21726"/>
      <w:bookmarkStart w:id="198" w:name="_Toc30841"/>
      <w:bookmarkStart w:id="199" w:name="_Toc26762"/>
      <w:r>
        <w:rPr>
          <w:rFonts w:hint="eastAsia" w:ascii="宋体" w:hAnsi="宋体" w:cs="宋体"/>
          <w:b/>
          <w:color w:val="auto"/>
          <w:szCs w:val="21"/>
          <w:highlight w:val="none"/>
        </w:rPr>
        <w:t>25. 评标</w:t>
      </w:r>
      <w:bookmarkEnd w:id="196"/>
      <w:r>
        <w:rPr>
          <w:rFonts w:hint="eastAsia" w:ascii="宋体" w:hAnsi="宋体" w:cs="宋体"/>
          <w:b/>
          <w:color w:val="auto"/>
          <w:szCs w:val="21"/>
          <w:highlight w:val="none"/>
        </w:rPr>
        <w:t>原则</w:t>
      </w:r>
      <w:bookmarkEnd w:id="197"/>
      <w:bookmarkEnd w:id="198"/>
      <w:bookmarkEnd w:id="199"/>
    </w:p>
    <w:p w14:paraId="4AA356C4">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4B1F37B8">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40B9AF3E">
      <w:pPr>
        <w:spacing w:line="360" w:lineRule="exact"/>
        <w:ind w:firstLine="413" w:firstLineChars="196"/>
        <w:outlineLvl w:val="2"/>
        <w:rPr>
          <w:rFonts w:ascii="宋体" w:hAnsi="宋体" w:cs="宋体"/>
          <w:b/>
          <w:color w:val="auto"/>
          <w:szCs w:val="21"/>
          <w:highlight w:val="none"/>
        </w:rPr>
      </w:pPr>
      <w:bookmarkStart w:id="200" w:name="_Toc32561"/>
      <w:bookmarkStart w:id="201" w:name="_Toc31182"/>
      <w:bookmarkStart w:id="202" w:name="_Toc19085"/>
      <w:bookmarkStart w:id="203" w:name="_Toc20321"/>
      <w:r>
        <w:rPr>
          <w:rFonts w:hint="eastAsia" w:ascii="宋体" w:hAnsi="宋体" w:cs="宋体"/>
          <w:b/>
          <w:color w:val="auto"/>
          <w:szCs w:val="21"/>
          <w:highlight w:val="none"/>
        </w:rPr>
        <w:t>26. 评标</w:t>
      </w:r>
      <w:bookmarkEnd w:id="200"/>
      <w:bookmarkEnd w:id="201"/>
      <w:bookmarkEnd w:id="202"/>
      <w:bookmarkEnd w:id="203"/>
    </w:p>
    <w:p w14:paraId="40D5EC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报告；评标工作完成后，按照规定向评标专家支付劳务报酬和异地评审差旅费，不得向评标专家以外的其他人员支付评审劳务报酬。</w:t>
      </w:r>
    </w:p>
    <w:p w14:paraId="34F786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2709A9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2C1783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65B2E4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DB43AFF">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770C993">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3D91B3A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4FAE53A7">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47D4598B">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8933D65">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9CE7746">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D24891E">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312E94E8">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CB9C0A">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44BFAE3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607F568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70CA5AD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0E63787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331D2EB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5D0093F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w:t>
      </w:r>
    </w:p>
    <w:p w14:paraId="0BF448C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w:t>
      </w:r>
    </w:p>
    <w:p w14:paraId="724291AD">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Cs w:val="21"/>
          <w:highlight w:val="none"/>
          <w:lang w:val="en-US" w:eastAsia="zh-CN"/>
        </w:rPr>
        <w:t>广西壮族自治区财政厅政府采购监督管理处</w:t>
      </w:r>
      <w:r>
        <w:rPr>
          <w:rFonts w:hint="eastAsia" w:ascii="宋体" w:hAnsi="宋体" w:cs="宋体"/>
          <w:color w:val="auto"/>
          <w:szCs w:val="21"/>
          <w:highlight w:val="none"/>
        </w:rPr>
        <w:t>报告。</w:t>
      </w:r>
    </w:p>
    <w:p w14:paraId="32010841">
      <w:pPr>
        <w:spacing w:line="360" w:lineRule="exact"/>
        <w:ind w:firstLine="413" w:firstLineChars="196"/>
        <w:outlineLvl w:val="2"/>
        <w:rPr>
          <w:rFonts w:ascii="宋体" w:hAnsi="宋体" w:cs="宋体"/>
          <w:b/>
          <w:color w:val="auto"/>
          <w:szCs w:val="21"/>
          <w:highlight w:val="none"/>
        </w:rPr>
      </w:pPr>
      <w:bookmarkStart w:id="204" w:name="_Toc11811"/>
      <w:bookmarkStart w:id="205" w:name="_Toc21639"/>
      <w:bookmarkStart w:id="206" w:name="_Toc11289"/>
      <w:bookmarkStart w:id="207" w:name="_Toc30450"/>
      <w:r>
        <w:rPr>
          <w:rFonts w:hint="eastAsia" w:ascii="宋体" w:hAnsi="宋体" w:cs="宋体"/>
          <w:b/>
          <w:color w:val="auto"/>
          <w:szCs w:val="21"/>
          <w:highlight w:val="none"/>
        </w:rPr>
        <w:t>27. 推荐及确定中标候选供应商原则</w:t>
      </w:r>
      <w:bookmarkEnd w:id="204"/>
      <w:bookmarkEnd w:id="205"/>
      <w:bookmarkEnd w:id="206"/>
      <w:bookmarkEnd w:id="207"/>
    </w:p>
    <w:p w14:paraId="03DB51D3">
      <w:pPr>
        <w:tabs>
          <w:tab w:val="left" w:pos="4214"/>
        </w:tabs>
        <w:spacing w:line="360" w:lineRule="exact"/>
        <w:ind w:firstLine="420" w:firstLineChars="200"/>
        <w:rPr>
          <w:rFonts w:ascii="宋体" w:hAnsi="宋体" w:cs="宋体"/>
          <w:color w:val="auto"/>
          <w:szCs w:val="21"/>
          <w:highlight w:val="none"/>
        </w:rPr>
      </w:pPr>
      <w:r>
        <w:rPr>
          <w:rFonts w:hint="eastAsia" w:hAnsi="宋体" w:cs="宋体"/>
          <w:color w:val="auto"/>
          <w:szCs w:val="21"/>
          <w:highlight w:val="none"/>
        </w:rPr>
        <w:t>（1）评标委员会根据综合得分由高到低排列次序，若得分相同时，按评标报价由</w:t>
      </w:r>
      <w:r>
        <w:rPr>
          <w:rFonts w:hint="eastAsia" w:hAnsi="宋体" w:cs="宋体"/>
          <w:color w:val="auto"/>
          <w:szCs w:val="21"/>
          <w:highlight w:val="none"/>
          <w:lang w:val="en-US" w:eastAsia="zh-CN"/>
        </w:rPr>
        <w:t>高</w:t>
      </w:r>
      <w:r>
        <w:rPr>
          <w:rFonts w:hint="eastAsia" w:hAnsi="宋体" w:cs="宋体"/>
          <w:color w:val="auto"/>
          <w:szCs w:val="21"/>
          <w:highlight w:val="none"/>
        </w:rPr>
        <w:t>到</w:t>
      </w:r>
      <w:r>
        <w:rPr>
          <w:rFonts w:hint="eastAsia" w:hAnsi="宋体" w:cs="宋体"/>
          <w:color w:val="auto"/>
          <w:szCs w:val="21"/>
          <w:highlight w:val="none"/>
          <w:lang w:val="en-US" w:eastAsia="zh-CN"/>
        </w:rPr>
        <w:t>低</w:t>
      </w:r>
      <w:r>
        <w:rPr>
          <w:rFonts w:hint="eastAsia" w:hAnsi="宋体" w:cs="宋体"/>
          <w:color w:val="auto"/>
          <w:szCs w:val="21"/>
          <w:highlight w:val="none"/>
        </w:rPr>
        <w:t>顺序排列；得分相同且评标报价也相同的，</w:t>
      </w:r>
      <w:r>
        <w:rPr>
          <w:rFonts w:hint="eastAsia" w:ascii="宋体" w:hAnsi="宋体" w:cs="宋体"/>
          <w:color w:val="auto"/>
          <w:szCs w:val="21"/>
          <w:highlight w:val="none"/>
        </w:rPr>
        <w:t>以</w:t>
      </w:r>
      <w:r>
        <w:rPr>
          <w:rFonts w:hint="eastAsia" w:hAnsi="宋体" w:cs="宋体"/>
          <w:color w:val="auto"/>
          <w:szCs w:val="21"/>
          <w:highlight w:val="none"/>
          <w:lang w:val="en-US" w:eastAsia="zh-CN"/>
        </w:rPr>
        <w:t>技术评审</w:t>
      </w:r>
      <w:r>
        <w:rPr>
          <w:rFonts w:hint="eastAsia" w:ascii="宋体" w:hAnsi="宋体" w:cs="宋体"/>
          <w:color w:val="auto"/>
          <w:szCs w:val="21"/>
          <w:highlight w:val="none"/>
        </w:rPr>
        <w:t>分由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若仍相同的，以</w:t>
      </w:r>
      <w:r>
        <w:rPr>
          <w:rFonts w:hint="eastAsia" w:hAnsi="宋体" w:cs="宋体"/>
          <w:color w:val="auto"/>
          <w:szCs w:val="21"/>
          <w:highlight w:val="none"/>
          <w:lang w:val="en-US" w:eastAsia="zh-CN"/>
        </w:rPr>
        <w:t>商务评审</w:t>
      </w:r>
      <w:r>
        <w:rPr>
          <w:rFonts w:hint="eastAsia" w:hAnsi="宋体" w:cs="宋体"/>
          <w:color w:val="auto"/>
          <w:szCs w:val="21"/>
          <w:highlight w:val="none"/>
        </w:rPr>
        <w:t>业绩分</w:t>
      </w:r>
      <w:r>
        <w:rPr>
          <w:rFonts w:hint="eastAsia" w:ascii="宋体" w:hAnsi="宋体" w:cs="宋体"/>
          <w:color w:val="auto"/>
          <w:szCs w:val="21"/>
          <w:highlight w:val="none"/>
        </w:rPr>
        <w:t>由</w:t>
      </w:r>
      <w:r>
        <w:rPr>
          <w:rFonts w:hint="eastAsia" w:hAnsi="宋体" w:cs="宋体"/>
          <w:color w:val="auto"/>
          <w:szCs w:val="21"/>
          <w:highlight w:val="none"/>
        </w:rPr>
        <w:t>高</w:t>
      </w:r>
      <w:r>
        <w:rPr>
          <w:rFonts w:hint="eastAsia" w:ascii="宋体" w:hAnsi="宋体" w:cs="宋体"/>
          <w:color w:val="auto"/>
          <w:szCs w:val="21"/>
          <w:highlight w:val="none"/>
        </w:rPr>
        <w:t>到</w:t>
      </w:r>
      <w:r>
        <w:rPr>
          <w:rFonts w:hint="eastAsia" w:hAnsi="宋体" w:cs="宋体"/>
          <w:color w:val="auto"/>
          <w:szCs w:val="21"/>
          <w:highlight w:val="none"/>
        </w:rPr>
        <w:t>低</w:t>
      </w:r>
      <w:r>
        <w:rPr>
          <w:rFonts w:hint="eastAsia" w:ascii="宋体" w:hAnsi="宋体" w:cs="宋体"/>
          <w:color w:val="auto"/>
          <w:szCs w:val="21"/>
          <w:highlight w:val="none"/>
        </w:rPr>
        <w:t>顺序排列；</w:t>
      </w:r>
      <w:r>
        <w:rPr>
          <w:rFonts w:hint="eastAsia" w:hAnsi="宋体" w:cs="宋体"/>
          <w:color w:val="auto"/>
          <w:szCs w:val="21"/>
          <w:highlight w:val="none"/>
        </w:rPr>
        <w:t>若仍相同的则由评标委员会按照抽签的方式决定排列次序。</w:t>
      </w:r>
    </w:p>
    <w:p w14:paraId="111A00BA">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12FD0F48">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（3）排名第一的中标候选供应商放弃中标、因不可抗力提出不能履行合同，或因失信行为被取消中标候选供应商资格的，采购人可以确定排名第二的中标候选供应商为中标供应商，并依此类推。</w:t>
      </w:r>
    </w:p>
    <w:p w14:paraId="0D05738B">
      <w:pPr>
        <w:spacing w:line="360" w:lineRule="exact"/>
        <w:ind w:firstLine="413" w:firstLineChars="196"/>
        <w:outlineLvl w:val="2"/>
        <w:rPr>
          <w:rFonts w:ascii="宋体" w:hAnsi="宋体" w:cs="宋体"/>
          <w:b/>
          <w:color w:val="auto"/>
          <w:szCs w:val="21"/>
          <w:highlight w:val="none"/>
        </w:rPr>
      </w:pPr>
      <w:bookmarkStart w:id="208" w:name="_Toc31123"/>
      <w:bookmarkStart w:id="209" w:name="_Toc1836"/>
      <w:bookmarkStart w:id="210" w:name="_Toc7479"/>
      <w:bookmarkStart w:id="211" w:name="_Toc10425"/>
      <w:r>
        <w:rPr>
          <w:rFonts w:hint="eastAsia" w:ascii="宋体" w:hAnsi="宋体" w:cs="宋体"/>
          <w:b/>
          <w:color w:val="auto"/>
          <w:szCs w:val="21"/>
          <w:highlight w:val="none"/>
        </w:rPr>
        <w:t>28. 属于下列情况之一者，投标无效</w:t>
      </w:r>
      <w:bookmarkEnd w:id="208"/>
      <w:bookmarkEnd w:id="209"/>
      <w:bookmarkEnd w:id="210"/>
      <w:bookmarkEnd w:id="211"/>
    </w:p>
    <w:p w14:paraId="7F1C170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0870B12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5BBBF13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744B4249">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72B66625">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4F46F706">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采购需求”中的所有内容作完整唯一报价的</w:t>
      </w:r>
      <w:r>
        <w:rPr>
          <w:rFonts w:hint="eastAsia" w:ascii="宋体" w:hAnsi="宋体" w:cs="宋体"/>
          <w:color w:val="auto"/>
          <w:highlight w:val="none"/>
        </w:rPr>
        <w:t>；</w:t>
      </w:r>
    </w:p>
    <w:p w14:paraId="6C7F2A8D">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0F22CB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297291F4">
      <w:pPr>
        <w:spacing w:line="360" w:lineRule="exact"/>
        <w:ind w:firstLine="413" w:firstLineChars="196"/>
        <w:outlineLvl w:val="2"/>
        <w:rPr>
          <w:rFonts w:ascii="宋体" w:hAnsi="宋体" w:cs="宋体"/>
          <w:b/>
          <w:color w:val="auto"/>
          <w:szCs w:val="21"/>
          <w:highlight w:val="none"/>
        </w:rPr>
      </w:pPr>
      <w:bookmarkStart w:id="212" w:name="_Toc22590"/>
      <w:bookmarkStart w:id="213" w:name="_Toc27046"/>
      <w:bookmarkStart w:id="214" w:name="_Toc15081"/>
      <w:bookmarkStart w:id="215" w:name="_Toc26364"/>
      <w:r>
        <w:rPr>
          <w:rFonts w:hint="eastAsia" w:ascii="宋体" w:hAnsi="宋体" w:cs="宋体"/>
          <w:b/>
          <w:color w:val="auto"/>
          <w:szCs w:val="21"/>
          <w:highlight w:val="none"/>
        </w:rPr>
        <w:t>29. 投标人有下列情形之一的，视为串通投标，投标文件将被视为无效</w:t>
      </w:r>
      <w:bookmarkEnd w:id="212"/>
      <w:bookmarkEnd w:id="213"/>
      <w:bookmarkEnd w:id="214"/>
      <w:bookmarkEnd w:id="215"/>
    </w:p>
    <w:p w14:paraId="425037DD">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114960AF">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6053B3C7">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565C90C6">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390EF39E">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7740BAB0">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0B0E4596">
      <w:pPr>
        <w:spacing w:line="360" w:lineRule="exact"/>
        <w:ind w:firstLine="413" w:firstLineChars="196"/>
        <w:outlineLvl w:val="2"/>
        <w:rPr>
          <w:rFonts w:ascii="宋体" w:hAnsi="宋体" w:cs="宋体"/>
          <w:b/>
          <w:color w:val="auto"/>
          <w:szCs w:val="21"/>
          <w:highlight w:val="none"/>
        </w:rPr>
      </w:pPr>
      <w:bookmarkStart w:id="216" w:name="_Toc18148"/>
      <w:bookmarkStart w:id="217" w:name="_Toc19732"/>
      <w:bookmarkStart w:id="218" w:name="_Toc5437"/>
      <w:bookmarkStart w:id="219" w:name="_Toc16182"/>
      <w:r>
        <w:rPr>
          <w:rFonts w:hint="eastAsia" w:ascii="宋体" w:hAnsi="宋体" w:cs="宋体"/>
          <w:b/>
          <w:color w:val="auto"/>
          <w:szCs w:val="21"/>
          <w:highlight w:val="none"/>
        </w:rPr>
        <w:t>30. 属于下列情形之一的，应予废标</w:t>
      </w:r>
      <w:bookmarkEnd w:id="216"/>
      <w:bookmarkEnd w:id="217"/>
      <w:bookmarkEnd w:id="218"/>
      <w:bookmarkEnd w:id="219"/>
    </w:p>
    <w:p w14:paraId="14E085FC">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488B1DC2">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5B1F857">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1DDC2F09">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300E4CCA">
      <w:pPr>
        <w:spacing w:line="360" w:lineRule="exact"/>
        <w:ind w:firstLine="413" w:firstLineChars="196"/>
        <w:outlineLvl w:val="2"/>
        <w:rPr>
          <w:rFonts w:ascii="宋体" w:hAnsi="宋体" w:cs="宋体"/>
          <w:b/>
          <w:color w:val="auto"/>
          <w:szCs w:val="21"/>
          <w:highlight w:val="none"/>
        </w:rPr>
      </w:pPr>
      <w:bookmarkStart w:id="220" w:name="_Toc32529"/>
      <w:bookmarkStart w:id="221" w:name="_Toc28686"/>
      <w:bookmarkStart w:id="222" w:name="_Toc13917"/>
      <w:bookmarkStart w:id="223" w:name="_Toc32583"/>
      <w:r>
        <w:rPr>
          <w:rFonts w:hint="eastAsia" w:ascii="宋体" w:hAnsi="宋体" w:cs="宋体"/>
          <w:b/>
          <w:color w:val="auto"/>
          <w:szCs w:val="21"/>
          <w:highlight w:val="none"/>
        </w:rPr>
        <w:t>31. 开标、评标过程的监控</w:t>
      </w:r>
      <w:bookmarkEnd w:id="220"/>
      <w:bookmarkEnd w:id="221"/>
      <w:bookmarkEnd w:id="222"/>
      <w:bookmarkEnd w:id="223"/>
    </w:p>
    <w:p w14:paraId="75DB53E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1B28405E">
      <w:pPr>
        <w:spacing w:line="360" w:lineRule="exact"/>
        <w:ind w:firstLine="413" w:firstLineChars="196"/>
        <w:outlineLvl w:val="2"/>
        <w:rPr>
          <w:rFonts w:ascii="宋体" w:hAnsi="宋体" w:cs="宋体"/>
          <w:b/>
          <w:color w:val="auto"/>
          <w:szCs w:val="21"/>
          <w:highlight w:val="none"/>
        </w:rPr>
      </w:pPr>
      <w:bookmarkStart w:id="224" w:name="_Toc28118"/>
      <w:bookmarkStart w:id="225" w:name="_Toc5309"/>
      <w:bookmarkStart w:id="226" w:name="_Toc1321"/>
      <w:bookmarkStart w:id="227" w:name="_Toc9588"/>
      <w:r>
        <w:rPr>
          <w:rFonts w:hint="eastAsia" w:ascii="宋体" w:hAnsi="宋体" w:cs="宋体"/>
          <w:b/>
          <w:color w:val="auto"/>
          <w:szCs w:val="21"/>
          <w:highlight w:val="none"/>
        </w:rPr>
        <w:t>32. 信用查询</w:t>
      </w:r>
      <w:bookmarkEnd w:id="224"/>
      <w:bookmarkEnd w:id="225"/>
      <w:bookmarkEnd w:id="226"/>
      <w:bookmarkEnd w:id="227"/>
    </w:p>
    <w:p w14:paraId="1868E78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1B084B8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⑴查询渠道：“信用中国”网站(www.creditchina.gov.cn)、中国政府采购网(www.ccgp.gov.cn)等；</w:t>
      </w:r>
    </w:p>
    <w:p w14:paraId="193E0A53">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⑵查询时间：中标通知书发出前；</w:t>
      </w:r>
    </w:p>
    <w:p w14:paraId="357C68C0">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⑶信用信息查询记录和证据留存方式：在查询网站中直接打印查询记录，打印材料作为采购活动资料保存；</w:t>
      </w:r>
    </w:p>
    <w:p w14:paraId="29992CEB">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7D57E509">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4FD1F77E">
      <w:pPr>
        <w:spacing w:line="360" w:lineRule="exact"/>
        <w:ind w:firstLine="413" w:firstLineChars="196"/>
        <w:outlineLvl w:val="2"/>
        <w:rPr>
          <w:rFonts w:ascii="宋体" w:hAnsi="宋体" w:cs="宋体"/>
          <w:b/>
          <w:color w:val="auto"/>
          <w:szCs w:val="21"/>
          <w:highlight w:val="none"/>
        </w:rPr>
      </w:pPr>
      <w:bookmarkStart w:id="228" w:name="_Toc17026"/>
      <w:bookmarkStart w:id="229" w:name="_Toc27712"/>
      <w:bookmarkStart w:id="230" w:name="_Toc9044"/>
      <w:bookmarkStart w:id="231" w:name="_Toc1902"/>
      <w:r>
        <w:rPr>
          <w:rFonts w:hint="eastAsia" w:ascii="宋体" w:hAnsi="宋体" w:cs="宋体"/>
          <w:b/>
          <w:color w:val="auto"/>
          <w:szCs w:val="21"/>
          <w:highlight w:val="none"/>
        </w:rPr>
        <w:t>33. 中标公告及中标通知书</w:t>
      </w:r>
      <w:bookmarkEnd w:id="228"/>
      <w:bookmarkEnd w:id="229"/>
      <w:bookmarkEnd w:id="230"/>
      <w:bookmarkEnd w:id="231"/>
    </w:p>
    <w:p w14:paraId="0CA7C31A">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0969B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33.2中标公告发布的同时，采购代理机构向中标供应商发出中标通知书，中标供应商应自接到通知之日起七个工作日内，办理中标通知书领取手续。</w:t>
      </w:r>
      <w:bookmarkStart w:id="232" w:name="_Toc495841760"/>
      <w:bookmarkStart w:id="233" w:name="_Toc31543"/>
    </w:p>
    <w:p w14:paraId="6FC3E19D">
      <w:pPr>
        <w:pStyle w:val="50"/>
        <w:rPr>
          <w:color w:val="auto"/>
          <w:highlight w:val="none"/>
        </w:rPr>
      </w:pPr>
    </w:p>
    <w:p w14:paraId="231E097C">
      <w:pPr>
        <w:spacing w:line="360" w:lineRule="auto"/>
        <w:jc w:val="center"/>
        <w:outlineLvl w:val="1"/>
        <w:rPr>
          <w:rFonts w:ascii="宋体" w:hAnsi="宋体" w:cs="宋体"/>
          <w:b/>
          <w:color w:val="auto"/>
          <w:sz w:val="28"/>
          <w:szCs w:val="28"/>
          <w:highlight w:val="none"/>
        </w:rPr>
      </w:pPr>
      <w:bookmarkStart w:id="234" w:name="_Toc19631"/>
      <w:bookmarkStart w:id="235" w:name="_Toc5902"/>
      <w:bookmarkStart w:id="236" w:name="_Toc28678"/>
      <w:r>
        <w:rPr>
          <w:rFonts w:hint="eastAsia" w:ascii="宋体" w:hAnsi="宋体" w:cs="宋体"/>
          <w:b/>
          <w:color w:val="auto"/>
          <w:sz w:val="28"/>
          <w:szCs w:val="28"/>
          <w:highlight w:val="none"/>
        </w:rPr>
        <w:t>七、履约保证金及签订合同</w:t>
      </w:r>
      <w:bookmarkEnd w:id="232"/>
      <w:bookmarkEnd w:id="233"/>
      <w:bookmarkEnd w:id="234"/>
      <w:bookmarkEnd w:id="235"/>
      <w:bookmarkEnd w:id="236"/>
    </w:p>
    <w:p w14:paraId="28D2BF14">
      <w:pPr>
        <w:spacing w:line="360" w:lineRule="exact"/>
        <w:ind w:firstLine="413" w:firstLineChars="196"/>
        <w:outlineLvl w:val="2"/>
        <w:rPr>
          <w:rFonts w:ascii="宋体" w:hAnsi="宋体" w:cs="宋体"/>
          <w:b/>
          <w:color w:val="auto"/>
          <w:szCs w:val="21"/>
          <w:highlight w:val="none"/>
        </w:rPr>
      </w:pPr>
      <w:bookmarkStart w:id="237" w:name="_Toc6994"/>
      <w:bookmarkStart w:id="238" w:name="_Toc15259"/>
      <w:bookmarkStart w:id="239" w:name="_Toc32546"/>
      <w:bookmarkStart w:id="240" w:name="_Toc18290"/>
      <w:r>
        <w:rPr>
          <w:rFonts w:hint="eastAsia" w:ascii="宋体" w:hAnsi="宋体" w:cs="宋体"/>
          <w:b/>
          <w:color w:val="auto"/>
          <w:szCs w:val="21"/>
          <w:highlight w:val="none"/>
        </w:rPr>
        <w:t>34. 履约保证金</w:t>
      </w:r>
      <w:bookmarkEnd w:id="237"/>
      <w:bookmarkEnd w:id="238"/>
      <w:bookmarkEnd w:id="239"/>
      <w:bookmarkEnd w:id="240"/>
    </w:p>
    <w:p w14:paraId="419B49AA">
      <w:pPr>
        <w:spacing w:line="360" w:lineRule="exact"/>
        <w:ind w:firstLine="624" w:firstLineChars="296"/>
        <w:outlineLvl w:val="2"/>
        <w:rPr>
          <w:rFonts w:hint="eastAsia" w:ascii="宋体" w:hAnsi="宋体" w:cs="宋体"/>
          <w:b/>
          <w:color w:val="auto"/>
          <w:szCs w:val="21"/>
          <w:highlight w:val="none"/>
        </w:rPr>
      </w:pPr>
      <w:bookmarkStart w:id="241" w:name="_Toc18160"/>
      <w:r>
        <w:rPr>
          <w:rFonts w:hint="eastAsia" w:ascii="宋体" w:hAnsi="宋体" w:cs="宋体"/>
          <w:b/>
          <w:color w:val="auto"/>
          <w:szCs w:val="21"/>
          <w:highlight w:val="none"/>
          <w:lang w:val="en-US" w:eastAsia="zh-CN"/>
        </w:rPr>
        <w:t>34.1</w:t>
      </w:r>
      <w:r>
        <w:rPr>
          <w:rFonts w:hint="eastAsia" w:ascii="宋体" w:hAnsi="宋体" w:cs="宋体"/>
          <w:b/>
          <w:color w:val="auto"/>
          <w:szCs w:val="21"/>
          <w:highlight w:val="none"/>
        </w:rPr>
        <w:t>履约质保金:按人民币壹拾万元整(￥100000.00)。</w:t>
      </w:r>
    </w:p>
    <w:p w14:paraId="2938409D">
      <w:pPr>
        <w:spacing w:line="360" w:lineRule="exact"/>
        <w:ind w:firstLine="624" w:firstLineChars="296"/>
        <w:outlineLvl w:val="2"/>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34.2</w:t>
      </w:r>
      <w:r>
        <w:rPr>
          <w:rFonts w:hint="eastAsia" w:ascii="宋体" w:hAnsi="宋体" w:cs="宋体"/>
          <w:b/>
          <w:color w:val="auto"/>
          <w:szCs w:val="21"/>
          <w:highlight w:val="none"/>
        </w:rPr>
        <w:t>在合同签订之前，乙方需把履约保证金足额交到甲方指定账户。未提交履约保证金的，不予签订本合同。</w:t>
      </w:r>
    </w:p>
    <w:p w14:paraId="0C42A19F">
      <w:pPr>
        <w:spacing w:line="360" w:lineRule="exact"/>
        <w:ind w:firstLine="624" w:firstLineChars="296"/>
        <w:outlineLvl w:val="2"/>
        <w:rPr>
          <w:rFonts w:ascii="宋体" w:hAnsi="宋体" w:cs="宋体"/>
          <w:b/>
          <w:color w:val="auto"/>
          <w:szCs w:val="21"/>
          <w:highlight w:val="none"/>
        </w:rPr>
      </w:pPr>
      <w:r>
        <w:rPr>
          <w:rFonts w:hint="eastAsia" w:ascii="宋体" w:hAnsi="宋体" w:cs="宋体"/>
          <w:b/>
          <w:color w:val="auto"/>
          <w:szCs w:val="21"/>
          <w:highlight w:val="none"/>
          <w:lang w:val="en-US" w:eastAsia="zh-CN"/>
        </w:rPr>
        <w:t>34.3</w:t>
      </w:r>
      <w:r>
        <w:rPr>
          <w:rFonts w:hint="eastAsia" w:ascii="宋体" w:hAnsi="宋体" w:cs="宋体"/>
          <w:b/>
          <w:color w:val="auto"/>
          <w:szCs w:val="21"/>
          <w:highlight w:val="none"/>
        </w:rPr>
        <w:t>履约保证金的退还：由甲方负责办理。在合同期满后20个工作日内乙方提出书面申请，甲方在扣除乙方赔偿金或其他应从乙方扣回的款项后，一次性向乙方返还剩余部分的履约保证金（无息）。</w:t>
      </w:r>
      <w:r>
        <w:rPr>
          <w:rFonts w:ascii="宋体" w:hAnsi="宋体" w:cs="宋体"/>
          <w:b/>
          <w:color w:val="auto"/>
          <w:szCs w:val="21"/>
          <w:highlight w:val="none"/>
        </w:rPr>
        <w:t>。</w:t>
      </w:r>
    </w:p>
    <w:p w14:paraId="488C5E7E">
      <w:pPr>
        <w:spacing w:line="360" w:lineRule="exact"/>
        <w:ind w:firstLine="413" w:firstLineChars="196"/>
        <w:outlineLvl w:val="2"/>
        <w:rPr>
          <w:rFonts w:ascii="宋体" w:hAnsi="宋体" w:cs="宋体"/>
          <w:b/>
          <w:color w:val="auto"/>
          <w:szCs w:val="21"/>
          <w:highlight w:val="none"/>
        </w:rPr>
      </w:pPr>
      <w:bookmarkStart w:id="242" w:name="_Toc11966"/>
      <w:bookmarkStart w:id="243" w:name="_Toc7148"/>
      <w:bookmarkStart w:id="244" w:name="_Toc22983"/>
      <w:r>
        <w:rPr>
          <w:rFonts w:hint="eastAsia" w:ascii="宋体" w:hAnsi="宋体" w:cs="宋体"/>
          <w:b/>
          <w:color w:val="auto"/>
          <w:szCs w:val="21"/>
          <w:highlight w:val="none"/>
        </w:rPr>
        <w:t>35. 签订合同</w:t>
      </w:r>
      <w:bookmarkEnd w:id="241"/>
      <w:bookmarkEnd w:id="242"/>
      <w:bookmarkEnd w:id="243"/>
      <w:bookmarkEnd w:id="244"/>
    </w:p>
    <w:p w14:paraId="5CDA9729">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日内。中标供应商领取中标通知书后，应按规定与采购人签订合同。</w:t>
      </w:r>
    </w:p>
    <w:p w14:paraId="47B0BCBC">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1BDA299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347430FD">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546DD002">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3CC5D734">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1B2B4BF4">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35.4合同备案存档：政府采购合同双方自签订之日起一个工作日内将合同原件一份交采购代理机构，采购人于合同签订之日起七个工作日内将一份合同原件送</w:t>
      </w:r>
      <w:r>
        <w:rPr>
          <w:rFonts w:hint="eastAsia" w:ascii="宋体" w:hAnsi="宋体" w:cs="宋体"/>
          <w:color w:val="auto"/>
          <w:szCs w:val="21"/>
          <w:highlight w:val="none"/>
          <w:lang w:val="en-US" w:eastAsia="zh-CN"/>
        </w:rPr>
        <w:t>本级</w:t>
      </w:r>
      <w:r>
        <w:rPr>
          <w:rFonts w:hint="eastAsia" w:ascii="宋体" w:hAnsi="宋体" w:cs="宋体"/>
          <w:color w:val="auto"/>
          <w:szCs w:val="21"/>
          <w:highlight w:val="none"/>
        </w:rPr>
        <w:t>财政部门备案。</w:t>
      </w:r>
    </w:p>
    <w:p w14:paraId="3AFD6527">
      <w:pPr>
        <w:spacing w:line="360" w:lineRule="auto"/>
        <w:jc w:val="center"/>
        <w:outlineLvl w:val="1"/>
        <w:rPr>
          <w:rFonts w:ascii="宋体" w:hAnsi="宋体" w:cs="宋体"/>
          <w:b/>
          <w:color w:val="auto"/>
          <w:sz w:val="28"/>
          <w:szCs w:val="28"/>
          <w:highlight w:val="none"/>
        </w:rPr>
      </w:pPr>
      <w:bookmarkStart w:id="245" w:name="_Toc1304"/>
      <w:bookmarkStart w:id="246" w:name="_Toc10598"/>
      <w:bookmarkStart w:id="247" w:name="_Toc495841761"/>
      <w:bookmarkStart w:id="248" w:name="_Toc25044"/>
      <w:bookmarkStart w:id="249" w:name="_Toc1909"/>
      <w:r>
        <w:rPr>
          <w:rFonts w:hint="eastAsia" w:ascii="宋体" w:hAnsi="宋体" w:cs="宋体"/>
          <w:b/>
          <w:color w:val="auto"/>
          <w:sz w:val="28"/>
          <w:szCs w:val="28"/>
          <w:highlight w:val="none"/>
        </w:rPr>
        <w:t>八、其他事项</w:t>
      </w:r>
      <w:bookmarkEnd w:id="245"/>
      <w:bookmarkEnd w:id="246"/>
      <w:bookmarkEnd w:id="247"/>
      <w:bookmarkEnd w:id="248"/>
      <w:bookmarkEnd w:id="249"/>
    </w:p>
    <w:p w14:paraId="001E35EF">
      <w:pPr>
        <w:spacing w:line="380" w:lineRule="exact"/>
        <w:ind w:firstLine="413" w:firstLineChars="196"/>
        <w:outlineLvl w:val="2"/>
        <w:rPr>
          <w:rFonts w:ascii="宋体" w:hAnsi="宋体" w:cs="宋体"/>
          <w:b/>
          <w:color w:val="auto"/>
          <w:szCs w:val="21"/>
          <w:highlight w:val="none"/>
        </w:rPr>
      </w:pPr>
      <w:bookmarkStart w:id="250" w:name="_Toc6105"/>
      <w:bookmarkStart w:id="251" w:name="_Toc4309"/>
      <w:bookmarkStart w:id="252" w:name="_Toc1860"/>
      <w:bookmarkStart w:id="253" w:name="_Toc19503"/>
      <w:bookmarkStart w:id="254" w:name="_Toc2437"/>
      <w:bookmarkStart w:id="255" w:name="_Toc5655"/>
      <w:bookmarkStart w:id="256" w:name="_Toc32387"/>
      <w:bookmarkStart w:id="257" w:name="_Toc32243"/>
      <w:r>
        <w:rPr>
          <w:rFonts w:hint="eastAsia" w:ascii="宋体" w:hAnsi="宋体" w:cs="宋体"/>
          <w:b/>
          <w:color w:val="auto"/>
          <w:szCs w:val="21"/>
          <w:highlight w:val="none"/>
        </w:rPr>
        <w:t>36. 招标代理服务费</w:t>
      </w:r>
      <w:bookmarkEnd w:id="250"/>
      <w:bookmarkEnd w:id="251"/>
      <w:bookmarkEnd w:id="252"/>
      <w:bookmarkEnd w:id="253"/>
      <w:bookmarkEnd w:id="254"/>
      <w:bookmarkEnd w:id="255"/>
      <w:bookmarkEnd w:id="256"/>
    </w:p>
    <w:p w14:paraId="3B86F73B">
      <w:pPr>
        <w:spacing w:line="340" w:lineRule="exact"/>
        <w:ind w:firstLine="420" w:firstLineChars="200"/>
        <w:rPr>
          <w:rFonts w:ascii="宋体" w:hAnsi="宋体" w:cs="宋体"/>
          <w:color w:val="auto"/>
          <w:szCs w:val="21"/>
          <w:highlight w:val="none"/>
        </w:rPr>
      </w:pPr>
      <w:bookmarkStart w:id="258" w:name="_Toc5431"/>
      <w:bookmarkStart w:id="259" w:name="_Toc13398"/>
      <w:bookmarkStart w:id="260" w:name="_Toc3628"/>
      <w:r>
        <w:rPr>
          <w:rFonts w:hint="eastAsia" w:ascii="宋体" w:hAnsi="宋体" w:cs="宋体"/>
          <w:color w:val="auto"/>
          <w:szCs w:val="21"/>
          <w:highlight w:val="none"/>
        </w:rPr>
        <w:t>本项目的招标代理服务费：参照计价格[2002]1980号《招标代理服务收费管理暂行办法》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w:t>
      </w:r>
      <w:r>
        <w:rPr>
          <w:rFonts w:hint="eastAsia" w:ascii="宋体" w:hAnsi="宋体" w:cs="宋体"/>
          <w:color w:val="auto"/>
          <w:szCs w:val="21"/>
          <w:highlight w:val="none"/>
          <w:lang w:val="en-US" w:eastAsia="zh-CN"/>
        </w:rPr>
        <w:t>下浮40%后的70%</w:t>
      </w:r>
      <w:r>
        <w:rPr>
          <w:rFonts w:hint="eastAsia" w:ascii="宋体" w:hAnsi="宋体" w:cs="宋体"/>
          <w:color w:val="auto"/>
          <w:szCs w:val="21"/>
          <w:highlight w:val="none"/>
        </w:rPr>
        <w:t>计取。由</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中标人向广西</w:t>
      </w:r>
      <w:r>
        <w:rPr>
          <w:rFonts w:hint="eastAsia" w:ascii="宋体" w:hAnsi="宋体" w:cs="宋体"/>
          <w:color w:val="auto"/>
          <w:szCs w:val="21"/>
          <w:highlight w:val="none"/>
          <w:lang w:val="en-US" w:eastAsia="zh-CN"/>
        </w:rPr>
        <w:t>奥金斯</w:t>
      </w:r>
      <w:r>
        <w:rPr>
          <w:rFonts w:hint="eastAsia" w:ascii="宋体" w:hAnsi="宋体" w:cs="宋体"/>
          <w:color w:val="auto"/>
          <w:szCs w:val="21"/>
          <w:highlight w:val="none"/>
        </w:rPr>
        <w:t>项目管理有限公司一次性付清代理服务费。</w:t>
      </w:r>
      <w:r>
        <w:rPr>
          <w:rFonts w:hint="eastAsia" w:ascii="宋体" w:hAnsi="宋体" w:cs="宋体"/>
          <w:color w:val="auto"/>
          <w:szCs w:val="21"/>
          <w:highlight w:val="none"/>
          <w:lang w:val="en-US" w:eastAsia="zh-CN"/>
        </w:rPr>
        <w:t>注：标项代理费不足3500元按3500元计。</w:t>
      </w:r>
    </w:p>
    <w:p w14:paraId="03F58B5B">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招标代理服务收费标准</w:t>
      </w:r>
    </w:p>
    <w:tbl>
      <w:tblPr>
        <w:tblStyle w:val="3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C6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427E70A1">
            <w:pPr>
              <w:pStyle w:val="17"/>
              <w:spacing w:line="360" w:lineRule="exact"/>
              <w:ind w:left="25"/>
              <w:rPr>
                <w:rFonts w:hAnsi="宋体"/>
                <w:color w:val="auto"/>
                <w:highlight w:val="none"/>
              </w:rPr>
            </w:pPr>
            <w:r>
              <w:rPr>
                <w:rFonts w:hAnsi="宋体"/>
                <w:color w:val="auto"/>
                <w:highlight w:val="none"/>
              </w:rPr>
              <w:pict>
                <v:line id="直线 11" o:spid="_x0000_s2052" o:spt="20" style="position:absolute;left:0pt;margin-left:-5.4pt;margin-top:10.5pt;height:31.2pt;width:144pt;z-index:251660288;mso-width-relative:page;mso-height-relative:page;" coordsize="21600,21600" o:gfxdata="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IATXAAAACQEAAA8AAAAAAAAAAQAgAAAAIgAAAGRycy9kb3ducmV2LnhtbFBLAQIUABQAAAAI&#10;AIdO4kBVquM27gEAAOEDAAAOAAAAAAAAAAEAIAAAACYBAABkcnMvZTJvRG9jLnhtbFBLBQYAAAAA&#10;BgAGAFkBAACGBQAAAAA=&#10;">
                  <v:path arrowok="t"/>
                  <v:fill focussize="0,0"/>
                  <v:stroke/>
                  <v:imagedata o:title=""/>
                  <o:lock v:ext="edit"/>
                </v:line>
              </w:pict>
            </w:r>
            <w:r>
              <w:rPr>
                <w:rFonts w:hAnsi="宋体"/>
                <w:color w:val="auto"/>
                <w:highlight w:val="none"/>
              </w:rPr>
              <w:pict>
                <v:line id="直线 10" o:spid="_x0000_s2051" o:spt="20" style="position:absolute;left:0pt;margin-left:-5.4pt;margin-top:0.85pt;height:23.3pt;width:140.3pt;z-index:251661312;mso-width-relative:page;mso-height-relative:page;" coordsize="21600,21600" o:gfxdata="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Lh9&#10;c9YAAAAIAQAADwAAAAAAAAABACAAAAAiAAAAZHJzL2Rvd25yZXYueG1sUEsBAhQAFAAAAAgAh07i&#10;QP712RXrAQAA4QMAAA4AAAAAAAAAAQAgAAAAJQEAAGRycy9lMm9Eb2MueG1sUEsFBgAAAAAGAAYA&#10;WQEAAIIFAAAAAA==&#10;">
                  <v:path arrowok="t"/>
                  <v:fill focussize="0,0"/>
                  <v:stroke/>
                  <v:imagedata o:title=""/>
                  <o:lock v:ext="edit"/>
                </v:line>
              </w:pict>
            </w:r>
            <w:r>
              <w:rPr>
                <w:rFonts w:hint="eastAsia" w:hAnsi="宋体"/>
                <w:color w:val="auto"/>
                <w:highlight w:val="none"/>
              </w:rPr>
              <w:t>折扣           服务类型</w:t>
            </w:r>
          </w:p>
          <w:p w14:paraId="3C8C574A">
            <w:pPr>
              <w:pStyle w:val="17"/>
              <w:spacing w:line="360" w:lineRule="exact"/>
              <w:ind w:left="25"/>
              <w:rPr>
                <w:rFonts w:hAnsi="宋体"/>
                <w:color w:val="auto"/>
                <w:highlight w:val="none"/>
              </w:rPr>
            </w:pPr>
            <w:r>
              <w:rPr>
                <w:rFonts w:hint="eastAsia" w:hAnsi="宋体"/>
                <w:color w:val="auto"/>
                <w:highlight w:val="none"/>
              </w:rPr>
              <w:t>中标金额（万元）</w:t>
            </w:r>
          </w:p>
        </w:tc>
        <w:tc>
          <w:tcPr>
            <w:tcW w:w="1841" w:type="dxa"/>
            <w:vAlign w:val="center"/>
          </w:tcPr>
          <w:p w14:paraId="41E8AFFB">
            <w:pPr>
              <w:pStyle w:val="17"/>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14:paraId="40E193E3">
            <w:pPr>
              <w:pStyle w:val="17"/>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14:paraId="4D1460EA">
            <w:pPr>
              <w:pStyle w:val="17"/>
              <w:spacing w:line="360" w:lineRule="exact"/>
              <w:ind w:left="25"/>
              <w:jc w:val="center"/>
              <w:rPr>
                <w:rFonts w:hAnsi="宋体"/>
                <w:color w:val="auto"/>
                <w:highlight w:val="none"/>
              </w:rPr>
            </w:pPr>
            <w:r>
              <w:rPr>
                <w:rFonts w:hint="eastAsia" w:hAnsi="宋体"/>
                <w:color w:val="auto"/>
                <w:highlight w:val="none"/>
              </w:rPr>
              <w:t>工程招标</w:t>
            </w:r>
          </w:p>
        </w:tc>
      </w:tr>
      <w:tr w14:paraId="046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506AF6D6">
            <w:pPr>
              <w:pStyle w:val="17"/>
              <w:spacing w:line="360" w:lineRule="exact"/>
              <w:ind w:left="25"/>
              <w:rPr>
                <w:rFonts w:hAnsi="宋体"/>
                <w:color w:val="auto"/>
                <w:highlight w:val="none"/>
              </w:rPr>
            </w:pPr>
            <w:r>
              <w:rPr>
                <w:rFonts w:hint="eastAsia" w:hAnsi="宋体"/>
                <w:color w:val="auto"/>
                <w:highlight w:val="none"/>
              </w:rPr>
              <w:t>100以下</w:t>
            </w:r>
          </w:p>
        </w:tc>
        <w:tc>
          <w:tcPr>
            <w:tcW w:w="1841" w:type="dxa"/>
          </w:tcPr>
          <w:p w14:paraId="6555482F">
            <w:pPr>
              <w:pStyle w:val="17"/>
              <w:spacing w:line="360" w:lineRule="exact"/>
              <w:ind w:left="25"/>
              <w:jc w:val="center"/>
              <w:rPr>
                <w:rFonts w:hAnsi="宋体"/>
                <w:color w:val="auto"/>
                <w:highlight w:val="none"/>
              </w:rPr>
            </w:pPr>
            <w:r>
              <w:rPr>
                <w:rFonts w:hint="eastAsia" w:hAnsi="宋体"/>
                <w:color w:val="auto"/>
                <w:highlight w:val="none"/>
              </w:rPr>
              <w:t>1.5%</w:t>
            </w:r>
          </w:p>
        </w:tc>
        <w:tc>
          <w:tcPr>
            <w:tcW w:w="1992" w:type="dxa"/>
          </w:tcPr>
          <w:p w14:paraId="43EA899C">
            <w:pPr>
              <w:pStyle w:val="17"/>
              <w:spacing w:line="360" w:lineRule="exact"/>
              <w:ind w:left="25"/>
              <w:jc w:val="center"/>
              <w:rPr>
                <w:rFonts w:hAnsi="宋体"/>
                <w:color w:val="auto"/>
                <w:highlight w:val="none"/>
              </w:rPr>
            </w:pPr>
            <w:r>
              <w:rPr>
                <w:rFonts w:hint="eastAsia" w:hAnsi="宋体"/>
                <w:color w:val="auto"/>
                <w:highlight w:val="none"/>
              </w:rPr>
              <w:t>1.5%</w:t>
            </w:r>
          </w:p>
        </w:tc>
        <w:tc>
          <w:tcPr>
            <w:tcW w:w="2293" w:type="dxa"/>
          </w:tcPr>
          <w:p w14:paraId="4BCD2AB4">
            <w:pPr>
              <w:pStyle w:val="17"/>
              <w:spacing w:line="360" w:lineRule="exact"/>
              <w:ind w:left="25"/>
              <w:jc w:val="center"/>
              <w:rPr>
                <w:rFonts w:hAnsi="宋体"/>
                <w:color w:val="auto"/>
                <w:highlight w:val="none"/>
              </w:rPr>
            </w:pPr>
            <w:r>
              <w:rPr>
                <w:rFonts w:hint="eastAsia" w:hAnsi="宋体"/>
                <w:color w:val="auto"/>
                <w:highlight w:val="none"/>
              </w:rPr>
              <w:t>1.0%</w:t>
            </w:r>
          </w:p>
        </w:tc>
      </w:tr>
      <w:tr w14:paraId="522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4E811E3">
            <w:pPr>
              <w:pStyle w:val="17"/>
              <w:spacing w:line="360" w:lineRule="exact"/>
              <w:ind w:left="25"/>
              <w:rPr>
                <w:rFonts w:hAnsi="宋体"/>
                <w:color w:val="auto"/>
                <w:highlight w:val="none"/>
              </w:rPr>
            </w:pPr>
            <w:r>
              <w:rPr>
                <w:rFonts w:hint="eastAsia" w:hAnsi="宋体"/>
                <w:color w:val="auto"/>
                <w:highlight w:val="none"/>
              </w:rPr>
              <w:t>100-500</w:t>
            </w:r>
          </w:p>
        </w:tc>
        <w:tc>
          <w:tcPr>
            <w:tcW w:w="1841" w:type="dxa"/>
          </w:tcPr>
          <w:p w14:paraId="60D67127">
            <w:pPr>
              <w:pStyle w:val="17"/>
              <w:spacing w:line="360" w:lineRule="exact"/>
              <w:ind w:left="25"/>
              <w:jc w:val="center"/>
              <w:rPr>
                <w:rFonts w:hAnsi="宋体"/>
                <w:color w:val="auto"/>
                <w:highlight w:val="none"/>
              </w:rPr>
            </w:pPr>
            <w:r>
              <w:rPr>
                <w:rFonts w:hint="eastAsia" w:hAnsi="宋体"/>
                <w:color w:val="auto"/>
                <w:highlight w:val="none"/>
              </w:rPr>
              <w:t>1.1%</w:t>
            </w:r>
          </w:p>
        </w:tc>
        <w:tc>
          <w:tcPr>
            <w:tcW w:w="1992" w:type="dxa"/>
          </w:tcPr>
          <w:p w14:paraId="01C97426">
            <w:pPr>
              <w:pStyle w:val="17"/>
              <w:spacing w:line="360" w:lineRule="exact"/>
              <w:ind w:left="25"/>
              <w:jc w:val="center"/>
              <w:rPr>
                <w:rFonts w:hAnsi="宋体"/>
                <w:color w:val="auto"/>
                <w:highlight w:val="none"/>
              </w:rPr>
            </w:pPr>
            <w:r>
              <w:rPr>
                <w:rFonts w:hint="eastAsia" w:hAnsi="宋体"/>
                <w:color w:val="auto"/>
                <w:highlight w:val="none"/>
              </w:rPr>
              <w:t>0.8%</w:t>
            </w:r>
          </w:p>
        </w:tc>
        <w:tc>
          <w:tcPr>
            <w:tcW w:w="2293" w:type="dxa"/>
          </w:tcPr>
          <w:p w14:paraId="4D7722E4">
            <w:pPr>
              <w:pStyle w:val="17"/>
              <w:spacing w:line="360" w:lineRule="exact"/>
              <w:ind w:left="25"/>
              <w:jc w:val="center"/>
              <w:rPr>
                <w:rFonts w:hAnsi="宋体"/>
                <w:color w:val="auto"/>
                <w:highlight w:val="none"/>
              </w:rPr>
            </w:pPr>
            <w:r>
              <w:rPr>
                <w:rFonts w:hint="eastAsia" w:hAnsi="宋体"/>
                <w:color w:val="auto"/>
                <w:highlight w:val="none"/>
              </w:rPr>
              <w:t>0.7%</w:t>
            </w:r>
          </w:p>
        </w:tc>
      </w:tr>
      <w:tr w14:paraId="43D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6FA0EFB">
            <w:pPr>
              <w:pStyle w:val="17"/>
              <w:spacing w:line="360" w:lineRule="exact"/>
              <w:ind w:left="25"/>
              <w:rPr>
                <w:rFonts w:hAnsi="宋体"/>
                <w:color w:val="auto"/>
                <w:highlight w:val="none"/>
              </w:rPr>
            </w:pPr>
            <w:r>
              <w:rPr>
                <w:rFonts w:hint="eastAsia" w:hAnsi="宋体"/>
                <w:color w:val="auto"/>
                <w:highlight w:val="none"/>
              </w:rPr>
              <w:t>500-1000</w:t>
            </w:r>
          </w:p>
        </w:tc>
        <w:tc>
          <w:tcPr>
            <w:tcW w:w="1841" w:type="dxa"/>
          </w:tcPr>
          <w:p w14:paraId="75D94F21">
            <w:pPr>
              <w:pStyle w:val="17"/>
              <w:spacing w:line="360" w:lineRule="exact"/>
              <w:ind w:left="25"/>
              <w:jc w:val="center"/>
              <w:rPr>
                <w:rFonts w:hAnsi="宋体"/>
                <w:color w:val="auto"/>
                <w:highlight w:val="none"/>
              </w:rPr>
            </w:pPr>
            <w:r>
              <w:rPr>
                <w:rFonts w:hint="eastAsia" w:hAnsi="宋体"/>
                <w:color w:val="auto"/>
                <w:highlight w:val="none"/>
              </w:rPr>
              <w:t>0.8%</w:t>
            </w:r>
          </w:p>
        </w:tc>
        <w:tc>
          <w:tcPr>
            <w:tcW w:w="1992" w:type="dxa"/>
          </w:tcPr>
          <w:p w14:paraId="3E251D46">
            <w:pPr>
              <w:pStyle w:val="17"/>
              <w:spacing w:line="360" w:lineRule="exact"/>
              <w:ind w:left="25"/>
              <w:jc w:val="center"/>
              <w:rPr>
                <w:rFonts w:hAnsi="宋体"/>
                <w:color w:val="auto"/>
                <w:highlight w:val="none"/>
              </w:rPr>
            </w:pPr>
            <w:r>
              <w:rPr>
                <w:rFonts w:hint="eastAsia" w:hAnsi="宋体"/>
                <w:color w:val="auto"/>
                <w:highlight w:val="none"/>
              </w:rPr>
              <w:t>0.45%</w:t>
            </w:r>
          </w:p>
        </w:tc>
        <w:tc>
          <w:tcPr>
            <w:tcW w:w="2293" w:type="dxa"/>
          </w:tcPr>
          <w:p w14:paraId="3458926B">
            <w:pPr>
              <w:pStyle w:val="17"/>
              <w:spacing w:line="360" w:lineRule="exact"/>
              <w:ind w:left="25"/>
              <w:jc w:val="center"/>
              <w:rPr>
                <w:rFonts w:hAnsi="宋体"/>
                <w:color w:val="auto"/>
                <w:highlight w:val="none"/>
              </w:rPr>
            </w:pPr>
            <w:r>
              <w:rPr>
                <w:rFonts w:hint="eastAsia" w:hAnsi="宋体"/>
                <w:color w:val="auto"/>
                <w:highlight w:val="none"/>
              </w:rPr>
              <w:t>0.55%</w:t>
            </w:r>
          </w:p>
        </w:tc>
      </w:tr>
    </w:tbl>
    <w:p w14:paraId="5E6DD86F">
      <w:pPr>
        <w:spacing w:line="400" w:lineRule="exact"/>
        <w:ind w:firstLine="411" w:firstLineChars="196"/>
        <w:outlineLvl w:val="2"/>
        <w:rPr>
          <w:rFonts w:hAnsi="宋体"/>
          <w:color w:val="auto"/>
          <w:highlight w:val="none"/>
        </w:rPr>
      </w:pPr>
      <w:r>
        <w:rPr>
          <w:rFonts w:hint="eastAsia" w:hAnsi="宋体"/>
          <w:color w:val="auto"/>
          <w:highlight w:val="none"/>
        </w:rPr>
        <w:t>注：招标代理服务收费按差额定率累进法计算。</w:t>
      </w:r>
    </w:p>
    <w:p w14:paraId="328B3D3E">
      <w:pPr>
        <w:spacing w:line="380" w:lineRule="exact"/>
        <w:rPr>
          <w:rFonts w:ascii="宋体" w:hAnsi="宋体" w:cs="宋体"/>
          <w:color w:val="auto"/>
          <w:highlight w:val="none"/>
        </w:rPr>
      </w:pPr>
      <w:r>
        <w:rPr>
          <w:rFonts w:hint="eastAsia" w:ascii="宋体" w:hAnsi="宋体" w:cs="宋体"/>
          <w:b/>
          <w:color w:val="auto"/>
          <w:highlight w:val="none"/>
        </w:rPr>
        <w:t>交纳代理服务费的银行账户：</w:t>
      </w:r>
    </w:p>
    <w:p w14:paraId="74AE9CAC">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账户名称：广西奥金斯项目管理有限公司</w:t>
      </w:r>
    </w:p>
    <w:p w14:paraId="4EB804E6">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开户银行：中国建设银行股份有限公司桂林瓦窑支行</w:t>
      </w:r>
    </w:p>
    <w:p w14:paraId="4D26748E">
      <w:pPr>
        <w:spacing w:line="400" w:lineRule="exact"/>
        <w:ind w:firstLine="413" w:firstLineChars="196"/>
        <w:outlineLvl w:val="2"/>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银行账号： 4505 0163 5303 0000 0025</w:t>
      </w:r>
    </w:p>
    <w:p w14:paraId="164D3FF8">
      <w:pPr>
        <w:spacing w:line="400" w:lineRule="exact"/>
        <w:ind w:firstLine="413" w:firstLineChars="196"/>
        <w:outlineLvl w:val="2"/>
        <w:rPr>
          <w:rFonts w:ascii="宋体" w:hAnsi="宋体" w:cs="宋体"/>
          <w:b/>
          <w:color w:val="auto"/>
          <w:szCs w:val="21"/>
          <w:highlight w:val="none"/>
        </w:rPr>
      </w:pPr>
      <w:r>
        <w:rPr>
          <w:rFonts w:hint="eastAsia" w:ascii="宋体" w:hAnsi="宋体" w:cs="宋体"/>
          <w:b/>
          <w:color w:val="auto"/>
          <w:szCs w:val="21"/>
          <w:highlight w:val="none"/>
        </w:rPr>
        <w:t>37. 解释权</w:t>
      </w:r>
      <w:bookmarkEnd w:id="258"/>
      <w:bookmarkEnd w:id="259"/>
      <w:bookmarkEnd w:id="260"/>
    </w:p>
    <w:p w14:paraId="7384F243">
      <w:pPr>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w:t>
      </w:r>
      <w:r>
        <w:rPr>
          <w:rFonts w:hint="eastAsia" w:ascii="宋体" w:hAnsi="宋体" w:cs="宋体"/>
          <w:color w:val="auto"/>
          <w:highlight w:val="none"/>
        </w:rPr>
        <w:t>和政府采购管理有关规定编制，本招标文件的解释权属于广西</w:t>
      </w:r>
      <w:r>
        <w:rPr>
          <w:rFonts w:hint="eastAsia" w:ascii="宋体" w:hAnsi="宋体" w:cs="宋体"/>
          <w:color w:val="auto"/>
          <w:highlight w:val="none"/>
          <w:lang w:val="en-US" w:eastAsia="zh-CN"/>
        </w:rPr>
        <w:t>奥金斯</w:t>
      </w:r>
      <w:r>
        <w:rPr>
          <w:rFonts w:hint="eastAsia" w:ascii="宋体" w:hAnsi="宋体" w:cs="宋体"/>
          <w:color w:val="auto"/>
          <w:highlight w:val="none"/>
        </w:rPr>
        <w:t>项目管理有限公司。</w:t>
      </w:r>
      <w:bookmarkEnd w:id="257"/>
    </w:p>
    <w:p w14:paraId="588A5097">
      <w:pPr>
        <w:spacing w:line="400" w:lineRule="exact"/>
        <w:ind w:firstLine="413" w:firstLineChars="196"/>
        <w:outlineLvl w:val="2"/>
        <w:rPr>
          <w:rFonts w:ascii="宋体" w:hAnsi="宋体" w:cs="宋体"/>
          <w:b/>
          <w:color w:val="auto"/>
          <w:szCs w:val="21"/>
          <w:highlight w:val="none"/>
        </w:rPr>
      </w:pPr>
      <w:bookmarkStart w:id="261" w:name="_Toc6497"/>
      <w:bookmarkStart w:id="262" w:name="_Toc1384"/>
      <w:bookmarkStart w:id="263" w:name="_Toc9769"/>
      <w:bookmarkStart w:id="264" w:name="_Toc11077"/>
      <w:r>
        <w:rPr>
          <w:rFonts w:hint="eastAsia" w:ascii="宋体" w:hAnsi="宋体" w:cs="宋体"/>
          <w:b/>
          <w:color w:val="auto"/>
          <w:szCs w:val="21"/>
          <w:highlight w:val="none"/>
        </w:rPr>
        <w:t>38. 监督管理机构</w:t>
      </w:r>
      <w:bookmarkEnd w:id="261"/>
      <w:bookmarkEnd w:id="262"/>
      <w:bookmarkEnd w:id="263"/>
    </w:p>
    <w:bookmarkEnd w:id="264"/>
    <w:p w14:paraId="62F0E09D">
      <w:pPr>
        <w:widowControl/>
        <w:ind w:firstLine="420" w:firstLineChars="200"/>
        <w:jc w:val="left"/>
        <w:rPr>
          <w:b/>
          <w:color w:val="auto"/>
          <w:sz w:val="24"/>
          <w:highlight w:val="none"/>
        </w:rPr>
      </w:pPr>
      <w:bookmarkStart w:id="265" w:name="_Toc12929"/>
      <w:bookmarkStart w:id="266" w:name="_Toc29861"/>
      <w:bookmarkStart w:id="267" w:name="_Toc32614"/>
      <w:bookmarkStart w:id="268" w:name="_Toc12794"/>
      <w:bookmarkStart w:id="269" w:name="_Toc20149"/>
      <w:bookmarkStart w:id="270" w:name="_Toc23297"/>
      <w:r>
        <w:rPr>
          <w:rFonts w:hint="eastAsia" w:ascii="宋体" w:hAnsi="宋体" w:cs="宋体"/>
          <w:color w:val="auto"/>
          <w:szCs w:val="21"/>
          <w:highlight w:val="none"/>
          <w:lang w:val="en-US" w:eastAsia="zh-CN"/>
        </w:rPr>
        <w:t>广西壮族自治区财政厅政府采购监督管理处     电话：0771-2189091。</w:t>
      </w:r>
    </w:p>
    <w:p w14:paraId="5B752E17">
      <w:pPr>
        <w:widowControl/>
        <w:jc w:val="left"/>
        <w:rPr>
          <w:b/>
          <w:color w:val="auto"/>
          <w:sz w:val="24"/>
          <w:highlight w:val="none"/>
        </w:rPr>
      </w:pPr>
    </w:p>
    <w:p w14:paraId="60534154">
      <w:pPr>
        <w:widowControl/>
        <w:jc w:val="left"/>
        <w:rPr>
          <w:b/>
          <w:color w:val="auto"/>
          <w:sz w:val="24"/>
          <w:highlight w:val="none"/>
        </w:rPr>
      </w:pPr>
    </w:p>
    <w:p w14:paraId="75EF69D8">
      <w:pPr>
        <w:widowControl/>
        <w:jc w:val="left"/>
        <w:rPr>
          <w:b/>
          <w:color w:val="auto"/>
          <w:sz w:val="24"/>
          <w:highlight w:val="none"/>
        </w:rPr>
      </w:pPr>
      <w:r>
        <w:rPr>
          <w:rFonts w:hint="eastAsia"/>
          <w:b/>
          <w:color w:val="auto"/>
          <w:sz w:val="24"/>
          <w:highlight w:val="none"/>
        </w:rPr>
        <w:t>附件</w:t>
      </w:r>
    </w:p>
    <w:p w14:paraId="1D45C37D">
      <w:pPr>
        <w:rPr>
          <w:color w:val="auto"/>
          <w:highlight w:val="none"/>
        </w:rPr>
      </w:pPr>
      <w:r>
        <w:rPr>
          <w:color w:val="auto"/>
          <w:highlight w:val="none"/>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D860DA7">
      <w:pPr>
        <w:widowControl/>
        <w:jc w:val="left"/>
        <w:rPr>
          <w:rFonts w:ascii="宋体" w:hAnsi="宋体" w:cs="宋体"/>
          <w:color w:val="auto"/>
          <w:szCs w:val="20"/>
          <w:highlight w:val="none"/>
        </w:rPr>
      </w:pPr>
    </w:p>
    <w:p w14:paraId="4117F4AC">
      <w:pPr>
        <w:widowControl/>
        <w:ind w:firstLine="2720" w:firstLineChars="850"/>
        <w:jc w:val="left"/>
        <w:rPr>
          <w:rFonts w:hint="eastAsia"/>
          <w:color w:val="auto"/>
          <w:sz w:val="32"/>
          <w:szCs w:val="32"/>
          <w:highlight w:val="none"/>
        </w:rPr>
      </w:pPr>
    </w:p>
    <w:p w14:paraId="17E4E596">
      <w:pPr>
        <w:widowControl/>
        <w:jc w:val="left"/>
        <w:rPr>
          <w:rFonts w:hint="eastAsia"/>
          <w:color w:val="auto"/>
          <w:sz w:val="32"/>
          <w:szCs w:val="32"/>
          <w:highlight w:val="none"/>
        </w:rPr>
      </w:pPr>
    </w:p>
    <w:p w14:paraId="6AC373E0">
      <w:pPr>
        <w:widowControl/>
        <w:ind w:firstLine="2720" w:firstLineChars="850"/>
        <w:jc w:val="left"/>
        <w:rPr>
          <w:rFonts w:hint="eastAsia"/>
          <w:color w:val="auto"/>
          <w:sz w:val="32"/>
          <w:szCs w:val="32"/>
          <w:highlight w:val="none"/>
        </w:rPr>
      </w:pPr>
      <w:r>
        <w:rPr>
          <w:rFonts w:hint="eastAsia"/>
          <w:color w:val="auto"/>
          <w:sz w:val="32"/>
          <w:szCs w:val="32"/>
          <w:highlight w:val="none"/>
        </w:rPr>
        <w:t xml:space="preserve">第三章  </w:t>
      </w:r>
      <w:bookmarkEnd w:id="265"/>
      <w:bookmarkEnd w:id="266"/>
      <w:bookmarkEnd w:id="267"/>
      <w:bookmarkEnd w:id="268"/>
      <w:bookmarkEnd w:id="269"/>
      <w:r>
        <w:rPr>
          <w:rFonts w:hint="eastAsia"/>
          <w:color w:val="auto"/>
          <w:sz w:val="32"/>
          <w:szCs w:val="32"/>
          <w:highlight w:val="none"/>
          <w:lang w:val="en-US" w:eastAsia="zh-CN"/>
        </w:rPr>
        <w:t>服务</w:t>
      </w:r>
      <w:r>
        <w:rPr>
          <w:rFonts w:hint="eastAsia"/>
          <w:color w:val="auto"/>
          <w:sz w:val="32"/>
          <w:szCs w:val="32"/>
          <w:highlight w:val="none"/>
        </w:rPr>
        <w:t>采购需求</w:t>
      </w:r>
    </w:p>
    <w:p w14:paraId="6F790DDA">
      <w:pPr>
        <w:adjustRightInd w:val="0"/>
        <w:spacing w:line="360" w:lineRule="auto"/>
        <w:rPr>
          <w:b/>
          <w:color w:val="auto"/>
          <w:szCs w:val="21"/>
          <w:highlight w:val="none"/>
        </w:rPr>
      </w:pPr>
      <w:bookmarkStart w:id="271" w:name="_Toc22812"/>
      <w:bookmarkStart w:id="272" w:name="_Toc23482"/>
      <w:bookmarkStart w:id="273" w:name="_Toc32733"/>
      <w:r>
        <w:rPr>
          <w:rFonts w:hint="eastAsia" w:cs="宋体"/>
          <w:b/>
          <w:color w:val="auto"/>
          <w:szCs w:val="21"/>
          <w:highlight w:val="none"/>
          <w:lang w:bidi="ar"/>
        </w:rPr>
        <w:t>说明：</w:t>
      </w:r>
    </w:p>
    <w:p w14:paraId="5FFD7111">
      <w:pPr>
        <w:spacing w:line="360" w:lineRule="auto"/>
        <w:ind w:firstLine="420" w:firstLineChars="200"/>
        <w:jc w:val="left"/>
        <w:rPr>
          <w:color w:val="auto"/>
          <w:highlight w:val="none"/>
        </w:rPr>
      </w:pPr>
      <w:r>
        <w:rPr>
          <w:color w:val="auto"/>
          <w:highlight w:val="none"/>
          <w:lang w:bidi="ar"/>
        </w:rPr>
        <w:t xml:space="preserve">1. </w:t>
      </w:r>
      <w:r>
        <w:rPr>
          <w:rFonts w:hint="eastAsia" w:cs="宋体"/>
          <w:color w:val="auto"/>
          <w:highlight w:val="none"/>
          <w:lang w:bidi="ar"/>
        </w:rPr>
        <w:t>为落实政府采购政策需满足的要求</w:t>
      </w:r>
    </w:p>
    <w:p w14:paraId="3C6FC35D">
      <w:pPr>
        <w:spacing w:line="360" w:lineRule="auto"/>
        <w:ind w:firstLine="420" w:firstLineChars="200"/>
        <w:jc w:val="left"/>
        <w:rPr>
          <w:rFonts w:hint="eastAsia" w:ascii="宋体" w:cs="宋体"/>
          <w:color w:val="auto"/>
          <w:szCs w:val="21"/>
          <w:highlight w:val="none"/>
        </w:rPr>
      </w:pPr>
      <w:r>
        <w:rPr>
          <w:rFonts w:hint="eastAsia" w:ascii="宋体" w:cs="宋体"/>
          <w:color w:val="auto"/>
          <w:szCs w:val="21"/>
          <w:highlight w:val="none"/>
          <w:lang w:bidi="ar"/>
        </w:rPr>
        <w:t>（1）本招标文件所称中小企业必须符合《政府采购促进中小企业发展管理办法》（财库〔2020〕46号）的规定。</w:t>
      </w:r>
    </w:p>
    <w:p w14:paraId="48341DD3">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1487665">
      <w:pPr>
        <w:spacing w:line="360" w:lineRule="auto"/>
        <w:ind w:firstLine="424" w:firstLineChars="202"/>
        <w:jc w:val="left"/>
        <w:rPr>
          <w:rFonts w:hint="eastAsia" w:ascii="宋体" w:cs="宋体"/>
          <w:color w:val="auto"/>
          <w:szCs w:val="21"/>
          <w:highlight w:val="none"/>
          <w:lang w:bidi="ar"/>
        </w:rPr>
      </w:pPr>
      <w:r>
        <w:rPr>
          <w:rFonts w:hint="eastAsia" w:ascii="宋体" w:cs="宋体"/>
          <w:color w:val="auto"/>
          <w:szCs w:val="21"/>
          <w:highlight w:val="none"/>
          <w:lang w:bidi="ar"/>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08287711">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2.“实质性要求”是指招标文件中已经指明不满足则投标无效的条款，或者不能负偏离的条款，或者采购需求中带“▲”的条款。</w:t>
      </w:r>
    </w:p>
    <w:p w14:paraId="66478045">
      <w:pPr>
        <w:spacing w:line="360" w:lineRule="auto"/>
        <w:ind w:firstLine="424" w:firstLineChars="202"/>
        <w:jc w:val="left"/>
        <w:rPr>
          <w:rFonts w:hint="eastAsia" w:ascii="宋体" w:cs="宋体"/>
          <w:color w:val="auto"/>
          <w:szCs w:val="21"/>
          <w:highlight w:val="none"/>
        </w:rPr>
      </w:pPr>
      <w:r>
        <w:rPr>
          <w:rFonts w:hint="eastAsia" w:ascii="宋体" w:cs="宋体"/>
          <w:color w:val="auto"/>
          <w:szCs w:val="21"/>
          <w:highlight w:val="none"/>
          <w:lang w:bidi="ar"/>
        </w:rPr>
        <w:t>3.不需要投标人对采购需求响应为具体数值的，此采购需求的数值后将以◆号标注。</w:t>
      </w:r>
    </w:p>
    <w:p w14:paraId="33C63CE8">
      <w:pPr>
        <w:spacing w:line="360" w:lineRule="auto"/>
        <w:ind w:firstLine="424" w:firstLineChars="202"/>
        <w:jc w:val="left"/>
        <w:rPr>
          <w:rFonts w:hint="eastAsia" w:cs="宋体"/>
          <w:color w:val="auto"/>
          <w:highlight w:val="none"/>
          <w:lang w:bidi="ar"/>
        </w:rPr>
      </w:pPr>
      <w:r>
        <w:rPr>
          <w:rFonts w:hint="eastAsia" w:ascii="宋体" w:cs="宋体"/>
          <w:color w:val="auto"/>
          <w:szCs w:val="21"/>
          <w:highlight w:val="none"/>
          <w:lang w:bidi="ar"/>
        </w:rPr>
        <w:t>4.</w:t>
      </w:r>
      <w:r>
        <w:rPr>
          <w:rFonts w:hint="eastAsia" w:cs="宋体"/>
          <w:color w:val="auto"/>
          <w:highlight w:val="none"/>
          <w:lang w:bidi="ar"/>
        </w:rPr>
        <w:t>如投标人投标产品存在侵犯他人的知识产权或者专利成果行为的，应承担相应法律责任。</w:t>
      </w:r>
    </w:p>
    <w:p w14:paraId="58B3721B">
      <w:pPr>
        <w:spacing w:line="360" w:lineRule="auto"/>
        <w:ind w:firstLine="424" w:firstLineChars="202"/>
        <w:jc w:val="left"/>
        <w:rPr>
          <w:rFonts w:hint="eastAsia"/>
          <w:color w:val="auto"/>
          <w:highlight w:val="none"/>
        </w:rPr>
      </w:pPr>
      <w:r>
        <w:rPr>
          <w:rFonts w:hint="eastAsia" w:ascii="宋体" w:cs="宋体"/>
          <w:color w:val="auto"/>
          <w:szCs w:val="21"/>
          <w:highlight w:val="none"/>
          <w:lang w:bidi="ar"/>
        </w:rPr>
        <w:t>5.本项目所属行业：建筑业</w:t>
      </w: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0D676C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7EA26B34">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71E472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236FF4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5300D97E">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A</w:t>
            </w:r>
            <w:r>
              <w:rPr>
                <w:rFonts w:hint="eastAsia" w:ascii="宋体" w:hAnsi="宋体" w:cs="宋体"/>
                <w:b/>
                <w:bCs/>
                <w:color w:val="auto"/>
                <w:szCs w:val="21"/>
                <w:highlight w:val="none"/>
                <w:lang w:bidi="ar"/>
              </w:rPr>
              <w:t>分标</w:t>
            </w:r>
          </w:p>
        </w:tc>
      </w:tr>
      <w:tr w14:paraId="386DE8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47B3593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7E9B5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F6BA32B">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04B1B5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723E8F2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703CB3B">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071162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081DD0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E2E9B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南溪山医院基建零星工程服务A分标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1908D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9FBA5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456D9B7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0A88F71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1.服务范围：负责服务范围为南溪山医院住院部1、2、3、5号楼；</w:t>
            </w:r>
          </w:p>
          <w:p w14:paraId="15A2497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13A77D7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699FFEC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690A318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545845E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40CD3E1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096CB6E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77B3ACB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055E6AA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4345CAE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0A79E2A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389323A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11A5AB2">
            <w:pPr>
              <w:spacing w:line="360" w:lineRule="auto"/>
              <w:jc w:val="center"/>
              <w:rPr>
                <w:rFonts w:ascii="Times New Roman" w:hAnsi="Times New Roman"/>
                <w:color w:val="auto"/>
                <w:highlight w:val="none"/>
              </w:rPr>
            </w:pPr>
            <w:r>
              <w:rPr>
                <w:rFonts w:hint="eastAsia" w:ascii="Times New Roman" w:hAnsi="Times New Roman"/>
                <w:color w:val="auto"/>
                <w:highlight w:val="none"/>
                <w:lang w:val="en-US" w:eastAsia="zh-CN"/>
              </w:rPr>
              <w:t>》4%</w:t>
            </w:r>
          </w:p>
        </w:tc>
      </w:tr>
      <w:tr w14:paraId="6B7407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6A783858">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6765263E">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日内必须签订合同）</w:t>
            </w:r>
          </w:p>
          <w:p w14:paraId="7BBFC14B">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6DB23C9E">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BDDDCC5">
            <w:pPr>
              <w:snapToGrid w:val="0"/>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四、付款及结算</w:t>
            </w:r>
          </w:p>
          <w:p w14:paraId="6E51974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CC05FC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7F84A306">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0B5BA5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64B37F3F">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0FE10439">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21003490">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467B649B">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6.单项上限控制价见附件1。</w:t>
            </w:r>
          </w:p>
          <w:p w14:paraId="1B2AD0F3">
            <w:pP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、违约责任</w:t>
            </w:r>
          </w:p>
          <w:p w14:paraId="5867976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1.如由于甲方原因，甲方单方取消项目委托的，乙方有权解除本协议，造成乙方损失的，甲方应当赔偿损失。</w:t>
            </w:r>
          </w:p>
          <w:p w14:paraId="48FEBB77">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2.乙方保证具备法定的工程资质，如发现不具备法定资质，甲方有权解除本协议，造成甲方损失的，乙方应当赔偿损失。</w:t>
            </w:r>
          </w:p>
          <w:p w14:paraId="0335A0A0">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3.乙方保证投标中提供的投标文件全部信息真实有效，如发现弄虚作假，甲方有权解除本协议，造成甲方损失的，乙方应当赔偿损失。</w:t>
            </w:r>
          </w:p>
          <w:p w14:paraId="4B52832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16A4D1C5">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（1）供应商资格投标资料有弄虚作假行为的；</w:t>
            </w:r>
          </w:p>
          <w:p w14:paraId="22021AA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（2）工程资质等级等条件发生变动，已不再满足招标条件要求的；</w:t>
            </w:r>
          </w:p>
          <w:p w14:paraId="2306A85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（3）拒绝履行本合同或拒绝接受工程委托的；</w:t>
            </w:r>
          </w:p>
          <w:p w14:paraId="67826FF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（4）违反有关法律法规被县级及其以上行业主管部门行政处罚或记录为不良行为的；</w:t>
            </w:r>
          </w:p>
          <w:p w14:paraId="6ACDA30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（5）单位主要人员或广西区内分支机构主要负责人行贿、受贿、经济犯罪的；</w:t>
            </w:r>
          </w:p>
          <w:p w14:paraId="1E4E3E35">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（6）由于乙方原因造成工期延长、工程造价增加，情节严重的；</w:t>
            </w:r>
          </w:p>
          <w:p w14:paraId="714F1AF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（7）承包人违反合同约定进行转包或违法分包的；</w:t>
            </w:r>
          </w:p>
          <w:p w14:paraId="1EAEE6EF">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30BC9C6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（9）承包人违反合同预定采购和使用不合格的材料和工程设备的；</w:t>
            </w:r>
          </w:p>
          <w:p w14:paraId="370FD7AC">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(10)因承包人原因导致工作质量不符合合同要求的；</w:t>
            </w:r>
          </w:p>
          <w:p w14:paraId="185E7FB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(11)承包人在缺陷责任期及保修期内，未能在合理期限对工程缺陷进行修复，或拒绝按发包人要求进行修复的；</w:t>
            </w:r>
          </w:p>
          <w:p w14:paraId="51C92BB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(12)承包人明确表示或者以其行为表明不履行合同主要义务的；</w:t>
            </w:r>
          </w:p>
          <w:p w14:paraId="42779D1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1C098EA2">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6.任何一方违反约定给对方造成损失的，除应赔偿守约方的经济损失外，违约方还应承担守约方为实现债权所支付的包括但不限于律师费、诉讼保全费、诉讼保全保险费等费用。</w:t>
            </w:r>
          </w:p>
          <w:p w14:paraId="75CE635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62FCD07D">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六</w:t>
            </w:r>
            <w:r>
              <w:rPr>
                <w:rFonts w:hint="eastAsia" w:ascii="宋体" w:hAnsi="宋体" w:cs="宋体"/>
                <w:b/>
                <w:bCs/>
                <w:color w:val="auto"/>
                <w:szCs w:val="21"/>
                <w:highlight w:val="none"/>
                <w:shd w:val="clear" w:color="auto" w:fill="FCFDFF"/>
              </w:rPr>
              <w:t>、采购人义务</w:t>
            </w:r>
          </w:p>
          <w:p w14:paraId="78019E40">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1.做好施工前准备工作，确保中标人能按时进场施工。</w:t>
            </w:r>
          </w:p>
          <w:p w14:paraId="538CC9D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2.保证中标人施工用水、用电、工具存放等条件。</w:t>
            </w:r>
          </w:p>
          <w:p w14:paraId="4F08CBF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3.协助中标人维持现场秩序，及时处理各种问题。</w:t>
            </w:r>
          </w:p>
          <w:p w14:paraId="449BEEB7">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4.在施工过程中，施工若有变更，应提前合理时间通知中标人做好相应的准备，并负责随时检查督促工作进度和质量。</w:t>
            </w:r>
          </w:p>
          <w:p w14:paraId="75FCE38B">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七</w:t>
            </w:r>
            <w:r>
              <w:rPr>
                <w:rFonts w:hint="eastAsia" w:ascii="宋体" w:hAnsi="宋体" w:cs="宋体"/>
                <w:b/>
                <w:bCs/>
                <w:color w:val="auto"/>
                <w:szCs w:val="21"/>
                <w:highlight w:val="none"/>
                <w:shd w:val="clear" w:color="auto" w:fill="FCFDFF"/>
              </w:rPr>
              <w:t>、中标人义务</w:t>
            </w:r>
          </w:p>
          <w:p w14:paraId="3D8DA88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1.服务承诺：有相对应（装饰、装修、补漏、水电安装）人员进行24小时对接服务，乙方应在接到招标人故障通知后及时响应，接通知后60分钟内到达现场处理。</w:t>
            </w:r>
          </w:p>
          <w:p w14:paraId="78FF0404">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2.在上班时间进行维修时，不能影响正常的医院医疗秩序， 同时需要切实做好安全防范工作，施工时不能影响其他设施，如有损坏，由乙方负责赔偿修复；</w:t>
            </w:r>
          </w:p>
          <w:p w14:paraId="51D0D7B1">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3.工作时，必须按照相关规范施工，遵纪守法，遵守甲方相关规章制度；</w:t>
            </w:r>
          </w:p>
          <w:p w14:paraId="375A523B">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4.乙方在施工过程中必须严格采取相应的技术措施；</w:t>
            </w:r>
          </w:p>
          <w:p w14:paraId="7E1EDE48">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5D45873D">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6.工程一切施工工具由乙方自理，甲方不负责提供。</w:t>
            </w:r>
          </w:p>
          <w:p w14:paraId="7F7FE159">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7.施工材料由甲方指定并到场验收，乙方需要提供产品合格证，如无指定的材料乙方需保证质量并提交产品合格证。</w:t>
            </w:r>
          </w:p>
          <w:p w14:paraId="4F95576C">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8.关于隐蔽工程，乙方应提前二天书面通知甲方，必须进行质量验证和拍照存底。</w:t>
            </w:r>
          </w:p>
          <w:p w14:paraId="7E72DAC6">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9.服务商施工应根据现场实际情况调配施工人员，施工人员不足导致工期延误时应及时增加人员，不得以任何理由敷衍、拒绝采购单位增加施工人员的指示。</w:t>
            </w:r>
          </w:p>
          <w:p w14:paraId="23BA5C9E">
            <w:pPr>
              <w:spacing w:line="400" w:lineRule="exact"/>
              <w:rPr>
                <w:rFonts w:hint="eastAsia" w:ascii="宋体" w:hAnsi="宋体" w:cs="宋体"/>
                <w:color w:val="auto"/>
                <w:szCs w:val="21"/>
                <w:highlight w:val="none"/>
                <w:shd w:val="clear" w:color="auto" w:fill="FCFDFF"/>
              </w:rPr>
            </w:pPr>
            <w:r>
              <w:rPr>
                <w:rFonts w:hint="eastAsia" w:ascii="宋体" w:hAnsi="宋体" w:cs="宋体"/>
                <w:color w:val="auto"/>
                <w:szCs w:val="21"/>
                <w:highlight w:val="none"/>
                <w:shd w:val="clear" w:color="auto" w:fill="FCFDFF"/>
              </w:rPr>
              <w:t>10.服务商应配备专门整理资料的工作人员每月初将上月零星维修工程项目资料汇总整理，并交由采购单位相关部门审核。</w:t>
            </w:r>
          </w:p>
          <w:p w14:paraId="50BC5EE4">
            <w:pPr>
              <w:spacing w:line="400" w:lineRule="exact"/>
              <w:rPr>
                <w:rFonts w:hint="eastAsia" w:ascii="宋体" w:hAnsi="宋体" w:cs="宋体"/>
                <w:b/>
                <w:bCs/>
                <w:color w:val="auto"/>
                <w:szCs w:val="21"/>
                <w:highlight w:val="none"/>
                <w:shd w:val="clear" w:color="auto" w:fill="FCFDFF"/>
              </w:rPr>
            </w:pPr>
            <w:r>
              <w:rPr>
                <w:rFonts w:hint="eastAsia" w:ascii="宋体" w:hAnsi="宋体" w:cs="宋体"/>
                <w:b/>
                <w:bCs/>
                <w:color w:val="auto"/>
                <w:szCs w:val="21"/>
                <w:highlight w:val="none"/>
                <w:shd w:val="clear" w:color="auto" w:fill="FCFDFF"/>
                <w:lang w:val="en-US" w:eastAsia="zh-CN"/>
              </w:rPr>
              <w:t>八</w:t>
            </w:r>
            <w:r>
              <w:rPr>
                <w:rFonts w:hint="eastAsia" w:ascii="宋体" w:hAnsi="宋体" w:cs="宋体"/>
                <w:b/>
                <w:bCs/>
                <w:color w:val="auto"/>
                <w:szCs w:val="21"/>
                <w:highlight w:val="none"/>
                <w:shd w:val="clear" w:color="auto" w:fill="FCFDFF"/>
              </w:rPr>
              <w:t>、工程验收</w:t>
            </w:r>
          </w:p>
          <w:p w14:paraId="0FA74CBD">
            <w:pPr>
              <w:spacing w:line="40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1.施工完毕后，由甲方进行质量验收，乙方应予以配合，双方在工程验收单上签字盖章认可。</w:t>
            </w:r>
          </w:p>
          <w:p w14:paraId="4BFF5E6B">
            <w:pPr>
              <w:spacing w:line="40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2.工程保修：质保期内发生质量问题时，乙方应当及时、有效、充分地履行维修义务。甲方不承担材料、工钱、交通、食宿等任何费用，但非乙方人为原因或不可抗力造成破坏的情形除外。</w:t>
            </w:r>
          </w:p>
          <w:p w14:paraId="589F5ED8">
            <w:pPr>
              <w:spacing w:line="400" w:lineRule="exact"/>
              <w:rPr>
                <w:rFonts w:hint="eastAsia" w:ascii="Times New Roman" w:hAnsi="Times New Roman"/>
                <w:color w:val="auto"/>
                <w:highlight w:val="none"/>
              </w:rPr>
            </w:pPr>
            <w:r>
              <w:rPr>
                <w:rFonts w:hint="eastAsia" w:ascii="宋体" w:hAnsi="宋体" w:cs="宋体"/>
                <w:bCs/>
                <w:color w:val="auto"/>
                <w:kern w:val="0"/>
                <w:szCs w:val="21"/>
                <w:highlight w:val="none"/>
              </w:rPr>
              <w:t>3.工程报价含包含货物、随配附件、备品备件、工具、运抵指定交货地点、现场安装调试、人工费、材料费、税金、利润的各种费用和售后服务、税金及其他所有成本费用的总和等所有费用。</w:t>
            </w:r>
          </w:p>
        </w:tc>
      </w:tr>
    </w:tbl>
    <w:p w14:paraId="4D1DB926">
      <w:pPr>
        <w:rPr>
          <w:rFonts w:hint="eastAsia" w:ascii="Calibri" w:hAnsi="Calibri"/>
          <w:color w:val="auto"/>
          <w:szCs w:val="21"/>
          <w:highlight w:val="none"/>
        </w:rPr>
      </w:pP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4D8B18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12083D60">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14E442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1FEEA1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70CEDCBC">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B</w:t>
            </w:r>
            <w:r>
              <w:rPr>
                <w:rFonts w:hint="eastAsia" w:ascii="宋体" w:hAnsi="宋体" w:cs="宋体"/>
                <w:b/>
                <w:bCs/>
                <w:color w:val="auto"/>
                <w:szCs w:val="21"/>
                <w:highlight w:val="none"/>
                <w:lang w:bidi="ar"/>
              </w:rPr>
              <w:t>分标</w:t>
            </w:r>
          </w:p>
        </w:tc>
      </w:tr>
      <w:tr w14:paraId="7CD669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3A7571D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6910BD">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33DBB10">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BC61FE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0E404C5F">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21CBA56">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616E8F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5FF9B3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7D131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南溪山医院基建零星工程服务B分标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DE55F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A852E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618471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00B3A6B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1.服务范围：负责服务范围为南溪山医院住院部6、7、8号楼；</w:t>
            </w:r>
          </w:p>
          <w:p w14:paraId="52F050B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945B7D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6278C7F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19DF088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742CA43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25EF84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18A84DC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4B9C2E0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2CEED28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422FFAF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5A4A3C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4E7FC93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177C862">
            <w:pPr>
              <w:spacing w:line="360" w:lineRule="auto"/>
              <w:jc w:val="center"/>
              <w:rPr>
                <w:rFonts w:hint="default" w:ascii="Times New Roman" w:hAnsi="Times New Roman"/>
                <w:color w:val="auto"/>
                <w:highlight w:val="none"/>
                <w:lang w:val="en-US"/>
              </w:rPr>
            </w:pPr>
            <w:r>
              <w:rPr>
                <w:rFonts w:hint="eastAsia" w:ascii="Times New Roman" w:hAnsi="Times New Roman"/>
                <w:color w:val="auto"/>
                <w:highlight w:val="none"/>
                <w:lang w:val="en-US" w:eastAsia="zh-CN"/>
              </w:rPr>
              <w:t>》2%</w:t>
            </w:r>
          </w:p>
        </w:tc>
      </w:tr>
      <w:tr w14:paraId="2B745B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5D3FE167">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65F1E9BC">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日内必须签订合同）</w:t>
            </w:r>
          </w:p>
          <w:p w14:paraId="7ABFFAA9">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0BA7A791">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155E16F">
            <w:pPr>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四、付款及结算</w:t>
            </w:r>
          </w:p>
          <w:p w14:paraId="709CC97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9897CF3">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6A02BCAC">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9A5139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00A7C111">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26E323DA">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58DE78A0">
            <w:pPr>
              <w:numPr>
                <w:ilvl w:val="0"/>
                <w:numId w:val="0"/>
              </w:num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6894E71E">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6.单项上限控制价见附件1。</w:t>
            </w:r>
          </w:p>
          <w:p w14:paraId="5964576C">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、违约责任</w:t>
            </w:r>
          </w:p>
          <w:p w14:paraId="4D9B39F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1.如由于甲方原因，甲方单方取消项目委托的，乙方有权解除本协议，造成乙方损失的，甲方应当赔偿损失。</w:t>
            </w:r>
          </w:p>
          <w:p w14:paraId="17865F9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2.乙方保证具备法定的工程资质，如发现不具备法定资质，甲方有权解除本协议，造成甲方损失的，乙方应当赔偿损失。</w:t>
            </w:r>
          </w:p>
          <w:p w14:paraId="505B264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3.乙方保证投标中提供的投标文件全部信息真实有效，如发现弄虚作假，甲方有权解除本协议，造成甲方损失的，乙方应当赔偿损失。</w:t>
            </w:r>
          </w:p>
          <w:p w14:paraId="296356C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64157012">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（1）供应商资格投标资料有弄虚作假行为的；</w:t>
            </w:r>
          </w:p>
          <w:p w14:paraId="43B8C8D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（2）工程资质等级等条件发生变动，已不再满足招标条件要求的；</w:t>
            </w:r>
          </w:p>
          <w:p w14:paraId="3385B968">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（3）拒绝履行本合同或拒绝接受工程委托的；</w:t>
            </w:r>
          </w:p>
          <w:p w14:paraId="6FB2E33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（4）违反有关法律法规被县级及其以上行业主管部门行政处罚或记录为不良行为的；</w:t>
            </w:r>
          </w:p>
          <w:p w14:paraId="36EFCAC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（5）单位主要人员或广西区内分支机构主要负责人行贿、受贿、经济犯罪的；</w:t>
            </w:r>
          </w:p>
          <w:p w14:paraId="17997138">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（6）由于乙方原因造成工期延长、工程造价增加，情节严重的；</w:t>
            </w:r>
          </w:p>
          <w:p w14:paraId="4F5969FF">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（7）承包人违反合同约定进行转包或违法分包的；</w:t>
            </w:r>
          </w:p>
          <w:p w14:paraId="7A7D5A5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7E52527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（9）承包人违反合同预定采购和使用不合格的材料和工程设备的；</w:t>
            </w:r>
          </w:p>
          <w:p w14:paraId="1C8AF10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(10)因承包人原因导致工作质量不符合合同要求的；</w:t>
            </w:r>
          </w:p>
          <w:p w14:paraId="68E5ACAD">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(11)承包人在缺陷责任期及保修期内，未能在合理期限对工程缺陷进行修复，或拒绝按发包人要求进行修复的；</w:t>
            </w:r>
          </w:p>
          <w:p w14:paraId="2B47E0B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(12)承包人明确表示或者以其行为表明不履行合同主要义务的；</w:t>
            </w:r>
          </w:p>
          <w:p w14:paraId="6C7E263A">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3BB328D3">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6.任何一方违反约定给对方造成损失的，除应赔偿守约方的经济损失外，违约方还应承担守约方为实现债权所支付的包括但不限于律师费、诉讼保全费、诉讼保全保险费等费用。</w:t>
            </w:r>
          </w:p>
          <w:p w14:paraId="11FB5A29">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1ED42C63">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六</w:t>
            </w:r>
            <w:r>
              <w:rPr>
                <w:rFonts w:hint="eastAsia" w:ascii="宋体" w:hAnsi="宋体" w:eastAsia="宋体" w:cs="宋体"/>
                <w:b/>
                <w:bCs/>
                <w:color w:val="auto"/>
                <w:szCs w:val="21"/>
                <w:highlight w:val="none"/>
                <w:shd w:val="clear" w:color="auto" w:fill="FCFDFF"/>
              </w:rPr>
              <w:t>、采购人义务</w:t>
            </w:r>
          </w:p>
          <w:p w14:paraId="357D855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1.做好施工前准备工作，确保中标人能按时进场施工。</w:t>
            </w:r>
          </w:p>
          <w:p w14:paraId="3C91F3B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2.保证中标人施工用水、用电、工具存放等条件。</w:t>
            </w:r>
          </w:p>
          <w:p w14:paraId="436BAE2C">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3.协助中标人维持现场秩序，及时处理各种问题。</w:t>
            </w:r>
          </w:p>
          <w:p w14:paraId="7399083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4.在施工过程中，施工若有变更，应提前合理时间通知中标人做好相应的准备，并负责随时检查督促工作进度和质量。</w:t>
            </w:r>
          </w:p>
          <w:p w14:paraId="4F90FB2C">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七</w:t>
            </w:r>
            <w:r>
              <w:rPr>
                <w:rFonts w:hint="eastAsia" w:ascii="宋体" w:hAnsi="宋体" w:eastAsia="宋体" w:cs="宋体"/>
                <w:b/>
                <w:bCs/>
                <w:color w:val="auto"/>
                <w:szCs w:val="21"/>
                <w:highlight w:val="none"/>
                <w:shd w:val="clear" w:color="auto" w:fill="FCFDFF"/>
              </w:rPr>
              <w:t>、中标人义务</w:t>
            </w:r>
          </w:p>
          <w:p w14:paraId="620EAAE1">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1.服务承诺：有相对应（装饰、装修、补漏、水电安装）人员进行24小时对接服务，乙方应在接到招标人故障通知后及时响应，接通知后60分钟内到达现场处理。</w:t>
            </w:r>
          </w:p>
          <w:p w14:paraId="13E24266">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2.在上班时间进行维修时，不能影响正常的医院医疗秩序， 同时需要切实做好安全防范工作，施工时不能影响其他设施，如有损坏，由乙方负责赔偿修复；</w:t>
            </w:r>
          </w:p>
          <w:p w14:paraId="0E63C040">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3.工作时，必须按照相关规范施工，遵纪守法，遵守甲方相关规章制度；</w:t>
            </w:r>
          </w:p>
          <w:p w14:paraId="275E5F6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4.乙方在施工过程中必须严格采取相应的技术措施；</w:t>
            </w:r>
          </w:p>
          <w:p w14:paraId="3EC7BBA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2029F01F">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6.工程一切施工工具由乙方自理，甲方不负责提供。</w:t>
            </w:r>
          </w:p>
          <w:p w14:paraId="51A1C73B">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7.施工材料由甲方指定并到场验收，乙方需要提供产品合格证，如无指定的材料乙方需保证质量并提交产品合格证。</w:t>
            </w:r>
          </w:p>
          <w:p w14:paraId="2D06EFC4">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8.关于隐蔽工程，乙方应提前二天书面通知甲方，必须进行质量验证和拍照存底。</w:t>
            </w:r>
          </w:p>
          <w:p w14:paraId="0BD3A2AE">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9.服务商施工应根据现场实际情况调配施工人员，施工人员不足导致工期延误时应及时增加人员，不得以任何理由敷衍、拒绝采购单位增加施工人员的指示。</w:t>
            </w:r>
          </w:p>
          <w:p w14:paraId="03CCFA65">
            <w:pPr>
              <w:spacing w:line="400" w:lineRule="exact"/>
              <w:rPr>
                <w:rFonts w:hint="eastAsia" w:ascii="宋体" w:hAnsi="宋体" w:eastAsia="宋体" w:cs="宋体"/>
                <w:color w:val="auto"/>
                <w:szCs w:val="21"/>
                <w:highlight w:val="none"/>
                <w:shd w:val="clear" w:color="auto" w:fill="FCFDFF"/>
              </w:rPr>
            </w:pPr>
            <w:r>
              <w:rPr>
                <w:rFonts w:hint="eastAsia" w:ascii="宋体" w:hAnsi="宋体" w:eastAsia="宋体" w:cs="宋体"/>
                <w:color w:val="auto"/>
                <w:szCs w:val="21"/>
                <w:highlight w:val="none"/>
                <w:shd w:val="clear" w:color="auto" w:fill="FCFDFF"/>
              </w:rPr>
              <w:t>10.服务商应配备专门整理资料的工作人员每月初将上月零星维修工程项目资料汇总整理，并交由采购单位相关部门审核。</w:t>
            </w:r>
          </w:p>
          <w:p w14:paraId="31AA64DD">
            <w:pPr>
              <w:spacing w:line="400" w:lineRule="exact"/>
              <w:rPr>
                <w:rFonts w:hint="eastAsia" w:ascii="宋体" w:hAnsi="宋体" w:eastAsia="宋体" w:cs="宋体"/>
                <w:b/>
                <w:bCs/>
                <w:color w:val="auto"/>
                <w:szCs w:val="21"/>
                <w:highlight w:val="none"/>
                <w:shd w:val="clear" w:color="auto" w:fill="FCFDFF"/>
              </w:rPr>
            </w:pPr>
            <w:r>
              <w:rPr>
                <w:rFonts w:hint="eastAsia" w:ascii="宋体" w:hAnsi="宋体" w:eastAsia="宋体" w:cs="宋体"/>
                <w:b/>
                <w:bCs/>
                <w:color w:val="auto"/>
                <w:szCs w:val="21"/>
                <w:highlight w:val="none"/>
                <w:shd w:val="clear" w:color="auto" w:fill="FCFDFF"/>
                <w:lang w:val="en-US" w:eastAsia="zh-CN"/>
              </w:rPr>
              <w:t>八</w:t>
            </w:r>
            <w:r>
              <w:rPr>
                <w:rFonts w:hint="eastAsia" w:ascii="宋体" w:hAnsi="宋体" w:eastAsia="宋体" w:cs="宋体"/>
                <w:b/>
                <w:bCs/>
                <w:color w:val="auto"/>
                <w:szCs w:val="21"/>
                <w:highlight w:val="none"/>
                <w:shd w:val="clear" w:color="auto" w:fill="FCFDFF"/>
              </w:rPr>
              <w:t>、工程验收</w:t>
            </w:r>
          </w:p>
          <w:p w14:paraId="4FE8E4E0">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1.施工完毕后，由甲方进行质量验收，乙方应予以配合，双方在工程验收单上签字盖章认可。</w:t>
            </w:r>
          </w:p>
          <w:p w14:paraId="7E88C0BA">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2.工程保修：质保期内发生质量问题时，乙方应当及时、有效、充分地履行维修义务。甲方不承担材料、工钱、交通、食宿等任何费用，但非乙方人为原因或不可抗力造成破坏的情形除外。</w:t>
            </w:r>
          </w:p>
          <w:p w14:paraId="13E02A70">
            <w:pPr>
              <w:spacing w:line="400" w:lineRule="exact"/>
              <w:rPr>
                <w:rFonts w:hint="eastAsia" w:ascii="Times New Roman" w:hAnsi="Times New Roman"/>
                <w:color w:val="auto"/>
                <w:highlight w:val="none"/>
              </w:rPr>
            </w:pPr>
            <w:r>
              <w:rPr>
                <w:rFonts w:hint="eastAsia" w:ascii="宋体" w:hAnsi="宋体" w:eastAsia="宋体" w:cs="宋体"/>
                <w:bCs/>
                <w:color w:val="auto"/>
                <w:kern w:val="0"/>
                <w:szCs w:val="21"/>
                <w:highlight w:val="none"/>
              </w:rPr>
              <w:t>3.工程报价含包含货物、随配附件、备品备件、工具、运抵指定交货地点、现场安装调试、人工费、材料费、税金、利润的各种费用和售后服务、税金及其他所有成本费用的总和等所有费用。</w:t>
            </w:r>
          </w:p>
        </w:tc>
      </w:tr>
    </w:tbl>
    <w:p w14:paraId="0B48B67C">
      <w:pPr>
        <w:rPr>
          <w:rFonts w:hint="eastAsia"/>
          <w:color w:val="auto"/>
          <w:szCs w:val="22"/>
          <w:highlight w:val="none"/>
        </w:rPr>
      </w:pPr>
    </w:p>
    <w:tbl>
      <w:tblPr>
        <w:tblStyle w:val="33"/>
        <w:tblW w:w="103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9"/>
        <w:gridCol w:w="945"/>
        <w:gridCol w:w="810"/>
        <w:gridCol w:w="1125"/>
        <w:gridCol w:w="5010"/>
        <w:gridCol w:w="1532"/>
      </w:tblGrid>
      <w:tr w14:paraId="276D63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0311" w:type="dxa"/>
            <w:gridSpan w:val="6"/>
            <w:tcBorders>
              <w:top w:val="single" w:color="auto" w:sz="4" w:space="0"/>
              <w:left w:val="single" w:color="auto" w:sz="4" w:space="0"/>
              <w:bottom w:val="nil"/>
              <w:right w:val="single" w:color="auto" w:sz="4" w:space="0"/>
            </w:tcBorders>
            <w:noWrap w:val="0"/>
            <w:vAlign w:val="center"/>
          </w:tcPr>
          <w:p w14:paraId="02C4A364">
            <w:pPr>
              <w:spacing w:line="360" w:lineRule="auto"/>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服务需求一览表</w:t>
            </w:r>
          </w:p>
        </w:tc>
      </w:tr>
      <w:tr w14:paraId="26C86F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834" w:type="dxa"/>
            <w:gridSpan w:val="2"/>
            <w:tcBorders>
              <w:top w:val="single" w:color="auto" w:sz="4" w:space="0"/>
              <w:left w:val="single" w:color="auto" w:sz="4" w:space="0"/>
              <w:bottom w:val="nil"/>
              <w:right w:val="single" w:color="auto" w:sz="4" w:space="0"/>
            </w:tcBorders>
            <w:noWrap w:val="0"/>
            <w:vAlign w:val="center"/>
          </w:tcPr>
          <w:p w14:paraId="2E8838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标段</w:t>
            </w:r>
          </w:p>
        </w:tc>
        <w:tc>
          <w:tcPr>
            <w:tcW w:w="8477" w:type="dxa"/>
            <w:gridSpan w:val="4"/>
            <w:tcBorders>
              <w:top w:val="single" w:color="auto" w:sz="4" w:space="0"/>
              <w:left w:val="single" w:color="auto" w:sz="4" w:space="0"/>
              <w:bottom w:val="nil"/>
              <w:right w:val="single" w:color="auto" w:sz="4" w:space="0"/>
            </w:tcBorders>
            <w:noWrap w:val="0"/>
            <w:vAlign w:val="center"/>
          </w:tcPr>
          <w:p w14:paraId="5B265C65">
            <w:pPr>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C</w:t>
            </w:r>
            <w:r>
              <w:rPr>
                <w:rFonts w:hint="eastAsia" w:ascii="宋体" w:hAnsi="宋体" w:cs="宋体"/>
                <w:b/>
                <w:bCs/>
                <w:color w:val="auto"/>
                <w:szCs w:val="21"/>
                <w:highlight w:val="none"/>
                <w:lang w:bidi="ar"/>
              </w:rPr>
              <w:t>分标</w:t>
            </w:r>
          </w:p>
        </w:tc>
      </w:tr>
      <w:tr w14:paraId="5F2A68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24F86BA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B1F35E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BB14CF5">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382D0A">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1B3CBB0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9E11DE1">
            <w:pPr>
              <w:jc w:val="center"/>
              <w:rPr>
                <w:rFonts w:hint="eastAsia" w:ascii="宋体" w:hAnsi="宋体" w:cs="宋体"/>
                <w:color w:val="auto"/>
                <w:szCs w:val="21"/>
                <w:highlight w:val="none"/>
              </w:rPr>
            </w:pPr>
            <w:r>
              <w:rPr>
                <w:rFonts w:hint="eastAsia" w:ascii="宋体" w:hAnsi="宋体" w:cs="宋体"/>
                <w:color w:val="auto"/>
                <w:szCs w:val="21"/>
                <w:highlight w:val="none"/>
              </w:rPr>
              <w:t>下浮率控制价</w:t>
            </w:r>
          </w:p>
        </w:tc>
      </w:tr>
      <w:tr w14:paraId="2CF3D5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jc w:val="center"/>
        </w:trPr>
        <w:tc>
          <w:tcPr>
            <w:tcW w:w="889" w:type="dxa"/>
            <w:tcBorders>
              <w:top w:val="single" w:color="auto" w:sz="4" w:space="0"/>
              <w:left w:val="single" w:color="auto" w:sz="4" w:space="0"/>
              <w:bottom w:val="nil"/>
              <w:right w:val="single" w:color="auto" w:sz="4" w:space="0"/>
            </w:tcBorders>
            <w:noWrap w:val="0"/>
            <w:vAlign w:val="center"/>
          </w:tcPr>
          <w:p w14:paraId="55A899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426018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南溪山医院基建零星工程服务C分标</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73966A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2592D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10" w:type="dxa"/>
            <w:tcBorders>
              <w:top w:val="single" w:color="auto" w:sz="4" w:space="0"/>
              <w:left w:val="single" w:color="auto" w:sz="4" w:space="0"/>
              <w:bottom w:val="single" w:color="auto" w:sz="4" w:space="0"/>
              <w:right w:val="single" w:color="auto" w:sz="4" w:space="0"/>
            </w:tcBorders>
            <w:noWrap w:val="0"/>
            <w:vAlign w:val="center"/>
          </w:tcPr>
          <w:p w14:paraId="0B3BDBB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一、服务要求：</w:t>
            </w:r>
          </w:p>
          <w:p w14:paraId="3EE16C3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1.服务范围：负责服务范围为南溪山医院住院部以外范围；</w:t>
            </w:r>
          </w:p>
          <w:p w14:paraId="1E04A83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服务内容：中标人需为医院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049C61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中标人为采购人提供工程施工服务，应根据《中华人民共和国民法典》、《中华人民共和国建筑法》、《建设工程质量管理条例》等国家有关法律、法规、标准规范和合同约定服务质量内容开展工程建设施工工作。</w:t>
            </w:r>
          </w:p>
          <w:p w14:paraId="5E14858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二、质量保证</w:t>
            </w:r>
          </w:p>
          <w:p w14:paraId="2CA97E8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符合现行工程施工质量验收标准以及相关专业验收规范的合格标准。中标人要确保维修项目质量合格，采购人对维修质量有异议的，应向中标人提出，中标人应耐心查实和说明。中标人在维护、维修过程中所提供的零配件或原材料须按照国家三包政策进行维保服务。</w:t>
            </w:r>
          </w:p>
          <w:p w14:paraId="55CB9AE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三、安全及其他要求</w:t>
            </w:r>
          </w:p>
          <w:p w14:paraId="1D5735B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1.中标人的施工质量须符合国家有关政策规定的质量要求。</w:t>
            </w:r>
          </w:p>
          <w:p w14:paraId="0B930C1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2.投标人须如实报出2020年1月1日以来企业发生过质量安全事故情况。</w:t>
            </w:r>
          </w:p>
          <w:p w14:paraId="3809168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3.投标人应提供针对本项目的质量、安全施工保证措施</w:t>
            </w:r>
          </w:p>
          <w:p w14:paraId="163FC54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4.特殊工种施工人员有相应岗位的上岗资格证书。</w:t>
            </w:r>
          </w:p>
          <w:p w14:paraId="3CA5EDA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5.自觉接受采购监督管理部门对定点零星维修情况的监督检查。</w:t>
            </w:r>
          </w:p>
          <w:p w14:paraId="5E8D7C6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四、监督管理</w:t>
            </w:r>
          </w:p>
          <w:p w14:paraId="1360B14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为加强对中标人的监督管理，提高服务质量，确保采购人的合法权益，在项目执行过程中，采购人可根据项目要求监督中标人，若中标人存在未按合同规定提供服务的行为，采购人一经查实，将按照合同约定追究其违约责任。</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363B72C">
            <w:pPr>
              <w:spacing w:line="360" w:lineRule="auto"/>
              <w:jc w:val="center"/>
              <w:rPr>
                <w:rFonts w:hint="default" w:ascii="Times New Roman" w:hAnsi="Times New Roman"/>
                <w:color w:val="auto"/>
                <w:highlight w:val="none"/>
                <w:lang w:val="en-US"/>
              </w:rPr>
            </w:pPr>
            <w:r>
              <w:rPr>
                <w:rFonts w:hint="eastAsia" w:ascii="Times New Roman" w:hAnsi="Times New Roman"/>
                <w:color w:val="auto"/>
                <w:highlight w:val="none"/>
                <w:lang w:val="en-US" w:eastAsia="zh-CN"/>
              </w:rPr>
              <w:t>》5%</w:t>
            </w:r>
          </w:p>
        </w:tc>
      </w:tr>
      <w:tr w14:paraId="26767F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14:paraId="3C012DD1">
            <w:pPr>
              <w:spacing w:line="360" w:lineRule="auto"/>
              <w:jc w:val="center"/>
              <w:rPr>
                <w:rFonts w:hint="eastAsia" w:ascii="宋体" w:hAnsi="宋体" w:cs="宋体"/>
                <w:color w:val="auto"/>
                <w:szCs w:val="21"/>
                <w:highlight w:val="none"/>
              </w:rPr>
            </w:pPr>
            <w:r>
              <w:rPr>
                <w:rFonts w:hint="eastAsia" w:ascii="宋体" w:hAnsi="Times New Roman" w:cs="宋体"/>
                <w:b/>
                <w:bCs/>
                <w:color w:val="auto"/>
                <w:szCs w:val="21"/>
                <w:highlight w:val="none"/>
              </w:rPr>
              <w:t>▲</w:t>
            </w:r>
            <w:r>
              <w:rPr>
                <w:rFonts w:hint="eastAsia" w:ascii="宋体" w:hAnsi="宋体" w:cs="宋体"/>
                <w:color w:val="auto"/>
                <w:szCs w:val="21"/>
                <w:highlight w:val="none"/>
                <w:lang w:bidi="ar"/>
              </w:rPr>
              <w:t>商务条款</w:t>
            </w:r>
          </w:p>
        </w:tc>
        <w:tc>
          <w:tcPr>
            <w:tcW w:w="9422" w:type="dxa"/>
            <w:gridSpan w:val="5"/>
            <w:tcBorders>
              <w:top w:val="single" w:color="auto" w:sz="4" w:space="0"/>
              <w:left w:val="single" w:color="auto" w:sz="4" w:space="0"/>
              <w:bottom w:val="single" w:color="auto" w:sz="4" w:space="0"/>
              <w:right w:val="single" w:color="auto" w:sz="4" w:space="0"/>
            </w:tcBorders>
            <w:noWrap w:val="0"/>
            <w:vAlign w:val="top"/>
          </w:tcPr>
          <w:p w14:paraId="223062A0">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日内（中标通知书发出之日起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日内必须签订合同）</w:t>
            </w:r>
          </w:p>
          <w:p w14:paraId="29F744C6">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二、服务期限或服务时间：</w:t>
            </w:r>
            <w:r>
              <w:rPr>
                <w:rFonts w:hint="eastAsia" w:ascii="宋体" w:hAnsi="宋体" w:cs="宋体"/>
                <w:color w:val="auto"/>
                <w:szCs w:val="21"/>
                <w:highlight w:val="none"/>
              </w:rPr>
              <w:t>自合同签订之日起三年</w:t>
            </w:r>
          </w:p>
          <w:p w14:paraId="64AA0C77">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0821FF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四、付款及结算</w:t>
            </w:r>
          </w:p>
          <w:p w14:paraId="1B0C476E">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27562121">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40E367E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3.工程结算的总造价为：</w:t>
            </w:r>
          </w:p>
          <w:p w14:paraId="0715DAB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①招标清单内：结算价=单项上限控制价x(1-下浮率)</w:t>
            </w:r>
          </w:p>
          <w:p w14:paraId="29B7BB25">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②招标清单外：先按国家有关定额和计价依据，计算出工程的预算总造价，再扣除中标的结算下浮费率，即为工程的实际结算价。</w:t>
            </w:r>
          </w:p>
          <w:p w14:paraId="009ED1D8">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4.审核费:如乙方报送的工程结算总价过高，造成该结算审减率超过 5%以上的，则超出5%以上部分的审核费由乙方承担。</w:t>
            </w:r>
          </w:p>
          <w:p w14:paraId="2596B9E8">
            <w:pPr>
              <w:numPr>
                <w:ilvl w:val="0"/>
                <w:numId w:val="0"/>
              </w:num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5.投标人报价必须大于等于本分标下浮率控制价，否则报价无效。</w:t>
            </w:r>
          </w:p>
          <w:p w14:paraId="5F625102">
            <w:pPr>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6.单项上限控制价见附件1。</w:t>
            </w:r>
          </w:p>
          <w:p w14:paraId="32CBDBC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五、违约责任</w:t>
            </w:r>
          </w:p>
          <w:p w14:paraId="4AA1CF3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1.如由于甲方原因，甲方单方取消项目委托的，乙方有权解除本协议，造成乙方损失的，甲方应当赔偿损失。</w:t>
            </w:r>
          </w:p>
          <w:p w14:paraId="4BB950C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2.乙方保证具备法定的工程资质，如发现不具备法定资质，甲方有权解除本协议，造成甲方损失的，乙方应当赔偿损失。</w:t>
            </w:r>
          </w:p>
          <w:p w14:paraId="7E6F7FE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3.乙方保证投标中提供的投标文件全部信息真实有效，如发现弄虚作假，甲方有权解除本协议，造成甲方损失的，乙方应当赔偿损失。</w:t>
            </w:r>
          </w:p>
          <w:p w14:paraId="27C459D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如由于乙方原因出现下列情形之一的，甲方有权解除本合同，造成甲方损失的，乙方应当赔偿损失，因此导致的第三方赔偿责任或行政责任，由乙方全部承担，甲方概不负责，因此导致甲方被处罚或被索赔的，甲方有权向乙方追偿：</w:t>
            </w:r>
          </w:p>
          <w:p w14:paraId="5D32D82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（1）供应商资格投标资料有弄虚作假行为的；</w:t>
            </w:r>
          </w:p>
          <w:p w14:paraId="0F1FC78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（2）工程资质等级等条件发生变动，已不再满足招标条件要求的；</w:t>
            </w:r>
          </w:p>
          <w:p w14:paraId="6BC2841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（3）拒绝履行本合同或拒绝接受工程委托的；</w:t>
            </w:r>
          </w:p>
          <w:p w14:paraId="7FEAC5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（4）违反有关法律法规被县级及其以上行业主管部门行政处罚或记录为不良行为的；</w:t>
            </w:r>
          </w:p>
          <w:p w14:paraId="733BB9F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（5）单位主要人员或广西区内分支机构主要负责人行贿、受贿、经济犯罪的；</w:t>
            </w:r>
          </w:p>
          <w:p w14:paraId="3596AD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（6）由于乙方原因造成工期延长、工程造价增加，情节严重的；</w:t>
            </w:r>
          </w:p>
          <w:p w14:paraId="0043DAE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（7）承包人违反合同约定进行转包或违法分包的；</w:t>
            </w:r>
          </w:p>
          <w:p w14:paraId="532F78B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8）在合同签订后，采购单位对服务商进行统计考核，考核内容按医院相关规定进行评分，第一年的第一季度统计的所有单项工程考核总平均分考核达不到80分的或在采购单位的年度考核统计中服务商承接的全年所有单项工程考核总平均分低于80分的。</w:t>
            </w:r>
          </w:p>
          <w:p w14:paraId="1A7659B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（9）承包人违反合同预定采购和使用不合格的材料和工程设备的；</w:t>
            </w:r>
          </w:p>
          <w:p w14:paraId="6459385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(10)因承包人原因导致工作质量不符合合同要求的；</w:t>
            </w:r>
          </w:p>
          <w:p w14:paraId="2C89126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(11)承包人在缺陷责任期及保修期内，未能在合理期限对工程缺陷进行修复，或拒绝按发包人要求进行修复的；</w:t>
            </w:r>
          </w:p>
          <w:p w14:paraId="4811537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(12)承包人明确表示或者以其行为表明不履行合同主要义务的；</w:t>
            </w:r>
          </w:p>
          <w:p w14:paraId="0CB1C8D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乙方有违反建设施工工程相关法律法规行为的，将依据相关法律法规报送相关行政部门给予处罚；构成犯罪的，移交司法机关处理。甲方由此有权解除本合同，造成甲方损失的，乙方应当赔偿损失，因此导致的第三方赔偿责任的，由乙方全部承担，甲方概不负责，因此导致甲方被处罚或被索赔的，甲方有权向乙方追偿。</w:t>
            </w:r>
          </w:p>
          <w:p w14:paraId="122E3AD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6.任何一方违反约定给对方造成损失的，除应赔偿守约方的经济损失外，违约方还应承担守约方为实现债权所支付的包括但不限于律师费、诉讼保全费、诉讼保全保险费等费用。</w:t>
            </w:r>
          </w:p>
          <w:p w14:paraId="2A46858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7.由于乙方原因，违反甲方零星工程服务供应商资格零星工程服务供应商资格管理规定，甲方决定取消乙方入选甲方工程服务商零星工程服务供应商资格资格的，本合同自甲方向乙方发出书面通知之日起解除。</w:t>
            </w:r>
          </w:p>
          <w:p w14:paraId="34DF92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六、采购人义务</w:t>
            </w:r>
          </w:p>
          <w:p w14:paraId="09F25CC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1.做好施工前准备工作，确保中标人能按时进场施工。</w:t>
            </w:r>
          </w:p>
          <w:p w14:paraId="36EAB1F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2.保证中标人施工用水、用电、工具存放等条件。</w:t>
            </w:r>
          </w:p>
          <w:p w14:paraId="1B0804E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3.协助中标人维持现场秩序，及时处理各种问题。</w:t>
            </w:r>
          </w:p>
          <w:p w14:paraId="6F552FD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4.在施工过程中，施工若有变更，应提前合理时间通知中标人做好相应的准备，并负责随时检查督促工作进度和质量。</w:t>
            </w:r>
          </w:p>
          <w:p w14:paraId="1FED2E4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七、中标人义务</w:t>
            </w:r>
          </w:p>
          <w:p w14:paraId="1F6D504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1.服务承诺：有相对应（装饰、装修、补漏、水电安装）人员进行24小时对接服务，乙方应在接到招标人故障通知后及时响应，接通知后60分钟内到达现场处理。</w:t>
            </w:r>
          </w:p>
          <w:p w14:paraId="4FC890C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2.在上班时间进行维修时，不能影响正常的医院医疗秩序， 同时需要切实做好安全防范工作，施工时不能影响其他设施，如有损坏，由乙方负责赔偿修复；</w:t>
            </w:r>
          </w:p>
          <w:p w14:paraId="18D7BB7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3.工作时，必须按照相关规范施工，遵纪守法，遵守甲方相关规章制度；</w:t>
            </w:r>
          </w:p>
          <w:p w14:paraId="7536716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4.乙方在施工过程中必须严格采取相应的技术措施；</w:t>
            </w:r>
          </w:p>
          <w:p w14:paraId="5B5E3D4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5.根据《中华人民共和国建筑法》第四十五条的规定：“施工现场安全由建筑施工企业负责”，因承包方的责任造成的人身伤亡、设备损坏等事故及其造成的经济损失,一切责任由承包方承担，并通知有关政府部门调查处理、统计上报。</w:t>
            </w:r>
          </w:p>
          <w:p w14:paraId="4C6A852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6.工程一切施工工具由乙方自理，甲方不负责提供。</w:t>
            </w:r>
          </w:p>
          <w:p w14:paraId="49928FC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7.施工材料由甲方指定并到场验收，乙方需要提供产品合格证，如无指定的材料乙方需保证质量并提交产品合格证。</w:t>
            </w:r>
          </w:p>
          <w:p w14:paraId="388F8C7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8.关于隐蔽工程，乙方应提前二天书面通知甲方，必须进行质量验证和拍照存底。</w:t>
            </w:r>
          </w:p>
          <w:p w14:paraId="754B8FA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9.服务商施工应根据现场实际情况调配施工人员，施工人员不足导致工期延误时应及时增加人员，不得以任何理由敷衍、拒绝采购单位增加施工人员的指示。</w:t>
            </w:r>
          </w:p>
          <w:p w14:paraId="259920A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shd w:val="clear" w:color="auto" w:fill="FCFDFF"/>
              </w:rPr>
            </w:pPr>
            <w:r>
              <w:rPr>
                <w:rFonts w:hint="eastAsia" w:ascii="宋体" w:hAnsi="宋体" w:eastAsia="宋体" w:cs="宋体"/>
                <w:color w:val="auto"/>
                <w:kern w:val="2"/>
                <w:sz w:val="21"/>
                <w:szCs w:val="21"/>
                <w:highlight w:val="none"/>
                <w:shd w:val="clear" w:color="auto" w:fill="FCFDFF"/>
                <w:lang w:val="en-US" w:eastAsia="zh-CN" w:bidi="ar"/>
              </w:rPr>
              <w:t>10.服务商应配备专门整理资料的工作人员每月初将上月零星维修工程项目资料汇总整理，并交由采购单位相关部门审核。</w:t>
            </w:r>
          </w:p>
          <w:p w14:paraId="1FCC158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kern w:val="2"/>
                <w:sz w:val="21"/>
                <w:szCs w:val="21"/>
                <w:highlight w:val="none"/>
                <w:shd w:val="clear" w:color="auto" w:fill="FCFDFF"/>
              </w:rPr>
            </w:pPr>
            <w:r>
              <w:rPr>
                <w:rFonts w:hint="eastAsia" w:ascii="宋体" w:hAnsi="宋体" w:eastAsia="宋体" w:cs="宋体"/>
                <w:b/>
                <w:bCs/>
                <w:color w:val="auto"/>
                <w:kern w:val="2"/>
                <w:sz w:val="21"/>
                <w:szCs w:val="21"/>
                <w:highlight w:val="none"/>
                <w:shd w:val="clear" w:color="auto" w:fill="FCFDFF"/>
                <w:lang w:val="en-US" w:eastAsia="zh-CN" w:bidi="ar"/>
              </w:rPr>
              <w:t>八、工程验收</w:t>
            </w:r>
          </w:p>
          <w:p w14:paraId="02E9C6C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1.施工完毕后，由甲方进行质量验收，乙方应予以配合，双方在工程验收单上签字盖章认可。</w:t>
            </w:r>
          </w:p>
          <w:p w14:paraId="53CD8D3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2.工程保修：质保期内发生质量问题时，乙方应当及时、有效、充分地履行维修义务。甲方不承担材料、工钱、交通、食宿等任何费用，但非乙方人为原因或不可抗力造成破坏的情形除外。</w:t>
            </w:r>
          </w:p>
          <w:p w14:paraId="55337825">
            <w:pPr>
              <w:keepNext w:val="0"/>
              <w:keepLines w:val="0"/>
              <w:widowControl w:val="0"/>
              <w:suppressLineNumbers w:val="0"/>
              <w:spacing w:before="0" w:beforeAutospacing="0" w:after="0" w:afterAutospacing="0"/>
              <w:ind w:left="0" w:right="0"/>
              <w:jc w:val="both"/>
              <w:rPr>
                <w:rFonts w:hint="eastAsia" w:ascii="Times New Roman" w:hAnsi="Times New Roman"/>
                <w:color w:val="auto"/>
                <w:highlight w:val="none"/>
              </w:rPr>
            </w:pPr>
            <w:r>
              <w:rPr>
                <w:rFonts w:hint="eastAsia" w:ascii="宋体" w:hAnsi="宋体" w:eastAsia="宋体" w:cs="宋体"/>
                <w:bCs/>
                <w:color w:val="auto"/>
                <w:kern w:val="0"/>
                <w:sz w:val="21"/>
                <w:szCs w:val="21"/>
                <w:highlight w:val="none"/>
                <w:lang w:val="en-US" w:eastAsia="zh-CN" w:bidi="ar"/>
              </w:rPr>
              <w:t>3.工程报价含包含货物、随配附件、备品备件、工具、运抵指定交货地点、现场安装调试、人工费、材料费、税金、利润的各种费用和售后服务、税金及其他所有成本费用的总和等所有费用。</w:t>
            </w:r>
          </w:p>
        </w:tc>
      </w:tr>
    </w:tbl>
    <w:p w14:paraId="01AD89D4">
      <w:pPr>
        <w:pStyle w:val="29"/>
        <w:numPr>
          <w:ilvl w:val="0"/>
          <w:numId w:val="3"/>
        </w:numPr>
        <w:rPr>
          <w:rStyle w:val="76"/>
          <w:rFonts w:ascii="宋体" w:hAnsi="宋体" w:cs="宋体"/>
          <w:b w:val="0"/>
          <w:bCs w:val="0"/>
          <w:color w:val="auto"/>
          <w:highlight w:val="none"/>
        </w:rPr>
      </w:pPr>
      <w:r>
        <w:rPr>
          <w:rFonts w:hint="eastAsia" w:ascii="仿宋" w:hAnsi="仿宋"/>
          <w:color w:val="auto"/>
          <w:highlight w:val="none"/>
        </w:rPr>
        <w:br w:type="page"/>
      </w:r>
      <w:r>
        <w:rPr>
          <w:rStyle w:val="76"/>
          <w:rFonts w:hint="eastAsia" w:ascii="宋体" w:hAnsi="宋体" w:cs="宋体"/>
          <w:b w:val="0"/>
          <w:bCs w:val="0"/>
          <w:color w:val="auto"/>
          <w:highlight w:val="none"/>
        </w:rPr>
        <w:t>评标办法</w:t>
      </w:r>
      <w:bookmarkEnd w:id="271"/>
      <w:bookmarkEnd w:id="272"/>
      <w:bookmarkEnd w:id="273"/>
    </w:p>
    <w:p w14:paraId="601FD46C">
      <w:pPr>
        <w:spacing w:line="360" w:lineRule="auto"/>
        <w:ind w:firstLine="446" w:firstLineChars="202"/>
        <w:jc w:val="both"/>
        <w:rPr>
          <w:rFonts w:hint="eastAsia" w:eastAsia="宋体"/>
          <w:color w:val="auto"/>
          <w:sz w:val="22"/>
          <w:szCs w:val="28"/>
          <w:highlight w:val="none"/>
          <w:lang w:eastAsia="zh-CN"/>
        </w:rPr>
      </w:pPr>
      <w:r>
        <w:rPr>
          <w:rFonts w:hint="eastAsia"/>
          <w:b/>
          <w:bCs/>
          <w:color w:val="auto"/>
          <w:sz w:val="22"/>
          <w:szCs w:val="28"/>
          <w:highlight w:val="none"/>
          <w:lang w:val="en-US" w:eastAsia="zh-CN"/>
        </w:rPr>
        <w:t>本章评标办法</w:t>
      </w:r>
      <w:r>
        <w:rPr>
          <w:rFonts w:hint="eastAsia"/>
          <w:b/>
          <w:bCs/>
          <w:color w:val="auto"/>
          <w:sz w:val="22"/>
          <w:szCs w:val="28"/>
          <w:highlight w:val="none"/>
        </w:rPr>
        <w:t>适用于A B C分标</w:t>
      </w:r>
      <w:r>
        <w:rPr>
          <w:rFonts w:hint="eastAsia"/>
          <w:b/>
          <w:bCs/>
          <w:color w:val="auto"/>
          <w:sz w:val="22"/>
          <w:szCs w:val="28"/>
          <w:highlight w:val="none"/>
          <w:lang w:eastAsia="zh-CN"/>
        </w:rPr>
        <w:t>，投标单位可参加3个分标的任何一个分标或多个分标，但只能中3个分标的其中1个分标，依据评审顺序，若投多个分标的投标人已为第一中标候选人的，不得参与其他分标的评审，且每分标参加评审的投标单位家数不得少于3家，评审顺序分别为A分标、B分标、C分标。</w:t>
      </w:r>
    </w:p>
    <w:p w14:paraId="44176695">
      <w:pPr>
        <w:pStyle w:val="17"/>
        <w:spacing w:line="480" w:lineRule="exact"/>
        <w:ind w:firstLine="413" w:firstLineChars="196"/>
        <w:rPr>
          <w:rFonts w:hint="eastAsia" w:hAnsi="宋体" w:cs="宋体"/>
          <w:b/>
          <w:bCs/>
          <w:color w:val="auto"/>
          <w:highlight w:val="none"/>
        </w:rPr>
      </w:pPr>
      <w:r>
        <w:rPr>
          <w:rFonts w:hint="eastAsia" w:hAnsi="宋体" w:cs="宋体"/>
          <w:b/>
          <w:bCs/>
          <w:color w:val="auto"/>
          <w:highlight w:val="none"/>
        </w:rPr>
        <w:t>一、评审原则</w:t>
      </w:r>
    </w:p>
    <w:p w14:paraId="25525FA8">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1、评审依据：</w:t>
      </w:r>
      <w:r>
        <w:rPr>
          <w:rFonts w:hint="eastAsia" w:hAnsi="宋体" w:cs="宋体"/>
          <w:color w:val="auto"/>
          <w:highlight w:val="none"/>
          <w:lang w:val="en-US" w:eastAsia="zh-CN"/>
        </w:rPr>
        <w:t>评审</w:t>
      </w:r>
      <w:r>
        <w:rPr>
          <w:rFonts w:hint="eastAsia" w:hAnsi="宋体" w:cs="宋体"/>
          <w:color w:val="auto"/>
          <w:highlight w:val="none"/>
        </w:rPr>
        <w:t>小组以</w:t>
      </w:r>
      <w:r>
        <w:rPr>
          <w:rFonts w:hint="eastAsia" w:hAnsi="宋体" w:cs="宋体"/>
          <w:color w:val="auto"/>
          <w:highlight w:val="none"/>
          <w:lang w:val="en-US" w:eastAsia="zh-CN"/>
        </w:rPr>
        <w:t>招标</w:t>
      </w:r>
      <w:r>
        <w:rPr>
          <w:rFonts w:hint="eastAsia" w:hAnsi="宋体" w:cs="宋体"/>
          <w:color w:val="auto"/>
          <w:highlight w:val="none"/>
        </w:rPr>
        <w:t>文件和</w:t>
      </w:r>
      <w:r>
        <w:rPr>
          <w:rFonts w:hint="eastAsia" w:hAnsi="宋体" w:cs="宋体"/>
          <w:color w:val="auto"/>
          <w:highlight w:val="none"/>
          <w:lang w:val="en-US" w:eastAsia="zh-CN"/>
        </w:rPr>
        <w:t>投标</w:t>
      </w:r>
      <w:r>
        <w:rPr>
          <w:rFonts w:hint="eastAsia" w:hAnsi="宋体" w:cs="宋体"/>
          <w:color w:val="auto"/>
          <w:highlight w:val="none"/>
        </w:rPr>
        <w:t>文件为评审依据，对</w:t>
      </w:r>
      <w:r>
        <w:rPr>
          <w:rFonts w:hint="eastAsia" w:hAnsi="宋体" w:cs="宋体"/>
          <w:color w:val="auto"/>
          <w:highlight w:val="none"/>
          <w:lang w:val="en-US" w:eastAsia="zh-CN"/>
        </w:rPr>
        <w:t>投标</w:t>
      </w:r>
      <w:r>
        <w:rPr>
          <w:rFonts w:hint="eastAsia" w:hAnsi="宋体" w:cs="宋体"/>
          <w:color w:val="auto"/>
          <w:highlight w:val="none"/>
        </w:rPr>
        <w:t>供应商的价格、</w:t>
      </w:r>
      <w:r>
        <w:rPr>
          <w:rFonts w:hint="eastAsia" w:hAnsi="宋体" w:cs="宋体"/>
          <w:color w:val="auto"/>
          <w:kern w:val="0"/>
          <w:szCs w:val="21"/>
          <w:highlight w:val="none"/>
          <w:lang w:val="en-US" w:eastAsia="zh-CN"/>
        </w:rPr>
        <w:t>技术</w:t>
      </w:r>
      <w:r>
        <w:rPr>
          <w:rFonts w:hint="eastAsia" w:hAnsi="宋体" w:cs="宋体"/>
          <w:color w:val="auto"/>
          <w:highlight w:val="none"/>
        </w:rPr>
        <w:t>、</w:t>
      </w:r>
      <w:r>
        <w:rPr>
          <w:rFonts w:hint="eastAsia" w:hAnsi="宋体" w:cs="宋体"/>
          <w:color w:val="auto"/>
          <w:highlight w:val="none"/>
          <w:lang w:val="en-US" w:eastAsia="zh-CN"/>
        </w:rPr>
        <w:t>商务</w:t>
      </w:r>
      <w:r>
        <w:rPr>
          <w:rFonts w:hint="eastAsia" w:hAnsi="宋体" w:cs="宋体"/>
          <w:color w:val="auto"/>
          <w:highlight w:val="none"/>
        </w:rPr>
        <w:t>等方面内容按百分制打分。</w:t>
      </w:r>
    </w:p>
    <w:p w14:paraId="6859E17C">
      <w:pPr>
        <w:pStyle w:val="17"/>
        <w:spacing w:line="480" w:lineRule="exact"/>
        <w:ind w:firstLine="420" w:firstLineChars="200"/>
        <w:rPr>
          <w:rFonts w:hint="eastAsia" w:hAnsi="宋体" w:cs="宋体"/>
          <w:color w:val="auto"/>
          <w:highlight w:val="none"/>
        </w:rPr>
      </w:pPr>
      <w:r>
        <w:rPr>
          <w:rFonts w:hint="eastAsia" w:hAnsi="宋体" w:cs="宋体"/>
          <w:color w:val="auto"/>
          <w:highlight w:val="none"/>
        </w:rPr>
        <w:t>2、评审方式：以封闭方式进行评审。</w:t>
      </w:r>
    </w:p>
    <w:p w14:paraId="02224ABF">
      <w:pPr>
        <w:pStyle w:val="17"/>
        <w:spacing w:line="480" w:lineRule="exact"/>
        <w:ind w:firstLine="420" w:firstLineChars="200"/>
        <w:rPr>
          <w:rFonts w:hint="eastAsia" w:hAnsi="宋体" w:cs="宋体"/>
          <w:color w:val="auto"/>
          <w:highlight w:val="none"/>
        </w:rPr>
      </w:pPr>
      <w:r>
        <w:rPr>
          <w:rFonts w:hint="eastAsia" w:hAnsi="宋体" w:cs="宋体"/>
          <w:color w:val="auto"/>
          <w:szCs w:val="21"/>
          <w:highlight w:val="none"/>
        </w:rPr>
        <w:t>3、</w:t>
      </w:r>
      <w:r>
        <w:rPr>
          <w:rFonts w:hint="eastAsia" w:hAnsi="宋体" w:cs="宋体"/>
          <w:color w:val="auto"/>
          <w:highlight w:val="none"/>
        </w:rPr>
        <w:t>根据财库〔2012〕69号文规定，采购人和采购代理机构、</w:t>
      </w:r>
      <w:r>
        <w:rPr>
          <w:rFonts w:hint="eastAsia" w:hAnsi="宋体" w:cs="宋体"/>
          <w:color w:val="auto"/>
          <w:highlight w:val="none"/>
          <w:lang w:val="en-US" w:eastAsia="zh-CN"/>
        </w:rPr>
        <w:t>评审</w:t>
      </w:r>
      <w:r>
        <w:rPr>
          <w:rFonts w:hint="eastAsia" w:hAnsi="宋体" w:cs="宋体"/>
          <w:color w:val="auto"/>
          <w:highlight w:val="none"/>
        </w:rPr>
        <w:t>小组成员要严格遵守政府采购相关法律制度，依法履行各自职责，公正、客观、审慎地组织和参与评审工作。</w:t>
      </w:r>
    </w:p>
    <w:p w14:paraId="4BC7F0C4">
      <w:pPr>
        <w:pStyle w:val="17"/>
        <w:spacing w:line="480" w:lineRule="exact"/>
        <w:ind w:firstLine="422" w:firstLineChars="200"/>
        <w:rPr>
          <w:rFonts w:hint="eastAsia" w:hAnsi="宋体" w:cs="宋体"/>
          <w:b/>
          <w:bCs/>
          <w:color w:val="auto"/>
          <w:highlight w:val="none"/>
        </w:rPr>
      </w:pPr>
      <w:r>
        <w:rPr>
          <w:rFonts w:hint="eastAsia" w:hAnsi="宋体" w:cs="宋体"/>
          <w:b/>
          <w:bCs/>
          <w:color w:val="auto"/>
          <w:highlight w:val="none"/>
        </w:rPr>
        <w:t>二、评审办法</w:t>
      </w:r>
    </w:p>
    <w:p w14:paraId="2726F0E9">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（一）对进入详评的，采用综合评分法。</w:t>
      </w:r>
    </w:p>
    <w:p w14:paraId="72774DB8">
      <w:pPr>
        <w:pStyle w:val="17"/>
        <w:spacing w:line="480" w:lineRule="exact"/>
        <w:ind w:firstLine="420" w:firstLineChars="200"/>
        <w:rPr>
          <w:rFonts w:hint="eastAsia" w:hAnsi="宋体" w:cs="宋体"/>
          <w:bCs/>
          <w:color w:val="auto"/>
          <w:highlight w:val="none"/>
        </w:rPr>
      </w:pPr>
      <w:r>
        <w:rPr>
          <w:rFonts w:hint="eastAsia" w:hAnsi="宋体" w:cs="宋体"/>
          <w:bCs/>
          <w:color w:val="auto"/>
          <w:highlight w:val="none"/>
        </w:rPr>
        <w:t>（二）计分办法（按四舍五入取至小数点后二位）</w:t>
      </w:r>
    </w:p>
    <w:p w14:paraId="49CB8172">
      <w:pPr>
        <w:pageBreakBefore w:val="0"/>
        <w:widowControl w:val="0"/>
        <w:tabs>
          <w:tab w:val="right" w:leader="dot" w:pos="8296"/>
          <w:tab w:val="right" w:leader="dot" w:pos="8398"/>
        </w:tabs>
        <w:kinsoku/>
        <w:wordWrap/>
        <w:overflowPunct/>
        <w:topLinePunct w:val="0"/>
        <w:autoSpaceDE/>
        <w:autoSpaceDN/>
        <w:bidi w:val="0"/>
        <w:adjustRightInd w:val="0"/>
        <w:snapToGrid w:val="0"/>
        <w:spacing w:line="540" w:lineRule="exact"/>
        <w:ind w:firstLine="422" w:firstLineChars="200"/>
        <w:jc w:val="left"/>
        <w:textAlignment w:val="auto"/>
        <w:rPr>
          <w:rFonts w:ascii="Arial" w:hAnsi="Arial" w:cs="Arial"/>
          <w:b/>
          <w:caps/>
          <w:color w:val="auto"/>
          <w:szCs w:val="21"/>
          <w:highlight w:val="none"/>
        </w:rPr>
      </w:pPr>
      <w:bookmarkStart w:id="274" w:name="_Hlk75189735"/>
      <w:r>
        <w:rPr>
          <w:rFonts w:ascii="Arial" w:hAnsi="Arial" w:cs="Arial"/>
          <w:b/>
          <w:caps/>
          <w:color w:val="auto"/>
          <w:szCs w:val="21"/>
          <w:highlight w:val="none"/>
        </w:rPr>
        <w:t>1、价格分…………………………………………………………………………………30分</w:t>
      </w:r>
    </w:p>
    <w:p w14:paraId="3F8FF94E">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（1）</w:t>
      </w:r>
      <w:r>
        <w:rPr>
          <w:rFonts w:ascii="Arial" w:hAnsi="Arial" w:cs="Arial"/>
          <w:color w:val="auto"/>
          <w:szCs w:val="21"/>
          <w:highlight w:val="none"/>
        </w:rPr>
        <w:t>本项目以</w:t>
      </w:r>
      <w:r>
        <w:rPr>
          <w:rFonts w:hint="eastAsia" w:ascii="Arial" w:hAnsi="Arial" w:cs="Arial"/>
          <w:color w:val="auto"/>
          <w:szCs w:val="21"/>
          <w:highlight w:val="none"/>
          <w:lang w:eastAsia="zh-CN"/>
        </w:rPr>
        <w:t>下浮率</w:t>
      </w:r>
      <w:r>
        <w:rPr>
          <w:rFonts w:ascii="Arial" w:hAnsi="Arial" w:cs="Arial"/>
          <w:color w:val="auto"/>
          <w:szCs w:val="21"/>
          <w:highlight w:val="none"/>
        </w:rPr>
        <w:t>方式进行报价（实际结算价=</w:t>
      </w:r>
      <w:r>
        <w:rPr>
          <w:rFonts w:hint="eastAsia" w:ascii="Arial" w:hAnsi="Arial" w:cs="Arial"/>
          <w:color w:val="auto"/>
          <w:szCs w:val="21"/>
          <w:highlight w:val="none"/>
          <w:lang w:val="en-US" w:eastAsia="zh-CN"/>
        </w:rPr>
        <w:t>单项</w:t>
      </w:r>
      <w:r>
        <w:rPr>
          <w:rFonts w:ascii="Arial" w:hAnsi="Arial" w:cs="Arial"/>
          <w:color w:val="auto"/>
          <w:szCs w:val="21"/>
          <w:highlight w:val="none"/>
        </w:rPr>
        <w:t>上控价×（1-</w:t>
      </w:r>
      <w:r>
        <w:rPr>
          <w:rFonts w:hint="eastAsia" w:ascii="Arial" w:hAnsi="Arial" w:cs="Arial"/>
          <w:color w:val="auto"/>
          <w:szCs w:val="21"/>
          <w:highlight w:val="none"/>
          <w:lang w:eastAsia="zh-CN"/>
        </w:rPr>
        <w:t>下浮率</w:t>
      </w:r>
      <w:r>
        <w:rPr>
          <w:rFonts w:ascii="Arial" w:hAnsi="Arial" w:cs="Arial"/>
          <w:color w:val="auto"/>
          <w:szCs w:val="21"/>
          <w:highlight w:val="none"/>
        </w:rPr>
        <w:t>）。评标报价只是作为评标时使用，最终中标人的</w:t>
      </w:r>
      <w:r>
        <w:rPr>
          <w:rFonts w:hint="eastAsia" w:ascii="Arial" w:hAnsi="Arial" w:cs="Arial"/>
          <w:color w:val="auto"/>
          <w:szCs w:val="21"/>
          <w:highlight w:val="none"/>
          <w:lang w:eastAsia="zh-CN"/>
        </w:rPr>
        <w:t>下浮率</w:t>
      </w:r>
      <w:r>
        <w:rPr>
          <w:rFonts w:ascii="Arial" w:hAnsi="Arial" w:cs="Arial"/>
          <w:color w:val="auto"/>
          <w:szCs w:val="21"/>
          <w:highlight w:val="none"/>
        </w:rPr>
        <w:t>等于投标报价</w:t>
      </w:r>
      <w:r>
        <w:rPr>
          <w:rFonts w:hint="eastAsia" w:ascii="Arial" w:hAnsi="Arial" w:cs="Arial"/>
          <w:color w:val="auto"/>
          <w:szCs w:val="21"/>
          <w:highlight w:val="none"/>
          <w:lang w:eastAsia="zh-CN"/>
        </w:rPr>
        <w:t>下浮率</w:t>
      </w:r>
      <w:r>
        <w:rPr>
          <w:rFonts w:ascii="Arial" w:hAnsi="Arial" w:cs="Arial"/>
          <w:color w:val="auto"/>
          <w:szCs w:val="21"/>
          <w:highlight w:val="none"/>
        </w:rPr>
        <w:t>。</w:t>
      </w:r>
    </w:p>
    <w:p w14:paraId="359AAF9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价格分计算公式：某投标人价格分=（1-有效投标人最高</w:t>
      </w:r>
      <w:r>
        <w:rPr>
          <w:rFonts w:hint="eastAsia" w:ascii="Arial" w:hAnsi="Arial" w:cs="Arial"/>
          <w:color w:val="auto"/>
          <w:szCs w:val="21"/>
          <w:highlight w:val="none"/>
          <w:lang w:eastAsia="zh-CN"/>
        </w:rPr>
        <w:t>下浮率</w:t>
      </w:r>
      <w:r>
        <w:rPr>
          <w:rFonts w:ascii="Arial" w:hAnsi="Arial" w:cs="Arial"/>
          <w:color w:val="auto"/>
          <w:szCs w:val="21"/>
          <w:highlight w:val="none"/>
        </w:rPr>
        <w:t>）÷（1-某有效投标人</w:t>
      </w:r>
      <w:r>
        <w:rPr>
          <w:rFonts w:hint="eastAsia" w:ascii="Arial" w:hAnsi="Arial" w:cs="Arial"/>
          <w:color w:val="auto"/>
          <w:szCs w:val="21"/>
          <w:highlight w:val="none"/>
          <w:lang w:eastAsia="zh-CN"/>
        </w:rPr>
        <w:t>下浮率</w:t>
      </w: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0分</w:t>
      </w:r>
    </w:p>
    <w:p w14:paraId="1A812DEE">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2、技术评审（供应商针对工程的工程质量、安全施工保证措施方案）…………60分</w:t>
      </w:r>
    </w:p>
    <w:p w14:paraId="21A88DD9">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（1）总体概述(满分12分)</w:t>
      </w:r>
    </w:p>
    <w:p w14:paraId="7F5189D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五档（12.0分）：对项目总体有深刻认识，表达清晰、完整、严谨、合理，措施先进、具体、有效、成熟；施工段划分清晰、合理，符合规范要求；</w:t>
      </w:r>
    </w:p>
    <w:p w14:paraId="1AF4C568">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四档（9.0分：）对项目总体有一定认识，表达清晰、完整，措施具体有效；施工段划分清晰，符合规范要求；</w:t>
      </w:r>
    </w:p>
    <w:p w14:paraId="64F7A58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三档（6.0分）：对项目总体有认识，表达清晰，措施有效；施工段划分合理，符合规范要求；</w:t>
      </w:r>
    </w:p>
    <w:p w14:paraId="3BBAEAF1">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二档（3.0分）：对项目总体有认识，有一定的措施但部分不具体；施工段划分较合理，符合规范要求；</w:t>
      </w:r>
    </w:p>
    <w:p w14:paraId="42F929E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一档（0分）：对项目认识不足，表达不清晰，措施不具体；施工段划分不合理。</w:t>
      </w:r>
    </w:p>
    <w:p w14:paraId="03319351">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（2）主要施工方法(满分12分)</w:t>
      </w:r>
    </w:p>
    <w:p w14:paraId="72FAA80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五档（12.0分）：各主要分部施工方法符合项目实际，有详尽的施工技术方案，工艺先进、方法科学合理、可行，能指导具体施工并确保安全；</w:t>
      </w:r>
    </w:p>
    <w:p w14:paraId="69816AB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四档（9.0分）：各主要分部施工方法符合项目实际，有较详尽的施工技术方案，工艺较好、方法科学合理、可行，能指导具体施工并确保安全；</w:t>
      </w:r>
    </w:p>
    <w:p w14:paraId="1936B57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三档（6.0分）:各主要分部施工方法能满足项目需求，有施工技术方案，能指导具体施工并确保安全；</w:t>
      </w:r>
    </w:p>
    <w:p w14:paraId="61AC9F1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二档（3.0分）:各主要分部施工方法基本满足项目需求，基本能指导施工并确保安全；</w:t>
      </w:r>
    </w:p>
    <w:p w14:paraId="0604ED8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一档（0分）：各主要分部施工方法不能满足项目需求，没有施工技术方案，不能指导具体施工并确保安全。</w:t>
      </w:r>
    </w:p>
    <w:p w14:paraId="4CBB527F">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（3）施工进度保证措施(满分6分)</w:t>
      </w:r>
    </w:p>
    <w:p w14:paraId="4716FAFB">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五档（6.0分）:关键线路清晰、准确、完整，计划编制合理、可行，关键节点的控制措施有力、合理、可行；</w:t>
      </w:r>
    </w:p>
    <w:p w14:paraId="73ECE7D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四档（4.5分）:关键线路清晰、准确、完整，计划编制可行，关键节点的控制措施合理、可行；</w:t>
      </w:r>
    </w:p>
    <w:p w14:paraId="6DECCA3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三档（3.0分）:关键线路较准确，计划编制合理，关键节点的控制措施可行；</w:t>
      </w:r>
    </w:p>
    <w:p w14:paraId="3D10497B">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二档（1.5分）:关键线路基本准确，计划编制基本合理，关键节点的控制措施基本可行；</w:t>
      </w:r>
    </w:p>
    <w:p w14:paraId="17B3B371">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一档（0分）：关键线路不准确，计划编制不合理，关键节点的控制不可行。</w:t>
      </w:r>
    </w:p>
    <w:p w14:paraId="4F227F53">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（4）劳动力及材料投入计划 (满分4分)</w:t>
      </w:r>
    </w:p>
    <w:p w14:paraId="338528F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五档（4.0分）：投入计划与进度计划呼应，较好满足施工需要，调配投入计划合理、准确；</w:t>
      </w:r>
    </w:p>
    <w:p w14:paraId="62AA70B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四档（3.0分）：投入计划与进度计划呼应，基本满足施工需要，调配投入计划基本合理、准确；</w:t>
      </w:r>
    </w:p>
    <w:p w14:paraId="43A57C0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三档（2.0分）：投入计划与进度计划呼应，基本满足施工需要，调配投入计划基本合理；</w:t>
      </w:r>
    </w:p>
    <w:p w14:paraId="456D07C4">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二档（1.0分）:投入计划与进度计划基本呼应，能满足施工需要，调配投入计划基本合理；</w:t>
      </w:r>
    </w:p>
    <w:p w14:paraId="40EA5B4D">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一档（0分）：投入计划与进度计划不呼应，不能满足施工需要。</w:t>
      </w:r>
    </w:p>
    <w:p w14:paraId="54C60806">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（5）施工技术方案(满分10分)</w:t>
      </w:r>
    </w:p>
    <w:p w14:paraId="22490915">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五档（10.0分）：对项目关键技术、工艺有深入的表达，对重点、难点有先进合理的施工措施并有可行的安全措施，解决方案完整、经济、安全、切实可行，措施得力。</w:t>
      </w:r>
    </w:p>
    <w:p w14:paraId="73BFC8B3">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四档（7.5分）：对项目关键技术、工艺有深入的表达，对重点、难点有合理的建议，解决方案经济、安全、基本可行。</w:t>
      </w:r>
    </w:p>
    <w:p w14:paraId="0CB59A6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三档（5.0分）：对项目关键技术有一定了解，对重点、难点有建议，解决方案基本可行。</w:t>
      </w:r>
    </w:p>
    <w:p w14:paraId="16F3B63C">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二档（2.5分）：对项目关键技术基本了解，对重点、难点有建议，解决方案基本可行。</w:t>
      </w:r>
    </w:p>
    <w:p w14:paraId="641409BA">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一档（0分）：对项目关键技术有表述，对重点、难点有建议，解决方案不可行。</w:t>
      </w:r>
    </w:p>
    <w:p w14:paraId="2B99D697">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（6）安全文明施工 (满分8分)</w:t>
      </w:r>
    </w:p>
    <w:p w14:paraId="2760E86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五档（8.0分）：针对项目实际情况，有先进、具体、完整、可行的实施措施，采用规范正确、清晰。</w:t>
      </w:r>
    </w:p>
    <w:p w14:paraId="5755A1A3">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四档（6.0分）：针对项目实际情况，有合理、具体的实施措施，采用规范正确、清晰。</w:t>
      </w:r>
    </w:p>
    <w:p w14:paraId="3B189F8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三档（4.0分）：针对项目实际情况，有比较合理的实施措施，采用规范正确。</w:t>
      </w:r>
    </w:p>
    <w:p w14:paraId="343D9610">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二档（2.0分）：针对项目实际情况，有基本合理的实施措施，采用规范正确。</w:t>
      </w:r>
    </w:p>
    <w:p w14:paraId="7AE6694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一档（0分）：针对项目实际情况，安全文明措施不得力，采用规范不正确。</w:t>
      </w:r>
    </w:p>
    <w:p w14:paraId="0A9BE758">
      <w:pPr>
        <w:pageBreakBefore w:val="0"/>
        <w:widowControl w:val="0"/>
        <w:tabs>
          <w:tab w:val="left" w:leader="middleDot" w:pos="8820"/>
        </w:tabs>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ascii="Arial" w:hAnsi="Arial" w:cs="Arial"/>
          <w:b/>
          <w:color w:val="auto"/>
          <w:szCs w:val="21"/>
          <w:highlight w:val="none"/>
        </w:rPr>
        <w:t>（7）质量保证与承诺(满分6分)</w:t>
      </w:r>
    </w:p>
    <w:p w14:paraId="2434F112">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五档（6.0分）：针对项目实际提出先进、可行、具体的保证措施，超过招标文件的质量要求及施工验收规范要求。</w:t>
      </w:r>
    </w:p>
    <w:p w14:paraId="3CC3CD18">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四档（4.5分）：针对项目实际提出先进、可行、具体的保证措施，满足招标文件的质量要求。</w:t>
      </w:r>
    </w:p>
    <w:p w14:paraId="6066AE36">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三档（3.0分）：针对项目实际提出先进、可行的保证措施，满足招标文件的质量要求。</w:t>
      </w:r>
    </w:p>
    <w:p w14:paraId="60C08AFF">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二档（1.5分）：针对项目实际提出基本可行的保证措施，能满足招标文件的质量要求。</w:t>
      </w:r>
    </w:p>
    <w:p w14:paraId="6C162319">
      <w:pPr>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一档（0分）：针对项目措施不可行，不能满足招标文件的质量要求。</w:t>
      </w:r>
    </w:p>
    <w:p w14:paraId="52AE9DDE">
      <w:pPr>
        <w:pageBreakBefore w:val="0"/>
        <w:widowControl w:val="0"/>
        <w:kinsoku/>
        <w:wordWrap/>
        <w:overflowPunct/>
        <w:topLinePunct w:val="0"/>
        <w:autoSpaceDE/>
        <w:autoSpaceDN/>
        <w:bidi w:val="0"/>
        <w:adjustRightInd w:val="0"/>
        <w:snapToGrid w:val="0"/>
        <w:spacing w:line="540" w:lineRule="exact"/>
        <w:ind w:firstLine="422" w:firstLineChars="200"/>
        <w:jc w:val="left"/>
        <w:textAlignment w:val="auto"/>
        <w:rPr>
          <w:rFonts w:ascii="Arial" w:hAnsi="Arial" w:cs="Arial"/>
          <w:color w:val="auto"/>
          <w:szCs w:val="21"/>
          <w:highlight w:val="none"/>
        </w:rPr>
      </w:pPr>
      <w:r>
        <w:rPr>
          <w:rFonts w:ascii="Arial" w:hAnsi="Arial" w:cs="Arial"/>
          <w:b/>
          <w:bCs/>
          <w:color w:val="auto"/>
          <w:szCs w:val="21"/>
          <w:highlight w:val="none"/>
        </w:rPr>
        <w:t>（8）承诺保修期</w:t>
      </w:r>
      <w:r>
        <w:rPr>
          <w:rFonts w:ascii="Arial" w:hAnsi="Arial" w:cs="Arial"/>
          <w:b/>
          <w:color w:val="auto"/>
          <w:szCs w:val="21"/>
          <w:highlight w:val="none"/>
        </w:rPr>
        <w:t>(满分2分)</w:t>
      </w:r>
    </w:p>
    <w:p w14:paraId="36B968DD">
      <w:pPr>
        <w:pageBreakBefore w:val="0"/>
        <w:widowControl w:val="0"/>
        <w:kinsoku/>
        <w:wordWrap/>
        <w:overflowPunct/>
        <w:topLinePunct w:val="0"/>
        <w:autoSpaceDE/>
        <w:autoSpaceDN/>
        <w:bidi w:val="0"/>
        <w:adjustRightInd w:val="0"/>
        <w:snapToGrid w:val="0"/>
        <w:spacing w:line="540" w:lineRule="exact"/>
        <w:ind w:firstLine="404" w:firstLineChars="200"/>
        <w:textAlignment w:val="auto"/>
        <w:rPr>
          <w:rFonts w:ascii="Arial" w:hAnsi="Arial" w:cs="Arial"/>
          <w:color w:val="auto"/>
          <w:szCs w:val="21"/>
          <w:highlight w:val="none"/>
        </w:rPr>
      </w:pPr>
      <w:r>
        <w:rPr>
          <w:rFonts w:ascii="Arial" w:hAnsi="Arial" w:cs="Arial"/>
          <w:color w:val="auto"/>
          <w:spacing w:val="-4"/>
          <w:szCs w:val="21"/>
          <w:highlight w:val="none"/>
        </w:rPr>
        <w:t>承诺更长免费保修期：在满足免费保修期的基础上，免费保修期每延长半年得0.5分，最多得2分。</w:t>
      </w:r>
    </w:p>
    <w:p w14:paraId="02CCA328">
      <w:pPr>
        <w:pageBreakBefore w:val="0"/>
        <w:widowControl w:val="0"/>
        <w:kinsoku/>
        <w:wordWrap/>
        <w:overflowPunct/>
        <w:topLinePunct w:val="0"/>
        <w:autoSpaceDE/>
        <w:autoSpaceDN/>
        <w:bidi w:val="0"/>
        <w:adjustRightInd w:val="0"/>
        <w:snapToGrid w:val="0"/>
        <w:spacing w:line="540" w:lineRule="exact"/>
        <w:ind w:firstLine="422" w:firstLineChars="200"/>
        <w:textAlignment w:val="auto"/>
        <w:rPr>
          <w:rFonts w:ascii="Arial" w:hAnsi="Arial" w:cs="Arial"/>
          <w:b/>
          <w:color w:val="auto"/>
          <w:szCs w:val="21"/>
          <w:highlight w:val="none"/>
        </w:rPr>
      </w:pPr>
      <w:r>
        <w:rPr>
          <w:rFonts w:hint="eastAsia" w:ascii="Arial" w:hAnsi="Arial" w:cs="Arial"/>
          <w:b/>
          <w:color w:val="auto"/>
          <w:szCs w:val="21"/>
          <w:highlight w:val="none"/>
        </w:rPr>
        <w:t>3</w:t>
      </w:r>
      <w:r>
        <w:rPr>
          <w:rFonts w:ascii="Arial" w:hAnsi="Arial" w:cs="Arial"/>
          <w:b/>
          <w:color w:val="auto"/>
          <w:szCs w:val="21"/>
          <w:highlight w:val="none"/>
        </w:rPr>
        <w:t>、商务评审（业绩分）………………………………………………………………10分</w:t>
      </w:r>
    </w:p>
    <w:p w14:paraId="699B66CB">
      <w:pPr>
        <w:keepNext/>
        <w:keepLines/>
        <w:pageBreakBefore w:val="0"/>
        <w:widowControl w:val="0"/>
        <w:kinsoku/>
        <w:wordWrap/>
        <w:overflowPunct/>
        <w:topLinePunct w:val="0"/>
        <w:autoSpaceDE/>
        <w:autoSpaceDN/>
        <w:bidi w:val="0"/>
        <w:adjustRightInd w:val="0"/>
        <w:snapToGrid w:val="0"/>
        <w:spacing w:line="540" w:lineRule="exact"/>
        <w:ind w:firstLine="404" w:firstLineChars="200"/>
        <w:textAlignment w:val="auto"/>
        <w:outlineLvl w:val="1"/>
        <w:rPr>
          <w:rFonts w:ascii="Arial" w:hAnsi="Arial" w:cs="Arial"/>
          <w:color w:val="auto"/>
          <w:spacing w:val="-4"/>
          <w:szCs w:val="21"/>
          <w:highlight w:val="none"/>
        </w:rPr>
      </w:pPr>
      <w:r>
        <w:rPr>
          <w:rFonts w:ascii="Arial" w:hAnsi="Arial" w:cs="Arial"/>
          <w:color w:val="auto"/>
          <w:spacing w:val="-4"/>
          <w:szCs w:val="21"/>
          <w:highlight w:val="none"/>
        </w:rPr>
        <w:t>2021年1月1日以来完成过类似项目，每提供一个得 2 分，满分 10 分。（提供加盖公章的合同、中标（成交）通知书复印件及竣工验收意见书或项目已完成证明，合同内容能清晰反映服务名称、种类；同一个项目不重复计分。</w:t>
      </w:r>
    </w:p>
    <w:p w14:paraId="045AB047">
      <w:pPr>
        <w:pStyle w:val="17"/>
        <w:numPr>
          <w:ilvl w:val="0"/>
          <w:numId w:val="4"/>
        </w:numPr>
        <w:tabs>
          <w:tab w:val="left" w:pos="4214"/>
        </w:tabs>
        <w:spacing w:line="48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综合得分＝1+2+3</w:t>
      </w:r>
      <w:bookmarkEnd w:id="274"/>
    </w:p>
    <w:p w14:paraId="07F329D1">
      <w:pPr>
        <w:pStyle w:val="17"/>
        <w:numPr>
          <w:ilvl w:val="0"/>
          <w:numId w:val="0"/>
        </w:numPr>
        <w:tabs>
          <w:tab w:val="left" w:pos="4214"/>
        </w:tabs>
        <w:spacing w:line="480" w:lineRule="exact"/>
        <w:ind w:firstLine="422" w:firstLineChars="200"/>
        <w:rPr>
          <w:rFonts w:hint="eastAsia" w:hAnsi="宋体" w:cs="宋体"/>
          <w:b/>
          <w:color w:val="auto"/>
          <w:kern w:val="0"/>
          <w:szCs w:val="21"/>
          <w:highlight w:val="none"/>
        </w:rPr>
      </w:pPr>
      <w:r>
        <w:rPr>
          <w:rFonts w:hint="eastAsia" w:hAnsi="宋体" w:cs="宋体"/>
          <w:b/>
          <w:color w:val="auto"/>
          <w:kern w:val="0"/>
          <w:szCs w:val="21"/>
          <w:highlight w:val="none"/>
        </w:rPr>
        <w:t>三、推荐及确定</w:t>
      </w:r>
      <w:r>
        <w:rPr>
          <w:rFonts w:hint="eastAsia" w:hAnsi="宋体" w:cs="宋体"/>
          <w:b/>
          <w:color w:val="auto"/>
          <w:kern w:val="0"/>
          <w:szCs w:val="21"/>
          <w:highlight w:val="none"/>
          <w:lang w:val="en-US" w:eastAsia="zh-CN"/>
        </w:rPr>
        <w:t>中标</w:t>
      </w:r>
      <w:r>
        <w:rPr>
          <w:rFonts w:hint="eastAsia" w:hAnsi="宋体" w:cs="宋体"/>
          <w:b/>
          <w:color w:val="auto"/>
          <w:kern w:val="0"/>
          <w:szCs w:val="21"/>
          <w:highlight w:val="none"/>
        </w:rPr>
        <w:t>候选供应商原则</w:t>
      </w:r>
    </w:p>
    <w:p w14:paraId="1B3E554A">
      <w:pPr>
        <w:pStyle w:val="17"/>
        <w:tabs>
          <w:tab w:val="left" w:pos="4214"/>
        </w:tabs>
        <w:spacing w:line="480" w:lineRule="exact"/>
        <w:ind w:firstLine="420" w:firstLineChars="200"/>
        <w:rPr>
          <w:rFonts w:hint="eastAsia" w:hAnsi="宋体" w:cs="宋体"/>
          <w:color w:val="auto"/>
          <w:szCs w:val="21"/>
          <w:highlight w:val="none"/>
        </w:rPr>
      </w:pPr>
      <w:r>
        <w:rPr>
          <w:rFonts w:hint="eastAsia" w:hAnsi="宋体" w:cs="宋体"/>
          <w:color w:val="auto"/>
          <w:kern w:val="0"/>
          <w:szCs w:val="21"/>
          <w:highlight w:val="none"/>
        </w:rPr>
        <w:t>（1）</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小组应当根据综合评分情况，按照评审得分由高到低顺序推荐3名以上（含3名）</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候选供应商，并编写评审报告；如采购项目为政府购买服务项目（含政府和社会资本合作项目），</w:t>
      </w:r>
      <w:r>
        <w:rPr>
          <w:rFonts w:hint="eastAsia" w:hAnsi="宋体" w:cs="宋体"/>
          <w:color w:val="auto"/>
          <w:szCs w:val="21"/>
          <w:highlight w:val="none"/>
          <w:lang w:val="en-US" w:eastAsia="zh-CN"/>
        </w:rPr>
        <w:t>评审</w:t>
      </w:r>
      <w:r>
        <w:rPr>
          <w:rFonts w:hint="eastAsia" w:hAnsi="宋体" w:cs="宋体"/>
          <w:color w:val="auto"/>
          <w:szCs w:val="21"/>
          <w:highlight w:val="none"/>
        </w:rPr>
        <w:t>小组应当根据综合评分情况，按照评审得分由高到低顺序推荐2名以上（含2名）成交候选供应商，并编写评审报告。</w:t>
      </w:r>
      <w:r>
        <w:rPr>
          <w:rFonts w:hint="eastAsia" w:hAnsi="宋体" w:cs="宋体"/>
          <w:color w:val="auto"/>
          <w:szCs w:val="21"/>
          <w:highlight w:val="none"/>
          <w:lang w:val="en-US" w:eastAsia="zh-CN"/>
        </w:rPr>
        <w:t>评审</w:t>
      </w:r>
      <w:r>
        <w:rPr>
          <w:rFonts w:hint="eastAsia" w:hAnsi="宋体" w:cs="宋体"/>
          <w:color w:val="auto"/>
          <w:szCs w:val="21"/>
          <w:highlight w:val="none"/>
        </w:rPr>
        <w:t>小组根据综合得分由高到低排列次序，若得分相同时，以评审报价由</w:t>
      </w:r>
      <w:r>
        <w:rPr>
          <w:rFonts w:hint="eastAsia" w:hAnsi="宋体" w:cs="宋体"/>
          <w:color w:val="auto"/>
          <w:szCs w:val="21"/>
          <w:highlight w:val="none"/>
          <w:lang w:val="en-US" w:eastAsia="zh-CN"/>
        </w:rPr>
        <w:t>高</w:t>
      </w:r>
      <w:r>
        <w:rPr>
          <w:rFonts w:hint="eastAsia" w:hAnsi="宋体" w:cs="宋体"/>
          <w:color w:val="auto"/>
          <w:szCs w:val="21"/>
          <w:highlight w:val="none"/>
        </w:rPr>
        <w:t>到</w:t>
      </w:r>
      <w:r>
        <w:rPr>
          <w:rFonts w:hint="eastAsia" w:hAnsi="宋体" w:cs="宋体"/>
          <w:color w:val="auto"/>
          <w:szCs w:val="21"/>
          <w:highlight w:val="none"/>
          <w:lang w:val="en-US" w:eastAsia="zh-CN"/>
        </w:rPr>
        <w:t>低</w:t>
      </w:r>
      <w:r>
        <w:rPr>
          <w:rFonts w:hint="eastAsia" w:hAnsi="宋体" w:cs="宋体"/>
          <w:color w:val="auto"/>
          <w:szCs w:val="21"/>
          <w:highlight w:val="none"/>
        </w:rPr>
        <w:t>顺序排列；若得分相同且评审报价相同的，以</w:t>
      </w:r>
      <w:r>
        <w:rPr>
          <w:rFonts w:hint="eastAsia" w:hAnsi="宋体" w:cs="宋体"/>
          <w:color w:val="auto"/>
          <w:szCs w:val="21"/>
          <w:highlight w:val="none"/>
          <w:lang w:val="en-US" w:eastAsia="zh-CN"/>
        </w:rPr>
        <w:t>技术评审分</w:t>
      </w:r>
      <w:r>
        <w:rPr>
          <w:rFonts w:hint="eastAsia" w:hAnsi="宋体" w:cs="宋体"/>
          <w:color w:val="auto"/>
          <w:szCs w:val="21"/>
          <w:highlight w:val="none"/>
        </w:rPr>
        <w:t>由低到高顺序排列；若仍相同的，按</w:t>
      </w:r>
      <w:r>
        <w:rPr>
          <w:rFonts w:hint="eastAsia" w:hAnsi="宋体" w:cs="宋体"/>
          <w:color w:val="auto"/>
          <w:szCs w:val="21"/>
          <w:highlight w:val="none"/>
          <w:lang w:val="en-US" w:eastAsia="zh-CN"/>
        </w:rPr>
        <w:t>商务评审</w:t>
      </w:r>
      <w:r>
        <w:rPr>
          <w:rFonts w:hint="eastAsia" w:hAnsi="宋体" w:cs="宋体"/>
          <w:color w:val="auto"/>
          <w:szCs w:val="21"/>
          <w:highlight w:val="none"/>
        </w:rPr>
        <w:t>分由高到低顺序排列并推荐</w:t>
      </w:r>
      <w:r>
        <w:rPr>
          <w:rFonts w:hint="eastAsia" w:hAnsi="宋体" w:cs="宋体"/>
          <w:color w:val="auto"/>
          <w:szCs w:val="21"/>
          <w:highlight w:val="none"/>
          <w:lang w:val="en-US" w:eastAsia="zh-CN"/>
        </w:rPr>
        <w:t>中标</w:t>
      </w:r>
      <w:r>
        <w:rPr>
          <w:rFonts w:hint="eastAsia" w:hAnsi="宋体" w:cs="宋体"/>
          <w:color w:val="auto"/>
          <w:szCs w:val="21"/>
          <w:highlight w:val="none"/>
        </w:rPr>
        <w:t>候选供应商。若仍相同时，则由</w:t>
      </w:r>
      <w:r>
        <w:rPr>
          <w:rFonts w:hint="eastAsia" w:hAnsi="宋体" w:cs="宋体"/>
          <w:color w:val="auto"/>
          <w:szCs w:val="21"/>
          <w:highlight w:val="none"/>
          <w:lang w:val="en-US" w:eastAsia="zh-CN"/>
        </w:rPr>
        <w:t>评审</w:t>
      </w:r>
      <w:r>
        <w:rPr>
          <w:rFonts w:hint="eastAsia" w:hAnsi="宋体" w:cs="宋体"/>
          <w:color w:val="auto"/>
          <w:szCs w:val="21"/>
          <w:highlight w:val="none"/>
        </w:rPr>
        <w:t>小组集体讨论确定。</w:t>
      </w:r>
    </w:p>
    <w:p w14:paraId="1CEB9FBD">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（2）采购单位应当确定</w:t>
      </w:r>
      <w:r>
        <w:rPr>
          <w:rFonts w:hint="eastAsia" w:hAnsi="宋体" w:cs="宋体"/>
          <w:color w:val="auto"/>
          <w:kern w:val="0"/>
          <w:szCs w:val="21"/>
          <w:highlight w:val="none"/>
          <w:lang w:val="en-US" w:eastAsia="zh-CN"/>
        </w:rPr>
        <w:t>评审</w:t>
      </w:r>
      <w:r>
        <w:rPr>
          <w:rFonts w:hint="eastAsia" w:hAnsi="宋体" w:cs="宋体"/>
          <w:color w:val="auto"/>
          <w:kern w:val="0"/>
          <w:szCs w:val="21"/>
          <w:highlight w:val="none"/>
        </w:rPr>
        <w:t>小组推荐排名第一的成交候选供应商为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w:t>
      </w:r>
    </w:p>
    <w:p w14:paraId="2558D272">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（3）排名第一的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候选供应商放弃成交、因不可抗力提出不能履行合同，或者</w:t>
      </w:r>
      <w:r>
        <w:rPr>
          <w:rFonts w:hint="eastAsia" w:hAnsi="宋体" w:cs="宋体"/>
          <w:color w:val="auto"/>
          <w:kern w:val="0"/>
          <w:szCs w:val="21"/>
          <w:highlight w:val="none"/>
          <w:lang w:val="en-US" w:eastAsia="zh-CN"/>
        </w:rPr>
        <w:t>招标</w:t>
      </w:r>
      <w:r>
        <w:rPr>
          <w:rFonts w:hint="eastAsia" w:hAnsi="宋体" w:cs="宋体"/>
          <w:color w:val="auto"/>
          <w:kern w:val="0"/>
          <w:szCs w:val="21"/>
          <w:highlight w:val="none"/>
        </w:rPr>
        <w:t>文件规定应当提交履约保证金而在规定的期限内未能提交的，或因失信行为被取消</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候选人资格的，采购单位可以确定排名第二的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候选供应商为成交供应商。</w:t>
      </w:r>
    </w:p>
    <w:p w14:paraId="26804EAB">
      <w:pPr>
        <w:pStyle w:val="17"/>
        <w:tabs>
          <w:tab w:val="left" w:pos="4214"/>
        </w:tabs>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（4）排名第二的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候选供应商因前款规定的同样原因不能签订合同的，采购单位可以确定排名第三的</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候选人为</w:t>
      </w:r>
      <w:r>
        <w:rPr>
          <w:rFonts w:hint="eastAsia" w:hAnsi="宋体" w:cs="宋体"/>
          <w:color w:val="auto"/>
          <w:kern w:val="0"/>
          <w:szCs w:val="21"/>
          <w:highlight w:val="none"/>
          <w:lang w:val="en-US" w:eastAsia="zh-CN"/>
        </w:rPr>
        <w:t>中标</w:t>
      </w:r>
      <w:r>
        <w:rPr>
          <w:rFonts w:hint="eastAsia" w:hAnsi="宋体" w:cs="宋体"/>
          <w:color w:val="auto"/>
          <w:kern w:val="0"/>
          <w:szCs w:val="21"/>
          <w:highlight w:val="none"/>
        </w:rPr>
        <w:t>供应商。以此类推。</w:t>
      </w:r>
    </w:p>
    <w:p w14:paraId="511E31A8">
      <w:pPr>
        <w:spacing w:line="312"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2367B3DC">
      <w:pPr>
        <w:spacing w:line="312" w:lineRule="auto"/>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F82A58">
      <w:pPr>
        <w:pStyle w:val="7"/>
        <w:ind w:left="0" w:leftChars="0" w:firstLine="0" w:firstLineChars="0"/>
        <w:rPr>
          <w:rFonts w:hint="eastAsia"/>
          <w:color w:val="auto"/>
          <w:highlight w:val="none"/>
          <w:lang w:val="en-US" w:eastAsia="zh-CN"/>
        </w:rPr>
      </w:pPr>
    </w:p>
    <w:p w14:paraId="674629FC">
      <w:pPr>
        <w:rPr>
          <w:rFonts w:hint="eastAsia" w:ascii="宋体" w:hAnsi="宋体"/>
          <w:b/>
          <w:bCs/>
          <w:color w:val="auto"/>
          <w:szCs w:val="21"/>
          <w:highlight w:val="none"/>
        </w:rPr>
      </w:pPr>
    </w:p>
    <w:p w14:paraId="7E053255">
      <w:pPr>
        <w:rPr>
          <w:rFonts w:hint="eastAsia" w:ascii="宋体" w:hAnsi="宋体"/>
          <w:b/>
          <w:bCs/>
          <w:color w:val="auto"/>
          <w:szCs w:val="21"/>
          <w:highlight w:val="none"/>
        </w:rPr>
      </w:pPr>
    </w:p>
    <w:p w14:paraId="5CD90E3B">
      <w:pPr>
        <w:rPr>
          <w:rFonts w:hint="eastAsia" w:ascii="宋体" w:hAnsi="宋体"/>
          <w:b/>
          <w:bCs/>
          <w:color w:val="auto"/>
          <w:szCs w:val="21"/>
          <w:highlight w:val="none"/>
        </w:rPr>
      </w:pPr>
    </w:p>
    <w:p w14:paraId="5BFE953F">
      <w:pPr>
        <w:rPr>
          <w:rFonts w:hint="eastAsia" w:ascii="宋体" w:hAnsi="宋体"/>
          <w:b/>
          <w:bCs/>
          <w:color w:val="auto"/>
          <w:szCs w:val="21"/>
          <w:highlight w:val="none"/>
        </w:rPr>
      </w:pPr>
    </w:p>
    <w:p w14:paraId="1DD2F5A7">
      <w:pPr>
        <w:rPr>
          <w:rFonts w:hint="eastAsia" w:ascii="宋体" w:hAnsi="宋体"/>
          <w:b/>
          <w:bCs/>
          <w:color w:val="auto"/>
          <w:szCs w:val="21"/>
          <w:highlight w:val="none"/>
        </w:rPr>
      </w:pPr>
    </w:p>
    <w:p w14:paraId="0B12E290">
      <w:pPr>
        <w:rPr>
          <w:rFonts w:hint="eastAsia" w:ascii="宋体" w:hAnsi="宋体"/>
          <w:b/>
          <w:bCs/>
          <w:color w:val="auto"/>
          <w:szCs w:val="21"/>
          <w:highlight w:val="none"/>
        </w:rPr>
      </w:pPr>
    </w:p>
    <w:p w14:paraId="5DCAD49A">
      <w:pPr>
        <w:rPr>
          <w:rFonts w:hint="eastAsia" w:ascii="宋体" w:hAnsi="宋体"/>
          <w:b/>
          <w:bCs/>
          <w:color w:val="auto"/>
          <w:szCs w:val="21"/>
          <w:highlight w:val="none"/>
        </w:rPr>
      </w:pPr>
    </w:p>
    <w:p w14:paraId="48FE62BA">
      <w:pPr>
        <w:rPr>
          <w:rFonts w:hint="eastAsia" w:ascii="宋体" w:hAnsi="宋体"/>
          <w:b/>
          <w:bCs/>
          <w:color w:val="auto"/>
          <w:szCs w:val="21"/>
          <w:highlight w:val="none"/>
        </w:rPr>
      </w:pPr>
    </w:p>
    <w:p w14:paraId="14B7E412">
      <w:pPr>
        <w:rPr>
          <w:rFonts w:hint="eastAsia" w:ascii="宋体" w:hAnsi="宋体"/>
          <w:b/>
          <w:bCs/>
          <w:color w:val="auto"/>
          <w:szCs w:val="21"/>
          <w:highlight w:val="none"/>
        </w:rPr>
      </w:pPr>
    </w:p>
    <w:p w14:paraId="28DE0D21">
      <w:pPr>
        <w:rPr>
          <w:rFonts w:hint="eastAsia" w:ascii="宋体" w:hAnsi="宋体"/>
          <w:b/>
          <w:bCs/>
          <w:color w:val="auto"/>
          <w:szCs w:val="21"/>
          <w:highlight w:val="none"/>
        </w:rPr>
      </w:pPr>
    </w:p>
    <w:p w14:paraId="69E176AC">
      <w:pPr>
        <w:rPr>
          <w:rFonts w:hint="eastAsia" w:ascii="宋体" w:hAnsi="宋体"/>
          <w:b/>
          <w:bCs/>
          <w:color w:val="auto"/>
          <w:szCs w:val="21"/>
          <w:highlight w:val="none"/>
        </w:rPr>
      </w:pPr>
    </w:p>
    <w:p w14:paraId="4A87890C">
      <w:pPr>
        <w:rPr>
          <w:rFonts w:hint="eastAsia" w:ascii="宋体" w:hAnsi="宋体"/>
          <w:b/>
          <w:bCs/>
          <w:color w:val="auto"/>
          <w:szCs w:val="21"/>
          <w:highlight w:val="none"/>
        </w:rPr>
      </w:pPr>
    </w:p>
    <w:bookmarkEnd w:id="270"/>
    <w:p w14:paraId="442E3037">
      <w:pPr>
        <w:pStyle w:val="17"/>
        <w:adjustRightInd w:val="0"/>
        <w:spacing w:line="390" w:lineRule="exact"/>
        <w:contextualSpacing/>
        <w:rPr>
          <w:rFonts w:hint="eastAsia"/>
          <w:b/>
          <w:bCs/>
          <w:color w:val="auto"/>
          <w:highlight w:val="none"/>
        </w:rPr>
      </w:pPr>
    </w:p>
    <w:p w14:paraId="6B814844">
      <w:pPr>
        <w:pStyle w:val="17"/>
        <w:adjustRightInd w:val="0"/>
        <w:spacing w:line="390" w:lineRule="exact"/>
        <w:contextualSpacing/>
        <w:rPr>
          <w:rFonts w:hint="eastAsia"/>
          <w:b/>
          <w:bCs/>
          <w:color w:val="auto"/>
          <w:highlight w:val="none"/>
        </w:rPr>
      </w:pPr>
    </w:p>
    <w:p w14:paraId="03F86638">
      <w:pPr>
        <w:pStyle w:val="17"/>
        <w:adjustRightInd w:val="0"/>
        <w:spacing w:line="390" w:lineRule="exact"/>
        <w:contextualSpacing/>
        <w:rPr>
          <w:rFonts w:hAnsi="宋体" w:cs="宋体"/>
          <w:b/>
          <w:bCs/>
          <w:color w:val="auto"/>
          <w:highlight w:val="none"/>
        </w:rPr>
      </w:pPr>
      <w:r>
        <w:rPr>
          <w:rFonts w:hint="eastAsia"/>
          <w:b/>
          <w:bCs/>
          <w:color w:val="auto"/>
          <w:highlight w:val="none"/>
        </w:rPr>
        <w:t>附表</w:t>
      </w:r>
    </w:p>
    <w:p w14:paraId="2433D45F">
      <w:pPr>
        <w:widowControl/>
        <w:spacing w:beforeLines="50" w:afterLines="50" w:line="400" w:lineRule="exact"/>
        <w:jc w:val="center"/>
        <w:rPr>
          <w:rFonts w:ascii="宋体" w:hAnsi="宋体" w:cs="宋体"/>
          <w:b/>
          <w:bCs/>
          <w:color w:val="auto"/>
          <w:kern w:val="0"/>
          <w:sz w:val="30"/>
          <w:szCs w:val="30"/>
          <w:highlight w:val="none"/>
        </w:rPr>
      </w:pPr>
      <w:bookmarkStart w:id="275" w:name="_Toc28361_WPSOffice_Level2"/>
      <w:r>
        <w:rPr>
          <w:rFonts w:hint="eastAsia" w:ascii="宋体" w:hAnsi="宋体" w:cs="宋体"/>
          <w:b/>
          <w:bCs/>
          <w:color w:val="auto"/>
          <w:kern w:val="0"/>
          <w:sz w:val="30"/>
          <w:szCs w:val="30"/>
          <w:highlight w:val="none"/>
        </w:rPr>
        <w:t>统计上大中小微型企业划分标准</w:t>
      </w:r>
      <w:bookmarkEnd w:id="275"/>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3E6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6F5918C">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41B8422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7FF3A3C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0AE12A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66A82A5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52F91E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4AE00B9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226EBA2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EC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7138C3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3715D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4576D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089C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117300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57A9EF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5E9AA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F8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3D4F32E">
            <w:pPr>
              <w:widowControl/>
              <w:spacing w:line="240" w:lineRule="exact"/>
              <w:jc w:val="left"/>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工业 *</w:t>
            </w:r>
          </w:p>
        </w:tc>
        <w:tc>
          <w:tcPr>
            <w:tcW w:w="1445" w:type="dxa"/>
            <w:vAlign w:val="center"/>
          </w:tcPr>
          <w:p w14:paraId="32F69A3A">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从业人员(X)</w:t>
            </w:r>
          </w:p>
        </w:tc>
        <w:tc>
          <w:tcPr>
            <w:tcW w:w="748" w:type="dxa"/>
            <w:vAlign w:val="center"/>
          </w:tcPr>
          <w:p w14:paraId="71E627C6">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人</w:t>
            </w:r>
          </w:p>
        </w:tc>
        <w:tc>
          <w:tcPr>
            <w:tcW w:w="1188" w:type="dxa"/>
            <w:vAlign w:val="center"/>
          </w:tcPr>
          <w:p w14:paraId="3D66D33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X≥1000</w:t>
            </w:r>
          </w:p>
        </w:tc>
        <w:tc>
          <w:tcPr>
            <w:tcW w:w="1796" w:type="dxa"/>
            <w:vAlign w:val="center"/>
          </w:tcPr>
          <w:p w14:paraId="57095CAD">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300≤X＜1000</w:t>
            </w:r>
          </w:p>
        </w:tc>
        <w:tc>
          <w:tcPr>
            <w:tcW w:w="1505" w:type="dxa"/>
            <w:vAlign w:val="center"/>
          </w:tcPr>
          <w:p w14:paraId="0D3802D8">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20≤X＜300</w:t>
            </w:r>
          </w:p>
        </w:tc>
        <w:tc>
          <w:tcPr>
            <w:tcW w:w="1047" w:type="dxa"/>
            <w:vAlign w:val="center"/>
          </w:tcPr>
          <w:p w14:paraId="5537251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X＜20</w:t>
            </w:r>
          </w:p>
        </w:tc>
      </w:tr>
      <w:tr w14:paraId="5A10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28C2FAF">
            <w:pPr>
              <w:widowControl/>
              <w:jc w:val="left"/>
              <w:rPr>
                <w:rFonts w:ascii="宋体" w:hAnsi="宋体" w:cs="宋体"/>
                <w:b/>
                <w:color w:val="auto"/>
                <w:kern w:val="0"/>
                <w:sz w:val="18"/>
                <w:szCs w:val="18"/>
                <w:highlight w:val="none"/>
                <w:shd w:val="pct10" w:color="auto" w:fill="FFFFFF"/>
              </w:rPr>
            </w:pPr>
          </w:p>
        </w:tc>
        <w:tc>
          <w:tcPr>
            <w:tcW w:w="1445" w:type="dxa"/>
            <w:vAlign w:val="center"/>
          </w:tcPr>
          <w:p w14:paraId="3226338F">
            <w:pPr>
              <w:widowControl/>
              <w:spacing w:line="240" w:lineRule="exact"/>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营业收入(Y)</w:t>
            </w:r>
          </w:p>
        </w:tc>
        <w:tc>
          <w:tcPr>
            <w:tcW w:w="748" w:type="dxa"/>
            <w:vAlign w:val="center"/>
          </w:tcPr>
          <w:p w14:paraId="29159344">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万元</w:t>
            </w:r>
          </w:p>
        </w:tc>
        <w:tc>
          <w:tcPr>
            <w:tcW w:w="1188" w:type="dxa"/>
            <w:vAlign w:val="center"/>
          </w:tcPr>
          <w:p w14:paraId="4958B8B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Y≥40000</w:t>
            </w:r>
          </w:p>
        </w:tc>
        <w:tc>
          <w:tcPr>
            <w:tcW w:w="1796" w:type="dxa"/>
            <w:vAlign w:val="center"/>
          </w:tcPr>
          <w:p w14:paraId="0D9AED7F">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2000≤Y＜40000</w:t>
            </w:r>
          </w:p>
        </w:tc>
        <w:tc>
          <w:tcPr>
            <w:tcW w:w="1505" w:type="dxa"/>
            <w:vAlign w:val="center"/>
          </w:tcPr>
          <w:p w14:paraId="3E3E6B41">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300≤Y＜2000</w:t>
            </w:r>
          </w:p>
        </w:tc>
        <w:tc>
          <w:tcPr>
            <w:tcW w:w="1047" w:type="dxa"/>
            <w:vAlign w:val="center"/>
          </w:tcPr>
          <w:p w14:paraId="4A928F9B">
            <w:pPr>
              <w:widowControl/>
              <w:jc w:val="center"/>
              <w:rPr>
                <w:rFonts w:ascii="宋体" w:hAnsi="宋体" w:cs="宋体"/>
                <w:b/>
                <w:color w:val="auto"/>
                <w:kern w:val="0"/>
                <w:sz w:val="18"/>
                <w:szCs w:val="18"/>
                <w:highlight w:val="none"/>
                <w:shd w:val="pct10" w:color="auto" w:fill="FFFFFF"/>
              </w:rPr>
            </w:pPr>
            <w:r>
              <w:rPr>
                <w:rFonts w:hint="eastAsia" w:ascii="宋体" w:hAnsi="宋体" w:cs="宋体"/>
                <w:b/>
                <w:color w:val="auto"/>
                <w:kern w:val="0"/>
                <w:sz w:val="18"/>
                <w:szCs w:val="18"/>
                <w:highlight w:val="none"/>
                <w:shd w:val="pct10" w:color="auto" w:fill="FFFFFF"/>
              </w:rPr>
              <w:t>Y＜300</w:t>
            </w:r>
          </w:p>
        </w:tc>
      </w:tr>
      <w:tr w14:paraId="643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0DC0C2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7289C7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3D72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5EE05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65ECB6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56B2E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6F793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D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E659EC2">
            <w:pPr>
              <w:widowControl/>
              <w:jc w:val="left"/>
              <w:rPr>
                <w:rFonts w:ascii="宋体" w:hAnsi="宋体" w:cs="宋体"/>
                <w:color w:val="auto"/>
                <w:kern w:val="0"/>
                <w:sz w:val="18"/>
                <w:szCs w:val="18"/>
                <w:highlight w:val="none"/>
              </w:rPr>
            </w:pPr>
          </w:p>
        </w:tc>
        <w:tc>
          <w:tcPr>
            <w:tcW w:w="1445" w:type="dxa"/>
            <w:vAlign w:val="center"/>
          </w:tcPr>
          <w:p w14:paraId="02270E8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632FF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C79C3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0C200B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5E1259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1052DB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B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EC17ED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0F463A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16EFA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97EB9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1A87C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7815AA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46C2D4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5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FD9DCD">
            <w:pPr>
              <w:widowControl/>
              <w:jc w:val="left"/>
              <w:rPr>
                <w:rFonts w:ascii="宋体" w:hAnsi="宋体" w:cs="宋体"/>
                <w:color w:val="auto"/>
                <w:kern w:val="0"/>
                <w:sz w:val="18"/>
                <w:szCs w:val="18"/>
                <w:highlight w:val="none"/>
              </w:rPr>
            </w:pPr>
          </w:p>
        </w:tc>
        <w:tc>
          <w:tcPr>
            <w:tcW w:w="1445" w:type="dxa"/>
            <w:vAlign w:val="center"/>
          </w:tcPr>
          <w:p w14:paraId="26FDE3C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611F28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3EBE8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0873F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0D53135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27821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37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21B4D09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25E3EE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52BFA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B6BA8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049DC1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21A9520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507020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12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17268D5">
            <w:pPr>
              <w:widowControl/>
              <w:jc w:val="left"/>
              <w:rPr>
                <w:rFonts w:ascii="宋体" w:hAnsi="宋体" w:cs="宋体"/>
                <w:color w:val="auto"/>
                <w:kern w:val="0"/>
                <w:sz w:val="18"/>
                <w:szCs w:val="18"/>
                <w:highlight w:val="none"/>
              </w:rPr>
            </w:pPr>
          </w:p>
        </w:tc>
        <w:tc>
          <w:tcPr>
            <w:tcW w:w="1445" w:type="dxa"/>
            <w:vAlign w:val="center"/>
          </w:tcPr>
          <w:p w14:paraId="449BF97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B4A4C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371F2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05512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10D2620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0C596B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D5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518DA5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7B29D9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FFEE7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CD46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5D552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43B001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4549DB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E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E8734B">
            <w:pPr>
              <w:widowControl/>
              <w:jc w:val="left"/>
              <w:rPr>
                <w:rFonts w:ascii="宋体" w:hAnsi="宋体" w:cs="宋体"/>
                <w:color w:val="auto"/>
                <w:kern w:val="0"/>
                <w:sz w:val="18"/>
                <w:szCs w:val="18"/>
                <w:highlight w:val="none"/>
              </w:rPr>
            </w:pPr>
          </w:p>
        </w:tc>
        <w:tc>
          <w:tcPr>
            <w:tcW w:w="1445" w:type="dxa"/>
            <w:vAlign w:val="center"/>
          </w:tcPr>
          <w:p w14:paraId="156A0A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1664A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102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3C3F1B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7F613C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4D6EB5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72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CCC560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636D2B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AC3C1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7311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241563A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561309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0590FB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9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367E31F4">
            <w:pPr>
              <w:widowControl/>
              <w:jc w:val="left"/>
              <w:rPr>
                <w:rFonts w:ascii="宋体" w:hAnsi="宋体" w:cs="宋体"/>
                <w:color w:val="auto"/>
                <w:kern w:val="0"/>
                <w:sz w:val="18"/>
                <w:szCs w:val="18"/>
                <w:highlight w:val="none"/>
              </w:rPr>
            </w:pPr>
          </w:p>
        </w:tc>
        <w:tc>
          <w:tcPr>
            <w:tcW w:w="1445" w:type="dxa"/>
            <w:vAlign w:val="center"/>
          </w:tcPr>
          <w:p w14:paraId="2D34927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C8617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386F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18ABC7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5304A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2CE804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85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B1F165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799C77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D6636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ACA05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20E8E3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3646C8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05DC64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05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4B96C94">
            <w:pPr>
              <w:widowControl/>
              <w:jc w:val="left"/>
              <w:rPr>
                <w:rFonts w:ascii="宋体" w:hAnsi="宋体" w:cs="宋体"/>
                <w:color w:val="auto"/>
                <w:kern w:val="0"/>
                <w:sz w:val="18"/>
                <w:szCs w:val="18"/>
                <w:highlight w:val="none"/>
              </w:rPr>
            </w:pPr>
          </w:p>
        </w:tc>
        <w:tc>
          <w:tcPr>
            <w:tcW w:w="1445" w:type="dxa"/>
            <w:vAlign w:val="center"/>
          </w:tcPr>
          <w:p w14:paraId="25830D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7AE80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10DA9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67BD4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2077CB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383BE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3B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42DFC2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43EFB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026895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D7ADA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869B57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6B0E2B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21E85A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B8B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C4B1F11">
            <w:pPr>
              <w:widowControl/>
              <w:jc w:val="left"/>
              <w:rPr>
                <w:rFonts w:ascii="宋体" w:hAnsi="宋体" w:cs="宋体"/>
                <w:color w:val="auto"/>
                <w:kern w:val="0"/>
                <w:sz w:val="18"/>
                <w:szCs w:val="18"/>
                <w:highlight w:val="none"/>
              </w:rPr>
            </w:pPr>
          </w:p>
        </w:tc>
        <w:tc>
          <w:tcPr>
            <w:tcW w:w="1445" w:type="dxa"/>
            <w:vAlign w:val="center"/>
          </w:tcPr>
          <w:p w14:paraId="0B887C5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90C8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5DD05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2CAC1F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60806D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504845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2D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6265197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40769D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6C0C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559DA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77A9A2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4D031B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E6E3F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81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BE57AAA">
            <w:pPr>
              <w:widowControl/>
              <w:jc w:val="left"/>
              <w:rPr>
                <w:rFonts w:ascii="宋体" w:hAnsi="宋体" w:cs="宋体"/>
                <w:color w:val="auto"/>
                <w:kern w:val="0"/>
                <w:sz w:val="18"/>
                <w:szCs w:val="18"/>
                <w:highlight w:val="none"/>
              </w:rPr>
            </w:pPr>
          </w:p>
        </w:tc>
        <w:tc>
          <w:tcPr>
            <w:tcW w:w="1445" w:type="dxa"/>
            <w:vAlign w:val="center"/>
          </w:tcPr>
          <w:p w14:paraId="0F871AA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E9A3C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54E50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3CCF9E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20020F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718E17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84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14CE78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5A6046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07369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CEC5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084744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5D6BE6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D4C8A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B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F9181E2">
            <w:pPr>
              <w:widowControl/>
              <w:jc w:val="left"/>
              <w:rPr>
                <w:rFonts w:ascii="宋体" w:hAnsi="宋体" w:cs="宋体"/>
                <w:color w:val="auto"/>
                <w:kern w:val="0"/>
                <w:sz w:val="18"/>
                <w:szCs w:val="18"/>
                <w:highlight w:val="none"/>
              </w:rPr>
            </w:pPr>
          </w:p>
        </w:tc>
        <w:tc>
          <w:tcPr>
            <w:tcW w:w="1445" w:type="dxa"/>
            <w:vAlign w:val="center"/>
          </w:tcPr>
          <w:p w14:paraId="66BA993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D3856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A2D8D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7E485A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499562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1753DE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B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93DA03A">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4EF29B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50C3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1384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7D5985E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714B68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533B2C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4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B92FAFA">
            <w:pPr>
              <w:widowControl/>
              <w:jc w:val="left"/>
              <w:rPr>
                <w:rFonts w:ascii="宋体" w:hAnsi="宋体" w:cs="宋体"/>
                <w:color w:val="auto"/>
                <w:spacing w:val="-12"/>
                <w:kern w:val="0"/>
                <w:sz w:val="18"/>
                <w:szCs w:val="18"/>
                <w:highlight w:val="none"/>
              </w:rPr>
            </w:pPr>
          </w:p>
        </w:tc>
        <w:tc>
          <w:tcPr>
            <w:tcW w:w="1445" w:type="dxa"/>
            <w:vAlign w:val="center"/>
          </w:tcPr>
          <w:p w14:paraId="1ABA53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BB76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D3280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08DDD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6F30DF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7E006F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E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442550B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69D857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DBD4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10CBF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0EF6DA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061B8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61C4D3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FC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D817E0D">
            <w:pPr>
              <w:widowControl/>
              <w:jc w:val="left"/>
              <w:rPr>
                <w:rFonts w:ascii="宋体" w:hAnsi="宋体" w:cs="宋体"/>
                <w:color w:val="auto"/>
                <w:kern w:val="0"/>
                <w:sz w:val="18"/>
                <w:szCs w:val="18"/>
                <w:highlight w:val="none"/>
              </w:rPr>
            </w:pPr>
          </w:p>
        </w:tc>
        <w:tc>
          <w:tcPr>
            <w:tcW w:w="1445" w:type="dxa"/>
            <w:vAlign w:val="center"/>
          </w:tcPr>
          <w:p w14:paraId="36B7F5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55314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69AA5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372C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7B60CF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48BAC8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BC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6944D9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0B3D88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F4457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285F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6AA5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59B063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23175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2F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0CA13E47">
            <w:pPr>
              <w:widowControl/>
              <w:jc w:val="left"/>
              <w:rPr>
                <w:rFonts w:ascii="宋体" w:hAnsi="宋体" w:cs="宋体"/>
                <w:color w:val="auto"/>
                <w:kern w:val="0"/>
                <w:sz w:val="18"/>
                <w:szCs w:val="18"/>
                <w:highlight w:val="none"/>
              </w:rPr>
            </w:pPr>
          </w:p>
        </w:tc>
        <w:tc>
          <w:tcPr>
            <w:tcW w:w="1445" w:type="dxa"/>
            <w:vAlign w:val="center"/>
          </w:tcPr>
          <w:p w14:paraId="69F7E97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03A89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BD08A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20C7913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315549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319F05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BC8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3734C72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1415F6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40EABC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5DE8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7D48E6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75D1E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8B48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7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65C0D48E">
            <w:pPr>
              <w:widowControl/>
              <w:jc w:val="left"/>
              <w:rPr>
                <w:rFonts w:ascii="宋体" w:hAnsi="宋体" w:cs="宋体"/>
                <w:color w:val="auto"/>
                <w:kern w:val="0"/>
                <w:sz w:val="18"/>
                <w:szCs w:val="18"/>
                <w:highlight w:val="none"/>
              </w:rPr>
            </w:pPr>
          </w:p>
        </w:tc>
        <w:tc>
          <w:tcPr>
            <w:tcW w:w="1445" w:type="dxa"/>
            <w:vAlign w:val="center"/>
          </w:tcPr>
          <w:p w14:paraId="75C4DA0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74AAEF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A07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208D4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111B76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1150A6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4B9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0C5EE50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0DFF64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56AFD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69A432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2C116D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5506F3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5682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295B76C">
      <w:pPr>
        <w:widowControl/>
        <w:spacing w:line="540" w:lineRule="exact"/>
        <w:rPr>
          <w:rFonts w:ascii="宋体" w:hAnsi="宋体" w:cs="宋体"/>
          <w:color w:val="auto"/>
          <w:spacing w:val="8"/>
          <w:kern w:val="0"/>
          <w:sz w:val="24"/>
          <w:highlight w:val="none"/>
        </w:rPr>
      </w:pPr>
    </w:p>
    <w:p w14:paraId="558883C1">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3881FF91">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67198DFA">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6872D84">
      <w:pPr>
        <w:pStyle w:val="17"/>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4F9DF3">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276" w:name="_Toc30884"/>
      <w:bookmarkStart w:id="277" w:name="_Toc7619"/>
      <w:bookmarkStart w:id="278" w:name="_Toc14595"/>
      <w:bookmarkStart w:id="279" w:name="_Toc19096"/>
      <w:r>
        <w:rPr>
          <w:rFonts w:hint="eastAsia" w:ascii="宋体" w:hAnsi="宋体" w:cs="宋体"/>
          <w:b/>
          <w:bCs/>
          <w:color w:val="auto"/>
          <w:kern w:val="44"/>
          <w:sz w:val="32"/>
          <w:szCs w:val="32"/>
          <w:highlight w:val="none"/>
        </w:rPr>
        <w:t>第五章  采购合同（合同主要条款及格式）</w:t>
      </w:r>
      <w:bookmarkEnd w:id="276"/>
      <w:bookmarkEnd w:id="277"/>
      <w:bookmarkEnd w:id="278"/>
      <w:bookmarkEnd w:id="279"/>
    </w:p>
    <w:p w14:paraId="7C133D7C">
      <w:pPr>
        <w:spacing w:line="400" w:lineRule="exact"/>
        <w:rPr>
          <w:rFonts w:ascii="宋体" w:hAnsi="宋体" w:cs="宋体"/>
          <w:color w:val="auto"/>
          <w:highlight w:val="none"/>
        </w:rPr>
      </w:pPr>
    </w:p>
    <w:p w14:paraId="431624B7">
      <w:pPr>
        <w:jc w:val="center"/>
        <w:rPr>
          <w:rFonts w:ascii="宋体" w:hAnsi="Times New Roman" w:eastAsia="宋体" w:cs="Times New Roman"/>
          <w:b/>
          <w:color w:val="auto"/>
          <w:kern w:val="0"/>
          <w:sz w:val="36"/>
          <w:szCs w:val="36"/>
          <w:highlight w:val="none"/>
          <w:lang w:val="en-US" w:eastAsia="zh-CN" w:bidi="ar-SA"/>
        </w:rPr>
      </w:pPr>
      <w:bookmarkStart w:id="280" w:name="_Toc18889"/>
      <w:bookmarkStart w:id="281" w:name="_Toc24269"/>
      <w:bookmarkStart w:id="282" w:name="_Toc3617"/>
      <w:bookmarkStart w:id="283" w:name="_Toc15164"/>
      <w:r>
        <w:rPr>
          <w:rFonts w:hint="eastAsia" w:ascii="宋体" w:hAnsi="宋体" w:eastAsia="新宋体" w:cs="宋体"/>
          <w:b/>
          <w:bCs/>
          <w:color w:val="auto"/>
          <w:sz w:val="52"/>
          <w:szCs w:val="52"/>
          <w:highlight w:val="none"/>
          <w:shd w:val="clear" w:color="auto" w:fill="FFFFFF"/>
          <w:lang w:eastAsia="zh-CN"/>
        </w:rPr>
        <w:t>南溪山医院基建零星工程服务项目</w:t>
      </w:r>
      <w:r>
        <w:rPr>
          <w:rFonts w:hint="eastAsia" w:ascii="新宋体" w:hAnsi="新宋体" w:eastAsia="新宋体" w:cs="Times New Roman"/>
          <w:b/>
          <w:color w:val="auto"/>
          <w:sz w:val="52"/>
          <w:szCs w:val="52"/>
          <w:highlight w:val="none"/>
        </w:rPr>
        <w:t>合同</w:t>
      </w:r>
    </w:p>
    <w:p w14:paraId="188B7B85">
      <w:pPr>
        <w:widowControl w:val="0"/>
        <w:autoSpaceDE w:val="0"/>
        <w:autoSpaceDN w:val="0"/>
        <w:adjustRightInd w:val="0"/>
        <w:spacing w:before="100" w:after="100"/>
        <w:ind w:left="420" w:right="720" w:firstLine="723"/>
        <w:jc w:val="center"/>
        <w:rPr>
          <w:rFonts w:ascii="宋体" w:hAnsi="Times New Roman" w:eastAsia="宋体" w:cs="Times New Roman"/>
          <w:b/>
          <w:color w:val="auto"/>
          <w:kern w:val="0"/>
          <w:sz w:val="36"/>
          <w:szCs w:val="36"/>
          <w:highlight w:val="none"/>
          <w:lang w:val="en-US" w:eastAsia="zh-CN" w:bidi="ar-SA"/>
        </w:rPr>
      </w:pPr>
    </w:p>
    <w:p w14:paraId="49227E21">
      <w:pPr>
        <w:spacing w:before="240" w:line="400" w:lineRule="exact"/>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甲方（全称）：</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u w:val="single"/>
        </w:rPr>
        <w:t>广西壮族自治区南溪山医院</w:t>
      </w:r>
    </w:p>
    <w:p w14:paraId="5AEE31EF">
      <w:pPr>
        <w:spacing w:before="240" w:line="400" w:lineRule="exact"/>
        <w:ind w:firstLine="2108" w:firstLineChars="700"/>
        <w:rPr>
          <w:rFonts w:ascii="宋体" w:hAnsi="Times New Roman" w:eastAsia="宋体" w:cs="Times New Roman"/>
          <w:b/>
          <w:color w:val="auto"/>
          <w:sz w:val="30"/>
          <w:szCs w:val="30"/>
          <w:highlight w:val="none"/>
          <w:u w:val="single"/>
        </w:rPr>
      </w:pPr>
      <w:r>
        <w:rPr>
          <w:rFonts w:hint="eastAsia" w:ascii="宋体" w:hAnsi="宋体" w:eastAsia="宋体" w:cs="Times New Roman"/>
          <w:b/>
          <w:color w:val="auto"/>
          <w:sz w:val="30"/>
          <w:szCs w:val="30"/>
          <w:highlight w:val="none"/>
          <w:u w:val="single"/>
        </w:rPr>
        <w:t>（广西壮族自治区第二人民医院）</w:t>
      </w:r>
    </w:p>
    <w:p w14:paraId="57BF27CF">
      <w:pPr>
        <w:spacing w:before="240" w:line="400" w:lineRule="exact"/>
        <w:rPr>
          <w:rFonts w:ascii="宋体" w:hAnsi="Times New Roman"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乙方（全称）：</w:t>
      </w:r>
      <w:r>
        <w:rPr>
          <w:rFonts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ascii="宋体" w:hAnsi="宋体" w:eastAsia="宋体" w:cs="宋体"/>
          <w:b/>
          <w:color w:val="auto"/>
          <w:sz w:val="30"/>
          <w:szCs w:val="30"/>
          <w:highlight w:val="none"/>
          <w:u w:val="single"/>
        </w:rPr>
        <w:t xml:space="preserve">       </w:t>
      </w:r>
    </w:p>
    <w:p w14:paraId="35C6635B">
      <w:pPr>
        <w:spacing w:before="240" w:line="400" w:lineRule="exact"/>
        <w:ind w:firstLine="420" w:firstLineChars="200"/>
        <w:rPr>
          <w:rFonts w:ascii="宋体" w:hAnsi="Times New Roman" w:eastAsia="宋体" w:cs="Times New Roman"/>
          <w:color w:val="auto"/>
          <w:szCs w:val="21"/>
          <w:highlight w:val="none"/>
        </w:rPr>
      </w:pPr>
    </w:p>
    <w:p w14:paraId="76804143">
      <w:pPr>
        <w:spacing w:before="240" w:line="400" w:lineRule="exact"/>
        <w:ind w:firstLine="420" w:firstLineChars="200"/>
        <w:rPr>
          <w:rFonts w:ascii="宋体" w:hAnsi="Times New Roman" w:eastAsia="宋体" w:cs="Times New Roman"/>
          <w:color w:val="auto"/>
          <w:szCs w:val="21"/>
          <w:highlight w:val="none"/>
        </w:rPr>
      </w:pPr>
    </w:p>
    <w:p w14:paraId="206CCB1C">
      <w:pPr>
        <w:spacing w:line="400" w:lineRule="exact"/>
        <w:ind w:firstLine="480" w:firstLineChars="200"/>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Times New Roman"/>
          <w:bCs/>
          <w:color w:val="auto"/>
          <w:kern w:val="0"/>
          <w:sz w:val="24"/>
          <w:highlight w:val="none"/>
          <w:u w:val="none"/>
        </w:rPr>
        <w:t>本</w:t>
      </w:r>
      <w:r>
        <w:rPr>
          <w:rFonts w:hint="eastAsia" w:ascii="宋体" w:hAnsi="宋体" w:eastAsia="宋体" w:cs="Times New Roman"/>
          <w:color w:val="auto"/>
          <w:sz w:val="24"/>
          <w:highlight w:val="none"/>
          <w:lang w:val="en-US" w:eastAsia="zh-CN"/>
        </w:rPr>
        <w:t>合同</w:t>
      </w:r>
      <w:r>
        <w:rPr>
          <w:rFonts w:hint="eastAsia" w:ascii="宋体" w:hAnsi="宋体" w:eastAsia="宋体" w:cs="Times New Roman"/>
          <w:color w:val="auto"/>
          <w:sz w:val="24"/>
          <w:highlight w:val="none"/>
        </w:rPr>
        <w:t>事项达成一致，特签订本合同：</w:t>
      </w:r>
    </w:p>
    <w:p w14:paraId="41F781FC">
      <w:pPr>
        <w:spacing w:line="400" w:lineRule="exact"/>
        <w:rPr>
          <w:rFonts w:ascii="宋体" w:hAnsi="Times New Roman" w:eastAsia="宋体" w:cs="Times New Roman"/>
          <w:b/>
          <w:color w:val="auto"/>
          <w:sz w:val="24"/>
          <w:highlight w:val="none"/>
        </w:rPr>
      </w:pPr>
      <w:bookmarkStart w:id="284" w:name="_Toc351203481"/>
      <w:r>
        <w:rPr>
          <w:rFonts w:hint="eastAsia" w:ascii="宋体" w:hAnsi="宋体" w:eastAsia="宋体" w:cs="Times New Roman"/>
          <w:b/>
          <w:color w:val="auto"/>
          <w:sz w:val="24"/>
          <w:highlight w:val="none"/>
        </w:rPr>
        <w:t>一、</w:t>
      </w:r>
      <w:r>
        <w:rPr>
          <w:rFonts w:hint="eastAsia" w:ascii="宋体" w:hAnsi="宋体" w:eastAsia="宋体" w:cs="Times New Roman"/>
          <w:b/>
          <w:color w:val="auto"/>
          <w:sz w:val="24"/>
          <w:highlight w:val="none"/>
          <w:lang w:val="en-US" w:eastAsia="zh-CN"/>
        </w:rPr>
        <w:t>合同</w:t>
      </w:r>
      <w:r>
        <w:rPr>
          <w:rFonts w:hint="eastAsia" w:ascii="宋体" w:hAnsi="宋体" w:eastAsia="宋体" w:cs="Times New Roman"/>
          <w:b/>
          <w:color w:val="auto"/>
          <w:sz w:val="24"/>
          <w:highlight w:val="none"/>
        </w:rPr>
        <w:t>概况</w:t>
      </w:r>
      <w:bookmarkEnd w:id="284"/>
    </w:p>
    <w:p w14:paraId="377AE080">
      <w:pPr>
        <w:spacing w:line="400" w:lineRule="exact"/>
        <w:ind w:firstLine="360" w:firstLineChars="150"/>
        <w:rPr>
          <w:rFonts w:ascii="宋体" w:hAnsi="Times New Roman" w:eastAsia="宋体" w:cs="Times New Roman"/>
          <w:color w:val="auto"/>
          <w:sz w:val="24"/>
          <w:highlight w:val="none"/>
          <w:u w:val="single"/>
        </w:rPr>
      </w:pPr>
      <w:r>
        <w:rPr>
          <w:rFonts w:ascii="宋体" w:hAnsi="宋体" w:eastAsia="宋体" w:cs="Times New Roman"/>
          <w:bCs/>
          <w:color w:val="auto"/>
          <w:sz w:val="24"/>
          <w:highlight w:val="none"/>
        </w:rPr>
        <w:t xml:space="preserve"> 1.</w:t>
      </w:r>
      <w:r>
        <w:rPr>
          <w:rFonts w:hint="eastAsia" w:ascii="宋体" w:hAnsi="宋体" w:eastAsia="宋体" w:cs="Times New Roman"/>
          <w:bCs/>
          <w:color w:val="auto"/>
          <w:sz w:val="24"/>
          <w:highlight w:val="none"/>
          <w:lang w:val="en-US" w:eastAsia="zh-CN"/>
        </w:rPr>
        <w:t>项目</w:t>
      </w:r>
      <w:r>
        <w:rPr>
          <w:rFonts w:hint="eastAsia" w:ascii="宋体" w:hAnsi="宋体" w:eastAsia="宋体" w:cs="Times New Roman"/>
          <w:bCs/>
          <w:color w:val="auto"/>
          <w:sz w:val="24"/>
          <w:highlight w:val="none"/>
        </w:rPr>
        <w:t>名称</w:t>
      </w:r>
      <w:r>
        <w:rPr>
          <w:rFonts w:hint="eastAsia" w:ascii="宋体" w:hAnsi="宋体" w:eastAsia="宋体" w:cs="Times New Roman"/>
          <w:color w:val="auto"/>
          <w:sz w:val="24"/>
          <w:highlight w:val="none"/>
        </w:rPr>
        <w:t>：</w:t>
      </w:r>
      <w:r>
        <w:rPr>
          <w:rFonts w:hint="eastAsia" w:ascii="宋体" w:hAnsi="宋体" w:eastAsia="宋体" w:cs="宋体"/>
          <w:b/>
          <w:bCs/>
          <w:color w:val="auto"/>
          <w:sz w:val="24"/>
          <w:highlight w:val="none"/>
          <w:u w:val="single"/>
          <w:shd w:val="clear" w:color="auto" w:fill="FFFFFF"/>
          <w:lang w:eastAsia="zh-CN"/>
        </w:rPr>
        <w:t>南溪山医院基建零星工程服务项目</w:t>
      </w:r>
      <w:r>
        <w:rPr>
          <w:rFonts w:ascii="宋体" w:hAnsi="宋体" w:eastAsia="宋体" w:cs="宋体"/>
          <w:b/>
          <w:color w:val="auto"/>
          <w:sz w:val="24"/>
          <w:highlight w:val="none"/>
          <w:u w:val="single"/>
        </w:rPr>
        <w:t xml:space="preserve"> </w:t>
      </w:r>
      <w:r>
        <w:rPr>
          <w:rFonts w:hint="eastAsia" w:ascii="宋体" w:hAnsi="宋体" w:eastAsia="宋体" w:cs="Times New Roman"/>
          <w:color w:val="auto"/>
          <w:sz w:val="24"/>
          <w:highlight w:val="none"/>
        </w:rPr>
        <w:t>。</w:t>
      </w:r>
    </w:p>
    <w:p w14:paraId="5DFC1EDD">
      <w:pPr>
        <w:spacing w:line="400" w:lineRule="exact"/>
        <w:ind w:firstLine="360" w:firstLineChars="150"/>
        <w:rPr>
          <w:rFonts w:ascii="宋体" w:hAnsi="Times New Roman" w:eastAsia="宋体" w:cs="Times New Roman"/>
          <w:bCs/>
          <w:color w:val="auto"/>
          <w:sz w:val="24"/>
          <w:highlight w:val="none"/>
        </w:rPr>
      </w:pPr>
      <w:r>
        <w:rPr>
          <w:rFonts w:ascii="宋体" w:hAnsi="宋体" w:eastAsia="宋体" w:cs="Times New Roman"/>
          <w:bCs/>
          <w:color w:val="auto"/>
          <w:sz w:val="24"/>
          <w:highlight w:val="none"/>
        </w:rPr>
        <w:t xml:space="preserve"> 2.</w:t>
      </w:r>
      <w:r>
        <w:rPr>
          <w:rFonts w:hint="eastAsia" w:ascii="宋体" w:hAnsi="宋体" w:eastAsia="宋体" w:cs="Times New Roman"/>
          <w:bCs/>
          <w:color w:val="auto"/>
          <w:sz w:val="24"/>
          <w:highlight w:val="none"/>
        </w:rPr>
        <w:t>项目地点：</w:t>
      </w:r>
      <w:r>
        <w:rPr>
          <w:rFonts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rPr>
        <w:t>广西壮族自治区南溪山医院</w:t>
      </w:r>
      <w:r>
        <w:rPr>
          <w:rFonts w:ascii="宋体" w:hAnsi="宋体" w:eastAsia="宋体" w:cs="宋体"/>
          <w:b/>
          <w:color w:val="auto"/>
          <w:sz w:val="24"/>
          <w:highlight w:val="none"/>
          <w:u w:val="single"/>
        </w:rPr>
        <w:t xml:space="preserve">  </w:t>
      </w:r>
      <w:r>
        <w:rPr>
          <w:rFonts w:hint="eastAsia" w:ascii="宋体" w:hAnsi="宋体" w:eastAsia="宋体" w:cs="Times New Roman"/>
          <w:color w:val="auto"/>
          <w:sz w:val="24"/>
          <w:highlight w:val="none"/>
        </w:rPr>
        <w:t>。</w:t>
      </w:r>
    </w:p>
    <w:p w14:paraId="5ED7C53A">
      <w:pPr>
        <w:spacing w:line="400" w:lineRule="exact"/>
        <w:ind w:firstLine="360" w:firstLineChars="150"/>
        <w:rPr>
          <w:rFonts w:hint="eastAsia" w:ascii="宋体" w:hAnsi="宋体" w:eastAsia="宋体" w:cs="Times New Roman"/>
          <w:bCs/>
          <w:color w:val="auto"/>
          <w:sz w:val="24"/>
          <w:highlight w:val="none"/>
        </w:rPr>
      </w:pPr>
      <w:r>
        <w:rPr>
          <w:rFonts w:ascii="宋体" w:hAnsi="宋体" w:eastAsia="宋体" w:cs="Times New Roman"/>
          <w:bCs/>
          <w:color w:val="auto"/>
          <w:sz w:val="24"/>
          <w:highlight w:val="none"/>
        </w:rPr>
        <w:t xml:space="preserve"> 3.</w:t>
      </w:r>
      <w:r>
        <w:rPr>
          <w:rFonts w:hint="eastAsia" w:ascii="宋体" w:hAnsi="宋体" w:eastAsia="宋体" w:cs="Times New Roman"/>
          <w:bCs/>
          <w:color w:val="auto"/>
          <w:sz w:val="24"/>
          <w:highlight w:val="none"/>
        </w:rPr>
        <w:t>项目</w:t>
      </w:r>
      <w:r>
        <w:rPr>
          <w:rFonts w:hint="eastAsia" w:ascii="宋体" w:hAnsi="宋体" w:eastAsia="宋体" w:cs="Times New Roman"/>
          <w:bCs/>
          <w:color w:val="auto"/>
          <w:sz w:val="24"/>
          <w:highlight w:val="none"/>
          <w:lang w:val="en-US" w:eastAsia="zh-CN"/>
        </w:rPr>
        <w:t>结算方式</w:t>
      </w:r>
      <w:r>
        <w:rPr>
          <w:rFonts w:hint="eastAsia" w:ascii="宋体" w:hAnsi="宋体" w:eastAsia="宋体" w:cs="Times New Roman"/>
          <w:bCs/>
          <w:color w:val="auto"/>
          <w:sz w:val="24"/>
          <w:highlight w:val="none"/>
        </w:rPr>
        <w:t>：</w:t>
      </w:r>
      <w:r>
        <w:rPr>
          <w:rFonts w:ascii="宋体" w:hAnsi="宋体" w:eastAsia="宋体" w:cs="Times New Roman"/>
          <w:bCs/>
          <w:color w:val="auto"/>
          <w:sz w:val="24"/>
          <w:highlight w:val="none"/>
          <w:u w:val="single"/>
        </w:rPr>
        <w:t xml:space="preserve">  </w:t>
      </w:r>
      <w:r>
        <w:rPr>
          <w:rFonts w:hint="eastAsia" w:ascii="宋体" w:hAnsi="宋体" w:eastAsia="宋体" w:cs="Times New Roman"/>
          <w:b/>
          <w:bCs/>
          <w:color w:val="auto"/>
          <w:sz w:val="24"/>
          <w:highlight w:val="none"/>
          <w:u w:val="single"/>
          <w:lang w:val="en-US" w:eastAsia="zh-CN"/>
        </w:rPr>
        <w:t>据</w:t>
      </w:r>
      <w:r>
        <w:rPr>
          <w:rFonts w:hint="eastAsia" w:ascii="宋体" w:hAnsi="宋体" w:eastAsia="宋体" w:cs="Times New Roman"/>
          <w:b/>
          <w:bCs/>
          <w:color w:val="auto"/>
          <w:sz w:val="24"/>
          <w:highlight w:val="none"/>
          <w:u w:val="single"/>
        </w:rPr>
        <w:t>实结算</w:t>
      </w:r>
      <w:r>
        <w:rPr>
          <w:rFonts w:ascii="宋体" w:hAnsi="宋体" w:eastAsia="宋体" w:cs="Times New Roman"/>
          <w:b/>
          <w:bCs/>
          <w:color w:val="auto"/>
          <w:sz w:val="24"/>
          <w:highlight w:val="none"/>
          <w:u w:val="single"/>
        </w:rPr>
        <w:t xml:space="preserve">  </w:t>
      </w:r>
      <w:r>
        <w:rPr>
          <w:rFonts w:hint="eastAsia" w:ascii="宋体" w:hAnsi="宋体" w:eastAsia="宋体" w:cs="Times New Roman"/>
          <w:bCs/>
          <w:color w:val="auto"/>
          <w:sz w:val="24"/>
          <w:highlight w:val="none"/>
        </w:rPr>
        <w:t>。</w:t>
      </w:r>
    </w:p>
    <w:p w14:paraId="2DC01911">
      <w:pPr>
        <w:widowControl w:val="0"/>
        <w:autoSpaceDE w:val="0"/>
        <w:autoSpaceDN w:val="0"/>
        <w:adjustRightInd w:val="0"/>
        <w:ind w:firstLine="480" w:firstLineChars="200"/>
        <w:rPr>
          <w:rFonts w:hint="default" w:ascii="Calibri" w:hAnsi="Calibri" w:eastAsia="宋体" w:cs="Times New Roman"/>
          <w:color w:val="auto"/>
          <w:kern w:val="2"/>
          <w:sz w:val="24"/>
          <w:szCs w:val="24"/>
          <w:highlight w:val="none"/>
          <w:u w:val="single"/>
          <w:lang w:val="en-US" w:eastAsia="zh-CN" w:bidi="ar-SA"/>
        </w:rPr>
      </w:pPr>
      <w:r>
        <w:rPr>
          <w:rFonts w:hint="eastAsia" w:ascii="宋体" w:hAnsi="宋体" w:eastAsia="宋体" w:cs="Times New Roman"/>
          <w:bCs/>
          <w:color w:val="auto"/>
          <w:kern w:val="2"/>
          <w:sz w:val="24"/>
          <w:szCs w:val="24"/>
          <w:highlight w:val="none"/>
          <w:lang w:val="en-US" w:eastAsia="zh-CN" w:bidi="ar-SA"/>
        </w:rPr>
        <w:t>4.项目分标号：</w:t>
      </w:r>
      <w:r>
        <w:rPr>
          <w:rFonts w:hint="eastAsia" w:ascii="宋体" w:hAnsi="宋体" w:eastAsia="宋体" w:cs="Times New Roman"/>
          <w:bCs/>
          <w:color w:val="auto"/>
          <w:kern w:val="2"/>
          <w:sz w:val="24"/>
          <w:szCs w:val="24"/>
          <w:highlight w:val="none"/>
          <w:u w:val="single"/>
          <w:lang w:val="en-US" w:eastAsia="zh-CN" w:bidi="ar-SA"/>
        </w:rPr>
        <w:t xml:space="preserve">              </w:t>
      </w:r>
      <w:r>
        <w:rPr>
          <w:rFonts w:hint="eastAsia" w:ascii="宋体" w:hAnsi="宋体" w:eastAsia="宋体" w:cs="Times New Roman"/>
          <w:bCs/>
          <w:color w:val="auto"/>
          <w:kern w:val="2"/>
          <w:sz w:val="24"/>
          <w:szCs w:val="24"/>
          <w:highlight w:val="none"/>
          <w:u w:val="none"/>
          <w:lang w:val="en-US" w:eastAsia="zh-CN" w:bidi="ar-SA"/>
        </w:rPr>
        <w:t>。</w:t>
      </w:r>
    </w:p>
    <w:p w14:paraId="10462779">
      <w:pPr>
        <w:spacing w:line="400" w:lineRule="exact"/>
        <w:rPr>
          <w:rFonts w:ascii="宋体" w:hAnsi="Times New Roman" w:eastAsia="宋体" w:cs="Times New Roman"/>
          <w:b/>
          <w:bCs/>
          <w:color w:val="auto"/>
          <w:sz w:val="24"/>
          <w:highlight w:val="none"/>
        </w:rPr>
      </w:pPr>
      <w:r>
        <w:rPr>
          <w:rFonts w:hint="eastAsia" w:ascii="宋体" w:hAnsi="宋体" w:eastAsia="宋体" w:cs="Times New Roman"/>
          <w:b/>
          <w:bCs/>
          <w:color w:val="auto"/>
          <w:sz w:val="24"/>
          <w:highlight w:val="none"/>
        </w:rPr>
        <w:t>二、</w:t>
      </w:r>
      <w:r>
        <w:rPr>
          <w:rFonts w:hint="eastAsia" w:ascii="宋体" w:hAnsi="宋体" w:eastAsia="宋体" w:cs="Times New Roman"/>
          <w:b/>
          <w:bCs/>
          <w:color w:val="auto"/>
          <w:sz w:val="24"/>
          <w:highlight w:val="none"/>
          <w:lang w:val="en-US" w:eastAsia="zh-CN"/>
        </w:rPr>
        <w:t>项目</w:t>
      </w:r>
      <w:r>
        <w:rPr>
          <w:rFonts w:hint="eastAsia" w:ascii="宋体" w:hAnsi="宋体" w:eastAsia="宋体" w:cs="Times New Roman"/>
          <w:b/>
          <w:bCs/>
          <w:color w:val="auto"/>
          <w:sz w:val="24"/>
          <w:highlight w:val="none"/>
        </w:rPr>
        <w:t>范围</w:t>
      </w:r>
      <w:r>
        <w:rPr>
          <w:rFonts w:ascii="宋体" w:hAnsi="宋体" w:eastAsia="宋体" w:cs="Times New Roman"/>
          <w:b/>
          <w:bCs/>
          <w:color w:val="auto"/>
          <w:sz w:val="24"/>
          <w:highlight w:val="none"/>
        </w:rPr>
        <w:t xml:space="preserve">      </w:t>
      </w:r>
    </w:p>
    <w:p w14:paraId="2EF307E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宋体"/>
          <w:b w:val="0"/>
          <w:color w:val="auto"/>
          <w:sz w:val="24"/>
          <w:highlight w:val="none"/>
          <w:shd w:val="clear" w:color="auto" w:fill="FFFFFF"/>
          <w:lang w:val="en-US" w:eastAsia="zh-CN"/>
        </w:rPr>
        <w:t>服务范围</w:t>
      </w:r>
      <w:r>
        <w:rPr>
          <w:rFonts w:hint="eastAsia" w:ascii="宋体" w:hAnsi="宋体" w:eastAsia="宋体" w:cs="宋体"/>
          <w:b w:val="0"/>
          <w:color w:val="auto"/>
          <w:sz w:val="24"/>
          <w:highlight w:val="none"/>
          <w:shd w:val="clear" w:color="auto" w:fill="FFFFFF"/>
        </w:rPr>
        <w:t>：</w:t>
      </w:r>
    </w:p>
    <w:p w14:paraId="56D4BD88">
      <w:pPr>
        <w:spacing w:line="400" w:lineRule="exact"/>
        <w:rPr>
          <w:rFonts w:ascii="宋体" w:hAnsi="宋体" w:eastAsia="宋体" w:cs="宋体"/>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宋体"/>
          <w:b w:val="0"/>
          <w:color w:val="auto"/>
          <w:sz w:val="24"/>
          <w:highlight w:val="none"/>
          <w:shd w:val="clear" w:color="auto" w:fill="FFFFFF"/>
        </w:rPr>
        <w:t>服务内容：</w:t>
      </w:r>
      <w:r>
        <w:rPr>
          <w:rFonts w:hint="eastAsia" w:ascii="宋体" w:hAnsi="宋体" w:eastAsia="宋体" w:cs="宋体"/>
          <w:b w:val="0"/>
          <w:color w:val="auto"/>
          <w:sz w:val="24"/>
          <w:highlight w:val="none"/>
          <w:shd w:val="clear" w:color="auto" w:fill="FFFFFF"/>
          <w:lang w:val="en-US" w:eastAsia="zh-CN"/>
        </w:rPr>
        <w:t>乙方</w:t>
      </w:r>
      <w:r>
        <w:rPr>
          <w:rFonts w:hint="eastAsia" w:ascii="宋体" w:hAnsi="宋体" w:eastAsia="宋体" w:cs="宋体"/>
          <w:b w:val="0"/>
          <w:color w:val="auto"/>
          <w:sz w:val="24"/>
          <w:highlight w:val="none"/>
          <w:shd w:val="clear" w:color="auto" w:fill="FFFFFF"/>
        </w:rPr>
        <w:t>需为</w:t>
      </w:r>
      <w:r>
        <w:rPr>
          <w:rFonts w:hint="eastAsia" w:ascii="宋体" w:hAnsi="宋体" w:eastAsia="宋体" w:cs="宋体"/>
          <w:b w:val="0"/>
          <w:color w:val="auto"/>
          <w:sz w:val="24"/>
          <w:highlight w:val="none"/>
          <w:shd w:val="clear" w:color="auto" w:fill="FFFFFF"/>
          <w:lang w:val="en-US" w:eastAsia="zh-CN"/>
        </w:rPr>
        <w:t>甲方</w:t>
      </w:r>
      <w:r>
        <w:rPr>
          <w:rFonts w:hint="eastAsia" w:ascii="宋体" w:hAnsi="宋体" w:eastAsia="宋体" w:cs="宋体"/>
          <w:b w:val="0"/>
          <w:color w:val="auto"/>
          <w:sz w:val="24"/>
          <w:highlight w:val="none"/>
          <w:shd w:val="clear" w:color="auto" w:fill="FFFFFF"/>
        </w:rPr>
        <w:t>提供各项零星维修和零星工程服务，包含但不限于各类门窗维修更换、各类家具维修、各类锁具维修更换、各类洁具及五金维修更换、建筑配套改造（10万以内）和室内外装饰装修（10万以内）、卫生间下水道疏通、室外排水管井疏通、房屋补漏、搬运等服务。</w:t>
      </w:r>
    </w:p>
    <w:p w14:paraId="24003CDF">
      <w:pPr>
        <w:spacing w:line="400" w:lineRule="exact"/>
        <w:ind w:firstLine="480" w:firstLineChars="200"/>
        <w:rPr>
          <w:rFonts w:hint="eastAsia" w:ascii="宋体" w:hAnsi="宋体" w:eastAsia="宋体" w:cs="宋体"/>
          <w:color w:val="auto"/>
          <w:sz w:val="24"/>
          <w:highlight w:val="none"/>
        </w:rPr>
      </w:pPr>
      <w:r>
        <w:rPr>
          <w:rFonts w:ascii="宋体" w:hAnsi="宋体" w:eastAsia="宋体" w:cs="Times New Roman"/>
          <w:bCs/>
          <w:color w:val="auto"/>
          <w:sz w:val="24"/>
          <w:highlight w:val="none"/>
        </w:rPr>
        <w:t>3.</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过程中所需水、电、进场便道施工所需动力等由甲方提供，所产生的水电费用由甲方负责。</w:t>
      </w:r>
    </w:p>
    <w:p w14:paraId="255AB0A3">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4.服务期限内，乙方必须提供至少一名人员驻场，具体驻场人员信息作为合同附件附后。</w:t>
      </w:r>
    </w:p>
    <w:p w14:paraId="6E9439F0">
      <w:pPr>
        <w:spacing w:line="400" w:lineRule="exact"/>
        <w:rPr>
          <w:rFonts w:ascii="宋体" w:hAnsi="宋体" w:eastAsia="宋体" w:cs="宋体"/>
          <w:b/>
          <w:bCs/>
          <w:color w:val="auto"/>
          <w:sz w:val="24"/>
          <w:highlight w:val="none"/>
          <w:shd w:val="clear" w:color="auto" w:fill="FFFFFF"/>
        </w:rPr>
      </w:pPr>
      <w:r>
        <w:rPr>
          <w:rFonts w:hint="eastAsia" w:ascii="宋体" w:hAnsi="宋体" w:eastAsia="宋体" w:cs="Times New Roman"/>
          <w:b/>
          <w:bCs/>
          <w:color w:val="auto"/>
          <w:sz w:val="24"/>
          <w:highlight w:val="none"/>
        </w:rPr>
        <w:t>三、</w:t>
      </w:r>
      <w:r>
        <w:rPr>
          <w:rFonts w:hint="eastAsia" w:ascii="宋体" w:hAnsi="宋体" w:eastAsia="宋体" w:cs="宋体"/>
          <w:b/>
          <w:bCs/>
          <w:color w:val="auto"/>
          <w:sz w:val="24"/>
          <w:highlight w:val="none"/>
          <w:shd w:val="clear" w:color="auto" w:fill="FFFFFF"/>
        </w:rPr>
        <w:t>服务期限：自合同签订之日起生效，期限为</w:t>
      </w:r>
      <w:r>
        <w:rPr>
          <w:rFonts w:hint="eastAsia" w:ascii="宋体" w:hAnsi="宋体" w:eastAsia="宋体" w:cs="宋体"/>
          <w:b/>
          <w:bCs/>
          <w:color w:val="auto"/>
          <w:sz w:val="24"/>
          <w:highlight w:val="none"/>
          <w:shd w:val="clear" w:color="auto" w:fill="FFFFFF"/>
          <w:lang w:val="en-US" w:eastAsia="zh-CN"/>
        </w:rPr>
        <w:t>3</w:t>
      </w:r>
      <w:r>
        <w:rPr>
          <w:rFonts w:hint="eastAsia" w:ascii="宋体" w:hAnsi="宋体" w:eastAsia="宋体" w:cs="宋体"/>
          <w:b/>
          <w:bCs/>
          <w:color w:val="auto"/>
          <w:sz w:val="24"/>
          <w:highlight w:val="none"/>
          <w:shd w:val="clear" w:color="auto" w:fill="FFFFFF"/>
        </w:rPr>
        <w:t>年。</w:t>
      </w:r>
    </w:p>
    <w:p w14:paraId="3BA1ACEB">
      <w:pPr>
        <w:widowControl/>
        <w:shd w:val="clear" w:color="auto" w:fill="FFFFFF"/>
        <w:spacing w:beforeAutospacing="0" w:afterAutospacing="0" w:line="440" w:lineRule="atLeast"/>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四、服务要求：</w:t>
      </w:r>
    </w:p>
    <w:p w14:paraId="52F48D35">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乙方必须按工程开工令规定的时间竣工，若不能按工程开工令规定的时间竣工，应向甲方支付误期赔偿费（每天赔偿金额为单项工程合同金额的千分之一），误期时间从工程开工令规定的竣工日期起到甲方对乙方申请竣工验收函签章日期之间的天数，若甲方组织验收时工程质量不合格需整改至工程质量合格的，则乙方整改天数抵扣提前完工天数的差额累计入误期时间（扣除甲方批准顺延的工期），误期赔偿费极限为单项工程合同金额的5%。违约金的总额在结算时抵减工程造价款。违约金的支付不能抵消乙方应完成的工程责任。当乙方不按工程开工令规定的时间竣工，误期赔偿费达到合同价款的5%时，甲方有权终止本施工合同，所造成的损失由乙方承担。</w:t>
      </w:r>
    </w:p>
    <w:p w14:paraId="5B2FBDF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②工程未能一次性通过竣工验收的，乙方应按照甲方的要求在指定时间内进行整改，由此增加的费用和延误的工期由乙方承担。如乙方整改后的工程仍验收不合格的，乙方应当向甲方支付合同总价款5%的违约金。如乙方拒绝整改甲方有权解除本合同，不予支付剩余合同价款，并要求乙方以履约质保金弥补甲方损失的，乙方还应负责赔偿。</w:t>
      </w:r>
    </w:p>
    <w:p w14:paraId="0508C84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③乙方对报送甲方竣工资料的真实性、完整性负责，竣工资料如与实际不符，每发现一处乙方应向甲方支付违约金1000元。</w:t>
      </w:r>
    </w:p>
    <w:p w14:paraId="420A9076">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④乙方擅自停工或明确表示或以其行为表明不履行合同主要义务的，甲方有权解除合同，并要求乙方以履约质保金弥补甲方损失的，乙方还应负责赔偿。</w:t>
      </w:r>
    </w:p>
    <w:p w14:paraId="04045C8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⑤属于保修范围、内容的项目，乙方应当在接到保修通知之日起3天内派人保修。乙方不在约定期限内派人保修的，甲方可以委托他人修理，修理费用从质量保修金或者履约保证金内扣除。</w:t>
      </w:r>
    </w:p>
    <w:p w14:paraId="52D3207B">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⑥同一问题经3次维修仍未能修复的或者乙方连续3次以上拒绝维修的，甲方可以不通知乙方直接委托他人修理，所需费用由乙方全部承担，费用从质量保修金或者履约保证金内扣除。</w:t>
      </w:r>
    </w:p>
    <w:p w14:paraId="4D9BA67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⑦发生紧急事故需抢修的，乙方在接到事故通知后，应当在15-20分钟内立即到达事故现场抢修。</w:t>
      </w:r>
    </w:p>
    <w:p w14:paraId="16829B6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⑧对于涉及结构安全的质量问题，应当按照《建设工程质量管理条例》的规定，立即向有关部门报告，采取安全防范措施，并由原设计人或者具有相应资质等级的设计人提出保修方案，乙方实施保修，因乙方原因致使工程在合理使用期限内造成人身和财产损害的，乙方应承担损害赔偿责任。</w:t>
      </w:r>
    </w:p>
    <w:p w14:paraId="632D500A">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⑨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4C30C7D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⑩质保期内，若乙方拒不履行质量保修义务的，视为乙方违约，甲方有权解除合同、扣除全部履约保证金及质量保证金。</w:t>
      </w:r>
    </w:p>
    <w:p w14:paraId="4518BEE3">
      <w:pPr>
        <w:widowControl/>
        <w:shd w:val="clear" w:color="auto" w:fill="FFFFFF"/>
        <w:spacing w:beforeAutospacing="0" w:afterAutospacing="0" w:line="440" w:lineRule="atLeast"/>
        <w:ind w:firstLine="561"/>
        <w:jc w:val="both"/>
        <w:rPr>
          <w:rFonts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保修期：根据《建设工程质量管理条例》及有关规定计算。</w:t>
      </w:r>
    </w:p>
    <w:p w14:paraId="78B93CB8">
      <w:pPr>
        <w:widowControl/>
        <w:shd w:val="clear" w:color="auto" w:fill="FFFFFF"/>
        <w:spacing w:beforeAutospacing="0" w:afterAutospacing="0" w:line="440" w:lineRule="atLeast"/>
        <w:ind w:firstLine="561"/>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五、履约保证金：</w:t>
      </w:r>
    </w:p>
    <w:p w14:paraId="111E2EF7">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①履约质保金:按人民币壹拾万元整(￥100000.00)。</w:t>
      </w:r>
    </w:p>
    <w:p w14:paraId="3ADD0930">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②在合同签订之前，乙方需把履约保证金足额交到甲方指定账户。未提交履约保证金的，不予签订本合同。</w:t>
      </w:r>
    </w:p>
    <w:p w14:paraId="4BE64EF2">
      <w:pPr>
        <w:widowControl/>
        <w:shd w:val="clear" w:color="auto" w:fill="FFFFFF"/>
        <w:spacing w:beforeAutospacing="0" w:afterAutospacing="0" w:line="440" w:lineRule="atLeast"/>
        <w:ind w:firstLine="56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③履约保证金的退还：由甲方负责办理。在合同期满后20个工作日内乙方提出书面申请，甲方在扣除乙方赔偿金或其他应从乙方扣回的款项后，一次性向乙方返还剩余部分的履约保证金（无息）。</w:t>
      </w:r>
    </w:p>
    <w:p w14:paraId="70D85F5B">
      <w:pPr>
        <w:widowControl/>
        <w:shd w:val="clear" w:color="auto" w:fill="FFFFFF"/>
        <w:spacing w:beforeAutospacing="0" w:afterAutospacing="0" w:line="440" w:lineRule="atLeast"/>
        <w:ind w:firstLine="561"/>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shd w:val="clear" w:color="auto" w:fill="FFFFFF"/>
          <w:lang w:val="en-US" w:eastAsia="zh-CN" w:bidi="ar-SA"/>
        </w:rPr>
        <w:t>六、付款及结算：</w:t>
      </w:r>
    </w:p>
    <w:p w14:paraId="64479C87">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1.无预付款,按季度进行据实结算。甲方收到乙方提供对应的图纸、竣工验收报告及结算资料进行结算审核，根据各项目实际发生的工程量结算，甲方审核通过后，按实际完成工程量支付至审计核定总价 100%。</w:t>
      </w:r>
    </w:p>
    <w:p w14:paraId="4B1EF145">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2.工程量依据的相关法律、法规：《建设工程工程量清单计价规范》广西壮族自治区实施细则（GB50500-2013)；《建设工程工程量计算规范》广西壮族自治区实施细则(修订本)（GB50854~50862-2013）；《广西壮族自治区安装工程消耗量定额》(2015)；《广西壮族自治区建筑装饰装修消耗量定额》(2013）；《广西壮族自治区市政工程消耗量定额》(2022)；《广西壮族自治区园林绿化及仿古建筑工程消耗量定额》(2021)；《广西壮族自治区安装拆除工程消耗量定额》(2013)；《广西壮族自治区拆除工程消耗量定额》(2011)；《关于调整建设工程定额人工费及有关费率的通知》(桂建标〔2023〕7号)；广西壮族自治区建设工程造价管理总站文件(桂造价〔2019〕10号)《关于调整除税价计算适用增值税税率的通知》；其他现行计价文件；自治区住房城乡建设厅《关于调整建设工程计价增值税税率的通知》（桂建标[2019]12号文）。其中材料价格按施工期间《桂林市建设工程造价信息》中公布的桂林市信息材料价格。没有的可参考同期桂林市建设市场材料价格。</w:t>
      </w:r>
    </w:p>
    <w:p w14:paraId="13E2941B">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3.工程结算的总造价为：</w:t>
      </w:r>
    </w:p>
    <w:p w14:paraId="303800E9">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①招标清单内：结算价=单项上限控制价x(1-</w:t>
      </w:r>
      <w:r>
        <w:rPr>
          <w:rFonts w:hint="eastAsia" w:ascii="宋体" w:hAnsi="宋体" w:eastAsia="宋体" w:cs="宋体"/>
          <w:color w:val="auto"/>
          <w:kern w:val="0"/>
          <w:sz w:val="24"/>
          <w:szCs w:val="24"/>
          <w:highlight w:val="none"/>
          <w:shd w:val="clear" w:color="auto" w:fill="FFFFFF"/>
          <w:lang w:val="en-US" w:eastAsia="zh-CN" w:bidi="ar-SA"/>
        </w:rPr>
        <w:t>下浮</w:t>
      </w:r>
      <w:r>
        <w:rPr>
          <w:rFonts w:hint="default" w:ascii="宋体" w:hAnsi="宋体" w:eastAsia="宋体" w:cs="宋体"/>
          <w:color w:val="auto"/>
          <w:kern w:val="0"/>
          <w:sz w:val="24"/>
          <w:szCs w:val="24"/>
          <w:highlight w:val="none"/>
          <w:shd w:val="clear" w:color="auto" w:fill="FFFFFF"/>
          <w:lang w:val="en-US" w:eastAsia="zh-CN" w:bidi="ar-SA"/>
        </w:rPr>
        <w:t>率)</w:t>
      </w:r>
    </w:p>
    <w:p w14:paraId="57B40632">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②招标清单外：先按国家有关定额和计价依据，计算出工程的预算总造价，再扣除中标的结算下浮费率，即为工程的实际结算价。</w:t>
      </w:r>
    </w:p>
    <w:p w14:paraId="345F2C94">
      <w:pPr>
        <w:widowControl/>
        <w:shd w:val="clear" w:color="auto" w:fill="FFFFFF"/>
        <w:spacing w:beforeAutospacing="0" w:afterAutospacing="0" w:line="440" w:lineRule="atLeast"/>
        <w:ind w:firstLine="560"/>
        <w:jc w:val="both"/>
        <w:rPr>
          <w:rFonts w:hint="default" w:ascii="宋体" w:hAnsi="宋体" w:eastAsia="宋体" w:cs="宋体"/>
          <w:color w:val="auto"/>
          <w:kern w:val="0"/>
          <w:sz w:val="24"/>
          <w:szCs w:val="24"/>
          <w:highlight w:val="none"/>
          <w:shd w:val="clear" w:color="auto" w:fill="FFFFFF"/>
          <w:lang w:val="en-US" w:eastAsia="zh-CN" w:bidi="ar-SA"/>
        </w:rPr>
      </w:pPr>
      <w:r>
        <w:rPr>
          <w:rFonts w:hint="default" w:ascii="宋体" w:hAnsi="宋体" w:eastAsia="宋体" w:cs="宋体"/>
          <w:color w:val="auto"/>
          <w:kern w:val="0"/>
          <w:sz w:val="24"/>
          <w:szCs w:val="24"/>
          <w:highlight w:val="none"/>
          <w:shd w:val="clear" w:color="auto" w:fill="FFFFFF"/>
          <w:lang w:val="en-US" w:eastAsia="zh-CN" w:bidi="ar-SA"/>
        </w:rPr>
        <w:t>4.审核费:如乙方报送的工程结算总价过高，造成该结算审减率超过 5%以上的，则超出5%以上部分的审核费由乙方承担。</w:t>
      </w:r>
    </w:p>
    <w:p w14:paraId="18521F45">
      <w:pPr>
        <w:spacing w:line="400" w:lineRule="exact"/>
        <w:ind w:firstLine="482" w:firstLineChars="200"/>
        <w:rPr>
          <w:rFonts w:ascii="宋体" w:hAnsi="Times New Roman" w:eastAsia="宋体" w:cs="Times New Roman"/>
          <w:b/>
          <w:bCs/>
          <w:color w:val="auto"/>
          <w:sz w:val="24"/>
          <w:highlight w:val="none"/>
        </w:rPr>
      </w:pPr>
      <w:r>
        <w:rPr>
          <w:rFonts w:hint="eastAsia" w:ascii="宋体" w:hAnsi="宋体" w:eastAsia="宋体" w:cs="Times New Roman"/>
          <w:b/>
          <w:bCs/>
          <w:color w:val="auto"/>
          <w:sz w:val="24"/>
          <w:highlight w:val="none"/>
        </w:rPr>
        <w:t>七、工程质量标准</w:t>
      </w:r>
    </w:p>
    <w:p w14:paraId="6ADDE43A">
      <w:pPr>
        <w:spacing w:line="400" w:lineRule="exact"/>
        <w:rPr>
          <w:rFonts w:ascii="宋体" w:hAnsi="Times New Roman" w:eastAsia="宋体" w:cs="Times New Roman"/>
          <w:bCs/>
          <w:color w:val="auto"/>
          <w:sz w:val="24"/>
          <w:highlight w:val="none"/>
          <w:u w:val="single"/>
        </w:rPr>
      </w:pPr>
      <w:r>
        <w:rPr>
          <w:rFonts w:ascii="宋体" w:hAnsi="宋体" w:eastAsia="宋体" w:cs="Times New Roman"/>
          <w:bCs/>
          <w:color w:val="auto"/>
          <w:sz w:val="24"/>
          <w:highlight w:val="none"/>
        </w:rPr>
        <w:t xml:space="preserve">    </w:t>
      </w:r>
      <w:r>
        <w:rPr>
          <w:rFonts w:hint="eastAsia" w:ascii="宋体" w:hAnsi="宋体" w:eastAsia="宋体" w:cs="Times New Roman"/>
          <w:bCs/>
          <w:color w:val="auto"/>
          <w:sz w:val="24"/>
          <w:highlight w:val="none"/>
        </w:rPr>
        <w:t>本工程质量经双方研究要求达到：</w:t>
      </w:r>
      <w:r>
        <w:rPr>
          <w:rFonts w:hint="eastAsia" w:ascii="宋体" w:hAnsi="宋体" w:eastAsia="宋体" w:cs="Times New Roman"/>
          <w:bCs/>
          <w:color w:val="auto"/>
          <w:sz w:val="24"/>
          <w:highlight w:val="none"/>
          <w:u w:val="single"/>
        </w:rPr>
        <w:t>合格。</w:t>
      </w:r>
    </w:p>
    <w:p w14:paraId="6CC46B96">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八、甲乙双方责任和义务</w:t>
      </w:r>
    </w:p>
    <w:p w14:paraId="1AC0AED0">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（一）甲方责任</w:t>
      </w:r>
    </w:p>
    <w:p w14:paraId="6D559B9E">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甲方向乙方提供合格的施工图纸或施工要求。</w:t>
      </w:r>
    </w:p>
    <w:p w14:paraId="7135AB0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按合同约定内容向乙方支付</w:t>
      </w:r>
      <w:r>
        <w:rPr>
          <w:rFonts w:hint="eastAsia" w:ascii="宋体" w:hAnsi="宋体" w:eastAsia="宋体" w:cs="Times New Roman"/>
          <w:color w:val="auto"/>
          <w:sz w:val="24"/>
          <w:highlight w:val="none"/>
          <w:lang w:val="en-US" w:eastAsia="zh-CN"/>
        </w:rPr>
        <w:t>合同</w:t>
      </w:r>
      <w:r>
        <w:rPr>
          <w:rFonts w:hint="eastAsia" w:ascii="宋体" w:hAnsi="宋体" w:eastAsia="宋体" w:cs="Times New Roman"/>
          <w:color w:val="auto"/>
          <w:sz w:val="24"/>
          <w:highlight w:val="none"/>
        </w:rPr>
        <w:t>款。</w:t>
      </w:r>
    </w:p>
    <w:p w14:paraId="6485D87E">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（二）乙方责任</w:t>
      </w:r>
    </w:p>
    <w:p w14:paraId="24DE5E29">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乙方在施工过程中应遵守文明施工的规定，服从甲方、监理、现场管理人员安排同时做好安全教育工作，采取严格的安全防范措施，承担由于自身安全措施不力或不按安全操作规程施工造成的自身及他人伤亡、财产损失事故责任。因此发生的一切费用和后果，乙方自行负责。</w:t>
      </w:r>
    </w:p>
    <w:p w14:paraId="1379641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乙方应按合同的承包范围、规范、标准及其他有关要求进行施工，保质保量按时完成本工程的施工及验收内容</w:t>
      </w:r>
    </w:p>
    <w:p w14:paraId="7E043101">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指派代表负责与甲方互相联络，参加甲方组织的协调会，服从甲方、监理的指示和管理，执行甲方项目部在安全生产、文明施工方面的规章制度，服从甲方对安全生产、文明施工及执行各项规章制度方面的检查监督。</w:t>
      </w:r>
    </w:p>
    <w:p w14:paraId="19EED2B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本工程完工后，乙方应做到工完料净场清，验收前要做好清洁工作，施工产生的垃圾乙方应清理到本工地内总包方指定地点倒放，保证工程顺利验收。</w:t>
      </w:r>
    </w:p>
    <w:p w14:paraId="3F419A7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5.</w:t>
      </w:r>
      <w:r>
        <w:rPr>
          <w:rFonts w:hint="eastAsia" w:ascii="宋体" w:hAnsi="宋体" w:eastAsia="宋体" w:cs="Times New Roman"/>
          <w:color w:val="auto"/>
          <w:sz w:val="24"/>
          <w:highlight w:val="none"/>
        </w:rPr>
        <w:t>乙方应按时组织好本工程验收工作，甲方负责办理各种建设前期手续，乙方应予以积极协助配合，并按甲方通知提交办理相关资料交给甲方。</w:t>
      </w:r>
    </w:p>
    <w:p w14:paraId="58B4A0DE">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九、工程验收及保修</w:t>
      </w:r>
    </w:p>
    <w:p w14:paraId="319562E0">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验收标准：按照现行国家规范以及桂林市相关政府职能部门验收规定要求进行验收。</w:t>
      </w:r>
    </w:p>
    <w:p w14:paraId="0F07934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乙方应按照合同约定工期主动配合进行验收工作，并负责协助甲方办理有关手续。</w:t>
      </w:r>
    </w:p>
    <w:p w14:paraId="6BDB7F9B">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如验收中发现问题，乙方应按整改意见在</w:t>
      </w:r>
      <w:r>
        <w:rPr>
          <w:rFonts w:ascii="宋体" w:hAnsi="宋体" w:eastAsia="宋体" w:cs="Times New Roman"/>
          <w:color w:val="auto"/>
          <w:sz w:val="24"/>
          <w:highlight w:val="none"/>
        </w:rPr>
        <w:t>7</w:t>
      </w:r>
      <w:r>
        <w:rPr>
          <w:rFonts w:hint="eastAsia" w:ascii="宋体" w:hAnsi="宋体" w:eastAsia="宋体" w:cs="Times New Roman"/>
          <w:color w:val="auto"/>
          <w:sz w:val="24"/>
          <w:highlight w:val="none"/>
        </w:rPr>
        <w:t>个工作日内整改完成。</w:t>
      </w:r>
    </w:p>
    <w:p w14:paraId="3A76089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本工程质保期为12个月，质保期自竣工验收合格之日起开始计算。在保修期间内发生的质量问题及返修费用由乙方自行承担。</w:t>
      </w:r>
    </w:p>
    <w:p w14:paraId="718A6B8C">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十、工期延误</w:t>
      </w:r>
    </w:p>
    <w:p w14:paraId="726AE31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因下列原因造成工期延误，经甲、乙双方代表确认，工期相应顺延：</w:t>
      </w:r>
    </w:p>
    <w:p w14:paraId="433D7ED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工程量变化和设计变更。</w:t>
      </w:r>
    </w:p>
    <w:p w14:paraId="4AB81AA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停水超过8小时影响正常施工。</w:t>
      </w:r>
    </w:p>
    <w:p w14:paraId="0FE60B0C">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施工中遇到不可预见障碍物或古墓、文物、流沙、砾石、岩石等需处理时。</w:t>
      </w:r>
    </w:p>
    <w:p w14:paraId="7539D73D">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因甲方原因造成的工期顺延，乙方书面提出，经甲方确定签字认可。</w:t>
      </w:r>
    </w:p>
    <w:p w14:paraId="4B6D59D5">
      <w:pPr>
        <w:spacing w:line="400" w:lineRule="exact"/>
        <w:ind w:firstLine="480"/>
        <w:rPr>
          <w:rFonts w:ascii="宋体" w:hAnsi="宋体" w:eastAsia="宋体" w:cs="Times New Roman"/>
          <w:color w:val="auto"/>
          <w:sz w:val="24"/>
          <w:highlight w:val="none"/>
        </w:rPr>
      </w:pPr>
      <w:r>
        <w:rPr>
          <w:rFonts w:ascii="宋体" w:hAnsi="宋体" w:eastAsia="宋体" w:cs="Times New Roman"/>
          <w:color w:val="auto"/>
          <w:sz w:val="24"/>
          <w:highlight w:val="none"/>
        </w:rPr>
        <w:t>5.</w:t>
      </w:r>
      <w:r>
        <w:rPr>
          <w:rFonts w:hint="eastAsia" w:ascii="宋体" w:hAnsi="宋体" w:eastAsia="宋体" w:cs="Times New Roman"/>
          <w:color w:val="auto"/>
          <w:sz w:val="24"/>
          <w:highlight w:val="none"/>
        </w:rPr>
        <w:t>发生不可抗力引起的工期延误。不可抗力包括战争、动乱、空中飞行物体坠落或地震、台风等，以上灾害其危害程度对工程施工正常生产是否造成影响及影响时间以广西壮族自治区政府部门公示的灾害报告为准。</w:t>
      </w:r>
    </w:p>
    <w:p w14:paraId="7D8C6116">
      <w:pPr>
        <w:spacing w:line="360" w:lineRule="auto"/>
        <w:ind w:firstLine="482" w:firstLineChars="200"/>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十一、廉洁条款</w:t>
      </w:r>
    </w:p>
    <w:p w14:paraId="199036EA">
      <w:pPr>
        <w:widowControl/>
        <w:shd w:val="clear" w:color="auto" w:fill="FFFFFF"/>
        <w:spacing w:before="0" w:beforeAutospacing="0" w:after="0" w:afterAutospacing="0" w:line="360" w:lineRule="auto"/>
        <w:ind w:firstLine="480" w:firstLineChars="200"/>
        <w:jc w:val="left"/>
        <w:outlineLvl w:val="2"/>
        <w:rPr>
          <w:rFonts w:hint="default" w:ascii="宋体" w:hAnsi="宋体" w:eastAsia="宋体" w:cs="宋体"/>
          <w:b w:val="0"/>
          <w:bCs w:val="0"/>
          <w:color w:val="auto"/>
          <w:kern w:val="0"/>
          <w:sz w:val="24"/>
          <w:szCs w:val="24"/>
          <w:highlight w:val="none"/>
          <w:shd w:val="clear" w:color="auto" w:fill="FFFFFF"/>
          <w:lang w:val="en-US" w:eastAsia="zh-CN" w:bidi="ar-SA"/>
        </w:rPr>
      </w:pPr>
      <w:r>
        <w:rPr>
          <w:rFonts w:hint="eastAsia" w:ascii="宋体" w:hAnsi="宋体" w:eastAsia="宋体" w:cs="宋体"/>
          <w:b w:val="0"/>
          <w:bCs w:val="0"/>
          <w:color w:val="auto"/>
          <w:kern w:val="0"/>
          <w:sz w:val="24"/>
          <w:szCs w:val="24"/>
          <w:highlight w:val="none"/>
          <w:shd w:val="clear" w:color="auto" w:fill="FFFFFF"/>
          <w:lang w:val="en-US" w:eastAsia="zh-CN" w:bidi="ar-SA"/>
        </w:rPr>
        <w:t>为了规范建设市场，在工程建设中防止各种不正当行为的发生，确保建设工程高效，优质，按时竣工投产，遵照国家建设部，监察部《关于在工程建设中深入开展反对腐败和反对不正当竞争的通知》精神，甲乙双方应当共同自觉遵守国家和关于廉政建设的各项规定和关于建设工程承发包的各项规定。</w:t>
      </w:r>
    </w:p>
    <w:p w14:paraId="686C6C0F">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    </w:t>
      </w:r>
      <w:r>
        <w:rPr>
          <w:rFonts w:hint="eastAsia" w:ascii="宋体" w:hAnsi="宋体" w:eastAsia="宋体" w:cs="Times New Roman"/>
          <w:color w:val="auto"/>
          <w:kern w:val="0"/>
          <w:sz w:val="24"/>
          <w:szCs w:val="24"/>
          <w:highlight w:val="none"/>
          <w:shd w:val="clear" w:color="auto" w:fill="FFFFFF"/>
          <w:lang w:val="en-US" w:eastAsia="zh-CN" w:bidi="ar-SA"/>
        </w:rPr>
        <w:t>一、甲方及其工作人员应做到</w:t>
      </w:r>
    </w:p>
    <w:p w14:paraId="2C1E1272">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（一）向乙方施工单位介绍本单位的有关廉政建设的各项制度和规定。</w:t>
      </w:r>
    </w:p>
    <w:p w14:paraId="4A00D64B">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对本单位工程项目人员进行廉政教育；督促甲方人员严格遵守本单位制度和在工程项目建设中保持廉洁的若干规定，如发现有违反规定的，出给予当事人批评教育外，应视情节轻重，后果大小给予相应的经济罚或纪律处分。</w:t>
      </w:r>
    </w:p>
    <w:p w14:paraId="36AB10A4">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三）甲方人员参加乙方组织的各种会议和活动，须经主管领导同意；在工程建设项目中发现乙方单位有不廉洁的行为，应及时采取措施，终止其不廉洁行为的继续发生，并报告主管领导。，应及时采取措施，终止其不廉洁行为的继续发生，并报告主管领导。</w:t>
      </w:r>
    </w:p>
    <w:p w14:paraId="1F092C79">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（四）甲方工作人员应当保持与乙方的正常业务交往，不得接受乙方的礼金、有价证券和贵重物品。</w:t>
      </w:r>
      <w:r>
        <w:rPr>
          <w:rFonts w:hint="eastAsia" w:ascii="宋体" w:hAnsi="宋体" w:eastAsia="宋体" w:cs="Times New Roman"/>
          <w:color w:val="auto"/>
          <w:kern w:val="0"/>
          <w:sz w:val="24"/>
          <w:szCs w:val="24"/>
          <w:highlight w:val="none"/>
          <w:shd w:val="clear" w:color="auto" w:fill="FFFFFF"/>
          <w:lang w:val="en-US" w:eastAsia="zh-CN" w:bidi="ar-SA"/>
        </w:rPr>
        <w:br w:type="textWrapping"/>
      </w:r>
      <w:r>
        <w:rPr>
          <w:rFonts w:hint="eastAsia" w:ascii="宋体" w:hAnsi="宋体" w:eastAsia="宋体" w:cs="Times New Roman"/>
          <w:color w:val="auto"/>
          <w:kern w:val="0"/>
          <w:sz w:val="24"/>
          <w:szCs w:val="24"/>
          <w:highlight w:val="none"/>
          <w:shd w:val="clear" w:color="auto" w:fill="FFFFFF"/>
          <w:lang w:val="en-US" w:eastAsia="zh-CN" w:bidi="ar-SA"/>
        </w:rPr>
        <w:t>（五）甲方工作人员不得向乙方介绍家属或亲友从事与甲方工程有关的材料设备供应、工程分包等经济活动。</w:t>
      </w:r>
    </w:p>
    <w:p w14:paraId="6819B07A">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二、乙方及其工作人员应当做到</w:t>
      </w:r>
    </w:p>
    <w:p w14:paraId="30F45100">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（一）乙方应了解甲方单位有关廉政建设的各项制度和规定，支持甲方执行有关规定和制度。</w:t>
      </w:r>
    </w:p>
    <w:p w14:paraId="326A3037">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（二）乙方有责任对本单位工程项目人员进行廉政教育（包括甲方单位制定的有关廉政建设方面的规定），按时出席甲方召集的有关会议。</w:t>
      </w:r>
    </w:p>
    <w:p w14:paraId="7DDD9766">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（三）乙方应当通过正常途径开展相对业务工作，不得为获取某些不正当利益而向甲方工作人员（含家属、子女下同）赠送礼金、有价证券和贵重物品等。</w:t>
      </w:r>
    </w:p>
    <w:p w14:paraId="052E1276">
      <w:pPr>
        <w:widowControl/>
        <w:shd w:val="clear" w:color="auto" w:fill="FFFFFF"/>
        <w:spacing w:before="0" w:beforeAutospacing="0" w:after="0" w:afterAutospacing="0" w:line="360" w:lineRule="auto"/>
        <w:jc w:val="left"/>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（四）乙方工作人员不得为谋取私利擅自与甲方工作人员就工程承包、工程费用、材料设备供应、工程量变动、工程验收、工程质量问题处理等进行私下商谈或者达成默契。</w:t>
      </w:r>
    </w:p>
    <w:p w14:paraId="08945F63">
      <w:pPr>
        <w:spacing w:line="400" w:lineRule="exact"/>
        <w:ind w:firstLine="482" w:firstLineChars="200"/>
        <w:rPr>
          <w:rFonts w:ascii="宋体" w:hAnsi="Times New Roman" w:eastAsia="宋体" w:cs="Times New Roman"/>
          <w:b/>
          <w:color w:val="auto"/>
          <w:sz w:val="24"/>
          <w:highlight w:val="none"/>
        </w:rPr>
      </w:pPr>
      <w:r>
        <w:rPr>
          <w:rFonts w:hint="eastAsia" w:ascii="宋体" w:hAnsi="宋体" w:eastAsia="宋体" w:cs="Times New Roman"/>
          <w:b/>
          <w:color w:val="auto"/>
          <w:sz w:val="24"/>
          <w:highlight w:val="none"/>
        </w:rPr>
        <w:t>十二、其他</w:t>
      </w:r>
    </w:p>
    <w:p w14:paraId="2E008D88">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1.</w:t>
      </w:r>
      <w:r>
        <w:rPr>
          <w:rFonts w:hint="eastAsia" w:ascii="宋体" w:hAnsi="宋体" w:eastAsia="宋体" w:cs="Times New Roman"/>
          <w:color w:val="auto"/>
          <w:sz w:val="24"/>
          <w:highlight w:val="none"/>
        </w:rPr>
        <w:t>经甲、乙双方协商一致，双方可对本合同的条款进行修订、更改或补充，以书面形式签订补充协议，补充协议与本合同具有同等法律效力。</w:t>
      </w:r>
    </w:p>
    <w:p w14:paraId="65F104B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2.</w:t>
      </w:r>
      <w:r>
        <w:rPr>
          <w:rFonts w:hint="eastAsia" w:ascii="宋体" w:hAnsi="宋体" w:eastAsia="宋体" w:cs="Times New Roman"/>
          <w:color w:val="auto"/>
          <w:sz w:val="24"/>
          <w:highlight w:val="none"/>
        </w:rPr>
        <w:t>本合同执行期间，如遇不可抗力，致使本合同无法履行或造成名誉、经济损失的，双方均不承担违约责任并按有关法规政策规定及时协商处理。</w:t>
      </w:r>
    </w:p>
    <w:p w14:paraId="01FD84DA">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3.</w:t>
      </w:r>
      <w:r>
        <w:rPr>
          <w:rFonts w:hint="eastAsia" w:ascii="宋体" w:hAnsi="宋体" w:eastAsia="宋体" w:cs="Times New Roman"/>
          <w:color w:val="auto"/>
          <w:sz w:val="24"/>
          <w:highlight w:val="none"/>
        </w:rPr>
        <w:t>本合同在履行中如发生争议，双方应协商解决，协商不成时，向</w:t>
      </w:r>
      <w:r>
        <w:rPr>
          <w:rFonts w:hint="eastAsia" w:ascii="宋体" w:hAnsi="宋体" w:cs="Times New Roman"/>
          <w:color w:val="auto"/>
          <w:sz w:val="24"/>
          <w:highlight w:val="none"/>
          <w:lang w:val="en-US" w:eastAsia="zh-CN"/>
        </w:rPr>
        <w:t>业主所在地</w:t>
      </w:r>
      <w:r>
        <w:rPr>
          <w:rFonts w:hint="eastAsia" w:ascii="宋体" w:hAnsi="宋体" w:eastAsia="宋体" w:cs="Times New Roman"/>
          <w:color w:val="auto"/>
          <w:sz w:val="24"/>
          <w:highlight w:val="none"/>
        </w:rPr>
        <w:t>人民法院起诉。</w:t>
      </w:r>
    </w:p>
    <w:p w14:paraId="6FA82A57">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4.</w:t>
      </w:r>
      <w:r>
        <w:rPr>
          <w:rFonts w:hint="eastAsia" w:ascii="宋体" w:hAnsi="宋体" w:eastAsia="宋体" w:cs="Times New Roman"/>
          <w:color w:val="auto"/>
          <w:sz w:val="24"/>
          <w:highlight w:val="none"/>
        </w:rPr>
        <w:t>本合同之附件均为合同有效组成部分，合同及附件具同等法律效力。</w:t>
      </w:r>
    </w:p>
    <w:p w14:paraId="2DE00192">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5.</w:t>
      </w:r>
      <w:r>
        <w:rPr>
          <w:rFonts w:hint="eastAsia" w:ascii="宋体" w:hAnsi="宋体" w:eastAsia="宋体" w:cs="Times New Roman"/>
          <w:color w:val="auto"/>
          <w:sz w:val="24"/>
          <w:highlight w:val="none"/>
        </w:rPr>
        <w:t>本合同一式柒份，甲方执肆份，乙方执叁份，自双方代表签字并加盖双方公章即生效。</w:t>
      </w:r>
    </w:p>
    <w:p w14:paraId="26070CE6">
      <w:pPr>
        <w:spacing w:line="400" w:lineRule="exact"/>
        <w:rPr>
          <w:rFonts w:ascii="宋体" w:hAnsi="Times New Roman" w:eastAsia="宋体" w:cs="Times New Roman"/>
          <w:color w:val="auto"/>
          <w:sz w:val="24"/>
          <w:highlight w:val="none"/>
        </w:rPr>
      </w:pPr>
    </w:p>
    <w:p w14:paraId="0A935930">
      <w:pPr>
        <w:spacing w:line="400" w:lineRule="exact"/>
        <w:rPr>
          <w:rFonts w:ascii="宋体" w:hAnsi="Times New Roman" w:eastAsia="宋体" w:cs="Times New Roman"/>
          <w:color w:val="auto"/>
          <w:sz w:val="24"/>
          <w:highlight w:val="none"/>
        </w:rPr>
      </w:pPr>
    </w:p>
    <w:p w14:paraId="75C8A6CE">
      <w:pPr>
        <w:spacing w:line="400" w:lineRule="exact"/>
        <w:rPr>
          <w:rFonts w:hint="eastAsia" w:ascii="宋体" w:hAnsi="Times New Roman" w:eastAsia="宋体" w:cs="Times New Roman"/>
          <w:color w:val="auto"/>
          <w:sz w:val="24"/>
          <w:highlight w:val="none"/>
          <w:lang w:eastAsia="zh-CN"/>
        </w:rPr>
      </w:pPr>
      <w:r>
        <w:rPr>
          <w:rFonts w:hint="eastAsia" w:ascii="宋体" w:hAnsi="宋体" w:eastAsia="宋体" w:cs="Times New Roman"/>
          <w:color w:val="auto"/>
          <w:sz w:val="24"/>
          <w:highlight w:val="none"/>
        </w:rPr>
        <w:t>甲方（公章）：广西壮族自治区南溪山医院</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乙方（公章）：</w:t>
      </w:r>
    </w:p>
    <w:p w14:paraId="5A9FC5C1">
      <w:pPr>
        <w:spacing w:line="400" w:lineRule="exact"/>
        <w:ind w:firstLine="1200" w:firstLineChars="5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（广西壮族自治区第二人民医院）</w:t>
      </w:r>
    </w:p>
    <w:p w14:paraId="6FACF8FE">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 xml:space="preserve">单位地址：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单位地址：</w:t>
      </w:r>
    </w:p>
    <w:p w14:paraId="6F71DE1B">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法人代表：</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法人代表（或委托代理人）：</w:t>
      </w:r>
    </w:p>
    <w:p w14:paraId="336D112D">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联系电话：</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联系电话：</w:t>
      </w:r>
    </w:p>
    <w:p w14:paraId="346CC92B">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开户银行：</w:t>
      </w:r>
    </w:p>
    <w:p w14:paraId="544BB54D">
      <w:pPr>
        <w:spacing w:line="400" w:lineRule="exact"/>
        <w:rPr>
          <w:rFonts w:ascii="宋体" w:hAnsi="Times New Roman" w:eastAsia="宋体" w:cs="Times New Roman"/>
          <w:color w:val="auto"/>
          <w:sz w:val="24"/>
          <w:highlight w:val="none"/>
        </w:rPr>
      </w:pPr>
      <w:r>
        <w:rPr>
          <w:rFonts w:hint="eastAsia" w:ascii="宋体" w:hAnsi="宋体" w:eastAsia="宋体" w:cs="Times New Roman"/>
          <w:color w:val="auto"/>
          <w:sz w:val="24"/>
          <w:highlight w:val="none"/>
        </w:rPr>
        <w:t>账</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号：</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账</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号：</w:t>
      </w:r>
    </w:p>
    <w:p w14:paraId="543CDD7D">
      <w:pPr>
        <w:spacing w:line="400" w:lineRule="exact"/>
        <w:rPr>
          <w:rFonts w:ascii="宋体" w:hAnsi="Times New Roman" w:eastAsia="宋体" w:cs="Times New Roman"/>
          <w:color w:val="auto"/>
          <w:sz w:val="24"/>
          <w:highlight w:val="none"/>
        </w:rPr>
      </w:pPr>
      <w:r>
        <w:rPr>
          <w:rFonts w:ascii="宋体" w:hAnsi="宋体" w:eastAsia="宋体" w:cs="Times New Roman"/>
          <w:color w:val="auto"/>
          <w:sz w:val="24"/>
          <w:highlight w:val="none"/>
        </w:rPr>
        <w:t xml:space="preserve">                                    </w:t>
      </w:r>
    </w:p>
    <w:p w14:paraId="788785C8">
      <w:pPr>
        <w:spacing w:line="400" w:lineRule="exact"/>
        <w:rPr>
          <w:rFonts w:ascii="宋体" w:hAnsi="Times New Roman" w:eastAsia="宋体" w:cs="Times New Roman"/>
          <w:color w:val="auto"/>
          <w:sz w:val="24"/>
          <w:highlight w:val="none"/>
        </w:rPr>
      </w:pPr>
    </w:p>
    <w:p w14:paraId="334C6AC3">
      <w:pPr>
        <w:spacing w:line="40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时</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月</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日</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 xml:space="preserve"> 时</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年</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月</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日</w:t>
      </w:r>
    </w:p>
    <w:p w14:paraId="727D9BF8">
      <w:pPr>
        <w:rPr>
          <w:rFonts w:hint="eastAsia" w:ascii="宋体" w:hAnsi="宋体" w:eastAsia="宋体" w:cs="宋体"/>
          <w:b/>
          <w:bCs/>
          <w:color w:val="auto"/>
          <w:sz w:val="28"/>
          <w:szCs w:val="28"/>
          <w:highlight w:val="none"/>
          <w:shd w:val="clear" w:color="auto" w:fill="FFFFFF"/>
        </w:rPr>
      </w:pPr>
    </w:p>
    <w:p w14:paraId="19298653">
      <w:pPr>
        <w:widowControl/>
        <w:spacing w:beforeAutospacing="0" w:afterAutospacing="0" w:line="440" w:lineRule="exact"/>
        <w:ind w:firstLine="420"/>
        <w:jc w:val="center"/>
        <w:rPr>
          <w:rFonts w:ascii="宋体" w:hAnsi="宋体" w:eastAsia="宋体" w:cs="宋体"/>
          <w:b/>
          <w:bCs/>
          <w:color w:val="auto"/>
          <w:kern w:val="0"/>
          <w:sz w:val="28"/>
          <w:szCs w:val="28"/>
          <w:highlight w:val="none"/>
          <w:shd w:val="clear" w:color="auto" w:fill="FFFFFF"/>
          <w:lang w:val="en-US" w:eastAsia="zh-CN" w:bidi="ar-SA"/>
        </w:rPr>
      </w:pPr>
      <w:r>
        <w:rPr>
          <w:rFonts w:hint="eastAsia" w:ascii="宋体" w:hAnsi="宋体" w:eastAsia="宋体" w:cs="宋体"/>
          <w:b/>
          <w:bCs/>
          <w:color w:val="auto"/>
          <w:kern w:val="0"/>
          <w:sz w:val="28"/>
          <w:szCs w:val="28"/>
          <w:highlight w:val="none"/>
          <w:shd w:val="clear" w:color="auto" w:fill="FFFFFF"/>
          <w:lang w:val="en-US" w:eastAsia="zh-CN" w:bidi="ar-SA"/>
        </w:rPr>
        <w:br w:type="page"/>
      </w:r>
      <w:r>
        <w:rPr>
          <w:rFonts w:hint="eastAsia" w:ascii="宋体" w:hAnsi="宋体" w:eastAsia="宋体" w:cs="宋体"/>
          <w:b/>
          <w:bCs/>
          <w:color w:val="auto"/>
          <w:kern w:val="0"/>
          <w:sz w:val="28"/>
          <w:szCs w:val="28"/>
          <w:highlight w:val="none"/>
          <w:shd w:val="clear" w:color="auto" w:fill="FFFFFF"/>
          <w:lang w:val="en-US" w:eastAsia="zh-CN" w:bidi="ar-SA"/>
        </w:rPr>
        <w:t>工程质量保修书</w:t>
      </w:r>
    </w:p>
    <w:p w14:paraId="3475136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(全称):</w:t>
      </w:r>
      <w:r>
        <w:rPr>
          <w:rFonts w:hint="eastAsia" w:ascii="宋体" w:hAnsi="宋体" w:eastAsia="宋体" w:cs="Times New Roman"/>
          <w:color w:val="auto"/>
          <w:kern w:val="0"/>
          <w:sz w:val="22"/>
          <w:szCs w:val="22"/>
          <w:highlight w:val="none"/>
          <w:u w:val="single"/>
          <w:lang w:val="en-US" w:eastAsia="zh-CN" w:bidi="ar-SA"/>
        </w:rPr>
        <w:t>广西壮族自治区南溪山医院（广西壮族自治区第二人民医院）</w:t>
      </w:r>
    </w:p>
    <w:p w14:paraId="0FD8509F">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(全称):</w:t>
      </w:r>
      <w:r>
        <w:rPr>
          <w:rFonts w:hint="eastAsia" w:ascii="Arial" w:hAnsi="Arial" w:cs="Arial"/>
          <w:color w:val="auto"/>
          <w:kern w:val="0"/>
          <w:sz w:val="22"/>
          <w:szCs w:val="22"/>
          <w:highlight w:val="none"/>
          <w:shd w:val="clear" w:color="auto" w:fill="FFFFFF"/>
          <w:lang w:val="en-US" w:eastAsia="zh-CN" w:bidi="ar-SA"/>
        </w:rPr>
        <w:t xml:space="preserve">                  </w:t>
      </w:r>
    </w:p>
    <w:p w14:paraId="0B4F42FA">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根据《中华人民共和国建筑法》、《建设工程质量管理条例》和《房屋建筑工程质量保修办法》，经协商一致，对</w:t>
      </w:r>
      <w:r>
        <w:rPr>
          <w:rFonts w:hint="eastAsia" w:ascii="Arial" w:hAnsi="Arial" w:eastAsia="宋体" w:cs="Arial"/>
          <w:color w:val="auto"/>
          <w:kern w:val="0"/>
          <w:sz w:val="22"/>
          <w:szCs w:val="22"/>
          <w:highlight w:val="none"/>
          <w:u w:val="single"/>
          <w:shd w:val="clear" w:color="auto" w:fill="FFFFFF"/>
          <w:lang w:val="en-US" w:eastAsia="zh-CN" w:bidi="ar-SA"/>
        </w:rPr>
        <w:t>南溪山医院基建零星工程服务项目</w:t>
      </w:r>
      <w:r>
        <w:rPr>
          <w:rFonts w:ascii="Arial" w:hAnsi="Arial" w:eastAsia="宋体" w:cs="Arial"/>
          <w:color w:val="auto"/>
          <w:kern w:val="0"/>
          <w:sz w:val="22"/>
          <w:szCs w:val="22"/>
          <w:highlight w:val="none"/>
          <w:shd w:val="clear" w:color="auto" w:fill="FFFFFF"/>
          <w:lang w:val="en-US" w:eastAsia="zh-CN" w:bidi="ar-SA"/>
        </w:rPr>
        <w:t>(工程全称)签定工程质量保修书。</w:t>
      </w:r>
    </w:p>
    <w:p w14:paraId="212A1828">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一、工程质量保修范围和内容</w:t>
      </w:r>
    </w:p>
    <w:p w14:paraId="0F6D9A57">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 设备安装和装修工程，以及双方约定的其他项目。具体保修的内容，双方约定如下:__</w:t>
      </w:r>
      <w:r>
        <w:rPr>
          <w:rFonts w:hint="eastAsia" w:ascii="Arial" w:hAnsi="Arial" w:eastAsia="宋体" w:cs="Arial"/>
          <w:color w:val="auto"/>
          <w:kern w:val="0"/>
          <w:sz w:val="22"/>
          <w:szCs w:val="22"/>
          <w:highlight w:val="none"/>
          <w:shd w:val="clear" w:color="auto" w:fill="FFFFFF"/>
          <w:lang w:val="en-US" w:eastAsia="zh-CN" w:bidi="ar-SA"/>
        </w:rPr>
        <w:t>/</w:t>
      </w:r>
      <w:r>
        <w:rPr>
          <w:rFonts w:ascii="Arial" w:hAnsi="Arial" w:eastAsia="宋体" w:cs="Arial"/>
          <w:color w:val="auto"/>
          <w:kern w:val="0"/>
          <w:sz w:val="22"/>
          <w:szCs w:val="22"/>
          <w:highlight w:val="none"/>
          <w:shd w:val="clear" w:color="auto" w:fill="FFFFFF"/>
          <w:lang w:val="en-US" w:eastAsia="zh-CN" w:bidi="ar-SA"/>
        </w:rPr>
        <w:t>__ 。</w:t>
      </w:r>
    </w:p>
    <w:p w14:paraId="5E1E22C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二、质量保修期</w:t>
      </w:r>
    </w:p>
    <w:p w14:paraId="4D473041">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双方根据《建设工程质量管理条例》及有关规定，约定本工程的质量保修期如下:</w:t>
      </w:r>
    </w:p>
    <w:p w14:paraId="07FDE1F8">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1.地基基础工程和主体结构工程为设计文件规定的该工程合理使用年限;</w:t>
      </w:r>
    </w:p>
    <w:p w14:paraId="7A3E640D">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2.屋面防水工程、有防水要求的卫生间、房间和外墙面的防渗漏为_</w:t>
      </w:r>
      <w:r>
        <w:rPr>
          <w:rFonts w:ascii="Arial" w:hAnsi="Arial" w:eastAsia="宋体" w:cs="Arial"/>
          <w:color w:val="auto"/>
          <w:kern w:val="0"/>
          <w:sz w:val="22"/>
          <w:szCs w:val="22"/>
          <w:highlight w:val="none"/>
          <w:u w:val="single"/>
          <w:shd w:val="clear" w:color="auto" w:fill="FFFFFF"/>
          <w:lang w:val="en-US" w:eastAsia="zh-CN" w:bidi="ar-SA"/>
        </w:rPr>
        <w:t>_</w:t>
      </w:r>
      <w:r>
        <w:rPr>
          <w:rFonts w:hint="eastAsia" w:ascii="Arial" w:hAnsi="Arial" w:eastAsia="宋体" w:cs="Arial"/>
          <w:color w:val="auto"/>
          <w:kern w:val="0"/>
          <w:sz w:val="22"/>
          <w:szCs w:val="22"/>
          <w:highlight w:val="none"/>
          <w:u w:val="single"/>
          <w:shd w:val="clear" w:color="auto" w:fill="FFFFFF"/>
          <w:lang w:val="en-US" w:eastAsia="zh-CN" w:bidi="ar-SA"/>
        </w:rPr>
        <w:t>5</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_年;</w:t>
      </w:r>
    </w:p>
    <w:p w14:paraId="214F97C3">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3.装修工程为</w:t>
      </w:r>
      <w:r>
        <w:rPr>
          <w:rFonts w:ascii="Arial" w:hAnsi="Arial" w:eastAsia="宋体" w:cs="Arial"/>
          <w:color w:val="auto"/>
          <w:kern w:val="0"/>
          <w:sz w:val="22"/>
          <w:szCs w:val="22"/>
          <w:highlight w:val="none"/>
          <w:u w:val="single"/>
          <w:shd w:val="clear" w:color="auto" w:fill="FFFFFF"/>
          <w:lang w:val="en-US" w:eastAsia="zh-CN" w:bidi="ar-SA"/>
        </w:rPr>
        <w:t>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年;</w:t>
      </w:r>
    </w:p>
    <w:p w14:paraId="4DBA22A6">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4.电气管线、给排水管道、设备安装工程为 ___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shd w:val="clear" w:color="auto" w:fill="FFFFFF"/>
          <w:lang w:val="en-US" w:eastAsia="zh-CN" w:bidi="ar-SA"/>
        </w:rPr>
        <w:t>__年;</w:t>
      </w:r>
    </w:p>
    <w:p w14:paraId="22FC6322">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5.供热与供冷系统为_</w:t>
      </w:r>
      <w:r>
        <w:rPr>
          <w:rFonts w:hint="eastAsia" w:ascii="Arial" w:hAnsi="Arial" w:eastAsia="宋体" w:cs="Arial"/>
          <w:color w:val="auto"/>
          <w:kern w:val="0"/>
          <w:sz w:val="22"/>
          <w:szCs w:val="22"/>
          <w:highlight w:val="none"/>
          <w:u w:val="single"/>
          <w:shd w:val="clear" w:color="auto" w:fill="FFFFFF"/>
          <w:lang w:val="en-US" w:eastAsia="zh-CN" w:bidi="ar-SA"/>
        </w:rPr>
        <w:t>2</w:t>
      </w:r>
      <w:r>
        <w:rPr>
          <w:rFonts w:ascii="Arial" w:hAnsi="Arial" w:eastAsia="宋体" w:cs="Arial"/>
          <w:color w:val="auto"/>
          <w:kern w:val="0"/>
          <w:sz w:val="22"/>
          <w:szCs w:val="22"/>
          <w:highlight w:val="none"/>
          <w:u w:val="single"/>
          <w:shd w:val="clear" w:color="auto" w:fill="FFFFFF"/>
          <w:lang w:val="en-US" w:eastAsia="zh-CN" w:bidi="ar-SA"/>
        </w:rPr>
        <w:t>_</w:t>
      </w:r>
      <w:r>
        <w:rPr>
          <w:rFonts w:ascii="Arial" w:hAnsi="Arial" w:eastAsia="宋体" w:cs="Arial"/>
          <w:color w:val="auto"/>
          <w:kern w:val="0"/>
          <w:sz w:val="22"/>
          <w:szCs w:val="22"/>
          <w:highlight w:val="none"/>
          <w:shd w:val="clear" w:color="auto" w:fill="FFFFFF"/>
          <w:lang w:val="en-US" w:eastAsia="zh-CN" w:bidi="ar-SA"/>
        </w:rPr>
        <w:t>_ 个采暖期、供冷期;</w:t>
      </w:r>
    </w:p>
    <w:p w14:paraId="410FAA1A">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6.住宅小区内的给排水设施、道路等配套工程为____</w:t>
      </w:r>
      <w:r>
        <w:rPr>
          <w:rFonts w:hint="eastAsia" w:ascii="Arial" w:hAnsi="Arial" w:eastAsia="宋体" w:cs="Arial"/>
          <w:color w:val="auto"/>
          <w:kern w:val="0"/>
          <w:sz w:val="22"/>
          <w:szCs w:val="22"/>
          <w:highlight w:val="none"/>
          <w:shd w:val="clear" w:color="auto" w:fill="FFFFFF"/>
          <w:lang w:val="en-US" w:eastAsia="zh-CN" w:bidi="ar-SA"/>
        </w:rPr>
        <w:t>2</w:t>
      </w:r>
      <w:r>
        <w:rPr>
          <w:rFonts w:ascii="Arial" w:hAnsi="Arial" w:eastAsia="宋体" w:cs="Arial"/>
          <w:color w:val="auto"/>
          <w:kern w:val="0"/>
          <w:sz w:val="22"/>
          <w:szCs w:val="22"/>
          <w:highlight w:val="none"/>
          <w:shd w:val="clear" w:color="auto" w:fill="FFFFFF"/>
          <w:lang w:val="en-US" w:eastAsia="zh-CN" w:bidi="ar-SA"/>
        </w:rPr>
        <w:t>___ 年;</w:t>
      </w:r>
    </w:p>
    <w:p w14:paraId="3C5C234B">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7.其他项目保修期限约定如下:___</w:t>
      </w:r>
      <w:r>
        <w:rPr>
          <w:rFonts w:hint="eastAsia" w:ascii="Arial" w:hAnsi="Arial" w:eastAsia="宋体" w:cs="Arial"/>
          <w:color w:val="auto"/>
          <w:kern w:val="0"/>
          <w:sz w:val="22"/>
          <w:szCs w:val="22"/>
          <w:highlight w:val="none"/>
          <w:u w:val="single"/>
          <w:shd w:val="clear" w:color="auto" w:fill="FFFFFF"/>
          <w:lang w:val="en-US" w:eastAsia="zh-CN" w:bidi="ar-SA"/>
        </w:rPr>
        <w:t>双方另行约定</w:t>
      </w:r>
      <w:r>
        <w:rPr>
          <w:rFonts w:ascii="Arial" w:hAnsi="Arial" w:eastAsia="宋体" w:cs="Arial"/>
          <w:color w:val="auto"/>
          <w:kern w:val="0"/>
          <w:sz w:val="22"/>
          <w:szCs w:val="22"/>
          <w:highlight w:val="none"/>
          <w:shd w:val="clear" w:color="auto" w:fill="FFFFFF"/>
          <w:lang w:val="en-US" w:eastAsia="zh-CN" w:bidi="ar-SA"/>
        </w:rPr>
        <w:t>___。</w:t>
      </w:r>
    </w:p>
    <w:p w14:paraId="758468A2">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质量保修期自工程竣工验收合格之曰起计算。</w:t>
      </w:r>
    </w:p>
    <w:p w14:paraId="4BCC6F69">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三、质量保修责任</w:t>
      </w:r>
    </w:p>
    <w:p w14:paraId="2B105417">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1.属于保修范围、内容的项目，</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应当在接到保修通知之曰起</w:t>
      </w:r>
      <w:r>
        <w:rPr>
          <w:rFonts w:hint="eastAsia" w:ascii="Arial" w:hAnsi="Arial" w:eastAsia="宋体" w:cs="Arial"/>
          <w:color w:val="auto"/>
          <w:kern w:val="0"/>
          <w:sz w:val="22"/>
          <w:szCs w:val="22"/>
          <w:highlight w:val="none"/>
          <w:shd w:val="clear" w:color="auto" w:fill="FFFFFF"/>
          <w:lang w:val="en-US" w:eastAsia="zh-CN" w:bidi="ar-SA"/>
        </w:rPr>
        <w:t>24小时</w:t>
      </w:r>
      <w:r>
        <w:rPr>
          <w:rFonts w:ascii="Arial" w:hAnsi="Arial" w:eastAsia="宋体" w:cs="Arial"/>
          <w:color w:val="auto"/>
          <w:kern w:val="0"/>
          <w:sz w:val="22"/>
          <w:szCs w:val="22"/>
          <w:highlight w:val="none"/>
          <w:shd w:val="clear" w:color="auto" w:fill="FFFFFF"/>
          <w:lang w:val="en-US" w:eastAsia="zh-CN" w:bidi="ar-SA"/>
        </w:rPr>
        <w:t>内派人保修。</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不在约定期限内派人保修的，</w:t>
      </w: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可以委托他人修理。2.发生紧急抢修事故的，</w:t>
      </w:r>
      <w:r>
        <w:rPr>
          <w:rFonts w:hint="eastAsia" w:ascii="Arial" w:hAnsi="Arial" w:eastAsia="宋体" w:cs="Arial"/>
          <w:color w:val="auto"/>
          <w:kern w:val="0"/>
          <w:sz w:val="22"/>
          <w:szCs w:val="22"/>
          <w:highlight w:val="none"/>
          <w:shd w:val="clear" w:color="auto" w:fill="FFFFFF"/>
          <w:lang w:val="en-US" w:eastAsia="zh-CN" w:bidi="ar-SA"/>
        </w:rPr>
        <w:t>乙方</w:t>
      </w:r>
      <w:r>
        <w:rPr>
          <w:rFonts w:ascii="Arial" w:hAnsi="Arial" w:eastAsia="宋体" w:cs="Arial"/>
          <w:color w:val="auto"/>
          <w:kern w:val="0"/>
          <w:sz w:val="22"/>
          <w:szCs w:val="22"/>
          <w:highlight w:val="none"/>
          <w:shd w:val="clear" w:color="auto" w:fill="FFFFFF"/>
          <w:lang w:val="en-US" w:eastAsia="zh-CN" w:bidi="ar-SA"/>
        </w:rPr>
        <w:t>在接到事故通知后，应当</w:t>
      </w:r>
      <w:r>
        <w:rPr>
          <w:rFonts w:hint="eastAsia" w:ascii="Arial" w:hAnsi="Arial" w:eastAsia="宋体" w:cs="Arial"/>
          <w:color w:val="auto"/>
          <w:kern w:val="0"/>
          <w:sz w:val="22"/>
          <w:szCs w:val="22"/>
          <w:highlight w:val="none"/>
          <w:shd w:val="clear" w:color="auto" w:fill="FFFFFF"/>
          <w:lang w:val="en-US" w:eastAsia="zh-CN" w:bidi="ar-SA"/>
        </w:rPr>
        <w:t>30分钟内</w:t>
      </w:r>
      <w:r>
        <w:rPr>
          <w:rFonts w:ascii="Arial" w:hAnsi="Arial" w:eastAsia="宋体" w:cs="Arial"/>
          <w:color w:val="auto"/>
          <w:kern w:val="0"/>
          <w:sz w:val="22"/>
          <w:szCs w:val="22"/>
          <w:highlight w:val="none"/>
          <w:shd w:val="clear" w:color="auto" w:fill="FFFFFF"/>
          <w:lang w:val="en-US" w:eastAsia="zh-CN" w:bidi="ar-SA"/>
        </w:rPr>
        <w:t>立即到达事故现场抢修。3.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Arial" w:hAnsi="Arial" w:eastAsia="宋体" w:cs="Arial"/>
          <w:color w:val="auto"/>
          <w:kern w:val="0"/>
          <w:sz w:val="22"/>
          <w:szCs w:val="22"/>
          <w:highlight w:val="none"/>
          <w:shd w:val="clear" w:color="auto" w:fill="FFFFFF"/>
          <w:lang w:val="en-US" w:eastAsia="zh-CN" w:bidi="ar-SA"/>
        </w:rPr>
        <w:t>乙方实施</w:t>
      </w:r>
      <w:r>
        <w:rPr>
          <w:rFonts w:ascii="Arial" w:hAnsi="Arial" w:eastAsia="宋体" w:cs="Arial"/>
          <w:color w:val="auto"/>
          <w:kern w:val="0"/>
          <w:sz w:val="22"/>
          <w:szCs w:val="22"/>
          <w:highlight w:val="none"/>
          <w:shd w:val="clear" w:color="auto" w:fill="FFFFFF"/>
          <w:lang w:val="en-US" w:eastAsia="zh-CN" w:bidi="ar-SA"/>
        </w:rPr>
        <w:t>保修。4.质量保修完成后，由</w:t>
      </w:r>
      <w:r>
        <w:rPr>
          <w:rFonts w:hint="eastAsia" w:ascii="Arial" w:hAnsi="Arial" w:eastAsia="宋体" w:cs="Arial"/>
          <w:color w:val="auto"/>
          <w:kern w:val="0"/>
          <w:sz w:val="22"/>
          <w:szCs w:val="22"/>
          <w:highlight w:val="none"/>
          <w:shd w:val="clear" w:color="auto" w:fill="FFFFFF"/>
          <w:lang w:val="en-US" w:eastAsia="zh-CN" w:bidi="ar-SA"/>
        </w:rPr>
        <w:t>甲方</w:t>
      </w:r>
      <w:r>
        <w:rPr>
          <w:rFonts w:ascii="Arial" w:hAnsi="Arial" w:eastAsia="宋体" w:cs="Arial"/>
          <w:color w:val="auto"/>
          <w:kern w:val="0"/>
          <w:sz w:val="22"/>
          <w:szCs w:val="22"/>
          <w:highlight w:val="none"/>
          <w:shd w:val="clear" w:color="auto" w:fill="FFFFFF"/>
          <w:lang w:val="en-US" w:eastAsia="zh-CN" w:bidi="ar-SA"/>
        </w:rPr>
        <w:t>组织验收。</w:t>
      </w:r>
    </w:p>
    <w:p w14:paraId="352D09F3">
      <w:pPr>
        <w:widowControl/>
        <w:spacing w:beforeAutospacing="0" w:afterAutospacing="0" w:line="440" w:lineRule="exact"/>
        <w:ind w:firstLine="420"/>
        <w:jc w:val="left"/>
        <w:rPr>
          <w:rFonts w:ascii="Times New Roman" w:hAnsi="Times New Roman"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四、保修费用</w:t>
      </w:r>
      <w:r>
        <w:rPr>
          <w:rFonts w:hint="eastAsia" w:ascii="Arial" w:hAnsi="Arial" w:eastAsia="宋体" w:cs="Arial"/>
          <w:color w:val="auto"/>
          <w:kern w:val="0"/>
          <w:sz w:val="22"/>
          <w:szCs w:val="22"/>
          <w:highlight w:val="none"/>
          <w:shd w:val="clear" w:color="auto" w:fill="FFFFFF"/>
          <w:lang w:val="en-US" w:eastAsia="zh-CN" w:bidi="ar-SA"/>
        </w:rPr>
        <w:t xml:space="preserve"> </w:t>
      </w:r>
      <w:r>
        <w:rPr>
          <w:rFonts w:ascii="Arial" w:hAnsi="Arial" w:eastAsia="宋体" w:cs="Arial"/>
          <w:color w:val="auto"/>
          <w:kern w:val="0"/>
          <w:sz w:val="22"/>
          <w:szCs w:val="22"/>
          <w:highlight w:val="none"/>
          <w:shd w:val="clear" w:color="auto" w:fill="FFFFFF"/>
          <w:lang w:val="en-US" w:eastAsia="zh-CN" w:bidi="ar-SA"/>
        </w:rPr>
        <w:t>保修费用由造成质量缺陷的责任方承担。</w:t>
      </w:r>
    </w:p>
    <w:p w14:paraId="75DC0F2C">
      <w:pPr>
        <w:widowControl/>
        <w:spacing w:beforeAutospacing="0" w:afterAutospacing="0" w:line="440" w:lineRule="exact"/>
        <w:ind w:firstLine="420"/>
        <w:jc w:val="left"/>
        <w:rPr>
          <w:rFonts w:ascii="Arial" w:hAnsi="Arial" w:eastAsia="宋体" w:cs="Arial"/>
          <w:color w:val="auto"/>
          <w:kern w:val="0"/>
          <w:sz w:val="22"/>
          <w:szCs w:val="22"/>
          <w:highlight w:val="none"/>
          <w:shd w:val="clear" w:color="auto" w:fill="FFFFFF"/>
          <w:lang w:val="en-US" w:eastAsia="zh-CN" w:bidi="ar-SA"/>
        </w:rPr>
      </w:pPr>
      <w:r>
        <w:rPr>
          <w:rFonts w:ascii="Arial" w:hAnsi="Arial" w:eastAsia="宋体" w:cs="Arial"/>
          <w:color w:val="auto"/>
          <w:kern w:val="0"/>
          <w:sz w:val="22"/>
          <w:szCs w:val="22"/>
          <w:highlight w:val="none"/>
          <w:shd w:val="clear" w:color="auto" w:fill="FFFFFF"/>
          <w:lang w:val="en-US" w:eastAsia="zh-CN" w:bidi="ar-SA"/>
        </w:rPr>
        <w:t>五、其他</w:t>
      </w:r>
      <w:r>
        <w:rPr>
          <w:rFonts w:hint="eastAsia" w:ascii="Arial" w:hAnsi="Arial" w:eastAsia="宋体" w:cs="Arial"/>
          <w:color w:val="auto"/>
          <w:kern w:val="0"/>
          <w:sz w:val="22"/>
          <w:szCs w:val="22"/>
          <w:highlight w:val="none"/>
          <w:shd w:val="clear" w:color="auto" w:fill="FFFFFF"/>
          <w:lang w:val="en-US" w:eastAsia="zh-CN" w:bidi="ar-SA"/>
        </w:rPr>
        <w:t xml:space="preserve"> </w:t>
      </w:r>
      <w:r>
        <w:rPr>
          <w:rFonts w:ascii="Arial" w:hAnsi="Arial" w:eastAsia="宋体" w:cs="Arial"/>
          <w:color w:val="auto"/>
          <w:kern w:val="0"/>
          <w:sz w:val="22"/>
          <w:szCs w:val="22"/>
          <w:highlight w:val="none"/>
          <w:shd w:val="clear" w:color="auto" w:fill="FFFFFF"/>
          <w:lang w:val="en-US" w:eastAsia="zh-CN" w:bidi="ar-SA"/>
        </w:rPr>
        <w:t>双方约定的其他工程质量保修事项:__________</w:t>
      </w:r>
      <w:r>
        <w:rPr>
          <w:rFonts w:hint="eastAsia" w:ascii="Arial" w:hAnsi="Arial" w:eastAsia="宋体" w:cs="Arial"/>
          <w:color w:val="auto"/>
          <w:kern w:val="0"/>
          <w:sz w:val="22"/>
          <w:szCs w:val="22"/>
          <w:highlight w:val="none"/>
          <w:shd w:val="clear" w:color="auto" w:fill="FFFFFF"/>
          <w:lang w:val="en-US" w:eastAsia="zh-CN" w:bidi="ar-SA"/>
        </w:rPr>
        <w:t>/</w:t>
      </w:r>
      <w:r>
        <w:rPr>
          <w:rFonts w:ascii="Arial" w:hAnsi="Arial" w:eastAsia="宋体" w:cs="Arial"/>
          <w:color w:val="auto"/>
          <w:kern w:val="0"/>
          <w:sz w:val="22"/>
          <w:szCs w:val="22"/>
          <w:highlight w:val="none"/>
          <w:shd w:val="clear" w:color="auto" w:fill="FFFFFF"/>
          <w:lang w:val="en-US" w:eastAsia="zh-CN" w:bidi="ar-SA"/>
        </w:rPr>
        <w:t>______________。</w:t>
      </w:r>
    </w:p>
    <w:p w14:paraId="0BA9F20F">
      <w:pPr>
        <w:widowControl/>
        <w:spacing w:beforeAutospacing="0" w:afterAutospacing="0" w:line="440" w:lineRule="exact"/>
        <w:jc w:val="left"/>
        <w:rPr>
          <w:rFonts w:ascii="宋体" w:hAnsi="宋体" w:eastAsia="宋体" w:cs="Times New Roman"/>
          <w:color w:val="auto"/>
          <w:kern w:val="0"/>
          <w:sz w:val="22"/>
          <w:szCs w:val="22"/>
          <w:highlight w:val="none"/>
          <w:lang w:val="en-US" w:eastAsia="zh-CN" w:bidi="ar-SA"/>
        </w:rPr>
      </w:pPr>
      <w:r>
        <w:rPr>
          <w:rFonts w:ascii="Arial" w:hAnsi="Arial" w:eastAsia="宋体" w:cs="Arial"/>
          <w:color w:val="auto"/>
          <w:kern w:val="0"/>
          <w:sz w:val="22"/>
          <w:szCs w:val="22"/>
          <w:highlight w:val="none"/>
          <w:shd w:val="clear" w:color="auto" w:fill="FFFFFF"/>
          <w:lang w:val="en-US" w:eastAsia="zh-CN" w:bidi="ar-SA"/>
        </w:rPr>
        <w:t>本工程质量保修书，由施工合同</w:t>
      </w:r>
      <w:r>
        <w:rPr>
          <w:rFonts w:hint="eastAsia" w:ascii="Arial" w:hAnsi="Arial" w:eastAsia="宋体" w:cs="Arial"/>
          <w:color w:val="auto"/>
          <w:kern w:val="0"/>
          <w:sz w:val="22"/>
          <w:szCs w:val="22"/>
          <w:highlight w:val="none"/>
          <w:shd w:val="clear" w:color="auto" w:fill="FFFFFF"/>
          <w:lang w:val="en-US" w:eastAsia="zh-CN" w:bidi="ar-SA"/>
        </w:rPr>
        <w:t>甲</w:t>
      </w:r>
      <w:r>
        <w:rPr>
          <w:rFonts w:ascii="Arial" w:hAnsi="Arial" w:eastAsia="宋体" w:cs="Arial"/>
          <w:color w:val="auto"/>
          <w:kern w:val="0"/>
          <w:sz w:val="22"/>
          <w:szCs w:val="22"/>
          <w:highlight w:val="none"/>
          <w:shd w:val="clear" w:color="auto" w:fill="FFFFFF"/>
          <w:lang w:val="en-US" w:eastAsia="zh-CN" w:bidi="ar-SA"/>
        </w:rPr>
        <w:t>、</w:t>
      </w:r>
      <w:r>
        <w:rPr>
          <w:rFonts w:hint="eastAsia" w:ascii="Arial" w:hAnsi="Arial" w:eastAsia="宋体" w:cs="Arial"/>
          <w:color w:val="auto"/>
          <w:kern w:val="0"/>
          <w:sz w:val="22"/>
          <w:szCs w:val="22"/>
          <w:highlight w:val="none"/>
          <w:shd w:val="clear" w:color="auto" w:fill="FFFFFF"/>
          <w:lang w:val="en-US" w:eastAsia="zh-CN" w:bidi="ar-SA"/>
        </w:rPr>
        <w:t>乙</w:t>
      </w:r>
      <w:r>
        <w:rPr>
          <w:rFonts w:ascii="Arial" w:hAnsi="Arial" w:eastAsia="宋体" w:cs="Arial"/>
          <w:color w:val="auto"/>
          <w:kern w:val="0"/>
          <w:sz w:val="22"/>
          <w:szCs w:val="22"/>
          <w:highlight w:val="none"/>
          <w:shd w:val="clear" w:color="auto" w:fill="FFFFFF"/>
          <w:lang w:val="en-US" w:eastAsia="zh-CN" w:bidi="ar-SA"/>
        </w:rPr>
        <w:t>双方在竣工验收前共同签署，作为施工合同附件其有效期限至保修期满。</w:t>
      </w:r>
    </w:p>
    <w:p w14:paraId="0A8EF764">
      <w:pPr>
        <w:widowControl/>
        <w:jc w:val="left"/>
        <w:rPr>
          <w:rFonts w:hint="eastAsia" w:ascii="Arial" w:hAnsi="Arial" w:eastAsia="仿宋" w:cs="Arial"/>
          <w:color w:val="auto"/>
          <w:szCs w:val="21"/>
          <w:highlight w:val="none"/>
          <w:u w:val="single"/>
        </w:rPr>
      </w:pPr>
    </w:p>
    <w:p w14:paraId="6E4DEDB7">
      <w:pPr>
        <w:spacing w:line="340" w:lineRule="exact"/>
        <w:jc w:val="center"/>
        <w:outlineLvl w:val="0"/>
        <w:rPr>
          <w:rFonts w:ascii="宋体" w:hAnsi="宋体" w:cs="宋体"/>
          <w:b/>
          <w:bCs/>
          <w:color w:val="auto"/>
          <w:kern w:val="44"/>
          <w:sz w:val="32"/>
          <w:szCs w:val="32"/>
          <w:highlight w:val="none"/>
        </w:rPr>
      </w:pPr>
    </w:p>
    <w:p w14:paraId="61A78616">
      <w:pPr>
        <w:spacing w:line="340" w:lineRule="exact"/>
        <w:jc w:val="center"/>
        <w:outlineLvl w:val="0"/>
        <w:rPr>
          <w:rFonts w:ascii="宋体" w:hAnsi="宋体" w:cs="宋体"/>
          <w:b/>
          <w:bCs/>
          <w:color w:val="auto"/>
          <w:kern w:val="44"/>
          <w:sz w:val="32"/>
          <w:szCs w:val="32"/>
          <w:highlight w:val="none"/>
        </w:rPr>
      </w:pPr>
    </w:p>
    <w:p w14:paraId="143270B8">
      <w:pPr>
        <w:spacing w:line="340" w:lineRule="exact"/>
        <w:jc w:val="center"/>
        <w:outlineLvl w:val="0"/>
        <w:rPr>
          <w:rFonts w:ascii="宋体" w:hAnsi="宋体" w:cs="宋体"/>
          <w:color w:val="auto"/>
          <w:sz w:val="32"/>
          <w:szCs w:val="32"/>
          <w:highlight w:val="none"/>
        </w:rPr>
      </w:pPr>
      <w:r>
        <w:rPr>
          <w:rFonts w:hint="eastAsia" w:ascii="宋体" w:hAnsi="宋体" w:cs="宋体"/>
          <w:b/>
          <w:bCs/>
          <w:color w:val="auto"/>
          <w:kern w:val="44"/>
          <w:sz w:val="32"/>
          <w:szCs w:val="32"/>
          <w:highlight w:val="none"/>
        </w:rPr>
        <w:t>第六章  投标文件（格式）</w:t>
      </w:r>
      <w:bookmarkEnd w:id="280"/>
      <w:bookmarkEnd w:id="281"/>
      <w:bookmarkEnd w:id="282"/>
      <w:bookmarkEnd w:id="283"/>
    </w:p>
    <w:p w14:paraId="7875279C">
      <w:pPr>
        <w:rPr>
          <w:b/>
          <w:bCs/>
          <w:color w:val="auto"/>
          <w:sz w:val="30"/>
          <w:szCs w:val="30"/>
          <w:highlight w:val="none"/>
        </w:rPr>
      </w:pPr>
      <w:bookmarkStart w:id="285" w:name="_Toc498627082"/>
      <w:bookmarkStart w:id="286" w:name="_Toc478137727"/>
      <w:bookmarkStart w:id="287" w:name="_Toc486695806"/>
      <w:bookmarkStart w:id="288" w:name="_Toc498698226"/>
      <w:bookmarkStart w:id="289" w:name="_Toc486867150"/>
      <w:bookmarkStart w:id="290" w:name="_Toc31410"/>
      <w:bookmarkStart w:id="291" w:name="_Toc1762"/>
      <w:r>
        <w:rPr>
          <w:rFonts w:hint="eastAsia"/>
          <w:b/>
          <w:bCs/>
          <w:color w:val="auto"/>
          <w:sz w:val="30"/>
          <w:szCs w:val="30"/>
          <w:highlight w:val="none"/>
        </w:rPr>
        <w:t>投标文件封面格式</w:t>
      </w:r>
      <w:bookmarkEnd w:id="285"/>
      <w:bookmarkEnd w:id="286"/>
      <w:bookmarkEnd w:id="287"/>
      <w:bookmarkEnd w:id="288"/>
      <w:bookmarkEnd w:id="289"/>
      <w:r>
        <w:rPr>
          <w:rFonts w:hint="eastAsia"/>
          <w:b/>
          <w:bCs/>
          <w:color w:val="auto"/>
          <w:sz w:val="30"/>
          <w:szCs w:val="30"/>
          <w:highlight w:val="none"/>
        </w:rPr>
        <w:t>：</w:t>
      </w:r>
      <w:bookmarkEnd w:id="290"/>
      <w:bookmarkEnd w:id="291"/>
    </w:p>
    <w:p w14:paraId="67992C82">
      <w:pPr>
        <w:pStyle w:val="50"/>
        <w:rPr>
          <w:rFonts w:ascii="宋体" w:hAnsi="宋体" w:cs="宋体"/>
          <w:b/>
          <w:color w:val="auto"/>
          <w:sz w:val="44"/>
          <w:szCs w:val="44"/>
          <w:highlight w:val="none"/>
        </w:rPr>
      </w:pPr>
    </w:p>
    <w:p w14:paraId="381F0755">
      <w:pPr>
        <w:pStyle w:val="50"/>
        <w:rPr>
          <w:rFonts w:ascii="宋体" w:hAnsi="宋体" w:cs="宋体"/>
          <w:b/>
          <w:color w:val="auto"/>
          <w:sz w:val="44"/>
          <w:szCs w:val="44"/>
          <w:highlight w:val="none"/>
        </w:rPr>
      </w:pPr>
    </w:p>
    <w:p w14:paraId="00ABE4BA">
      <w:pPr>
        <w:pStyle w:val="50"/>
        <w:rPr>
          <w:rFonts w:ascii="宋体" w:hAnsi="宋体" w:cs="宋体"/>
          <w:b/>
          <w:color w:val="auto"/>
          <w:sz w:val="44"/>
          <w:szCs w:val="44"/>
          <w:highlight w:val="none"/>
        </w:rPr>
      </w:pPr>
    </w:p>
    <w:p w14:paraId="5500FACB">
      <w:pPr>
        <w:adjustRightInd w:val="0"/>
        <w:snapToGrid w:val="0"/>
        <w:jc w:val="center"/>
        <w:rPr>
          <w:rFonts w:ascii="宋体" w:hAnsi="宋体" w:cs="宋体"/>
          <w:b/>
          <w:color w:val="auto"/>
          <w:sz w:val="44"/>
          <w:szCs w:val="44"/>
          <w:highlight w:val="none"/>
        </w:rPr>
      </w:pPr>
      <w:bookmarkStart w:id="292" w:name="_Toc13659_WPSOffice_Level1"/>
      <w:bookmarkStart w:id="293" w:name="_Toc3441_WPSOffice_Level1"/>
      <w:r>
        <w:rPr>
          <w:rFonts w:hint="eastAsia" w:ascii="宋体" w:hAnsi="宋体" w:cs="宋体"/>
          <w:bCs/>
          <w:color w:val="auto"/>
          <w:sz w:val="72"/>
          <w:szCs w:val="72"/>
          <w:highlight w:val="none"/>
        </w:rPr>
        <w:t>投标文件</w:t>
      </w:r>
      <w:bookmarkEnd w:id="292"/>
      <w:bookmarkEnd w:id="293"/>
    </w:p>
    <w:p w14:paraId="767E4A04">
      <w:pPr>
        <w:adjustRightInd w:val="0"/>
        <w:snapToGrid w:val="0"/>
        <w:rPr>
          <w:rFonts w:ascii="宋体" w:hAnsi="宋体" w:cs="宋体"/>
          <w:b/>
          <w:color w:val="auto"/>
          <w:sz w:val="44"/>
          <w:szCs w:val="44"/>
          <w:highlight w:val="none"/>
        </w:rPr>
      </w:pPr>
    </w:p>
    <w:p w14:paraId="4589A8BB">
      <w:pPr>
        <w:pStyle w:val="134"/>
        <w:ind w:firstLine="883"/>
        <w:rPr>
          <w:rFonts w:ascii="宋体" w:hAnsi="宋体" w:cs="宋体"/>
          <w:b/>
          <w:color w:val="auto"/>
          <w:sz w:val="44"/>
          <w:szCs w:val="44"/>
          <w:highlight w:val="none"/>
        </w:rPr>
      </w:pPr>
    </w:p>
    <w:p w14:paraId="7C039641">
      <w:pPr>
        <w:ind w:firstLine="2400" w:firstLineChars="800"/>
        <w:rPr>
          <w:rFonts w:ascii="宋体" w:hAnsi="宋体" w:cs="宋体"/>
          <w:color w:val="auto"/>
          <w:sz w:val="30"/>
          <w:szCs w:val="30"/>
          <w:highlight w:val="none"/>
        </w:rPr>
      </w:pPr>
      <w:r>
        <w:rPr>
          <w:rFonts w:hint="eastAsia" w:ascii="宋体" w:hAnsi="宋体" w:cs="宋体"/>
          <w:bCs/>
          <w:color w:val="auto"/>
          <w:sz w:val="30"/>
          <w:szCs w:val="30"/>
          <w:highlight w:val="none"/>
        </w:rPr>
        <w:t>项目名称：</w:t>
      </w:r>
    </w:p>
    <w:p w14:paraId="342CA146">
      <w:pPr>
        <w:ind w:firstLine="2400" w:firstLineChars="80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550535D4">
      <w:pPr>
        <w:ind w:firstLine="2400" w:firstLineChars="8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val="en-US" w:eastAsia="zh-CN"/>
        </w:rPr>
        <w:t>分标号：</w:t>
      </w:r>
    </w:p>
    <w:p w14:paraId="359AE9E5">
      <w:pPr>
        <w:ind w:firstLine="741" w:firstLineChars="353"/>
        <w:rPr>
          <w:rFonts w:ascii="宋体" w:hAnsi="宋体" w:cs="宋体"/>
          <w:color w:val="auto"/>
          <w:highlight w:val="none"/>
        </w:rPr>
      </w:pPr>
    </w:p>
    <w:p w14:paraId="42423BCD">
      <w:pPr>
        <w:snapToGrid w:val="0"/>
        <w:spacing w:beforeLines="50" w:after="50"/>
        <w:ind w:firstLine="1260" w:firstLineChars="450"/>
        <w:rPr>
          <w:rFonts w:ascii="宋体" w:hAnsi="宋体" w:cs="宋体"/>
          <w:bCs/>
          <w:color w:val="auto"/>
          <w:sz w:val="28"/>
          <w:szCs w:val="28"/>
          <w:highlight w:val="none"/>
        </w:rPr>
      </w:pPr>
    </w:p>
    <w:p w14:paraId="77FA1E93">
      <w:pPr>
        <w:pStyle w:val="134"/>
        <w:rPr>
          <w:color w:val="auto"/>
          <w:highlight w:val="none"/>
        </w:rPr>
      </w:pPr>
    </w:p>
    <w:p w14:paraId="05A24808">
      <w:pPr>
        <w:pStyle w:val="50"/>
        <w:rPr>
          <w:color w:val="auto"/>
          <w:highlight w:val="none"/>
        </w:rPr>
      </w:pPr>
    </w:p>
    <w:p w14:paraId="692740AB">
      <w:pPr>
        <w:snapToGrid w:val="0"/>
        <w:spacing w:beforeLines="50" w:after="50"/>
        <w:rPr>
          <w:rFonts w:ascii="宋体" w:hAnsi="宋体" w:cs="宋体"/>
          <w:bCs/>
          <w:color w:val="auto"/>
          <w:sz w:val="28"/>
          <w:szCs w:val="28"/>
          <w:highlight w:val="none"/>
        </w:rPr>
      </w:pPr>
    </w:p>
    <w:p w14:paraId="0EDC61C9">
      <w:pPr>
        <w:ind w:firstLine="964" w:firstLineChars="300"/>
        <w:jc w:val="left"/>
        <w:rPr>
          <w:rFonts w:ascii="宋体" w:hAnsi="宋体" w:cs="宋体"/>
          <w:b/>
          <w:color w:val="auto"/>
          <w:sz w:val="32"/>
          <w:szCs w:val="32"/>
          <w:highlight w:val="none"/>
        </w:rPr>
      </w:pPr>
    </w:p>
    <w:p w14:paraId="16623F5E">
      <w:pPr>
        <w:pStyle w:val="15"/>
        <w:spacing w:line="400" w:lineRule="exact"/>
        <w:ind w:left="980" w:hanging="560" w:hangingChars="2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广西</w:t>
      </w:r>
      <w:r>
        <w:rPr>
          <w:rFonts w:hint="eastAsia" w:ascii="宋体" w:hAnsi="宋体" w:cs="宋体"/>
          <w:bCs/>
          <w:color w:val="auto"/>
          <w:sz w:val="28"/>
          <w:szCs w:val="28"/>
          <w:highlight w:val="none"/>
          <w:u w:val="single"/>
          <w:lang w:val="en-US" w:eastAsia="zh-CN"/>
        </w:rPr>
        <w:t>奥金斯</w:t>
      </w:r>
      <w:r>
        <w:rPr>
          <w:rFonts w:hint="eastAsia" w:ascii="宋体" w:hAnsi="宋体" w:cs="宋体"/>
          <w:bCs/>
          <w:color w:val="auto"/>
          <w:sz w:val="28"/>
          <w:szCs w:val="28"/>
          <w:highlight w:val="none"/>
          <w:u w:val="single"/>
        </w:rPr>
        <w:t>项目管理有限公司</w:t>
      </w:r>
    </w:p>
    <w:p w14:paraId="66EC2602">
      <w:pPr>
        <w:pStyle w:val="15"/>
        <w:spacing w:line="400" w:lineRule="exact"/>
        <w:ind w:left="980" w:hanging="560" w:hangingChars="200"/>
        <w:rPr>
          <w:rFonts w:hint="eastAsia" w:ascii="宋体" w:hAnsi="宋体" w:cs="宋体"/>
          <w:bCs/>
          <w:color w:val="auto"/>
          <w:sz w:val="28"/>
          <w:szCs w:val="28"/>
          <w:highlight w:val="none"/>
          <w:u w:val="single"/>
        </w:rPr>
      </w:pPr>
    </w:p>
    <w:p w14:paraId="48858002">
      <w:pPr>
        <w:pStyle w:val="15"/>
        <w:spacing w:line="400" w:lineRule="exact"/>
        <w:ind w:left="980" w:hanging="560" w:hangingChars="200"/>
        <w:rPr>
          <w:rFonts w:hint="eastAsia" w:ascii="宋体" w:hAnsi="宋体" w:cs="宋体"/>
          <w:bCs/>
          <w:color w:val="auto"/>
          <w:sz w:val="28"/>
          <w:szCs w:val="28"/>
          <w:highlight w:val="none"/>
        </w:rPr>
      </w:pPr>
      <w:bookmarkStart w:id="294" w:name="_Toc4932_WPSOffice_Level2"/>
      <w:bookmarkStart w:id="295" w:name="_Toc20319_WPSOffice_Level2"/>
      <w:r>
        <w:rPr>
          <w:rFonts w:hint="eastAsia" w:ascii="宋体" w:hAnsi="宋体" w:cs="宋体"/>
          <w:bCs/>
          <w:color w:val="auto"/>
          <w:sz w:val="28"/>
          <w:szCs w:val="28"/>
          <w:highlight w:val="none"/>
        </w:rPr>
        <w:t>投标人（CA签章、自然人除外）：</w:t>
      </w:r>
      <w:bookmarkEnd w:id="294"/>
      <w:bookmarkEnd w:id="295"/>
    </w:p>
    <w:p w14:paraId="37952A86">
      <w:pPr>
        <w:pStyle w:val="15"/>
        <w:spacing w:line="400" w:lineRule="exact"/>
        <w:ind w:left="980" w:hanging="560" w:hangingChars="200"/>
        <w:rPr>
          <w:rFonts w:hint="eastAsia" w:ascii="宋体" w:hAnsi="宋体" w:cs="宋体"/>
          <w:bCs/>
          <w:color w:val="auto"/>
          <w:sz w:val="28"/>
          <w:szCs w:val="28"/>
          <w:highlight w:val="none"/>
        </w:rPr>
      </w:pPr>
    </w:p>
    <w:p w14:paraId="083FC36F">
      <w:pPr>
        <w:pStyle w:val="17"/>
        <w:spacing w:line="400" w:lineRule="exact"/>
        <w:ind w:firstLine="420"/>
        <w:rPr>
          <w:rFonts w:hint="eastAsia" w:hAnsi="宋体" w:cs="宋体"/>
          <w:color w:val="auto"/>
          <w:sz w:val="28"/>
          <w:szCs w:val="28"/>
          <w:highlight w:val="none"/>
        </w:rPr>
      </w:pPr>
      <w:bookmarkStart w:id="296" w:name="_Toc4767_WPSOffice_Level2"/>
      <w:bookmarkStart w:id="297" w:name="_Toc11679_WPSOffice_Level2"/>
      <w:r>
        <w:rPr>
          <w:rFonts w:hint="eastAsia" w:hAnsi="宋体" w:cs="宋体"/>
          <w:color w:val="auto"/>
          <w:sz w:val="28"/>
          <w:szCs w:val="28"/>
          <w:highlight w:val="none"/>
        </w:rPr>
        <w:t>法定代表人、负责人、自然人或相应的委托代理人签字（或盖章/个人CA签章）（属自然人的应在签名处加盖大拇指指印）：</w:t>
      </w:r>
      <w:bookmarkEnd w:id="296"/>
      <w:bookmarkEnd w:id="297"/>
      <w:bookmarkStart w:id="298" w:name="_Toc9622_WPSOffice_Level2"/>
      <w:bookmarkStart w:id="299" w:name="_Toc32056_WPSOffice_Level2"/>
    </w:p>
    <w:p w14:paraId="0E290528">
      <w:pPr>
        <w:pStyle w:val="7"/>
        <w:rPr>
          <w:color w:val="auto"/>
          <w:highlight w:val="none"/>
        </w:rPr>
      </w:pPr>
    </w:p>
    <w:p w14:paraId="78203A80">
      <w:pPr>
        <w:pStyle w:val="15"/>
        <w:spacing w:line="400" w:lineRule="exact"/>
        <w:ind w:left="980" w:hanging="560" w:hanging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w:t>
      </w:r>
      <w:bookmarkEnd w:id="298"/>
      <w:bookmarkEnd w:id="299"/>
    </w:p>
    <w:p w14:paraId="04990BFB">
      <w:pPr>
        <w:pStyle w:val="15"/>
        <w:spacing w:line="400" w:lineRule="exact"/>
        <w:ind w:left="980" w:hanging="560" w:hangingChars="200"/>
        <w:rPr>
          <w:rFonts w:hint="eastAsia" w:ascii="宋体" w:hAnsi="宋体" w:cs="宋体"/>
          <w:bCs/>
          <w:color w:val="auto"/>
          <w:sz w:val="28"/>
          <w:szCs w:val="28"/>
          <w:highlight w:val="none"/>
        </w:rPr>
      </w:pPr>
    </w:p>
    <w:p w14:paraId="5DF0E896">
      <w:pPr>
        <w:pStyle w:val="15"/>
        <w:spacing w:line="400" w:lineRule="exact"/>
        <w:ind w:left="980" w:hanging="560" w:hangingChars="200"/>
        <w:rPr>
          <w:rFonts w:ascii="宋体" w:hAnsi="宋体" w:cs="宋体"/>
          <w:b/>
          <w:color w:val="auto"/>
          <w:sz w:val="32"/>
          <w:szCs w:val="32"/>
          <w:highlight w:val="none"/>
        </w:rPr>
      </w:pPr>
      <w:bookmarkStart w:id="300" w:name="_Toc15933_WPSOffice_Level2"/>
      <w:bookmarkStart w:id="301"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日</w:t>
      </w:r>
      <w:bookmarkEnd w:id="300"/>
      <w:bookmarkEnd w:id="301"/>
    </w:p>
    <w:p w14:paraId="4FEE2ECF">
      <w:pPr>
        <w:widowControl/>
        <w:spacing w:line="400" w:lineRule="exact"/>
        <w:jc w:val="left"/>
        <w:rPr>
          <w:b/>
          <w:bCs/>
          <w:color w:val="auto"/>
          <w:sz w:val="32"/>
          <w:szCs w:val="32"/>
          <w:highlight w:val="none"/>
        </w:rPr>
      </w:pPr>
      <w:r>
        <w:rPr>
          <w:b/>
          <w:bCs/>
          <w:color w:val="auto"/>
          <w:sz w:val="32"/>
          <w:szCs w:val="32"/>
          <w:highlight w:val="none"/>
        </w:rPr>
        <w:br w:type="page"/>
      </w:r>
    </w:p>
    <w:p w14:paraId="25490C3B">
      <w:pPr>
        <w:jc w:val="center"/>
        <w:rPr>
          <w:rFonts w:ascii="宋体" w:hAnsi="宋体" w:cs="宋体"/>
          <w:b/>
          <w:color w:val="auto"/>
          <w:sz w:val="28"/>
          <w:szCs w:val="28"/>
          <w:highlight w:val="none"/>
        </w:rPr>
      </w:pPr>
      <w:r>
        <w:rPr>
          <w:rFonts w:hint="eastAsia"/>
          <w:b/>
          <w:bCs/>
          <w:color w:val="auto"/>
          <w:sz w:val="32"/>
          <w:szCs w:val="32"/>
          <w:highlight w:val="none"/>
        </w:rPr>
        <w:t>投标文件目录</w:t>
      </w:r>
    </w:p>
    <w:p w14:paraId="0A3E92D6">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35211029">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投标人相应的法定代表人或负责人或自然人身份证正反面复印件</w:t>
      </w:r>
      <w:r>
        <w:rPr>
          <w:rFonts w:hint="eastAsia" w:ascii="宋体" w:hAnsi="宋体" w:cs="宋体"/>
          <w:b/>
          <w:bCs/>
          <w:color w:val="auto"/>
          <w:szCs w:val="21"/>
          <w:highlight w:val="none"/>
        </w:rPr>
        <w:t>（必须提供）；</w:t>
      </w:r>
    </w:p>
    <w:p w14:paraId="4BD36B1C">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的授权委托书原件、委托代理人身份证正反面复印件以及由县级以上（含县级）社会养老保险经办机构出具的供应商为委托代理人交纳的响应文件递交截止时间前半年内连续三个月社保证明复印件，除供应商为以下三种情形的：</w:t>
      </w:r>
    </w:p>
    <w:p w14:paraId="5F0A1EF6">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①如供应商为响应文件提交截止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养老保险证明复印件。【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b/>
          <w:bCs/>
          <w:color w:val="auto"/>
          <w:szCs w:val="21"/>
          <w:highlight w:val="none"/>
        </w:rPr>
        <w:t>（委托代理时必须提供）；</w:t>
      </w:r>
    </w:p>
    <w:p w14:paraId="0CB8FADE">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投标人的法人或者其他组织营业执照等证明文件复印件</w:t>
      </w:r>
      <w:r>
        <w:rPr>
          <w:rFonts w:hint="eastAsia" w:ascii="宋体" w:hAnsi="宋体" w:cs="宋体"/>
          <w:b/>
          <w:bCs/>
          <w:color w:val="auto"/>
          <w:szCs w:val="21"/>
          <w:highlight w:val="none"/>
        </w:rPr>
        <w:t>（必须提供，自然人除外）；</w:t>
      </w:r>
    </w:p>
    <w:p w14:paraId="40CAB22D">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045F052">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投标人参加采购活动前3年内在经营活动中没有重大违法记录及有关信用信息的书面声明</w:t>
      </w:r>
      <w:r>
        <w:rPr>
          <w:rFonts w:hint="eastAsia" w:ascii="宋体" w:hAnsi="宋体" w:cs="宋体"/>
          <w:b/>
          <w:bCs/>
          <w:color w:val="auto"/>
          <w:szCs w:val="21"/>
          <w:highlight w:val="none"/>
        </w:rPr>
        <w:t>（格式见附件，必须提供）；</w:t>
      </w:r>
    </w:p>
    <w:p w14:paraId="0E36BA1C">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供应商有效的资质证书复印件和安全生产许可证复印件</w:t>
      </w:r>
      <w:r>
        <w:rPr>
          <w:rFonts w:hint="eastAsia" w:ascii="宋体" w:hAnsi="宋体" w:cs="宋体"/>
          <w:b/>
          <w:bCs/>
          <w:color w:val="auto"/>
          <w:szCs w:val="21"/>
          <w:highlight w:val="none"/>
        </w:rPr>
        <w:t>（必须提供）；</w:t>
      </w:r>
    </w:p>
    <w:p w14:paraId="009AE1C3">
      <w:pPr>
        <w:tabs>
          <w:tab w:val="left" w:pos="1305"/>
        </w:tabs>
        <w:spacing w:line="380" w:lineRule="exact"/>
        <w:ind w:firstLine="315" w:firstLineChars="150"/>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项目经理的注册建造师注册证书复印件、安全生产考核合格证书复印件（B类）</w:t>
      </w:r>
      <w:r>
        <w:rPr>
          <w:rFonts w:hint="eastAsia" w:ascii="宋体" w:hAnsi="宋体" w:cs="宋体"/>
          <w:b/>
          <w:bCs/>
          <w:color w:val="auto"/>
          <w:szCs w:val="21"/>
          <w:highlight w:val="none"/>
        </w:rPr>
        <w:t>（必须提供）；</w:t>
      </w:r>
    </w:p>
    <w:p w14:paraId="17A7BEAA">
      <w:pPr>
        <w:tabs>
          <w:tab w:val="left" w:pos="1305"/>
        </w:tabs>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提供中小微企业或监狱企业或残疾人福利性单位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szCs w:val="21"/>
          <w:highlight w:val="none"/>
        </w:rPr>
        <w:t>（必须提供）；</w:t>
      </w:r>
    </w:p>
    <w:p w14:paraId="277B45E1">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3784E5D5">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投标报价表</w:t>
      </w:r>
      <w:r>
        <w:rPr>
          <w:rFonts w:hint="eastAsia" w:ascii="宋体" w:hAnsi="宋体" w:cs="宋体"/>
          <w:b/>
          <w:bCs/>
          <w:color w:val="auto"/>
          <w:szCs w:val="21"/>
          <w:highlight w:val="none"/>
        </w:rPr>
        <w:t>（必须提供）</w:t>
      </w:r>
      <w:r>
        <w:rPr>
          <w:rFonts w:hint="eastAsia"/>
          <w:b/>
          <w:bCs/>
          <w:color w:val="auto"/>
          <w:highlight w:val="none"/>
        </w:rPr>
        <w:t>；</w:t>
      </w:r>
    </w:p>
    <w:p w14:paraId="7F5780F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2.服务需求响应</w:t>
      </w:r>
      <w:r>
        <w:rPr>
          <w:rFonts w:hint="eastAsia" w:ascii="宋体" w:hAnsi="宋体" w:cs="宋体"/>
          <w:color w:val="auto"/>
          <w:szCs w:val="21"/>
          <w:highlight w:val="none"/>
        </w:rPr>
        <w:t>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2A60C6B3">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投标人的服务承诺方案</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DBC9903">
      <w:pPr>
        <w:tabs>
          <w:tab w:val="left" w:pos="1305"/>
        </w:tabs>
        <w:spacing w:line="400" w:lineRule="exact"/>
        <w:ind w:firstLine="420" w:firstLineChars="200"/>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val="en-US" w:eastAsia="zh-CN"/>
        </w:rPr>
        <w:t>4.项目实施技术方案</w:t>
      </w:r>
      <w:r>
        <w:rPr>
          <w:rFonts w:hint="eastAsia" w:ascii="宋体" w:hAnsi="宋体" w:cs="宋体"/>
          <w:b/>
          <w:color w:val="auto"/>
          <w:szCs w:val="21"/>
          <w:highlight w:val="none"/>
          <w:lang w:val="en-US" w:eastAsia="zh-CN"/>
        </w:rPr>
        <w:t>（必须提供）；</w:t>
      </w:r>
    </w:p>
    <w:p w14:paraId="324C7D4E">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C86AC0B">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olor w:val="auto"/>
          <w:highlight w:val="none"/>
        </w:rPr>
        <w:t>投标人</w:t>
      </w:r>
      <w:r>
        <w:rPr>
          <w:rFonts w:hint="eastAsia" w:ascii="宋体" w:hAnsi="宋体"/>
          <w:color w:val="auto"/>
          <w:szCs w:val="21"/>
          <w:highlight w:val="none"/>
        </w:rPr>
        <w:t>2020年以来具有同类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无不良记录，以中标（成交）通知书或签订的销售合同复印件为准，并能清晰反映所销售的货物名称、种类、时间等内容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1F228FE3">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773DF3DA">
      <w:pPr>
        <w:tabs>
          <w:tab w:val="left" w:pos="1305"/>
        </w:tabs>
        <w:spacing w:line="360" w:lineRule="exact"/>
        <w:ind w:firstLine="420" w:firstLineChars="200"/>
        <w:rPr>
          <w:rFonts w:ascii="宋体" w:hAnsi="宋体" w:cs="宋体"/>
          <w:color w:val="auto"/>
          <w:szCs w:val="21"/>
          <w:highlight w:val="none"/>
        </w:rPr>
      </w:pPr>
    </w:p>
    <w:p w14:paraId="24EC0DD0">
      <w:pPr>
        <w:spacing w:line="400" w:lineRule="exact"/>
        <w:ind w:firstLine="420"/>
        <w:rPr>
          <w:rFonts w:ascii="宋体" w:hAnsi="宋体" w:cs="宋体"/>
          <w:b/>
          <w:bCs/>
          <w:color w:val="auto"/>
          <w:highlight w:val="none"/>
        </w:rPr>
      </w:pPr>
      <w:bookmarkStart w:id="302" w:name="_Toc27290"/>
      <w:bookmarkStart w:id="303" w:name="_Toc495841787"/>
      <w:r>
        <w:rPr>
          <w:rFonts w:ascii="宋体" w:hAnsi="宋体" w:cs="宋体"/>
          <w:b/>
          <w:bCs/>
          <w:color w:val="auto"/>
          <w:highlight w:val="none"/>
        </w:rPr>
        <w:br w:type="page"/>
      </w:r>
    </w:p>
    <w:p w14:paraId="2C36B276">
      <w:pPr>
        <w:spacing w:line="400" w:lineRule="exact"/>
        <w:ind w:firstLine="420"/>
        <w:rPr>
          <w:rFonts w:ascii="宋体" w:hAnsi="宋体" w:cs="宋体"/>
          <w:b/>
          <w:bCs/>
          <w:color w:val="auto"/>
          <w:sz w:val="32"/>
          <w:szCs w:val="32"/>
          <w:highlight w:val="none"/>
        </w:rPr>
      </w:pPr>
      <w:r>
        <w:rPr>
          <w:rFonts w:hint="eastAsia"/>
          <w:b/>
          <w:bCs/>
          <w:color w:val="auto"/>
          <w:sz w:val="32"/>
          <w:szCs w:val="32"/>
          <w:highlight w:val="none"/>
        </w:rPr>
        <w:t>一、资格性响应证明材料（格式）</w:t>
      </w:r>
      <w:bookmarkEnd w:id="302"/>
      <w:bookmarkEnd w:id="303"/>
    </w:p>
    <w:p w14:paraId="65AE53FE">
      <w:pPr>
        <w:rPr>
          <w:rFonts w:ascii="宋体" w:hAnsi="宋体" w:cs="宋体"/>
          <w:b/>
          <w:bCs/>
          <w:color w:val="auto"/>
          <w:sz w:val="32"/>
          <w:szCs w:val="32"/>
          <w:highlight w:val="none"/>
        </w:rPr>
      </w:pPr>
    </w:p>
    <w:p w14:paraId="2B2A5A00">
      <w:pPr>
        <w:rPr>
          <w:rFonts w:ascii="宋体" w:hAnsi="宋体" w:cs="宋体"/>
          <w:b/>
          <w:bCs/>
          <w:color w:val="auto"/>
          <w:sz w:val="32"/>
          <w:szCs w:val="32"/>
          <w:highlight w:val="none"/>
        </w:rPr>
      </w:pPr>
      <w:bookmarkStart w:id="304" w:name="_Toc495841788"/>
      <w:bookmarkStart w:id="305" w:name="_Toc11828"/>
      <w:r>
        <w:rPr>
          <w:rFonts w:hint="eastAsia" w:ascii="宋体" w:hAnsi="宋体" w:cs="宋体"/>
          <w:b/>
          <w:bCs/>
          <w:color w:val="auto"/>
          <w:sz w:val="32"/>
          <w:szCs w:val="32"/>
          <w:highlight w:val="none"/>
        </w:rPr>
        <w:t>1.投标人相应的法定代表人、负责人、自然人身份证正反面复印件（必须提供）</w:t>
      </w:r>
      <w:bookmarkEnd w:id="304"/>
      <w:bookmarkEnd w:id="305"/>
    </w:p>
    <w:p w14:paraId="4884D9DD">
      <w:pPr>
        <w:rPr>
          <w:rFonts w:ascii="宋体" w:hAnsi="宋体" w:cs="宋体"/>
          <w:b/>
          <w:bCs/>
          <w:color w:val="auto"/>
          <w:sz w:val="32"/>
          <w:szCs w:val="32"/>
          <w:highlight w:val="none"/>
        </w:rPr>
      </w:pPr>
    </w:p>
    <w:p w14:paraId="55EDFCB7">
      <w:pPr>
        <w:pStyle w:val="14"/>
        <w:rPr>
          <w:rFonts w:ascii="宋体" w:hAnsi="宋体" w:cs="宋体"/>
          <w:b/>
          <w:bCs/>
          <w:color w:val="auto"/>
          <w:sz w:val="32"/>
          <w:szCs w:val="32"/>
          <w:highlight w:val="none"/>
        </w:rPr>
      </w:pPr>
      <w:bookmarkStart w:id="306" w:name="_Toc11623"/>
      <w:bookmarkStart w:id="307" w:name="_Toc495841789"/>
      <w:r>
        <w:rPr>
          <w:rFonts w:hint="eastAsia" w:ascii="宋体" w:hAnsi="宋体" w:cs="宋体"/>
          <w:b/>
          <w:bCs/>
          <w:color w:val="auto"/>
          <w:sz w:val="32"/>
          <w:szCs w:val="32"/>
          <w:highlight w:val="none"/>
        </w:rPr>
        <w:t>2.</w:t>
      </w:r>
      <w:bookmarkEnd w:id="306"/>
      <w:bookmarkEnd w:id="307"/>
      <w:r>
        <w:rPr>
          <w:rFonts w:hint="eastAsia" w:ascii="宋体" w:hAnsi="宋体"/>
          <w:color w:val="auto"/>
          <w:szCs w:val="21"/>
          <w:highlight w:val="none"/>
        </w:rPr>
        <w:t xml:space="preserve"> </w:t>
      </w:r>
      <w:r>
        <w:rPr>
          <w:rFonts w:hint="eastAsia" w:ascii="宋体" w:hAnsi="宋体" w:cs="宋体"/>
          <w:b/>
          <w:bCs/>
          <w:color w:val="auto"/>
          <w:sz w:val="32"/>
          <w:szCs w:val="32"/>
          <w:highlight w:val="none"/>
        </w:rPr>
        <w:t>投标人的授权委托书原件、委托代理人身份证正反面复印件以及由县级以上（含县级）社会养老保险经办机构出具的供应商为委托代理人交纳的响应文件递交截止时间前半年内连续三个月社保证明复印件</w:t>
      </w:r>
    </w:p>
    <w:p w14:paraId="43A125F3">
      <w:pPr>
        <w:pStyle w:val="14"/>
        <w:rPr>
          <w:color w:val="auto"/>
          <w:highlight w:val="none"/>
        </w:rPr>
      </w:pPr>
      <w:r>
        <w:rPr>
          <w:rFonts w:hint="eastAsia" w:ascii="宋体" w:hAnsi="宋体" w:cs="宋体"/>
          <w:b/>
          <w:bCs/>
          <w:color w:val="auto"/>
          <w:sz w:val="32"/>
          <w:szCs w:val="32"/>
          <w:highlight w:val="none"/>
        </w:rPr>
        <w:t>（委托代理时必须提供）；</w:t>
      </w:r>
    </w:p>
    <w:p w14:paraId="2032295F">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318C0D9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1B82FF0D">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（项目名称及项目编号</w:t>
      </w:r>
      <w:r>
        <w:rPr>
          <w:rFonts w:hint="eastAsia" w:ascii="宋体" w:hAnsi="宋体" w:cs="宋体"/>
          <w:color w:val="auto"/>
          <w:highlight w:val="none"/>
          <w:u w:val="single"/>
          <w:lang w:val="en-US" w:eastAsia="zh-CN"/>
        </w:rPr>
        <w:t>及分标号</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14:paraId="223B77A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5B46FC3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75514461">
      <w:pPr>
        <w:spacing w:line="400" w:lineRule="exact"/>
        <w:rPr>
          <w:rFonts w:ascii="宋体" w:hAnsi="宋体" w:cs="宋体"/>
          <w:color w:val="auto"/>
          <w:highlight w:val="none"/>
          <w:u w:val="single"/>
        </w:rPr>
      </w:pPr>
    </w:p>
    <w:p w14:paraId="1FE53B90">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20F3D000">
      <w:pPr>
        <w:snapToGrid w:val="0"/>
        <w:spacing w:line="400" w:lineRule="exact"/>
        <w:ind w:firstLine="525"/>
        <w:rPr>
          <w:rFonts w:ascii="宋体" w:hAnsi="宋体" w:cs="宋体"/>
          <w:color w:val="auto"/>
          <w:szCs w:val="21"/>
          <w:highlight w:val="none"/>
        </w:rPr>
      </w:pPr>
    </w:p>
    <w:p w14:paraId="71EEE5D4">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2BF85A0B">
      <w:pPr>
        <w:snapToGrid w:val="0"/>
        <w:spacing w:line="400" w:lineRule="exact"/>
        <w:ind w:firstLine="420"/>
        <w:rPr>
          <w:rFonts w:ascii="宋体" w:hAnsi="宋体" w:cs="宋体"/>
          <w:color w:val="auto"/>
          <w:szCs w:val="21"/>
          <w:highlight w:val="none"/>
        </w:rPr>
      </w:pPr>
    </w:p>
    <w:p w14:paraId="5BDC0BCD">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0DEE3531">
      <w:pPr>
        <w:snapToGrid w:val="0"/>
        <w:spacing w:line="400" w:lineRule="exact"/>
        <w:ind w:firstLine="420"/>
        <w:rPr>
          <w:rFonts w:ascii="宋体" w:hAnsi="宋体" w:cs="宋体"/>
          <w:color w:val="auto"/>
          <w:szCs w:val="21"/>
          <w:highlight w:val="none"/>
        </w:rPr>
      </w:pPr>
    </w:p>
    <w:p w14:paraId="3E8FD43B">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w:t>
      </w:r>
    </w:p>
    <w:p w14:paraId="62F00E21">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32F8A6E6">
      <w:pPr>
        <w:snapToGrid w:val="0"/>
        <w:spacing w:line="400" w:lineRule="exact"/>
        <w:ind w:firstLine="420"/>
        <w:rPr>
          <w:rFonts w:ascii="宋体" w:hAnsi="宋体" w:cs="宋体"/>
          <w:color w:val="auto"/>
          <w:szCs w:val="21"/>
          <w:highlight w:val="none"/>
        </w:rPr>
      </w:pPr>
    </w:p>
    <w:p w14:paraId="1680EDF9">
      <w:pPr>
        <w:pStyle w:val="17"/>
        <w:rPr>
          <w:rFonts w:hAnsi="宋体" w:cs="宋体"/>
          <w:b/>
          <w:color w:val="auto"/>
          <w:sz w:val="24"/>
          <w:highlight w:val="none"/>
        </w:rPr>
      </w:pPr>
      <w:r>
        <w:rPr>
          <w:rFonts w:hint="eastAsia" w:hAnsi="宋体" w:cs="宋体"/>
          <w:b/>
          <w:color w:val="auto"/>
          <w:sz w:val="24"/>
          <w:highlight w:val="none"/>
        </w:rPr>
        <w:t>附：</w:t>
      </w:r>
      <w:r>
        <w:rPr>
          <w:rFonts w:hint="eastAsia" w:hAnsi="宋体" w:cs="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cs="宋体"/>
          <w:b/>
          <w:color w:val="auto"/>
          <w:sz w:val="24"/>
          <w:highlight w:val="none"/>
        </w:rPr>
        <w:t>。</w:t>
      </w:r>
    </w:p>
    <w:p w14:paraId="3158212F">
      <w:pPr>
        <w:pStyle w:val="17"/>
        <w:jc w:val="center"/>
        <w:rPr>
          <w:rFonts w:hAnsi="宋体" w:cs="宋体"/>
          <w:b/>
          <w:color w:val="auto"/>
          <w:sz w:val="32"/>
          <w:highlight w:val="none"/>
        </w:rPr>
      </w:pPr>
      <w:r>
        <w:rPr>
          <w:rFonts w:hAnsi="宋体" w:cs="宋体"/>
          <w:b/>
          <w:color w:val="auto"/>
          <w:sz w:val="32"/>
          <w:highlight w:val="none"/>
        </w:rPr>
        <w:br w:type="page"/>
      </w:r>
      <w:r>
        <w:rPr>
          <w:rFonts w:hint="eastAsia" w:hAnsi="宋体" w:cs="宋体"/>
          <w:b/>
          <w:color w:val="auto"/>
          <w:sz w:val="32"/>
          <w:highlight w:val="none"/>
        </w:rPr>
        <w:t>授权委托书（格式二）</w:t>
      </w:r>
    </w:p>
    <w:p w14:paraId="12B05A8A">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52C7DD27">
      <w:pPr>
        <w:snapToGrid w:val="0"/>
        <w:spacing w:line="400" w:lineRule="exact"/>
        <w:rPr>
          <w:rFonts w:ascii="宋体" w:hAnsi="宋体" w:cs="宋体"/>
          <w:color w:val="auto"/>
          <w:szCs w:val="21"/>
          <w:highlight w:val="none"/>
          <w:u w:val="single"/>
        </w:rPr>
      </w:pPr>
    </w:p>
    <w:p w14:paraId="7F3C9141">
      <w:pPr>
        <w:pStyle w:val="17"/>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（项目名称及项目编号</w:t>
      </w:r>
      <w:r>
        <w:rPr>
          <w:rFonts w:hint="eastAsia" w:hAnsi="宋体" w:cs="宋体"/>
          <w:color w:val="auto"/>
          <w:highlight w:val="none"/>
          <w:u w:val="single"/>
          <w:lang w:val="en-US" w:eastAsia="zh-CN"/>
        </w:rPr>
        <w:t>及分标号</w:t>
      </w:r>
      <w:r>
        <w:rPr>
          <w:rFonts w:hint="eastAsia" w:hAnsi="宋体" w:cs="宋体"/>
          <w:color w:val="auto"/>
          <w:highlight w:val="none"/>
          <w:u w:val="single"/>
        </w:rPr>
        <w:t xml:space="preserve">）        </w:t>
      </w:r>
      <w:r>
        <w:rPr>
          <w:rFonts w:hint="eastAsia" w:hAnsi="宋体" w:cs="宋体"/>
          <w:color w:val="auto"/>
          <w:highlight w:val="none"/>
        </w:rPr>
        <w:t>项目的投标活动，并代表本人全权办理针对上述项目的投标、开标、评标、签约等具体事务和签署相关文件。</w:t>
      </w:r>
    </w:p>
    <w:p w14:paraId="6387EA00">
      <w:pPr>
        <w:pStyle w:val="17"/>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1621C22D">
      <w:pPr>
        <w:pStyle w:val="17"/>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6FAF405D">
      <w:pPr>
        <w:pStyle w:val="17"/>
        <w:spacing w:line="340" w:lineRule="exact"/>
        <w:ind w:firstLine="420" w:firstLineChars="200"/>
        <w:rPr>
          <w:rFonts w:hAnsi="宋体" w:cs="宋体"/>
          <w:color w:val="auto"/>
          <w:highlight w:val="none"/>
          <w:u w:val="single"/>
        </w:rPr>
      </w:pPr>
    </w:p>
    <w:p w14:paraId="3F5280F1">
      <w:pPr>
        <w:pStyle w:val="17"/>
        <w:spacing w:line="340" w:lineRule="exact"/>
        <w:rPr>
          <w:rFonts w:hAnsi="宋体" w:cs="宋体"/>
          <w:color w:val="auto"/>
          <w:highlight w:val="none"/>
          <w:u w:val="single"/>
        </w:rPr>
      </w:pPr>
    </w:p>
    <w:p w14:paraId="3E9E76F7">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1BFB9AA">
      <w:pPr>
        <w:snapToGrid w:val="0"/>
        <w:spacing w:line="340" w:lineRule="exact"/>
        <w:ind w:firstLine="525"/>
        <w:rPr>
          <w:rFonts w:ascii="宋体" w:hAnsi="宋体" w:cs="宋体"/>
          <w:color w:val="auto"/>
          <w:szCs w:val="21"/>
          <w:highlight w:val="none"/>
        </w:rPr>
      </w:pPr>
    </w:p>
    <w:p w14:paraId="2BB3B8C9">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43CDB34C">
      <w:pPr>
        <w:snapToGrid w:val="0"/>
        <w:spacing w:line="340" w:lineRule="exact"/>
        <w:ind w:firstLine="420"/>
        <w:rPr>
          <w:rFonts w:ascii="宋体" w:hAnsi="宋体" w:cs="宋体"/>
          <w:color w:val="auto"/>
          <w:szCs w:val="21"/>
          <w:highlight w:val="none"/>
        </w:rPr>
      </w:pPr>
    </w:p>
    <w:p w14:paraId="5BB82F8D">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自然人签字（个人CA签章）并在签名处加盖大拇指指印：</w:t>
      </w:r>
    </w:p>
    <w:p w14:paraId="68112081">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47395EB0">
      <w:pPr>
        <w:snapToGrid w:val="0"/>
        <w:spacing w:line="340" w:lineRule="exact"/>
        <w:ind w:firstLine="420"/>
        <w:rPr>
          <w:rFonts w:ascii="宋体" w:hAnsi="宋体" w:cs="宋体"/>
          <w:color w:val="auto"/>
          <w:szCs w:val="21"/>
          <w:highlight w:val="none"/>
        </w:rPr>
      </w:pPr>
    </w:p>
    <w:p w14:paraId="788B372A">
      <w:pPr>
        <w:rPr>
          <w:rFonts w:ascii="宋体" w:hAnsi="宋体" w:cs="宋体"/>
          <w:b/>
          <w:bCs/>
          <w:color w:val="auto"/>
          <w:sz w:val="32"/>
          <w:szCs w:val="32"/>
          <w:highlight w:val="none"/>
        </w:rPr>
      </w:pPr>
      <w:r>
        <w:rPr>
          <w:rFonts w:hint="eastAsia" w:hAnsi="宋体"/>
          <w:b/>
          <w:color w:val="auto"/>
          <w:sz w:val="24"/>
          <w:highlight w:val="none"/>
        </w:rPr>
        <w:t>附：</w:t>
      </w:r>
      <w:r>
        <w:rPr>
          <w:rFonts w:hint="eastAsia" w:hAnsi="宋体"/>
          <w:b/>
          <w:bCs/>
          <w:color w:val="auto"/>
          <w:sz w:val="24"/>
          <w:highlight w:val="none"/>
        </w:rPr>
        <w:t>委托代理人身份证正反面复印件以及由县级以上（含县级）社会养老保险经办机构出具的供应商为委托代理人交纳的响应文件递交截止时间前半年内连续三个月社保证明复印件</w:t>
      </w:r>
      <w:r>
        <w:rPr>
          <w:rFonts w:hint="eastAsia" w:hAnsi="宋体"/>
          <w:b/>
          <w:color w:val="auto"/>
          <w:sz w:val="24"/>
          <w:highlight w:val="none"/>
        </w:rPr>
        <w:t>。</w:t>
      </w:r>
    </w:p>
    <w:p w14:paraId="76004298">
      <w:pPr>
        <w:rPr>
          <w:rFonts w:ascii="宋体" w:hAnsi="宋体" w:cs="宋体"/>
          <w:b/>
          <w:bCs/>
          <w:color w:val="auto"/>
          <w:sz w:val="32"/>
          <w:szCs w:val="32"/>
          <w:highlight w:val="none"/>
        </w:rPr>
      </w:pPr>
    </w:p>
    <w:p w14:paraId="174BF0AC">
      <w:pPr>
        <w:rPr>
          <w:rFonts w:ascii="宋体" w:hAnsi="宋体" w:cs="宋体"/>
          <w:b/>
          <w:bCs/>
          <w:color w:val="auto"/>
          <w:sz w:val="32"/>
          <w:szCs w:val="32"/>
          <w:highlight w:val="none"/>
        </w:rPr>
      </w:pPr>
      <w:bookmarkStart w:id="308" w:name="_Toc12280"/>
      <w:bookmarkStart w:id="309" w:name="_Toc495841790"/>
      <w:r>
        <w:rPr>
          <w:rFonts w:hint="eastAsia" w:ascii="宋体" w:hAnsi="宋体" w:cs="宋体"/>
          <w:b/>
          <w:bCs/>
          <w:color w:val="auto"/>
          <w:sz w:val="32"/>
          <w:szCs w:val="32"/>
          <w:highlight w:val="none"/>
        </w:rPr>
        <w:t>3.投标人的法人或者其他组织营业执照等证明文件复印件（必须提供，自然人除外）</w:t>
      </w:r>
      <w:bookmarkEnd w:id="308"/>
      <w:bookmarkEnd w:id="309"/>
    </w:p>
    <w:p w14:paraId="2ED6A05D">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46ED7B3">
      <w:pPr>
        <w:spacing w:line="400" w:lineRule="exact"/>
        <w:ind w:left="420" w:leftChars="200" w:firstLine="157" w:firstLineChars="49"/>
        <w:rPr>
          <w:rFonts w:ascii="宋体" w:hAnsi="宋体" w:cs="宋体"/>
          <w:b/>
          <w:color w:val="auto"/>
          <w:sz w:val="32"/>
          <w:szCs w:val="32"/>
          <w:highlight w:val="none"/>
        </w:rPr>
      </w:pPr>
    </w:p>
    <w:p w14:paraId="375A2CC1">
      <w:pPr>
        <w:spacing w:line="400" w:lineRule="exact"/>
        <w:ind w:left="420" w:leftChars="200" w:firstLine="157" w:firstLineChars="49"/>
        <w:rPr>
          <w:rFonts w:ascii="宋体" w:hAnsi="宋体" w:cs="宋体"/>
          <w:b/>
          <w:color w:val="auto"/>
          <w:sz w:val="32"/>
          <w:szCs w:val="32"/>
          <w:highlight w:val="none"/>
        </w:rPr>
      </w:pPr>
    </w:p>
    <w:p w14:paraId="00D0CE2F">
      <w:pPr>
        <w:pStyle w:val="50"/>
        <w:rPr>
          <w:color w:val="auto"/>
          <w:highlight w:val="none"/>
        </w:rPr>
      </w:pPr>
      <w:r>
        <w:rPr>
          <w:color w:val="auto"/>
          <w:highlight w:val="none"/>
        </w:rPr>
        <w:br w:type="page"/>
      </w:r>
    </w:p>
    <w:p w14:paraId="06E67A00">
      <w:pPr>
        <w:rPr>
          <w:rFonts w:ascii="宋体" w:hAnsi="宋体" w:cs="宋体"/>
          <w:b/>
          <w:bCs/>
          <w:color w:val="auto"/>
          <w:sz w:val="32"/>
          <w:szCs w:val="32"/>
          <w:highlight w:val="none"/>
        </w:rPr>
      </w:pPr>
      <w:bookmarkStart w:id="310" w:name="_Toc495841793"/>
      <w:bookmarkStart w:id="311" w:name="_Toc26950"/>
      <w:r>
        <w:rPr>
          <w:rFonts w:hint="eastAsia" w:ascii="宋体" w:hAnsi="宋体" w:cs="宋体"/>
          <w:b/>
          <w:bCs/>
          <w:color w:val="auto"/>
          <w:sz w:val="32"/>
          <w:szCs w:val="32"/>
          <w:highlight w:val="none"/>
        </w:rPr>
        <w:t>4.投标人参加政府采购活动前3年内在经营活动中没有重大违法记录及有关信用信息的书面声明（必须提供）</w:t>
      </w:r>
      <w:bookmarkEnd w:id="310"/>
      <w:bookmarkEnd w:id="311"/>
    </w:p>
    <w:p w14:paraId="0ACBC322">
      <w:pPr>
        <w:pStyle w:val="134"/>
        <w:ind w:firstLine="0" w:firstLineChars="0"/>
        <w:rPr>
          <w:rFonts w:ascii="宋体" w:hAnsi="宋体" w:cs="宋体"/>
          <w:b/>
          <w:bCs/>
          <w:color w:val="auto"/>
          <w:sz w:val="32"/>
          <w:szCs w:val="32"/>
          <w:highlight w:val="none"/>
        </w:rPr>
      </w:pPr>
    </w:p>
    <w:p w14:paraId="38F7FCBF">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73C6D5DB">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奥金斯</w:t>
      </w:r>
      <w:r>
        <w:rPr>
          <w:rFonts w:hint="eastAsia" w:ascii="宋体" w:hAnsi="宋体" w:cs="宋体"/>
          <w:color w:val="auto"/>
          <w:highlight w:val="none"/>
          <w:u w:val="single"/>
        </w:rPr>
        <w:t>项目管理有限公司</w:t>
      </w:r>
    </w:p>
    <w:p w14:paraId="597A9A28">
      <w:pPr>
        <w:snapToGrid w:val="0"/>
        <w:spacing w:line="400" w:lineRule="exact"/>
        <w:rPr>
          <w:rFonts w:ascii="宋体" w:hAnsi="宋体" w:cs="宋体"/>
          <w:color w:val="auto"/>
          <w:szCs w:val="21"/>
          <w:highlight w:val="none"/>
          <w:u w:val="single"/>
        </w:rPr>
      </w:pPr>
    </w:p>
    <w:p w14:paraId="3C24A565">
      <w:pPr>
        <w:pStyle w:val="17"/>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A0E9D7C">
      <w:pPr>
        <w:snapToGrid w:val="0"/>
        <w:spacing w:line="400" w:lineRule="exact"/>
        <w:ind w:firstLine="4515" w:firstLineChars="2150"/>
        <w:rPr>
          <w:rFonts w:ascii="宋体" w:hAnsi="宋体" w:cs="宋体"/>
          <w:color w:val="auto"/>
          <w:szCs w:val="21"/>
          <w:highlight w:val="none"/>
        </w:rPr>
      </w:pPr>
    </w:p>
    <w:p w14:paraId="2BC18207">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1EB9DDB2">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szCs w:val="21"/>
          <w:highlight w:val="none"/>
        </w:rPr>
        <w:t>法定代表人、负责人或相应的委托代理人[签字或盖章（CA签章）]：</w:t>
      </w:r>
    </w:p>
    <w:p w14:paraId="13FD2AA9">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75DE810D">
      <w:pPr>
        <w:snapToGrid w:val="0"/>
        <w:spacing w:line="400" w:lineRule="exact"/>
        <w:rPr>
          <w:rFonts w:ascii="宋体" w:hAnsi="宋体" w:cs="宋体"/>
          <w:color w:val="auto"/>
          <w:highlight w:val="none"/>
          <w:u w:val="single"/>
        </w:rPr>
      </w:pPr>
    </w:p>
    <w:p w14:paraId="29895CAE">
      <w:pPr>
        <w:snapToGrid w:val="0"/>
        <w:spacing w:line="400" w:lineRule="exact"/>
        <w:rPr>
          <w:rFonts w:ascii="宋体" w:hAnsi="宋体" w:cs="宋体"/>
          <w:color w:val="auto"/>
          <w:highlight w:val="none"/>
          <w:u w:val="single"/>
        </w:rPr>
      </w:pPr>
    </w:p>
    <w:p w14:paraId="708222E6">
      <w:pPr>
        <w:snapToGrid w:val="0"/>
        <w:spacing w:line="400" w:lineRule="exact"/>
        <w:rPr>
          <w:rFonts w:ascii="宋体" w:hAnsi="宋体" w:cs="宋体"/>
          <w:color w:val="auto"/>
          <w:highlight w:val="none"/>
          <w:u w:val="single"/>
        </w:rPr>
      </w:pPr>
    </w:p>
    <w:p w14:paraId="1B820950">
      <w:pPr>
        <w:widowControl w:val="0"/>
        <w:numPr>
          <w:ilvl w:val="0"/>
          <w:numId w:val="0"/>
        </w:numPr>
        <w:snapToGrid w:val="0"/>
        <w:spacing w:line="400" w:lineRule="exact"/>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5.供应商有效的资质证书复印件和安全生产许可证复印件（必须提供）</w:t>
      </w:r>
    </w:p>
    <w:p w14:paraId="35411697">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174A20E">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07245A59">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10601096">
      <w:pPr>
        <w:widowControl w:val="0"/>
        <w:numPr>
          <w:ilvl w:val="0"/>
          <w:numId w:val="0"/>
        </w:numPr>
        <w:snapToGrid w:val="0"/>
        <w:spacing w:line="400" w:lineRule="exact"/>
        <w:jc w:val="both"/>
        <w:rPr>
          <w:rFonts w:hint="eastAsia" w:ascii="宋体" w:hAnsi="宋体" w:cs="宋体"/>
          <w:b/>
          <w:bCs/>
          <w:color w:val="auto"/>
          <w:sz w:val="32"/>
          <w:szCs w:val="32"/>
          <w:highlight w:val="none"/>
        </w:rPr>
      </w:pPr>
    </w:p>
    <w:p w14:paraId="78F3A137">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.项目经理的注册建造师注册证书复印件、安全生产考核合格证书复印件（B类）（必须提供）；</w:t>
      </w:r>
    </w:p>
    <w:p w14:paraId="74398A69">
      <w:pPr>
        <w:ind w:firstLine="420" w:firstLineChars="200"/>
        <w:rPr>
          <w:rFonts w:hint="eastAsia" w:ascii="宋体" w:hAnsi="宋体" w:cs="宋体"/>
          <w:b/>
          <w:bCs/>
          <w:color w:val="auto"/>
          <w:sz w:val="28"/>
          <w:szCs w:val="28"/>
          <w:highlight w:val="none"/>
        </w:rPr>
      </w:pPr>
      <w:r>
        <w:rPr>
          <w:rFonts w:hint="eastAsia" w:ascii="宋体" w:hAnsi="宋体" w:eastAsia="宋体" w:cs="宋体"/>
          <w:color w:val="auto"/>
          <w:kern w:val="0"/>
          <w:sz w:val="21"/>
          <w:szCs w:val="21"/>
          <w:highlight w:val="none"/>
          <w:shd w:val="clear" w:color="auto" w:fill="auto"/>
          <w:lang w:eastAsia="zh-CN"/>
        </w:rPr>
        <w:t>注：附</w:t>
      </w:r>
      <w:r>
        <w:rPr>
          <w:rFonts w:hint="eastAsia" w:ascii="宋体" w:hAnsi="宋体" w:cs="宋体"/>
          <w:color w:val="auto"/>
          <w:kern w:val="0"/>
          <w:sz w:val="21"/>
          <w:szCs w:val="21"/>
          <w:highlight w:val="none"/>
          <w:shd w:val="clear" w:color="auto" w:fill="auto"/>
          <w:lang w:val="en-US" w:eastAsia="zh-CN"/>
        </w:rPr>
        <w:t>身份证复印件、相关职称证复印件（如有）、</w:t>
      </w:r>
      <w:r>
        <w:rPr>
          <w:rFonts w:hint="eastAsia" w:ascii="宋体" w:hAnsi="宋体" w:eastAsia="宋体" w:cs="宋体"/>
          <w:color w:val="auto"/>
          <w:kern w:val="0"/>
          <w:sz w:val="21"/>
          <w:szCs w:val="21"/>
          <w:highlight w:val="none"/>
          <w:shd w:val="clear" w:color="auto" w:fill="auto"/>
          <w:lang w:eastAsia="zh-CN"/>
        </w:rPr>
        <w:t>由县级以上（含县级）社会养老保险经办机构出具的供应商为项目经理交纳的</w:t>
      </w:r>
      <w:r>
        <w:rPr>
          <w:rFonts w:hint="eastAsia" w:ascii="宋体" w:hAnsi="宋体" w:cs="宋体"/>
          <w:color w:val="auto"/>
          <w:kern w:val="0"/>
          <w:sz w:val="21"/>
          <w:szCs w:val="21"/>
          <w:highlight w:val="none"/>
          <w:shd w:val="clear" w:color="auto" w:fill="auto"/>
          <w:lang w:val="en-US" w:eastAsia="zh-CN"/>
        </w:rPr>
        <w:t>投标</w:t>
      </w:r>
      <w:r>
        <w:rPr>
          <w:rFonts w:hint="eastAsia" w:ascii="宋体" w:hAnsi="宋体" w:eastAsia="宋体" w:cs="宋体"/>
          <w:color w:val="auto"/>
          <w:kern w:val="0"/>
          <w:sz w:val="21"/>
          <w:szCs w:val="21"/>
          <w:highlight w:val="none"/>
          <w:shd w:val="clear" w:color="auto" w:fill="auto"/>
          <w:lang w:eastAsia="zh-CN"/>
        </w:rPr>
        <w:t>文件递交截止时间前半年内</w:t>
      </w:r>
      <w:r>
        <w:rPr>
          <w:rFonts w:hint="eastAsia" w:ascii="宋体" w:hAnsi="宋体" w:eastAsia="宋体" w:cs="宋体"/>
          <w:color w:val="auto"/>
          <w:kern w:val="0"/>
          <w:sz w:val="21"/>
          <w:szCs w:val="21"/>
          <w:highlight w:val="none"/>
          <w:shd w:val="clear" w:color="auto" w:fill="auto"/>
          <w:lang w:val="en-US" w:eastAsia="zh-CN"/>
        </w:rPr>
        <w:t>一</w:t>
      </w:r>
      <w:r>
        <w:rPr>
          <w:rFonts w:hint="eastAsia" w:ascii="宋体" w:hAnsi="宋体" w:eastAsia="宋体" w:cs="宋体"/>
          <w:color w:val="auto"/>
          <w:kern w:val="0"/>
          <w:sz w:val="21"/>
          <w:szCs w:val="21"/>
          <w:highlight w:val="none"/>
          <w:shd w:val="clear" w:color="auto" w:fill="auto"/>
          <w:lang w:eastAsia="zh-CN"/>
        </w:rPr>
        <w:t>个月社保证明复印件（若供应商为截标时间前60日以内成立的公司，可以提</w:t>
      </w:r>
      <w:r>
        <w:rPr>
          <w:rFonts w:hint="eastAsia" w:ascii="宋体" w:hAnsi="宋体" w:cs="宋体"/>
          <w:color w:val="auto"/>
          <w:kern w:val="0"/>
          <w:sz w:val="21"/>
          <w:szCs w:val="21"/>
          <w:highlight w:val="none"/>
          <w:shd w:val="clear" w:color="auto" w:fill="auto"/>
          <w:lang w:val="en-US" w:eastAsia="zh-CN"/>
        </w:rPr>
        <w:t>供</w:t>
      </w:r>
      <w:r>
        <w:rPr>
          <w:rFonts w:hint="eastAsia" w:ascii="宋体" w:hAnsi="宋体" w:eastAsia="宋体" w:cs="宋体"/>
          <w:color w:val="auto"/>
          <w:kern w:val="0"/>
          <w:sz w:val="21"/>
          <w:szCs w:val="21"/>
          <w:highlight w:val="none"/>
          <w:shd w:val="clear" w:color="auto" w:fill="auto"/>
          <w:lang w:eastAsia="zh-CN"/>
        </w:rPr>
        <w:t>供应商与</w:t>
      </w:r>
      <w:r>
        <w:rPr>
          <w:rFonts w:hint="eastAsia" w:ascii="宋体" w:hAnsi="宋体" w:cs="宋体"/>
          <w:color w:val="auto"/>
          <w:kern w:val="0"/>
          <w:sz w:val="21"/>
          <w:szCs w:val="21"/>
          <w:highlight w:val="none"/>
          <w:shd w:val="clear" w:color="auto" w:fill="auto"/>
          <w:lang w:val="en-US" w:eastAsia="zh-CN"/>
        </w:rPr>
        <w:t>项</w:t>
      </w:r>
      <w:r>
        <w:rPr>
          <w:rFonts w:hint="eastAsia" w:ascii="宋体" w:hAnsi="宋体" w:eastAsia="宋体" w:cs="宋体"/>
          <w:color w:val="auto"/>
          <w:kern w:val="0"/>
          <w:sz w:val="21"/>
          <w:szCs w:val="21"/>
          <w:highlight w:val="none"/>
          <w:shd w:val="clear" w:color="auto" w:fill="auto"/>
          <w:lang w:eastAsia="zh-CN"/>
        </w:rPr>
        <w:t>目经理签订的劳动合同复印件代替养老保险证明复印件；如供应商为事业单位，可以提供事业单位机构编制管理证复印件或事业单位机构为其发放工资的工资条复印件代替养老保险证明复印件；如</w:t>
      </w:r>
      <w:r>
        <w:rPr>
          <w:rFonts w:hint="eastAsia" w:ascii="宋体" w:hAnsi="宋体" w:cs="宋体"/>
          <w:color w:val="auto"/>
          <w:kern w:val="0"/>
          <w:sz w:val="21"/>
          <w:szCs w:val="21"/>
          <w:highlight w:val="none"/>
          <w:shd w:val="clear" w:color="auto" w:fill="auto"/>
          <w:lang w:val="en-US" w:eastAsia="zh-CN"/>
        </w:rPr>
        <w:t>项</w:t>
      </w:r>
      <w:r>
        <w:rPr>
          <w:rFonts w:hint="eastAsia" w:ascii="宋体" w:hAnsi="宋体" w:eastAsia="宋体" w:cs="宋体"/>
          <w:color w:val="auto"/>
          <w:kern w:val="0"/>
          <w:sz w:val="21"/>
          <w:szCs w:val="21"/>
          <w:highlight w:val="none"/>
          <w:shd w:val="clear" w:color="auto" w:fill="auto"/>
          <w:lang w:eastAsia="zh-CN"/>
        </w:rPr>
        <w:t>目经理为免缴纳社保人员，提供免缴纳社保的证明材料复印件及供应商与项目经理签订的劳动合同复印件代替养老保险证明复印件）</w:t>
      </w:r>
    </w:p>
    <w:p w14:paraId="37236BF5">
      <w:pPr>
        <w:rPr>
          <w:rFonts w:hint="eastAsia" w:ascii="宋体" w:hAnsi="宋体" w:eastAsia="宋体" w:cs="宋体"/>
          <w:b/>
          <w:bCs/>
          <w:color w:val="auto"/>
          <w:sz w:val="32"/>
          <w:szCs w:val="32"/>
          <w:highlight w:val="none"/>
          <w:lang w:val="en-US" w:eastAsia="zh-CN"/>
        </w:rPr>
      </w:pPr>
    </w:p>
    <w:p w14:paraId="3C378879">
      <w:pPr>
        <w:rPr>
          <w:rFonts w:hint="eastAsia" w:ascii="宋体" w:hAnsi="宋体" w:eastAsia="宋体" w:cs="宋体"/>
          <w:b/>
          <w:bCs/>
          <w:color w:val="auto"/>
          <w:sz w:val="32"/>
          <w:szCs w:val="32"/>
          <w:highlight w:val="none"/>
          <w:lang w:val="en-US" w:eastAsia="zh-CN"/>
        </w:rPr>
      </w:pPr>
    </w:p>
    <w:p w14:paraId="71A40495">
      <w:pPr>
        <w:rPr>
          <w:rFonts w:hint="eastAsia" w:ascii="宋体" w:hAnsi="宋体" w:eastAsia="宋体" w:cs="宋体"/>
          <w:b/>
          <w:bCs/>
          <w:color w:val="auto"/>
          <w:sz w:val="32"/>
          <w:szCs w:val="32"/>
          <w:highlight w:val="none"/>
          <w:lang w:val="en-US" w:eastAsia="zh-CN"/>
        </w:rPr>
      </w:pPr>
    </w:p>
    <w:p w14:paraId="3E2E4BA9">
      <w:pPr>
        <w:rPr>
          <w:rFonts w:hint="eastAsia" w:ascii="宋体" w:hAnsi="宋体" w:eastAsia="宋体" w:cs="宋体"/>
          <w:b/>
          <w:bCs/>
          <w:color w:val="auto"/>
          <w:sz w:val="32"/>
          <w:szCs w:val="32"/>
          <w:highlight w:val="none"/>
          <w:lang w:val="en-US" w:eastAsia="zh-CN"/>
        </w:rPr>
      </w:pPr>
    </w:p>
    <w:p w14:paraId="002E74A8">
      <w:pPr>
        <w:rPr>
          <w:rFonts w:hint="eastAsia" w:ascii="宋体" w:hAnsi="宋体" w:eastAsia="宋体" w:cs="宋体"/>
          <w:b/>
          <w:bCs/>
          <w:color w:val="auto"/>
          <w:sz w:val="32"/>
          <w:szCs w:val="32"/>
          <w:highlight w:val="none"/>
          <w:lang w:val="en-US" w:eastAsia="zh-CN"/>
        </w:rPr>
      </w:pPr>
    </w:p>
    <w:p w14:paraId="15713D51">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7.提供中小微企业或监狱企业或残疾人福利性单位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必须提供）；</w:t>
      </w:r>
    </w:p>
    <w:p w14:paraId="7A272519">
      <w:pPr>
        <w:rPr>
          <w:rFonts w:hint="eastAsia" w:ascii="宋体" w:hAnsi="宋体" w:cs="宋体"/>
          <w:b/>
          <w:bCs/>
          <w:color w:val="auto"/>
          <w:sz w:val="28"/>
          <w:szCs w:val="28"/>
          <w:highlight w:val="none"/>
        </w:rPr>
      </w:pPr>
    </w:p>
    <w:p w14:paraId="7F3389B9">
      <w:pP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w:t>
      </w:r>
    </w:p>
    <w:p w14:paraId="3B428B0B">
      <w:pPr>
        <w:pStyle w:val="17"/>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auto"/>
          <w:sz w:val="21"/>
          <w:szCs w:val="21"/>
          <w:highlight w:val="none"/>
          <w:shd w:val="clear" w:color="auto" w:fill="auto"/>
        </w:rPr>
      </w:pPr>
      <w:bookmarkStart w:id="312" w:name="_Toc26652"/>
      <w:r>
        <w:rPr>
          <w:rFonts w:hint="eastAsia" w:ascii="宋体" w:hAnsi="宋体" w:eastAsia="宋体" w:cs="宋体"/>
          <w:b/>
          <w:bCs/>
          <w:color w:val="auto"/>
          <w:sz w:val="21"/>
          <w:szCs w:val="21"/>
          <w:highlight w:val="none"/>
          <w:shd w:val="clear" w:color="auto" w:fill="auto"/>
        </w:rPr>
        <w:t>中小企业声明函</w:t>
      </w:r>
    </w:p>
    <w:p w14:paraId="67A4FE54">
      <w:pPr>
        <w:pStyle w:val="17"/>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本公司（联合体）郑重声明，根据《政府采购促进中小企业发展管理办法》（财库﹝2020﹞46 号）的规定，本公司参加（</w:t>
      </w:r>
      <w:r>
        <w:rPr>
          <w:rFonts w:hint="eastAsia" w:ascii="宋体" w:hAnsi="宋体" w:eastAsia="宋体" w:cs="宋体"/>
          <w:color w:val="auto"/>
          <w:spacing w:val="6"/>
          <w:sz w:val="21"/>
          <w:szCs w:val="21"/>
          <w:highlight w:val="none"/>
          <w:u w:val="single"/>
          <w:shd w:val="clear" w:color="auto" w:fill="auto"/>
        </w:rPr>
        <w:t>单位名称</w:t>
      </w:r>
      <w:r>
        <w:rPr>
          <w:rFonts w:hint="eastAsia" w:ascii="宋体" w:hAnsi="宋体" w:eastAsia="宋体" w:cs="宋体"/>
          <w:color w:val="auto"/>
          <w:spacing w:val="6"/>
          <w:sz w:val="21"/>
          <w:szCs w:val="21"/>
          <w:highlight w:val="none"/>
          <w:shd w:val="clear" w:color="auto" w:fill="auto"/>
        </w:rPr>
        <w:t>）的（</w:t>
      </w:r>
      <w:r>
        <w:rPr>
          <w:rFonts w:hint="eastAsia" w:ascii="宋体" w:hAnsi="宋体" w:eastAsia="宋体" w:cs="宋体"/>
          <w:color w:val="auto"/>
          <w:spacing w:val="6"/>
          <w:sz w:val="21"/>
          <w:szCs w:val="21"/>
          <w:highlight w:val="none"/>
          <w:u w:val="single"/>
          <w:shd w:val="clear" w:color="auto" w:fill="auto"/>
        </w:rPr>
        <w:t>项目名称</w:t>
      </w:r>
      <w:r>
        <w:rPr>
          <w:rFonts w:hint="eastAsia" w:ascii="宋体" w:hAnsi="宋体" w:eastAsia="宋体" w:cs="宋体"/>
          <w:color w:val="auto"/>
          <w:spacing w:val="6"/>
          <w:sz w:val="21"/>
          <w:szCs w:val="21"/>
          <w:highlight w:val="none"/>
          <w:shd w:val="clear" w:color="auto" w:fill="auto"/>
        </w:rPr>
        <w:t>）采购活动，项目的工程全部为符合政策要求的中小企业（或者：服务、工程全部由符合政策要求的中小企业承接）。相关企业（含联合体中的中小企业、签订分包意向协议的中小企业）的具体情况如下：</w:t>
      </w:r>
    </w:p>
    <w:p w14:paraId="28B49D4C">
      <w:pPr>
        <w:pStyle w:val="17"/>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1.</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 承建（承接）企业为</w:t>
      </w:r>
      <w:r>
        <w:rPr>
          <w:rFonts w:hint="eastAsia" w:ascii="宋体" w:hAnsi="宋体" w:eastAsia="宋体" w:cs="宋体"/>
          <w:color w:val="auto"/>
          <w:spacing w:val="6"/>
          <w:sz w:val="21"/>
          <w:szCs w:val="21"/>
          <w:highlight w:val="none"/>
          <w:u w:val="single"/>
          <w:shd w:val="clear" w:color="auto" w:fill="auto"/>
        </w:rPr>
        <w:t xml:space="preserve"> （企业名称） </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01F2A00B">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2.</w:t>
      </w:r>
      <w:r>
        <w:rPr>
          <w:rFonts w:hint="eastAsia" w:ascii="宋体" w:hAnsi="宋体" w:eastAsia="宋体" w:cs="宋体"/>
          <w:color w:val="auto"/>
          <w:spacing w:val="6"/>
          <w:sz w:val="21"/>
          <w:szCs w:val="21"/>
          <w:highlight w:val="none"/>
          <w:u w:val="single"/>
          <w:shd w:val="clear" w:color="auto" w:fill="auto"/>
        </w:rPr>
        <w:t xml:space="preserve">（标的名称） </w:t>
      </w:r>
      <w:r>
        <w:rPr>
          <w:rFonts w:hint="eastAsia" w:ascii="宋体" w:hAnsi="宋体" w:eastAsia="宋体" w:cs="宋体"/>
          <w:color w:val="auto"/>
          <w:spacing w:val="6"/>
          <w:sz w:val="21"/>
          <w:szCs w:val="21"/>
          <w:highlight w:val="none"/>
          <w:shd w:val="clear" w:color="auto" w:fill="auto"/>
        </w:rPr>
        <w:t>，属于</w:t>
      </w:r>
      <w:r>
        <w:rPr>
          <w:rFonts w:hint="eastAsia" w:ascii="宋体" w:hAnsi="宋体" w:eastAsia="宋体" w:cs="宋体"/>
          <w:color w:val="auto"/>
          <w:spacing w:val="6"/>
          <w:sz w:val="21"/>
          <w:szCs w:val="21"/>
          <w:highlight w:val="none"/>
          <w:u w:val="single"/>
          <w:shd w:val="clear" w:color="auto" w:fill="auto"/>
        </w:rPr>
        <w:t>（采购文件中明确的所属行业）</w:t>
      </w:r>
      <w:r>
        <w:rPr>
          <w:rFonts w:hint="eastAsia" w:ascii="宋体" w:hAnsi="宋体" w:eastAsia="宋体" w:cs="宋体"/>
          <w:color w:val="auto"/>
          <w:spacing w:val="6"/>
          <w:sz w:val="21"/>
          <w:szCs w:val="21"/>
          <w:highlight w:val="none"/>
          <w:shd w:val="clear" w:color="auto" w:fill="auto"/>
        </w:rPr>
        <w:t>；承建（承接）企业为（</w:t>
      </w:r>
      <w:r>
        <w:rPr>
          <w:rFonts w:hint="eastAsia" w:ascii="宋体" w:hAnsi="宋体" w:eastAsia="宋体" w:cs="宋体"/>
          <w:color w:val="auto"/>
          <w:spacing w:val="6"/>
          <w:sz w:val="21"/>
          <w:szCs w:val="21"/>
          <w:highlight w:val="none"/>
          <w:u w:val="single"/>
          <w:shd w:val="clear" w:color="auto" w:fill="auto"/>
        </w:rPr>
        <w:t>企业名称</w:t>
      </w:r>
      <w:r>
        <w:rPr>
          <w:rFonts w:hint="eastAsia" w:ascii="宋体" w:hAnsi="宋体" w:eastAsia="宋体" w:cs="宋体"/>
          <w:color w:val="auto"/>
          <w:spacing w:val="6"/>
          <w:sz w:val="21"/>
          <w:szCs w:val="21"/>
          <w:highlight w:val="none"/>
          <w:shd w:val="clear" w:color="auto" w:fill="auto"/>
        </w:rPr>
        <w:t>），从业人员</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人，营业收入为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万元，资产总额为</w:t>
      </w:r>
      <w:r>
        <w:rPr>
          <w:rFonts w:hint="eastAsia" w:ascii="宋体" w:hAnsi="宋体" w:eastAsia="宋体" w:cs="宋体"/>
          <w:color w:val="auto"/>
          <w:spacing w:val="6"/>
          <w:sz w:val="21"/>
          <w:szCs w:val="21"/>
          <w:highlight w:val="none"/>
          <w:u w:val="single"/>
          <w:shd w:val="clear" w:color="auto" w:fill="auto"/>
        </w:rPr>
        <w:t xml:space="preserve">      </w:t>
      </w:r>
      <w:r>
        <w:rPr>
          <w:rFonts w:hint="eastAsia" w:ascii="宋体" w:hAnsi="宋体" w:eastAsia="宋体" w:cs="宋体"/>
          <w:color w:val="auto"/>
          <w:spacing w:val="6"/>
          <w:sz w:val="21"/>
          <w:szCs w:val="21"/>
          <w:highlight w:val="none"/>
          <w:shd w:val="clear" w:color="auto" w:fill="auto"/>
        </w:rPr>
        <w:t>万元，属于（</w:t>
      </w:r>
      <w:r>
        <w:rPr>
          <w:rFonts w:hint="eastAsia" w:ascii="宋体" w:hAnsi="宋体" w:eastAsia="宋体" w:cs="宋体"/>
          <w:color w:val="auto"/>
          <w:spacing w:val="6"/>
          <w:sz w:val="21"/>
          <w:szCs w:val="21"/>
          <w:highlight w:val="none"/>
          <w:u w:val="single"/>
          <w:shd w:val="clear" w:color="auto" w:fill="auto"/>
        </w:rPr>
        <w:t>中型企业、小型企业、微型企业</w:t>
      </w:r>
      <w:r>
        <w:rPr>
          <w:rFonts w:hint="eastAsia" w:ascii="宋体" w:hAnsi="宋体" w:eastAsia="宋体" w:cs="宋体"/>
          <w:color w:val="auto"/>
          <w:spacing w:val="6"/>
          <w:sz w:val="21"/>
          <w:szCs w:val="21"/>
          <w:highlight w:val="none"/>
          <w:shd w:val="clear" w:color="auto" w:fill="auto"/>
        </w:rPr>
        <w:t>）；</w:t>
      </w:r>
    </w:p>
    <w:p w14:paraId="7D323A72">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p w14:paraId="0ED4CB3C">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以上企业，不属于大企业的分支机构，不存在控股股东为大企业的情形，也不存在与大企业的负责人为同一人的情形。</w:t>
      </w:r>
    </w:p>
    <w:p w14:paraId="37E60FBF">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本企业对上述声明内容的真实性负责。如有虚假，将依法承担相应责任。 </w:t>
      </w:r>
    </w:p>
    <w:p w14:paraId="55526FB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单位名称（CA签章）：</w:t>
      </w:r>
      <w:r>
        <w:rPr>
          <w:rFonts w:hint="eastAsia" w:ascii="宋体" w:hAnsi="宋体" w:eastAsia="宋体" w:cs="宋体"/>
          <w:color w:val="auto"/>
          <w:sz w:val="21"/>
          <w:szCs w:val="21"/>
          <w:highlight w:val="none"/>
          <w:u w:val="single"/>
          <w:shd w:val="clear" w:color="auto" w:fill="auto"/>
        </w:rPr>
        <w:t xml:space="preserve">          </w:t>
      </w:r>
    </w:p>
    <w:p w14:paraId="54BDA18B">
      <w:pPr>
        <w:pageBreakBefore w:val="0"/>
        <w:wordWrap/>
        <w:overflowPunct/>
        <w:topLinePunct w:val="0"/>
        <w:bidi w:val="0"/>
        <w:snapToGrid/>
        <w:spacing w:beforeAutospacing="0" w:afterAutospacing="0" w:line="360" w:lineRule="auto"/>
        <w:ind w:left="0" w:right="0" w:firstLine="3038" w:firstLineChars="1447"/>
        <w:jc w:val="righ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4C89D010">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w:t>
      </w:r>
    </w:p>
    <w:p w14:paraId="5305DDDC">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1.从业人员、营业收入、资产总额填报上一年度数据，无上一年度数据的新成立企业可不填报。</w:t>
      </w:r>
    </w:p>
    <w:p w14:paraId="4B2E49E1">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2.中小企业在政府采购活动过程中，请根据自己的真实情况出具本声明函。依法享受中小企业优惠政策的，采购人或采购代理机构在公告中标结果时，同时公告其《中小企业声明函》，接受社会监督。</w:t>
      </w:r>
    </w:p>
    <w:p w14:paraId="5A3D165E">
      <w:pPr>
        <w:pStyle w:val="17"/>
        <w:pageBreakBefore w:val="0"/>
        <w:wordWrap/>
        <w:overflowPunct/>
        <w:topLinePunct w:val="0"/>
        <w:bidi w:val="0"/>
        <w:snapToGrid/>
        <w:spacing w:beforeAutospacing="0" w:afterAutospacing="0" w:line="360" w:lineRule="auto"/>
        <w:ind w:left="0" w:right="0"/>
        <w:outlineLvl w:val="9"/>
        <w:rPr>
          <w:rFonts w:hint="eastAsia" w:ascii="宋体" w:hAnsi="宋体" w:eastAsia="宋体" w:cs="宋体"/>
          <w:b/>
          <w:color w:val="auto"/>
          <w:sz w:val="21"/>
          <w:szCs w:val="21"/>
          <w:highlight w:val="none"/>
          <w:shd w:val="clear" w:color="auto" w:fill="auto"/>
        </w:rPr>
      </w:pPr>
    </w:p>
    <w:p w14:paraId="0D0382F8">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1A7006E">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2ABB7140">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DB9EA1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8DCD57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0045609">
      <w:pPr>
        <w:pStyle w:val="17"/>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150"/>
          <w:rFonts w:hint="eastAsia" w:ascii="宋体" w:hAnsi="宋体" w:eastAsia="宋体" w:cs="宋体"/>
          <w:b/>
          <w:color w:val="auto"/>
          <w:kern w:val="0"/>
          <w:sz w:val="21"/>
          <w:szCs w:val="21"/>
          <w:highlight w:val="none"/>
          <w:shd w:val="clear" w:color="auto" w:fill="auto"/>
        </w:rPr>
        <w:t>②</w:t>
      </w:r>
      <w:r>
        <w:rPr>
          <w:rFonts w:hint="eastAsia" w:ascii="宋体" w:hAnsi="宋体" w:eastAsia="宋体" w:cs="宋体"/>
          <w:b/>
          <w:color w:val="auto"/>
          <w:sz w:val="21"/>
          <w:szCs w:val="21"/>
          <w:highlight w:val="none"/>
          <w:shd w:val="clear" w:color="auto" w:fill="auto"/>
        </w:rPr>
        <w:t>如提供服务的供应商属于监狱企业的，应当提供由省级以上监狱管理局、戒毒管理局等（含新疆生产建设兵团）出具的属于监狱企业的证明文件（如有，请提供）；</w:t>
      </w:r>
    </w:p>
    <w:p w14:paraId="6CD17F3A">
      <w:pPr>
        <w:pStyle w:val="7"/>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278C2777">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B23CDF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4BDCCB9">
      <w:pPr>
        <w:pStyle w:val="17"/>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auto"/>
          <w:sz w:val="21"/>
          <w:szCs w:val="21"/>
          <w:highlight w:val="none"/>
          <w:shd w:val="clear" w:color="auto" w:fill="auto"/>
        </w:rPr>
      </w:pPr>
      <w:r>
        <w:rPr>
          <w:rStyle w:val="150"/>
          <w:rFonts w:hint="eastAsia" w:ascii="宋体" w:hAnsi="宋体" w:eastAsia="宋体" w:cs="宋体"/>
          <w:b/>
          <w:color w:val="auto"/>
          <w:kern w:val="0"/>
          <w:sz w:val="21"/>
          <w:szCs w:val="21"/>
          <w:highlight w:val="none"/>
          <w:shd w:val="clear" w:color="auto" w:fill="auto"/>
        </w:rPr>
        <w:t>③</w:t>
      </w:r>
      <w:r>
        <w:rPr>
          <w:rFonts w:hint="eastAsia" w:ascii="宋体" w:hAnsi="宋体" w:eastAsia="宋体" w:cs="宋体"/>
          <w:b/>
          <w:color w:val="auto"/>
          <w:sz w:val="21"/>
          <w:szCs w:val="21"/>
          <w:highlight w:val="none"/>
          <w:shd w:val="clear" w:color="auto" w:fill="auto"/>
        </w:rPr>
        <w:t>符合条件的残疾人福利性单位在参加政府采购活动时，应当提供《残疾人福利性单位声明函》，并对声明的真实性负责（见附件）</w:t>
      </w:r>
      <w:r>
        <w:rPr>
          <w:rFonts w:hint="eastAsia" w:ascii="宋体" w:hAnsi="宋体" w:eastAsia="宋体" w:cs="宋体"/>
          <w:b/>
          <w:bCs/>
          <w:color w:val="auto"/>
          <w:sz w:val="21"/>
          <w:szCs w:val="21"/>
          <w:highlight w:val="none"/>
          <w:shd w:val="clear" w:color="auto" w:fill="auto"/>
        </w:rPr>
        <w:t>（如有，请提供）；</w:t>
      </w:r>
    </w:p>
    <w:p w14:paraId="734764FE">
      <w:pPr>
        <w:pStyle w:val="50"/>
        <w:pageBreakBefore w:val="0"/>
        <w:wordWrap/>
        <w:overflowPunct/>
        <w:topLinePunct w:val="0"/>
        <w:bidi w:val="0"/>
        <w:snapToGrid/>
        <w:spacing w:beforeAutospacing="0" w:afterAutospacing="0" w:line="360" w:lineRule="auto"/>
        <w:ind w:left="0" w:right="0"/>
        <w:rPr>
          <w:rFonts w:hint="eastAsia" w:ascii="宋体" w:hAnsi="宋体" w:eastAsia="宋体" w:cs="宋体"/>
          <w:b/>
          <w:color w:val="auto"/>
          <w:spacing w:val="6"/>
          <w:sz w:val="21"/>
          <w:szCs w:val="21"/>
          <w:highlight w:val="none"/>
          <w:shd w:val="clear" w:color="auto" w:fill="auto"/>
        </w:rPr>
      </w:pPr>
    </w:p>
    <w:p w14:paraId="5828E4F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color w:val="auto"/>
          <w:spacing w:val="6"/>
          <w:sz w:val="21"/>
          <w:szCs w:val="21"/>
          <w:highlight w:val="none"/>
          <w:shd w:val="clear" w:color="auto" w:fill="auto"/>
        </w:rPr>
      </w:pPr>
      <w:r>
        <w:rPr>
          <w:rFonts w:hint="eastAsia" w:ascii="宋体" w:hAnsi="宋体" w:eastAsia="宋体" w:cs="宋体"/>
          <w:b/>
          <w:color w:val="auto"/>
          <w:spacing w:val="6"/>
          <w:sz w:val="21"/>
          <w:szCs w:val="21"/>
          <w:highlight w:val="none"/>
          <w:shd w:val="clear" w:color="auto" w:fill="auto"/>
        </w:rPr>
        <w:t>残疾人福利性单位声明函</w:t>
      </w:r>
    </w:p>
    <w:p w14:paraId="4F781DAB">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shd w:val="clear" w:color="auto" w:fill="auto"/>
        </w:rPr>
        <w:t>〔2017〕141</w:t>
      </w:r>
      <w:r>
        <w:rPr>
          <w:rFonts w:hint="eastAsia" w:ascii="宋体" w:hAnsi="宋体" w:eastAsia="宋体" w:cs="宋体"/>
          <w:color w:val="auto"/>
          <w:spacing w:val="6"/>
          <w:sz w:val="21"/>
          <w:szCs w:val="21"/>
          <w:highlight w:val="none"/>
          <w:shd w:val="clear" w:color="auto" w:fill="auto"/>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CC0DE7">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本单位对上述声明的真实性负责。如有虚假，将依法承担相应责任。</w:t>
      </w:r>
    </w:p>
    <w:p w14:paraId="430F710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55BEB0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单位名称（CA签章）：</w:t>
      </w:r>
      <w:r>
        <w:rPr>
          <w:rFonts w:hint="eastAsia" w:ascii="宋体" w:hAnsi="宋体" w:eastAsia="宋体" w:cs="宋体"/>
          <w:color w:val="auto"/>
          <w:sz w:val="21"/>
          <w:szCs w:val="21"/>
          <w:highlight w:val="none"/>
          <w:u w:val="single"/>
          <w:shd w:val="clear" w:color="auto" w:fill="auto"/>
        </w:rPr>
        <w:t xml:space="preserve">          </w:t>
      </w:r>
    </w:p>
    <w:p w14:paraId="6411BFD1">
      <w:pPr>
        <w:pageBreakBefore w:val="0"/>
        <w:wordWrap/>
        <w:overflowPunct/>
        <w:topLinePunct w:val="0"/>
        <w:bidi w:val="0"/>
        <w:snapToGrid/>
        <w:spacing w:beforeAutospacing="0" w:afterAutospacing="0" w:line="360" w:lineRule="auto"/>
        <w:ind w:left="0" w:right="0" w:firstLine="3038" w:firstLineChars="1447"/>
        <w:jc w:val="right"/>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spacing w:val="-1"/>
          <w:kern w:val="0"/>
          <w:sz w:val="21"/>
          <w:szCs w:val="21"/>
          <w:highlight w:val="none"/>
          <w:shd w:val="clear" w:color="auto" w:fill="auto"/>
        </w:rPr>
        <w:t>年</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月</w:t>
      </w:r>
      <w:r>
        <w:rPr>
          <w:rFonts w:hint="eastAsia" w:ascii="宋体" w:hAnsi="宋体" w:eastAsia="宋体" w:cs="宋体"/>
          <w:color w:val="auto"/>
          <w:w w:val="200"/>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u w:val="single"/>
          <w:shd w:val="clear" w:color="auto" w:fill="auto"/>
        </w:rPr>
        <w:tab/>
      </w:r>
      <w:r>
        <w:rPr>
          <w:rFonts w:hint="eastAsia" w:ascii="宋体" w:hAnsi="宋体" w:eastAsia="宋体" w:cs="宋体"/>
          <w:color w:val="auto"/>
          <w:kern w:val="0"/>
          <w:sz w:val="21"/>
          <w:szCs w:val="21"/>
          <w:highlight w:val="none"/>
          <w:shd w:val="clear" w:color="auto" w:fill="auto"/>
        </w:rPr>
        <w:t>日</w:t>
      </w:r>
    </w:p>
    <w:p w14:paraId="2239A60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pacing w:val="6"/>
          <w:sz w:val="21"/>
          <w:szCs w:val="21"/>
          <w:highlight w:val="none"/>
          <w:shd w:val="clear" w:color="auto" w:fill="auto"/>
        </w:rPr>
      </w:pPr>
    </w:p>
    <w:p w14:paraId="2DEC766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C0FB01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19B5F0F3">
      <w:pPr>
        <w:pageBreakBefore w:val="0"/>
        <w:widowControl/>
        <w:wordWrap/>
        <w:overflowPunct/>
        <w:topLinePunct w:val="0"/>
        <w:bidi w:val="0"/>
        <w:snapToGrid/>
        <w:spacing w:beforeAutospacing="0" w:afterAutospacing="0" w:line="360" w:lineRule="auto"/>
        <w:ind w:left="0" w:right="0" w:firstLine="422" w:firstLineChars="200"/>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注：中标人为残疾人福利性单位的，采购人或者其委托的采购代理机构应当随中标、成交结果同时公告其《残疾人福利性单位声明函》，接受社会监督。</w:t>
      </w:r>
    </w:p>
    <w:p w14:paraId="4F472FED">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ED19F8E">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5EFB9313">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C3F636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66DD2E64">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02C2A360">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D0A3C8F">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175582F">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973F4D1">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4459601D">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328960E7">
      <w:pPr>
        <w:pStyle w:val="14"/>
        <w:pageBreakBefore w:val="0"/>
        <w:wordWrap/>
        <w:overflowPunct/>
        <w:topLinePunct w:val="0"/>
        <w:bidi w:val="0"/>
        <w:snapToGrid/>
        <w:spacing w:beforeAutospacing="0" w:afterAutospacing="0" w:line="360" w:lineRule="auto"/>
        <w:ind w:left="0" w:right="0"/>
        <w:rPr>
          <w:rFonts w:hint="eastAsia" w:ascii="宋体" w:hAnsi="宋体" w:eastAsia="宋体" w:cs="宋体"/>
          <w:color w:val="auto"/>
          <w:sz w:val="21"/>
          <w:szCs w:val="21"/>
          <w:highlight w:val="none"/>
          <w:shd w:val="clear" w:color="auto" w:fill="auto"/>
        </w:rPr>
      </w:pPr>
    </w:p>
    <w:p w14:paraId="7F65F780">
      <w:pPr>
        <w:rPr>
          <w:rFonts w:hint="eastAsia" w:ascii="宋体" w:hAnsi="宋体" w:cs="宋体"/>
          <w:b/>
          <w:bCs/>
          <w:color w:val="auto"/>
          <w:sz w:val="32"/>
          <w:szCs w:val="32"/>
          <w:highlight w:val="none"/>
        </w:rPr>
      </w:pPr>
    </w:p>
    <w:p w14:paraId="54AA83A1">
      <w:pPr>
        <w:rPr>
          <w:rFonts w:ascii="宋体" w:hAnsi="宋体" w:cs="宋体"/>
          <w:b/>
          <w:bCs/>
          <w:color w:val="auto"/>
          <w:sz w:val="32"/>
          <w:szCs w:val="32"/>
          <w:highlight w:val="none"/>
        </w:rPr>
      </w:pPr>
      <w:r>
        <w:rPr>
          <w:rFonts w:hint="eastAsia" w:ascii="宋体" w:hAnsi="宋体" w:cs="宋体"/>
          <w:b/>
          <w:bCs/>
          <w:color w:val="auto"/>
          <w:sz w:val="32"/>
          <w:szCs w:val="32"/>
          <w:highlight w:val="none"/>
        </w:rPr>
        <w:t>二、商务、技术性响应及其他有效证明材料（格式）</w:t>
      </w:r>
      <w:bookmarkEnd w:id="312"/>
    </w:p>
    <w:p w14:paraId="024532A2">
      <w:pPr>
        <w:rPr>
          <w:rFonts w:ascii="宋体" w:hAnsi="Courier New"/>
          <w:b/>
          <w:color w:val="auto"/>
          <w:sz w:val="32"/>
          <w:szCs w:val="32"/>
          <w:highlight w:val="none"/>
        </w:rPr>
      </w:pPr>
      <w:bookmarkStart w:id="313" w:name="_Toc495841795"/>
      <w:bookmarkStart w:id="314" w:name="_Toc2409"/>
      <w:r>
        <w:rPr>
          <w:rFonts w:hint="eastAsia" w:ascii="宋体" w:hAnsi="宋体" w:cs="宋体"/>
          <w:b/>
          <w:bCs/>
          <w:color w:val="auto"/>
          <w:sz w:val="32"/>
          <w:szCs w:val="32"/>
          <w:highlight w:val="none"/>
        </w:rPr>
        <w:t>1.</w:t>
      </w:r>
      <w:r>
        <w:rPr>
          <w:rFonts w:hint="eastAsia"/>
          <w:b/>
          <w:color w:val="auto"/>
          <w:sz w:val="32"/>
          <w:highlight w:val="none"/>
        </w:rPr>
        <w:t>投标</w:t>
      </w:r>
      <w:r>
        <w:rPr>
          <w:rFonts w:hint="eastAsia"/>
          <w:b/>
          <w:color w:val="auto"/>
          <w:sz w:val="32"/>
          <w:highlight w:val="none"/>
          <w:lang w:val="en-US" w:eastAsia="zh-CN"/>
        </w:rPr>
        <w:t>函及报价表</w:t>
      </w:r>
      <w:r>
        <w:rPr>
          <w:rFonts w:hint="eastAsia" w:ascii="宋体" w:hAnsi="Courier New"/>
          <w:b/>
          <w:color w:val="auto"/>
          <w:sz w:val="32"/>
          <w:szCs w:val="32"/>
          <w:highlight w:val="none"/>
        </w:rPr>
        <w:t>（必须提供）</w:t>
      </w:r>
    </w:p>
    <w:p w14:paraId="283D2E53">
      <w:pPr>
        <w:pStyle w:val="17"/>
        <w:spacing w:line="400" w:lineRule="exact"/>
        <w:ind w:left="420"/>
        <w:jc w:val="left"/>
        <w:rPr>
          <w:b/>
          <w:color w:val="auto"/>
          <w:sz w:val="24"/>
          <w:szCs w:val="24"/>
          <w:highlight w:val="none"/>
        </w:rPr>
      </w:pPr>
      <w:r>
        <w:rPr>
          <w:rFonts w:hint="eastAsia"/>
          <w:b/>
          <w:color w:val="auto"/>
          <w:sz w:val="24"/>
          <w:szCs w:val="24"/>
          <w:highlight w:val="none"/>
        </w:rPr>
        <w:t>附件：</w:t>
      </w:r>
    </w:p>
    <w:p w14:paraId="465C346F">
      <w:pPr>
        <w:tabs>
          <w:tab w:val="left" w:pos="0"/>
        </w:tabs>
        <w:spacing w:line="44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lang w:val="en-US" w:eastAsia="zh-CN"/>
        </w:rPr>
        <w:t>1.1投标</w:t>
      </w:r>
      <w:r>
        <w:rPr>
          <w:rFonts w:hint="eastAsia" w:ascii="宋体" w:hAnsi="宋体" w:cs="宋体"/>
          <w:b/>
          <w:color w:val="auto"/>
          <w:sz w:val="28"/>
          <w:szCs w:val="28"/>
          <w:highlight w:val="none"/>
        </w:rPr>
        <w:t>函</w:t>
      </w:r>
    </w:p>
    <w:p w14:paraId="343D549E">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广西奥金斯项目管理有限公司</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E8784F">
      <w:pPr>
        <w:pStyle w:val="17"/>
        <w:spacing w:line="440" w:lineRule="exact"/>
        <w:ind w:left="420" w:leftChars="200" w:firstLine="0" w:firstLineChars="0"/>
        <w:rPr>
          <w:rFonts w:hint="eastAsia" w:hAnsi="宋体" w:cs="宋体"/>
          <w:color w:val="auto"/>
          <w:szCs w:val="21"/>
          <w:highlight w:val="none"/>
        </w:rPr>
      </w:pPr>
      <w:r>
        <w:rPr>
          <w:rFonts w:hint="eastAsia" w:hAnsi="宋体" w:cs="宋体"/>
          <w:color w:val="auto"/>
          <w:szCs w:val="21"/>
          <w:highlight w:val="none"/>
        </w:rPr>
        <w:t>根据贵方</w:t>
      </w:r>
      <w:r>
        <w:rPr>
          <w:rFonts w:hint="eastAsia" w:hAnsi="宋体" w:cs="宋体"/>
          <w:color w:val="auto"/>
          <w:szCs w:val="21"/>
          <w:highlight w:val="none"/>
          <w:u w:val="single"/>
        </w:rPr>
        <w:t xml:space="preserve">       </w:t>
      </w:r>
      <w:r>
        <w:rPr>
          <w:rFonts w:hint="eastAsia" w:hAnsi="宋体" w:cs="宋体"/>
          <w:color w:val="auto"/>
          <w:szCs w:val="21"/>
          <w:highlight w:val="none"/>
        </w:rPr>
        <w:t>项目</w:t>
      </w:r>
      <w:r>
        <w:rPr>
          <w:rFonts w:hint="eastAsia" w:hAnsi="宋体" w:cs="宋体"/>
          <w:color w:val="auto"/>
          <w:szCs w:val="21"/>
          <w:highlight w:val="none"/>
          <w:lang w:val="en-US" w:eastAsia="zh-CN"/>
        </w:rPr>
        <w:t>招标</w:t>
      </w:r>
      <w:r>
        <w:rPr>
          <w:rFonts w:hint="eastAsia" w:hAnsi="宋体" w:cs="宋体"/>
          <w:color w:val="auto"/>
          <w:szCs w:val="21"/>
          <w:highlight w:val="none"/>
        </w:rPr>
        <w:t>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lang w:val="en-US" w:eastAsia="zh-CN"/>
        </w:rPr>
        <w:t>分标号</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szCs w:val="21"/>
          <w:highlight w:val="none"/>
          <w:u w:val="single"/>
        </w:rPr>
        <w:t xml:space="preserve">         （姓名）</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rPr>
        <w:t xml:space="preserve">经正式授权并代表供应商 </w:t>
      </w:r>
      <w:r>
        <w:rPr>
          <w:rFonts w:hint="eastAsia" w:hAnsi="宋体" w:cs="宋体"/>
          <w:color w:val="auto"/>
          <w:szCs w:val="21"/>
          <w:highlight w:val="none"/>
          <w:u w:val="single"/>
        </w:rPr>
        <w:t xml:space="preserve">                                   （</w:t>
      </w:r>
      <w:r>
        <w:rPr>
          <w:rFonts w:hint="eastAsia" w:hAnsi="宋体" w:cs="宋体"/>
          <w:color w:val="auto"/>
          <w:szCs w:val="21"/>
          <w:highlight w:val="none"/>
        </w:rPr>
        <w:t>供应商单位名称），提交电子</w:t>
      </w:r>
      <w:r>
        <w:rPr>
          <w:rFonts w:hint="eastAsia" w:hAnsi="宋体" w:cs="宋体"/>
          <w:color w:val="auto"/>
          <w:szCs w:val="21"/>
          <w:highlight w:val="none"/>
          <w:lang w:val="en-US" w:eastAsia="zh-CN"/>
        </w:rPr>
        <w:t>投标</w:t>
      </w:r>
      <w:r>
        <w:rPr>
          <w:rFonts w:hint="eastAsia" w:hAnsi="宋体" w:cs="宋体"/>
          <w:color w:val="auto"/>
          <w:szCs w:val="21"/>
          <w:highlight w:val="none"/>
        </w:rPr>
        <w:t>文件。</w:t>
      </w:r>
    </w:p>
    <w:p w14:paraId="2464DF2E">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据此函，签字代表宣布同意如下：</w:t>
      </w:r>
    </w:p>
    <w:p w14:paraId="6A6DC0DE">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val="en-US" w:eastAsia="zh-CN"/>
        </w:rPr>
        <w:t>招标</w:t>
      </w:r>
      <w:r>
        <w:rPr>
          <w:rFonts w:hint="eastAsia" w:hAnsi="宋体" w:cs="宋体"/>
          <w:color w:val="auto"/>
          <w:szCs w:val="21"/>
          <w:highlight w:val="none"/>
        </w:rPr>
        <w:t>文件</w:t>
      </w:r>
      <w:r>
        <w:rPr>
          <w:rFonts w:hint="eastAsia" w:hAnsi="宋体" w:cs="宋体"/>
          <w:color w:val="auto"/>
          <w:szCs w:val="21"/>
          <w:highlight w:val="none"/>
          <w:lang w:val="en-US" w:eastAsia="zh-CN"/>
        </w:rPr>
        <w:t>要求及</w:t>
      </w:r>
      <w:r>
        <w:rPr>
          <w:rFonts w:hint="eastAsia" w:ascii="宋体"/>
          <w:color w:val="auto"/>
          <w:sz w:val="21"/>
          <w:szCs w:val="20"/>
          <w:highlight w:val="none"/>
          <w:lang w:bidi="ar"/>
        </w:rPr>
        <w:t>“服务需求”</w:t>
      </w:r>
      <w:r>
        <w:rPr>
          <w:rFonts w:hint="eastAsia" w:ascii="宋体"/>
          <w:color w:val="auto"/>
          <w:sz w:val="21"/>
          <w:szCs w:val="20"/>
          <w:highlight w:val="none"/>
          <w:lang w:val="en-US" w:eastAsia="zh-CN" w:bidi="ar"/>
        </w:rPr>
        <w:t>中</w:t>
      </w:r>
      <w:r>
        <w:rPr>
          <w:rFonts w:hint="eastAsia" w:hAnsi="宋体" w:cs="宋体"/>
          <w:color w:val="auto"/>
          <w:szCs w:val="21"/>
          <w:highlight w:val="none"/>
          <w:lang w:val="en-US" w:eastAsia="zh-CN"/>
        </w:rPr>
        <w:t>相应的采购内容</w:t>
      </w:r>
      <w:r>
        <w:rPr>
          <w:rFonts w:hint="eastAsia" w:hAnsi="宋体" w:cs="宋体"/>
          <w:color w:val="auto"/>
          <w:szCs w:val="21"/>
          <w:highlight w:val="none"/>
        </w:rPr>
        <w:t>：</w:t>
      </w:r>
    </w:p>
    <w:p w14:paraId="21EB5A41">
      <w:pPr>
        <w:pStyle w:val="17"/>
        <w:spacing w:line="440" w:lineRule="exact"/>
        <w:ind w:firstLine="420"/>
        <w:rPr>
          <w:rFonts w:hint="eastAsia" w:hAnsi="宋体" w:eastAsia="宋体" w:cs="宋体"/>
          <w:color w:val="auto"/>
          <w:szCs w:val="21"/>
          <w:highlight w:val="none"/>
          <w:lang w:eastAsia="zh-CN"/>
        </w:rPr>
      </w:pPr>
      <w:r>
        <w:rPr>
          <w:rFonts w:hint="eastAsia" w:hAnsi="宋体" w:cs="宋体"/>
          <w:color w:val="auto"/>
          <w:szCs w:val="21"/>
          <w:highlight w:val="none"/>
          <w:u w:val="none"/>
          <w:lang w:val="en-US" w:eastAsia="zh-CN"/>
        </w:rPr>
        <w:t>投标下浮率</w:t>
      </w:r>
      <w:r>
        <w:rPr>
          <w:rFonts w:hint="eastAsia" w:hAnsi="宋体" w:cs="宋体"/>
          <w:color w:val="auto"/>
          <w:szCs w:val="21"/>
          <w:highlight w:val="none"/>
          <w:u w:val="none"/>
        </w:rPr>
        <w:t>为：</w:t>
      </w:r>
      <w:r>
        <w:rPr>
          <w:rFonts w:hint="eastAsia" w:ascii="宋体"/>
          <w:color w:val="auto"/>
          <w:sz w:val="21"/>
          <w:szCs w:val="20"/>
          <w:highlight w:val="none"/>
          <w:lang w:eastAsia="zh-CN" w:bidi="ar"/>
        </w:rPr>
        <w:t>（大写）百分之</w:t>
      </w:r>
      <w:r>
        <w:rPr>
          <w:rFonts w:hint="eastAsia" w:ascii="宋体"/>
          <w:color w:val="auto"/>
          <w:sz w:val="21"/>
          <w:szCs w:val="20"/>
          <w:highlight w:val="none"/>
          <w:u w:val="single"/>
          <w:lang w:val="en-US" w:eastAsia="zh-CN" w:bidi="ar"/>
        </w:rPr>
        <w:t xml:space="preserve">     </w:t>
      </w:r>
      <w:r>
        <w:rPr>
          <w:rFonts w:hint="eastAsia" w:ascii="宋体"/>
          <w:color w:val="auto"/>
          <w:sz w:val="21"/>
          <w:szCs w:val="20"/>
          <w:highlight w:val="none"/>
          <w:u w:val="none"/>
          <w:lang w:eastAsia="zh-CN" w:bidi="ar"/>
        </w:rPr>
        <w:t>（</w:t>
      </w:r>
      <w:r>
        <w:rPr>
          <w:rFonts w:hint="eastAsia" w:ascii="宋体"/>
          <w:color w:val="auto"/>
          <w:sz w:val="21"/>
          <w:szCs w:val="20"/>
          <w:highlight w:val="none"/>
          <w:u w:val="single"/>
          <w:lang w:val="en-US" w:eastAsia="zh-CN" w:bidi="ar"/>
        </w:rPr>
        <w:t xml:space="preserve">     </w:t>
      </w:r>
      <w:r>
        <w:rPr>
          <w:rFonts w:hint="eastAsia" w:ascii="宋体"/>
          <w:color w:val="auto"/>
          <w:sz w:val="21"/>
          <w:szCs w:val="20"/>
          <w:highlight w:val="none"/>
          <w:u w:val="none"/>
          <w:lang w:val="en-US" w:eastAsia="zh-CN" w:bidi="ar"/>
        </w:rPr>
        <w:t>%</w:t>
      </w:r>
      <w:r>
        <w:rPr>
          <w:rFonts w:hint="eastAsia" w:ascii="宋体"/>
          <w:color w:val="auto"/>
          <w:sz w:val="21"/>
          <w:szCs w:val="20"/>
          <w:highlight w:val="none"/>
          <w:u w:val="none"/>
          <w:lang w:eastAsia="zh-CN" w:bidi="ar"/>
        </w:rPr>
        <w:t>）</w:t>
      </w:r>
      <w:r>
        <w:rPr>
          <w:rFonts w:hint="eastAsia" w:hAnsi="宋体" w:cs="宋体"/>
          <w:color w:val="auto"/>
          <w:szCs w:val="21"/>
          <w:highlight w:val="none"/>
          <w:u w:val="none"/>
          <w:lang w:eastAsia="zh-CN"/>
        </w:rPr>
        <w:t>。</w:t>
      </w:r>
    </w:p>
    <w:p w14:paraId="26205CAB">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2.我方承诺已具备</w:t>
      </w:r>
      <w:r>
        <w:rPr>
          <w:rFonts w:hint="eastAsia" w:hAnsi="宋体" w:cs="宋体"/>
          <w:color w:val="auto"/>
          <w:szCs w:val="21"/>
          <w:highlight w:val="none"/>
          <w:lang w:val="en-US" w:eastAsia="zh-CN"/>
        </w:rPr>
        <w:t>招标</w:t>
      </w:r>
      <w:r>
        <w:rPr>
          <w:rFonts w:hint="eastAsia" w:hAnsi="宋体" w:cs="宋体"/>
          <w:color w:val="auto"/>
          <w:szCs w:val="21"/>
          <w:highlight w:val="none"/>
        </w:rPr>
        <w:t>文件规定的供应商资格条件。</w:t>
      </w:r>
    </w:p>
    <w:p w14:paraId="4A899D73">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3.我方已详细审核</w:t>
      </w:r>
      <w:r>
        <w:rPr>
          <w:rFonts w:hint="eastAsia" w:hAnsi="宋体" w:cs="宋体"/>
          <w:color w:val="auto"/>
          <w:szCs w:val="21"/>
          <w:highlight w:val="none"/>
          <w:lang w:val="en-US" w:eastAsia="zh-CN"/>
        </w:rPr>
        <w:t>招标</w:t>
      </w:r>
      <w:r>
        <w:rPr>
          <w:rFonts w:hint="eastAsia" w:hAnsi="宋体" w:cs="宋体"/>
          <w:color w:val="auto"/>
          <w:szCs w:val="21"/>
          <w:highlight w:val="none"/>
        </w:rPr>
        <w:t>文件，包括修改文件（如有的话）和有关附件，将自行承担因对全部</w:t>
      </w:r>
      <w:r>
        <w:rPr>
          <w:rFonts w:hint="eastAsia" w:hAnsi="宋体" w:cs="宋体"/>
          <w:color w:val="auto"/>
          <w:szCs w:val="21"/>
          <w:highlight w:val="none"/>
          <w:lang w:val="en-US" w:eastAsia="zh-CN"/>
        </w:rPr>
        <w:t>招标</w:t>
      </w:r>
      <w:r>
        <w:rPr>
          <w:rFonts w:hint="eastAsia" w:hAnsi="宋体" w:cs="宋体"/>
          <w:color w:val="auto"/>
          <w:szCs w:val="21"/>
          <w:highlight w:val="none"/>
        </w:rPr>
        <w:t>文件理解不正确或误解而产生的相应后果。</w:t>
      </w:r>
    </w:p>
    <w:p w14:paraId="4D212E58">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 xml:space="preserve">4. </w:t>
      </w:r>
      <w:r>
        <w:rPr>
          <w:rFonts w:hint="eastAsia" w:hAnsi="宋体" w:cs="宋体"/>
          <w:color w:val="auto"/>
          <w:szCs w:val="21"/>
          <w:highlight w:val="none"/>
          <w:lang w:val="en-US" w:eastAsia="zh-CN"/>
        </w:rPr>
        <w:t>投标</w:t>
      </w:r>
      <w:r>
        <w:rPr>
          <w:rFonts w:hint="eastAsia" w:hAnsi="宋体" w:cs="宋体"/>
          <w:color w:val="auto"/>
          <w:szCs w:val="21"/>
          <w:highlight w:val="none"/>
        </w:rPr>
        <w:t>文件有效期为</w:t>
      </w:r>
      <w:r>
        <w:rPr>
          <w:rFonts w:hint="eastAsia" w:hAnsi="宋体" w:cs="宋体"/>
          <w:color w:val="auto"/>
          <w:szCs w:val="21"/>
          <w:highlight w:val="none"/>
          <w:lang w:val="en-US" w:eastAsia="zh-CN"/>
        </w:rPr>
        <w:t>投标</w:t>
      </w:r>
      <w:r>
        <w:rPr>
          <w:rFonts w:hint="eastAsia" w:hAnsi="宋体" w:cs="宋体"/>
          <w:color w:val="auto"/>
          <w:szCs w:val="21"/>
          <w:highlight w:val="none"/>
        </w:rPr>
        <w:t>文件递交截止时间之日起90天。</w:t>
      </w:r>
    </w:p>
    <w:p w14:paraId="3C73CCD5">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5. 如我方</w:t>
      </w:r>
      <w:r>
        <w:rPr>
          <w:rFonts w:hint="eastAsia" w:hAnsi="宋体" w:cs="宋体"/>
          <w:color w:val="auto"/>
          <w:szCs w:val="21"/>
          <w:highlight w:val="none"/>
          <w:lang w:val="en-US" w:eastAsia="zh-CN"/>
        </w:rPr>
        <w:t>中标</w:t>
      </w:r>
      <w:r>
        <w:rPr>
          <w:rFonts w:hint="eastAsia" w:hAnsi="宋体" w:cs="宋体"/>
          <w:color w:val="auto"/>
          <w:szCs w:val="21"/>
          <w:highlight w:val="none"/>
        </w:rPr>
        <w:t>：</w:t>
      </w:r>
    </w:p>
    <w:p w14:paraId="0657A772">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（1）我方承诺在收到</w:t>
      </w:r>
      <w:r>
        <w:rPr>
          <w:rFonts w:hint="eastAsia" w:hAnsi="宋体" w:cs="宋体"/>
          <w:color w:val="auto"/>
          <w:szCs w:val="21"/>
          <w:highlight w:val="none"/>
          <w:lang w:val="en-US" w:eastAsia="zh-CN"/>
        </w:rPr>
        <w:t>中标</w:t>
      </w:r>
      <w:r>
        <w:rPr>
          <w:rFonts w:hint="eastAsia" w:hAnsi="宋体" w:cs="宋体"/>
          <w:color w:val="auto"/>
          <w:szCs w:val="21"/>
          <w:highlight w:val="none"/>
        </w:rPr>
        <w:t>通知书后，在成交通知书规定的期限内与采购人签订合同。</w:t>
      </w:r>
    </w:p>
    <w:p w14:paraId="150AD42D">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（2）我方承诺按照</w:t>
      </w:r>
      <w:r>
        <w:rPr>
          <w:rFonts w:hint="eastAsia" w:hAnsi="宋体" w:cs="宋体"/>
          <w:color w:val="auto"/>
          <w:szCs w:val="21"/>
          <w:highlight w:val="none"/>
          <w:lang w:val="en-US" w:eastAsia="zh-CN"/>
        </w:rPr>
        <w:t>招标</w:t>
      </w:r>
      <w:r>
        <w:rPr>
          <w:rFonts w:hint="eastAsia" w:hAnsi="宋体" w:cs="宋体"/>
          <w:color w:val="auto"/>
          <w:szCs w:val="21"/>
          <w:highlight w:val="none"/>
        </w:rPr>
        <w:t>文件规定递交履约担保。</w:t>
      </w:r>
    </w:p>
    <w:p w14:paraId="6DA33017">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（3）我方承诺本</w:t>
      </w:r>
      <w:r>
        <w:rPr>
          <w:rFonts w:hint="eastAsia" w:hAnsi="宋体" w:cs="宋体"/>
          <w:color w:val="auto"/>
          <w:szCs w:val="21"/>
          <w:highlight w:val="none"/>
          <w:lang w:val="en-US" w:eastAsia="zh-CN"/>
        </w:rPr>
        <w:t>投标</w:t>
      </w:r>
      <w:r>
        <w:rPr>
          <w:rFonts w:hint="eastAsia" w:hAnsi="宋体" w:cs="宋体"/>
          <w:color w:val="auto"/>
          <w:szCs w:val="21"/>
          <w:highlight w:val="none"/>
        </w:rPr>
        <w:t>文件至本项目合同履行完毕止均保持有效，按</w:t>
      </w:r>
      <w:r>
        <w:rPr>
          <w:rFonts w:hint="eastAsia" w:hAnsi="宋体" w:cs="宋体"/>
          <w:color w:val="auto"/>
          <w:szCs w:val="21"/>
          <w:highlight w:val="none"/>
          <w:lang w:val="en-US" w:eastAsia="zh-CN"/>
        </w:rPr>
        <w:t>招标</w:t>
      </w:r>
      <w:r>
        <w:rPr>
          <w:rFonts w:hint="eastAsia" w:hAnsi="宋体" w:cs="宋体"/>
          <w:color w:val="auto"/>
          <w:szCs w:val="21"/>
          <w:highlight w:val="none"/>
        </w:rPr>
        <w:t>文件及政府采购法律、法规的规定履行合同责任和义务。</w:t>
      </w:r>
    </w:p>
    <w:p w14:paraId="03FA10C4">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53E06AFF">
      <w:pPr>
        <w:spacing w:line="440" w:lineRule="exact"/>
        <w:rPr>
          <w:rFonts w:hint="eastAsia" w:ascii="宋体" w:hAnsi="宋体" w:cs="宋体"/>
          <w:color w:val="auto"/>
          <w:szCs w:val="21"/>
          <w:highlight w:val="none"/>
        </w:rPr>
      </w:pPr>
    </w:p>
    <w:p w14:paraId="2A5A8DF5">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2D1177A7">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3475CCF6">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7CBBDAB">
      <w:pPr>
        <w:pStyle w:val="17"/>
        <w:spacing w:line="44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7678AA94">
      <w:pPr>
        <w:pStyle w:val="17"/>
        <w:spacing w:line="44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647A0F58">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37D9EFE1">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5A664605">
      <w:pPr>
        <w:rPr>
          <w:rFonts w:hint="eastAsia" w:ascii="宋体" w:hAnsi="宋体" w:cs="宋体"/>
          <w:b/>
          <w:bCs/>
          <w:color w:val="auto"/>
          <w:sz w:val="32"/>
          <w:szCs w:val="32"/>
          <w:highlight w:val="none"/>
        </w:rPr>
      </w:pPr>
    </w:p>
    <w:p w14:paraId="553D7F5E">
      <w:pPr>
        <w:rPr>
          <w:rFonts w:hint="eastAsia" w:ascii="宋体" w:hAnsi="宋体" w:cs="宋体"/>
          <w:b/>
          <w:bCs/>
          <w:color w:val="auto"/>
          <w:sz w:val="32"/>
          <w:szCs w:val="32"/>
          <w:highlight w:val="none"/>
        </w:rPr>
      </w:pPr>
    </w:p>
    <w:p w14:paraId="5C7C4D27">
      <w:pPr>
        <w:tabs>
          <w:tab w:val="left" w:pos="0"/>
        </w:tabs>
        <w:spacing w:line="440" w:lineRule="exact"/>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1.2报价表</w:t>
      </w:r>
    </w:p>
    <w:p w14:paraId="5C869D59">
      <w:pPr>
        <w:tabs>
          <w:tab w:val="left" w:pos="0"/>
        </w:tabs>
        <w:spacing w:line="440" w:lineRule="exact"/>
        <w:jc w:val="both"/>
        <w:rPr>
          <w:rFonts w:hint="eastAsia" w:ascii="宋体" w:hAnsi="宋体" w:cs="宋体"/>
          <w:b/>
          <w:color w:val="auto"/>
          <w:szCs w:val="21"/>
          <w:highlight w:val="none"/>
          <w:lang w:val="en-US" w:eastAsia="zh-CN"/>
        </w:rPr>
      </w:pPr>
    </w:p>
    <w:p w14:paraId="5B488F63">
      <w:pPr>
        <w:tabs>
          <w:tab w:val="left" w:pos="0"/>
        </w:tabs>
        <w:spacing w:line="44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项目名称：</w:t>
      </w:r>
    </w:p>
    <w:p w14:paraId="74812472">
      <w:pPr>
        <w:tabs>
          <w:tab w:val="left" w:pos="0"/>
        </w:tabs>
        <w:spacing w:line="44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项目编号：</w:t>
      </w:r>
    </w:p>
    <w:p w14:paraId="40A723D6">
      <w:pPr>
        <w:tabs>
          <w:tab w:val="left" w:pos="0"/>
        </w:tabs>
        <w:spacing w:line="440" w:lineRule="exact"/>
        <w:jc w:val="both"/>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分标号：</w:t>
      </w:r>
    </w:p>
    <w:tbl>
      <w:tblPr>
        <w:tblStyle w:val="33"/>
        <w:tblW w:w="97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840"/>
        <w:gridCol w:w="1561"/>
        <w:gridCol w:w="2527"/>
        <w:gridCol w:w="2093"/>
        <w:gridCol w:w="854"/>
      </w:tblGrid>
      <w:tr w14:paraId="35A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62E774DB">
            <w:pPr>
              <w:rPr>
                <w:rFonts w:ascii="宋体" w:hAnsi="宋体"/>
                <w:color w:val="auto"/>
                <w:szCs w:val="22"/>
                <w:highlight w:val="none"/>
              </w:rPr>
            </w:pPr>
            <w:r>
              <w:rPr>
                <w:rFonts w:hint="eastAsia" w:ascii="宋体" w:hAnsi="宋体"/>
                <w:color w:val="auto"/>
                <w:szCs w:val="22"/>
                <w:highlight w:val="none"/>
              </w:rPr>
              <w:t>序号</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34AA293">
            <w:pPr>
              <w:rPr>
                <w:rFonts w:ascii="宋体" w:hAnsi="宋体"/>
                <w:color w:val="auto"/>
                <w:szCs w:val="22"/>
                <w:highlight w:val="none"/>
              </w:rPr>
            </w:pPr>
            <w:r>
              <w:rPr>
                <w:rFonts w:hint="eastAsia" w:ascii="宋体" w:hAnsi="宋体"/>
                <w:color w:val="auto"/>
                <w:szCs w:val="22"/>
                <w:highlight w:val="none"/>
                <w:lang w:val="en-US" w:eastAsia="zh-CN"/>
              </w:rPr>
              <w:t>标的</w:t>
            </w:r>
            <w:r>
              <w:rPr>
                <w:rFonts w:hint="eastAsia" w:ascii="宋体" w:hAnsi="宋体"/>
                <w:color w:val="auto"/>
                <w:szCs w:val="22"/>
                <w:highlight w:val="none"/>
              </w:rPr>
              <w:t>名称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A9979DB">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数量及单位</w:t>
            </w: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A5D9413">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投标报价（</w:t>
            </w:r>
            <w:r>
              <w:rPr>
                <w:rFonts w:hint="eastAsia" w:ascii="宋体" w:hAnsi="宋体"/>
                <w:color w:val="auto"/>
                <w:szCs w:val="22"/>
                <w:highlight w:val="none"/>
                <w:lang w:val="en-US" w:eastAsia="zh-CN"/>
              </w:rPr>
              <w:t>下浮率</w:t>
            </w:r>
            <w:r>
              <w:rPr>
                <w:rFonts w:hint="eastAsia" w:ascii="宋体" w:hAnsi="宋体"/>
                <w:color w:val="auto"/>
                <w:szCs w:val="22"/>
                <w:highlight w:val="none"/>
                <w:lang w:eastAsia="zh-CN"/>
              </w:rPr>
              <w:t>）</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750F1C4">
            <w:pPr>
              <w:rPr>
                <w:rFonts w:ascii="宋体" w:hAnsi="宋体"/>
                <w:color w:val="auto"/>
                <w:szCs w:val="22"/>
                <w:highlight w:val="none"/>
              </w:rPr>
            </w:pPr>
            <w:r>
              <w:rPr>
                <w:rFonts w:hint="eastAsia" w:ascii="宋体" w:hAnsi="宋体"/>
                <w:color w:val="auto"/>
                <w:szCs w:val="22"/>
                <w:highlight w:val="none"/>
              </w:rPr>
              <w:t>服务期限</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E9EC965">
            <w:pPr>
              <w:rPr>
                <w:rFonts w:ascii="宋体" w:hAnsi="宋体"/>
                <w:color w:val="auto"/>
                <w:szCs w:val="22"/>
                <w:highlight w:val="none"/>
              </w:rPr>
            </w:pPr>
            <w:r>
              <w:rPr>
                <w:rFonts w:hint="eastAsia" w:ascii="宋体" w:hAnsi="宋体"/>
                <w:color w:val="auto"/>
                <w:szCs w:val="22"/>
                <w:highlight w:val="none"/>
              </w:rPr>
              <w:t>备注</w:t>
            </w:r>
          </w:p>
        </w:tc>
      </w:tr>
      <w:tr w14:paraId="2462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6F901F68">
            <w:pPr>
              <w:rPr>
                <w:rFonts w:ascii="宋体" w:hAnsi="宋体"/>
                <w:color w:val="auto"/>
                <w:szCs w:val="22"/>
                <w:highlight w:val="none"/>
              </w:rPr>
            </w:pPr>
            <w:r>
              <w:rPr>
                <w:rFonts w:hint="eastAsia" w:ascii="宋体" w:hAnsi="宋体"/>
                <w:color w:val="auto"/>
                <w:szCs w:val="22"/>
                <w:highlight w:val="none"/>
              </w:rPr>
              <w:t>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EF7A1AE">
            <w:pPr>
              <w:rPr>
                <w:rFonts w:ascii="宋体" w:hAnsi="宋体"/>
                <w:color w:val="auto"/>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D5AFF">
            <w:pPr>
              <w:rPr>
                <w:rFonts w:ascii="宋体" w:hAnsi="宋体"/>
                <w:color w:val="auto"/>
                <w:szCs w:val="22"/>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177E29A0">
            <w:pPr>
              <w:rPr>
                <w:rFonts w:ascii="宋体" w:hAnsi="宋体"/>
                <w:color w:val="auto"/>
                <w:szCs w:val="22"/>
                <w:highlight w:val="none"/>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A9F5EEB">
            <w:pPr>
              <w:rPr>
                <w:rFonts w:ascii="宋体" w:hAnsi="宋体"/>
                <w:color w:val="auto"/>
                <w:szCs w:val="22"/>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E2A5032">
            <w:pPr>
              <w:rPr>
                <w:rFonts w:ascii="宋体" w:hAnsi="宋体"/>
                <w:color w:val="auto"/>
                <w:szCs w:val="22"/>
                <w:highlight w:val="none"/>
              </w:rPr>
            </w:pPr>
          </w:p>
        </w:tc>
      </w:tr>
      <w:tr w14:paraId="2EFC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3F346B90">
            <w:pPr>
              <w:rPr>
                <w:rFonts w:hint="eastAsia" w:ascii="宋体" w:hAnsi="宋体" w:eastAsia="宋体"/>
                <w:color w:val="auto"/>
                <w:szCs w:val="22"/>
                <w:highlight w:val="none"/>
                <w:lang w:val="en-US" w:eastAsia="zh-CN"/>
              </w:rPr>
            </w:pPr>
            <w:r>
              <w:rPr>
                <w:rFonts w:hint="eastAsia" w:ascii="宋体" w:hAnsi="宋体"/>
                <w:color w:val="auto"/>
                <w:szCs w:val="22"/>
                <w:highlight w:val="none"/>
                <w:lang w:val="en-US" w:eastAsia="zh-CN"/>
              </w:rPr>
              <w:t>……</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572111D">
            <w:pPr>
              <w:rPr>
                <w:rFonts w:ascii="宋体" w:hAnsi="宋体"/>
                <w:color w:val="auto"/>
                <w:szCs w:val="22"/>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20C0968">
            <w:pPr>
              <w:rPr>
                <w:rFonts w:ascii="宋体" w:hAnsi="宋体"/>
                <w:color w:val="auto"/>
                <w:szCs w:val="22"/>
                <w:highlight w:val="none"/>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14:paraId="7D6E8E25">
            <w:pPr>
              <w:rPr>
                <w:rFonts w:ascii="宋体" w:hAnsi="宋体"/>
                <w:color w:val="auto"/>
                <w:szCs w:val="22"/>
                <w:highlight w:val="none"/>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F317EBA">
            <w:pPr>
              <w:rPr>
                <w:rFonts w:ascii="宋体" w:hAnsi="宋体"/>
                <w:color w:val="auto"/>
                <w:szCs w:val="22"/>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D0DEA63">
            <w:pPr>
              <w:rPr>
                <w:rFonts w:ascii="宋体" w:hAnsi="宋体"/>
                <w:color w:val="auto"/>
                <w:szCs w:val="22"/>
                <w:highlight w:val="none"/>
              </w:rPr>
            </w:pPr>
          </w:p>
        </w:tc>
      </w:tr>
      <w:tr w14:paraId="7798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9737" w:type="dxa"/>
            <w:gridSpan w:val="6"/>
            <w:tcBorders>
              <w:top w:val="single" w:color="auto" w:sz="4" w:space="0"/>
              <w:left w:val="single" w:color="auto" w:sz="4" w:space="0"/>
              <w:bottom w:val="single" w:color="auto" w:sz="4" w:space="0"/>
              <w:right w:val="single" w:color="auto" w:sz="4" w:space="0"/>
            </w:tcBorders>
            <w:noWrap w:val="0"/>
            <w:vAlign w:val="center"/>
          </w:tcPr>
          <w:p w14:paraId="786252A7">
            <w:pPr>
              <w:rPr>
                <w:rFonts w:hint="default" w:ascii="宋体" w:hAnsi="宋体"/>
                <w:color w:val="auto"/>
                <w:szCs w:val="22"/>
                <w:highlight w:val="none"/>
                <w:lang w:val="en-US"/>
              </w:rPr>
            </w:pPr>
            <w:r>
              <w:rPr>
                <w:rFonts w:hint="eastAsia" w:ascii="宋体" w:hAnsi="宋体"/>
                <w:color w:val="auto"/>
                <w:szCs w:val="21"/>
                <w:highlight w:val="none"/>
                <w:lang w:eastAsia="zh-CN"/>
              </w:rPr>
              <w:t>投标</w:t>
            </w:r>
            <w:r>
              <w:rPr>
                <w:rFonts w:hint="eastAsia" w:ascii="宋体" w:hAnsi="宋体"/>
                <w:color w:val="auto"/>
                <w:szCs w:val="21"/>
                <w:highlight w:val="none"/>
                <w:lang w:val="en-US" w:eastAsia="zh-CN"/>
              </w:rPr>
              <w:t>下浮率</w:t>
            </w:r>
            <w:r>
              <w:rPr>
                <w:rFonts w:hint="eastAsia" w:ascii="宋体" w:hAnsi="宋体"/>
                <w:color w:val="auto"/>
                <w:szCs w:val="21"/>
                <w:highlight w:val="none"/>
                <w:lang w:eastAsia="zh-CN"/>
              </w:rPr>
              <w:t>：</w:t>
            </w:r>
            <w:r>
              <w:rPr>
                <w:rFonts w:hint="eastAsia" w:ascii="宋体" w:hAnsi="宋体"/>
                <w:color w:val="auto"/>
                <w:szCs w:val="21"/>
                <w:highlight w:val="none"/>
                <w:u w:val="none"/>
                <w:lang w:val="en-US" w:eastAsia="zh-CN"/>
              </w:rPr>
              <w:t>（大写）百分之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tc>
      </w:tr>
    </w:tbl>
    <w:p w14:paraId="0DF20C41">
      <w:pPr>
        <w:rPr>
          <w:rFonts w:hint="eastAsia" w:ascii="宋体" w:hAnsi="宋体" w:cs="宋体"/>
          <w:b/>
          <w:bCs/>
          <w:color w:val="auto"/>
          <w:sz w:val="32"/>
          <w:szCs w:val="32"/>
          <w:highlight w:val="none"/>
        </w:rPr>
      </w:pPr>
    </w:p>
    <w:p w14:paraId="5957F0AD">
      <w:pPr>
        <w:rPr>
          <w:rFonts w:hint="eastAsia" w:ascii="宋体" w:hAnsi="宋体" w:cs="宋体"/>
          <w:b/>
          <w:bCs/>
          <w:color w:val="auto"/>
          <w:sz w:val="32"/>
          <w:szCs w:val="32"/>
          <w:highlight w:val="none"/>
        </w:rPr>
      </w:pPr>
    </w:p>
    <w:p w14:paraId="067D9FDD">
      <w:pPr>
        <w:pStyle w:val="17"/>
        <w:spacing w:line="44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003C2AA6">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6087D522">
      <w:pPr>
        <w:pStyle w:val="17"/>
        <w:spacing w:line="440" w:lineRule="exact"/>
        <w:ind w:firstLine="420"/>
        <w:rPr>
          <w:rFonts w:hint="eastAsia" w:hAnsi="宋体" w:cs="宋体"/>
          <w:color w:val="auto"/>
          <w:szCs w:val="21"/>
          <w:highlight w:val="none"/>
          <w:u w:val="single"/>
        </w:rPr>
      </w:pP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302EA349">
      <w:pPr>
        <w:rPr>
          <w:rFonts w:hint="eastAsia" w:ascii="宋体" w:hAnsi="宋体" w:cs="宋体"/>
          <w:b/>
          <w:bCs/>
          <w:color w:val="auto"/>
          <w:sz w:val="32"/>
          <w:szCs w:val="32"/>
          <w:highlight w:val="none"/>
        </w:rPr>
      </w:pPr>
    </w:p>
    <w:p w14:paraId="1FF5404B">
      <w:pPr>
        <w:rPr>
          <w:rFonts w:hint="eastAsia" w:ascii="宋体" w:hAnsi="宋体" w:cs="宋体"/>
          <w:b/>
          <w:bCs/>
          <w:color w:val="auto"/>
          <w:sz w:val="32"/>
          <w:szCs w:val="32"/>
          <w:highlight w:val="none"/>
        </w:rPr>
      </w:pPr>
    </w:p>
    <w:p w14:paraId="66DD3B91">
      <w:pPr>
        <w:rPr>
          <w:rFonts w:hint="eastAsia" w:ascii="宋体" w:hAnsi="宋体" w:cs="宋体"/>
          <w:b/>
          <w:bCs/>
          <w:color w:val="auto"/>
          <w:sz w:val="32"/>
          <w:szCs w:val="32"/>
          <w:highlight w:val="none"/>
        </w:rPr>
      </w:pPr>
    </w:p>
    <w:p w14:paraId="20A5CFE8">
      <w:pPr>
        <w:rPr>
          <w:rFonts w:hint="eastAsia" w:ascii="宋体" w:hAnsi="宋体" w:cs="宋体"/>
          <w:b/>
          <w:bCs/>
          <w:color w:val="auto"/>
          <w:sz w:val="32"/>
          <w:szCs w:val="32"/>
          <w:highlight w:val="none"/>
        </w:rPr>
      </w:pPr>
    </w:p>
    <w:p w14:paraId="3EBDBA59">
      <w:pPr>
        <w:rPr>
          <w:rFonts w:hint="eastAsia" w:ascii="宋体" w:hAnsi="宋体" w:cs="宋体"/>
          <w:b/>
          <w:bCs/>
          <w:color w:val="auto"/>
          <w:sz w:val="32"/>
          <w:szCs w:val="32"/>
          <w:highlight w:val="none"/>
        </w:rPr>
      </w:pPr>
    </w:p>
    <w:p w14:paraId="70035205">
      <w:pPr>
        <w:rPr>
          <w:rFonts w:hint="eastAsia" w:ascii="宋体" w:hAnsi="宋体" w:cs="宋体"/>
          <w:b/>
          <w:bCs/>
          <w:color w:val="auto"/>
          <w:sz w:val="32"/>
          <w:szCs w:val="32"/>
          <w:highlight w:val="none"/>
        </w:rPr>
      </w:pPr>
    </w:p>
    <w:p w14:paraId="5A9A53FC">
      <w:pPr>
        <w:rPr>
          <w:rFonts w:hint="eastAsia" w:ascii="宋体" w:hAnsi="宋体" w:cs="宋体"/>
          <w:b/>
          <w:bCs/>
          <w:color w:val="auto"/>
          <w:sz w:val="32"/>
          <w:szCs w:val="32"/>
          <w:highlight w:val="none"/>
        </w:rPr>
      </w:pPr>
    </w:p>
    <w:p w14:paraId="3980C436">
      <w:pPr>
        <w:rPr>
          <w:rFonts w:hint="eastAsia" w:ascii="宋体" w:hAnsi="宋体" w:cs="宋体"/>
          <w:b/>
          <w:bCs/>
          <w:color w:val="auto"/>
          <w:sz w:val="32"/>
          <w:szCs w:val="32"/>
          <w:highlight w:val="none"/>
        </w:rPr>
      </w:pPr>
    </w:p>
    <w:p w14:paraId="17FA17EC">
      <w:pPr>
        <w:rPr>
          <w:rFonts w:hint="eastAsia" w:ascii="宋体" w:hAnsi="宋体" w:cs="宋体"/>
          <w:b/>
          <w:bCs/>
          <w:color w:val="auto"/>
          <w:sz w:val="32"/>
          <w:szCs w:val="32"/>
          <w:highlight w:val="none"/>
        </w:rPr>
      </w:pPr>
    </w:p>
    <w:p w14:paraId="0F6FD3D7">
      <w:pPr>
        <w:rPr>
          <w:rFonts w:hint="eastAsia" w:ascii="宋体" w:hAnsi="宋体" w:cs="宋体"/>
          <w:b/>
          <w:bCs/>
          <w:color w:val="auto"/>
          <w:sz w:val="32"/>
          <w:szCs w:val="32"/>
          <w:highlight w:val="none"/>
        </w:rPr>
      </w:pPr>
    </w:p>
    <w:p w14:paraId="01F2C585">
      <w:pPr>
        <w:rPr>
          <w:rFonts w:hint="eastAsia" w:ascii="宋体" w:hAnsi="宋体" w:cs="宋体"/>
          <w:b/>
          <w:bCs/>
          <w:color w:val="auto"/>
          <w:sz w:val="32"/>
          <w:szCs w:val="32"/>
          <w:highlight w:val="none"/>
        </w:rPr>
      </w:pPr>
    </w:p>
    <w:p w14:paraId="7E45EB4D">
      <w:pPr>
        <w:rPr>
          <w:rFonts w:hint="eastAsia" w:ascii="宋体" w:hAnsi="宋体" w:cs="宋体"/>
          <w:b/>
          <w:bCs/>
          <w:color w:val="auto"/>
          <w:sz w:val="32"/>
          <w:szCs w:val="32"/>
          <w:highlight w:val="none"/>
        </w:rPr>
      </w:pPr>
    </w:p>
    <w:p w14:paraId="50FB41B9">
      <w:pPr>
        <w:rPr>
          <w:rFonts w:hint="eastAsia" w:ascii="宋体" w:hAnsi="宋体" w:cs="宋体"/>
          <w:b/>
          <w:bCs/>
          <w:color w:val="auto"/>
          <w:sz w:val="32"/>
          <w:szCs w:val="32"/>
          <w:highlight w:val="none"/>
        </w:rPr>
      </w:pPr>
    </w:p>
    <w:p w14:paraId="7D767427">
      <w:pPr>
        <w:rPr>
          <w:rFonts w:ascii="宋体" w:hAnsi="宋体" w:cs="宋体"/>
          <w:b/>
          <w:bCs/>
          <w:color w:val="auto"/>
          <w:sz w:val="32"/>
          <w:szCs w:val="32"/>
          <w:highlight w:val="none"/>
        </w:rPr>
      </w:pPr>
      <w:r>
        <w:rPr>
          <w:rFonts w:hint="eastAsia" w:ascii="宋体" w:hAnsi="宋体" w:cs="宋体"/>
          <w:b/>
          <w:bCs/>
          <w:color w:val="auto"/>
          <w:sz w:val="32"/>
          <w:szCs w:val="32"/>
          <w:highlight w:val="none"/>
        </w:rPr>
        <w:t>2.服务需求响应表（格式见附件）（必须提供）</w:t>
      </w:r>
      <w:bookmarkEnd w:id="313"/>
      <w:bookmarkEnd w:id="314"/>
    </w:p>
    <w:p w14:paraId="408468D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3DFA652">
      <w:pPr>
        <w:jc w:val="center"/>
        <w:rPr>
          <w:rFonts w:ascii="宋体" w:hAnsi="宋体" w:cs="宋体"/>
          <w:b/>
          <w:bCs/>
          <w:color w:val="auto"/>
          <w:sz w:val="32"/>
          <w:highlight w:val="none"/>
        </w:rPr>
      </w:pPr>
      <w:r>
        <w:rPr>
          <w:rFonts w:hint="eastAsia" w:ascii="宋体" w:hAnsi="宋体" w:cs="宋体"/>
          <w:b/>
          <w:color w:val="auto"/>
          <w:sz w:val="32"/>
          <w:szCs w:val="32"/>
          <w:highlight w:val="none"/>
        </w:rPr>
        <w:t>服务需求响应表</w:t>
      </w:r>
      <w:r>
        <w:rPr>
          <w:rFonts w:hint="eastAsia" w:ascii="宋体" w:hAnsi="宋体" w:cs="宋体"/>
          <w:b/>
          <w:bCs/>
          <w:color w:val="auto"/>
          <w:sz w:val="32"/>
          <w:highlight w:val="none"/>
        </w:rPr>
        <w:t>（格式）</w:t>
      </w:r>
    </w:p>
    <w:p w14:paraId="0E8C92BA">
      <w:pPr>
        <w:pStyle w:val="50"/>
        <w:rPr>
          <w:color w:val="auto"/>
          <w:highlight w:val="none"/>
        </w:rPr>
      </w:pPr>
    </w:p>
    <w:tbl>
      <w:tblPr>
        <w:tblStyle w:val="3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270C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14:paraId="645C4433">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vAlign w:val="center"/>
          </w:tcPr>
          <w:p w14:paraId="25B75E36">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shd w:val="clear" w:color="auto" w:fill="8DB3E2"/>
            <w:vAlign w:val="center"/>
          </w:tcPr>
          <w:p w14:paraId="5DF95B4C">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shd w:val="clear" w:color="auto" w:fill="8DB3E2"/>
            <w:vAlign w:val="center"/>
          </w:tcPr>
          <w:p w14:paraId="7537F89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文件的响应情况</w:t>
            </w:r>
          </w:p>
        </w:tc>
        <w:tc>
          <w:tcPr>
            <w:tcW w:w="2113" w:type="dxa"/>
            <w:shd w:val="clear" w:color="auto" w:fill="8DB3E2"/>
            <w:vAlign w:val="center"/>
          </w:tcPr>
          <w:p w14:paraId="26167887">
            <w:pPr>
              <w:spacing w:line="400" w:lineRule="exact"/>
              <w:jc w:val="center"/>
              <w:rPr>
                <w:rFonts w:ascii="宋体" w:hAnsi="宋体" w:cs="宋体"/>
                <w:b/>
                <w:color w:val="auto"/>
                <w:highlight w:val="none"/>
              </w:rPr>
            </w:pPr>
            <w:bookmarkStart w:id="315" w:name="_Toc254970560"/>
            <w:bookmarkStart w:id="316" w:name="_Toc254970701"/>
            <w:r>
              <w:rPr>
                <w:rFonts w:hint="eastAsia" w:ascii="宋体" w:hAnsi="宋体" w:cs="宋体"/>
                <w:b/>
                <w:color w:val="auto"/>
                <w:highlight w:val="none"/>
              </w:rPr>
              <w:t>偏离情况</w:t>
            </w:r>
            <w:bookmarkEnd w:id="315"/>
            <w:bookmarkEnd w:id="316"/>
            <w:r>
              <w:rPr>
                <w:rFonts w:hint="eastAsia" w:ascii="宋体" w:hAnsi="宋体" w:cs="宋体"/>
                <w:b/>
                <w:color w:val="auto"/>
                <w:highlight w:val="none"/>
              </w:rPr>
              <w:t>说明</w:t>
            </w:r>
          </w:p>
        </w:tc>
      </w:tr>
      <w:tr w14:paraId="6CF2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82F4C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14:paraId="3CA5837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vAlign w:val="center"/>
          </w:tcPr>
          <w:p w14:paraId="4692F4F3">
            <w:pPr>
              <w:spacing w:line="400" w:lineRule="exact"/>
              <w:jc w:val="left"/>
              <w:rPr>
                <w:rFonts w:ascii="宋体" w:hAnsi="宋体" w:cs="宋体"/>
                <w:color w:val="auto"/>
                <w:highlight w:val="none"/>
              </w:rPr>
            </w:pPr>
          </w:p>
        </w:tc>
        <w:tc>
          <w:tcPr>
            <w:tcW w:w="2520" w:type="dxa"/>
          </w:tcPr>
          <w:p w14:paraId="750E032E">
            <w:pPr>
              <w:spacing w:line="400" w:lineRule="exact"/>
              <w:jc w:val="left"/>
              <w:rPr>
                <w:rFonts w:ascii="宋体" w:hAnsi="宋体" w:cs="宋体"/>
                <w:color w:val="auto"/>
                <w:highlight w:val="none"/>
              </w:rPr>
            </w:pPr>
          </w:p>
        </w:tc>
        <w:tc>
          <w:tcPr>
            <w:tcW w:w="2113" w:type="dxa"/>
            <w:vAlign w:val="center"/>
          </w:tcPr>
          <w:p w14:paraId="0D227BB6">
            <w:pPr>
              <w:spacing w:line="400" w:lineRule="exact"/>
              <w:jc w:val="left"/>
              <w:rPr>
                <w:rFonts w:ascii="宋体" w:hAnsi="宋体" w:cs="宋体"/>
                <w:color w:val="auto"/>
                <w:highlight w:val="none"/>
              </w:rPr>
            </w:pPr>
          </w:p>
        </w:tc>
      </w:tr>
      <w:tr w14:paraId="012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14:paraId="5560A32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vAlign w:val="center"/>
          </w:tcPr>
          <w:p w14:paraId="676E00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vAlign w:val="center"/>
          </w:tcPr>
          <w:p w14:paraId="1EDEF8FD">
            <w:pPr>
              <w:spacing w:line="400" w:lineRule="exact"/>
              <w:jc w:val="left"/>
              <w:rPr>
                <w:rFonts w:ascii="宋体" w:hAnsi="宋体" w:cs="宋体"/>
                <w:color w:val="auto"/>
                <w:highlight w:val="none"/>
              </w:rPr>
            </w:pPr>
          </w:p>
        </w:tc>
        <w:tc>
          <w:tcPr>
            <w:tcW w:w="2520" w:type="dxa"/>
          </w:tcPr>
          <w:p w14:paraId="299C710C">
            <w:pPr>
              <w:spacing w:line="400" w:lineRule="exact"/>
              <w:jc w:val="left"/>
              <w:rPr>
                <w:rFonts w:ascii="宋体" w:hAnsi="宋体" w:cs="宋体"/>
                <w:color w:val="auto"/>
                <w:highlight w:val="none"/>
              </w:rPr>
            </w:pPr>
          </w:p>
        </w:tc>
        <w:tc>
          <w:tcPr>
            <w:tcW w:w="2113" w:type="dxa"/>
            <w:vAlign w:val="center"/>
          </w:tcPr>
          <w:p w14:paraId="6F8D6926">
            <w:pPr>
              <w:spacing w:line="400" w:lineRule="exact"/>
              <w:jc w:val="left"/>
              <w:rPr>
                <w:rFonts w:ascii="宋体" w:hAnsi="宋体" w:cs="宋体"/>
                <w:color w:val="auto"/>
                <w:highlight w:val="none"/>
              </w:rPr>
            </w:pPr>
          </w:p>
        </w:tc>
      </w:tr>
      <w:tr w14:paraId="3651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9BF50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vAlign w:val="center"/>
          </w:tcPr>
          <w:p w14:paraId="2183F34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BD45FDF">
            <w:pPr>
              <w:spacing w:line="400" w:lineRule="exact"/>
              <w:jc w:val="left"/>
              <w:rPr>
                <w:rFonts w:ascii="宋体" w:hAnsi="宋体" w:cs="宋体"/>
                <w:color w:val="auto"/>
                <w:highlight w:val="none"/>
              </w:rPr>
            </w:pPr>
          </w:p>
        </w:tc>
        <w:tc>
          <w:tcPr>
            <w:tcW w:w="2520" w:type="dxa"/>
          </w:tcPr>
          <w:p w14:paraId="324E87F8">
            <w:pPr>
              <w:spacing w:line="400" w:lineRule="exact"/>
              <w:jc w:val="left"/>
              <w:rPr>
                <w:rFonts w:ascii="宋体" w:hAnsi="宋体" w:cs="宋体"/>
                <w:color w:val="auto"/>
                <w:highlight w:val="none"/>
              </w:rPr>
            </w:pPr>
          </w:p>
        </w:tc>
        <w:tc>
          <w:tcPr>
            <w:tcW w:w="2113" w:type="dxa"/>
          </w:tcPr>
          <w:p w14:paraId="2D142A4A">
            <w:pPr>
              <w:spacing w:line="400" w:lineRule="exact"/>
              <w:jc w:val="left"/>
              <w:rPr>
                <w:rFonts w:ascii="宋体" w:hAnsi="宋体" w:cs="宋体"/>
                <w:color w:val="auto"/>
                <w:highlight w:val="none"/>
              </w:rPr>
            </w:pPr>
          </w:p>
        </w:tc>
      </w:tr>
      <w:tr w14:paraId="748C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36EA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vAlign w:val="center"/>
          </w:tcPr>
          <w:p w14:paraId="0244BB6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70FEE7F1">
            <w:pPr>
              <w:spacing w:line="400" w:lineRule="exact"/>
              <w:jc w:val="left"/>
              <w:rPr>
                <w:rFonts w:ascii="宋体" w:hAnsi="宋体" w:cs="宋体"/>
                <w:color w:val="auto"/>
                <w:highlight w:val="none"/>
              </w:rPr>
            </w:pPr>
          </w:p>
        </w:tc>
        <w:tc>
          <w:tcPr>
            <w:tcW w:w="2520" w:type="dxa"/>
          </w:tcPr>
          <w:p w14:paraId="0FA9E72B">
            <w:pPr>
              <w:spacing w:line="400" w:lineRule="exact"/>
              <w:jc w:val="left"/>
              <w:rPr>
                <w:rFonts w:ascii="宋体" w:hAnsi="宋体" w:cs="宋体"/>
                <w:color w:val="auto"/>
                <w:highlight w:val="none"/>
              </w:rPr>
            </w:pPr>
          </w:p>
        </w:tc>
        <w:tc>
          <w:tcPr>
            <w:tcW w:w="2113" w:type="dxa"/>
          </w:tcPr>
          <w:p w14:paraId="67166367">
            <w:pPr>
              <w:spacing w:line="400" w:lineRule="exact"/>
              <w:jc w:val="left"/>
              <w:rPr>
                <w:rFonts w:ascii="宋体" w:hAnsi="宋体" w:cs="宋体"/>
                <w:color w:val="auto"/>
                <w:highlight w:val="none"/>
              </w:rPr>
            </w:pPr>
          </w:p>
        </w:tc>
      </w:tr>
      <w:tr w14:paraId="1421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8CD7C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126" w:type="dxa"/>
            <w:vAlign w:val="center"/>
          </w:tcPr>
          <w:p w14:paraId="6F9ADEA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04E94B3">
            <w:pPr>
              <w:spacing w:line="400" w:lineRule="exact"/>
              <w:jc w:val="left"/>
              <w:rPr>
                <w:rFonts w:ascii="宋体" w:hAnsi="宋体" w:cs="宋体"/>
                <w:color w:val="auto"/>
                <w:highlight w:val="none"/>
              </w:rPr>
            </w:pPr>
          </w:p>
        </w:tc>
        <w:tc>
          <w:tcPr>
            <w:tcW w:w="2520" w:type="dxa"/>
          </w:tcPr>
          <w:p w14:paraId="57D94FD2">
            <w:pPr>
              <w:spacing w:line="400" w:lineRule="exact"/>
              <w:jc w:val="left"/>
              <w:rPr>
                <w:rFonts w:ascii="宋体" w:hAnsi="宋体" w:cs="宋体"/>
                <w:color w:val="auto"/>
                <w:highlight w:val="none"/>
              </w:rPr>
            </w:pPr>
          </w:p>
        </w:tc>
        <w:tc>
          <w:tcPr>
            <w:tcW w:w="2113" w:type="dxa"/>
          </w:tcPr>
          <w:p w14:paraId="421231A6">
            <w:pPr>
              <w:spacing w:line="400" w:lineRule="exact"/>
              <w:jc w:val="left"/>
              <w:rPr>
                <w:rFonts w:ascii="宋体" w:hAnsi="宋体" w:cs="宋体"/>
                <w:color w:val="auto"/>
                <w:highlight w:val="none"/>
              </w:rPr>
            </w:pPr>
          </w:p>
        </w:tc>
      </w:tr>
      <w:tr w14:paraId="33F7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F210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126" w:type="dxa"/>
            <w:vAlign w:val="center"/>
          </w:tcPr>
          <w:p w14:paraId="23695F9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627EE3BB">
            <w:pPr>
              <w:spacing w:line="400" w:lineRule="exact"/>
              <w:jc w:val="left"/>
              <w:rPr>
                <w:rFonts w:ascii="宋体" w:hAnsi="宋体" w:cs="宋体"/>
                <w:color w:val="auto"/>
                <w:highlight w:val="none"/>
              </w:rPr>
            </w:pPr>
          </w:p>
        </w:tc>
        <w:tc>
          <w:tcPr>
            <w:tcW w:w="2520" w:type="dxa"/>
          </w:tcPr>
          <w:p w14:paraId="4F62E3AE">
            <w:pPr>
              <w:spacing w:line="400" w:lineRule="exact"/>
              <w:jc w:val="left"/>
              <w:rPr>
                <w:rFonts w:ascii="宋体" w:hAnsi="宋体" w:cs="宋体"/>
                <w:color w:val="auto"/>
                <w:highlight w:val="none"/>
              </w:rPr>
            </w:pPr>
          </w:p>
        </w:tc>
        <w:tc>
          <w:tcPr>
            <w:tcW w:w="2113" w:type="dxa"/>
          </w:tcPr>
          <w:p w14:paraId="0810B869">
            <w:pPr>
              <w:spacing w:line="400" w:lineRule="exact"/>
              <w:jc w:val="left"/>
              <w:rPr>
                <w:rFonts w:ascii="宋体" w:hAnsi="宋体" w:cs="宋体"/>
                <w:color w:val="auto"/>
                <w:highlight w:val="none"/>
              </w:rPr>
            </w:pPr>
          </w:p>
        </w:tc>
      </w:tr>
      <w:tr w14:paraId="2450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9C310E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126" w:type="dxa"/>
            <w:vAlign w:val="center"/>
          </w:tcPr>
          <w:p w14:paraId="30F7D13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0C593504">
            <w:pPr>
              <w:spacing w:line="400" w:lineRule="exact"/>
              <w:jc w:val="left"/>
              <w:rPr>
                <w:rFonts w:ascii="宋体" w:hAnsi="宋体" w:cs="宋体"/>
                <w:color w:val="auto"/>
                <w:highlight w:val="none"/>
              </w:rPr>
            </w:pPr>
          </w:p>
        </w:tc>
        <w:tc>
          <w:tcPr>
            <w:tcW w:w="2520" w:type="dxa"/>
          </w:tcPr>
          <w:p w14:paraId="1DE3F013">
            <w:pPr>
              <w:spacing w:line="400" w:lineRule="exact"/>
              <w:jc w:val="left"/>
              <w:rPr>
                <w:rFonts w:ascii="宋体" w:hAnsi="宋体" w:cs="宋体"/>
                <w:color w:val="auto"/>
                <w:highlight w:val="none"/>
              </w:rPr>
            </w:pPr>
          </w:p>
        </w:tc>
        <w:tc>
          <w:tcPr>
            <w:tcW w:w="2113" w:type="dxa"/>
          </w:tcPr>
          <w:p w14:paraId="61CEC060">
            <w:pPr>
              <w:spacing w:line="400" w:lineRule="exact"/>
              <w:jc w:val="left"/>
              <w:rPr>
                <w:rFonts w:ascii="宋体" w:hAnsi="宋体" w:cs="宋体"/>
                <w:color w:val="auto"/>
                <w:highlight w:val="none"/>
              </w:rPr>
            </w:pPr>
          </w:p>
        </w:tc>
      </w:tr>
      <w:tr w14:paraId="17AD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B30D1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126" w:type="dxa"/>
            <w:vAlign w:val="center"/>
          </w:tcPr>
          <w:p w14:paraId="5471FB60">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 </w:t>
            </w:r>
          </w:p>
        </w:tc>
        <w:tc>
          <w:tcPr>
            <w:tcW w:w="2313" w:type="dxa"/>
          </w:tcPr>
          <w:p w14:paraId="3710EED8">
            <w:pPr>
              <w:spacing w:line="400" w:lineRule="exact"/>
              <w:jc w:val="left"/>
              <w:rPr>
                <w:rFonts w:ascii="宋体" w:hAnsi="宋体" w:cs="宋体"/>
                <w:color w:val="auto"/>
                <w:highlight w:val="none"/>
              </w:rPr>
            </w:pPr>
          </w:p>
        </w:tc>
        <w:tc>
          <w:tcPr>
            <w:tcW w:w="2520" w:type="dxa"/>
          </w:tcPr>
          <w:p w14:paraId="3B73C9A8">
            <w:pPr>
              <w:spacing w:line="400" w:lineRule="exact"/>
              <w:jc w:val="left"/>
              <w:rPr>
                <w:rFonts w:ascii="宋体" w:hAnsi="宋体" w:cs="宋体"/>
                <w:color w:val="auto"/>
                <w:highlight w:val="none"/>
              </w:rPr>
            </w:pPr>
          </w:p>
        </w:tc>
        <w:tc>
          <w:tcPr>
            <w:tcW w:w="2113" w:type="dxa"/>
          </w:tcPr>
          <w:p w14:paraId="72843B3B">
            <w:pPr>
              <w:spacing w:line="400" w:lineRule="exact"/>
              <w:jc w:val="left"/>
              <w:rPr>
                <w:rFonts w:ascii="宋体" w:hAnsi="宋体" w:cs="宋体"/>
                <w:color w:val="auto"/>
                <w:highlight w:val="none"/>
              </w:rPr>
            </w:pPr>
          </w:p>
        </w:tc>
      </w:tr>
      <w:tr w14:paraId="5E2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5F2C9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126" w:type="dxa"/>
            <w:vAlign w:val="center"/>
          </w:tcPr>
          <w:p w14:paraId="66A15AB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p>
        </w:tc>
        <w:tc>
          <w:tcPr>
            <w:tcW w:w="2313" w:type="dxa"/>
          </w:tcPr>
          <w:p w14:paraId="4E5F8A3B">
            <w:pPr>
              <w:spacing w:line="400" w:lineRule="exact"/>
              <w:jc w:val="left"/>
              <w:rPr>
                <w:rFonts w:ascii="宋体" w:hAnsi="宋体" w:cs="宋体"/>
                <w:color w:val="auto"/>
                <w:highlight w:val="none"/>
              </w:rPr>
            </w:pPr>
          </w:p>
        </w:tc>
        <w:tc>
          <w:tcPr>
            <w:tcW w:w="2520" w:type="dxa"/>
          </w:tcPr>
          <w:p w14:paraId="36234D95">
            <w:pPr>
              <w:spacing w:line="400" w:lineRule="exact"/>
              <w:jc w:val="left"/>
              <w:rPr>
                <w:rFonts w:ascii="宋体" w:hAnsi="宋体" w:cs="宋体"/>
                <w:color w:val="auto"/>
                <w:highlight w:val="none"/>
              </w:rPr>
            </w:pPr>
          </w:p>
        </w:tc>
        <w:tc>
          <w:tcPr>
            <w:tcW w:w="2113" w:type="dxa"/>
          </w:tcPr>
          <w:p w14:paraId="629D02E3">
            <w:pPr>
              <w:spacing w:line="400" w:lineRule="exact"/>
              <w:jc w:val="left"/>
              <w:rPr>
                <w:rFonts w:ascii="宋体" w:hAnsi="宋体" w:cs="宋体"/>
                <w:color w:val="auto"/>
                <w:highlight w:val="none"/>
              </w:rPr>
            </w:pPr>
          </w:p>
        </w:tc>
      </w:tr>
    </w:tbl>
    <w:p w14:paraId="3D0D01CE">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rPr>
      </w:pPr>
    </w:p>
    <w:p w14:paraId="62D9BC1F">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bCs/>
          <w:color w:val="auto"/>
          <w:szCs w:val="21"/>
          <w:highlight w:val="none"/>
          <w:u w:val="single"/>
        </w:rPr>
        <w:t xml:space="preserve">                              </w:t>
      </w:r>
    </w:p>
    <w:p w14:paraId="05CD73E0">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szCs w:val="21"/>
          <w:highlight w:val="none"/>
          <w:u w:val="single"/>
        </w:rPr>
        <w:t xml:space="preserve">              </w:t>
      </w:r>
    </w:p>
    <w:p w14:paraId="6804A870">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p>
    <w:p w14:paraId="75BF9AF0">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1.应对照</w:t>
      </w:r>
      <w:r>
        <w:rPr>
          <w:rFonts w:hint="eastAsia" w:ascii="宋体" w:hAnsi="宋体" w:cs="宋体"/>
          <w:b/>
          <w:color w:val="auto"/>
          <w:szCs w:val="21"/>
          <w:highlight w:val="none"/>
          <w:lang w:val="en-US" w:eastAsia="zh-CN"/>
        </w:rPr>
        <w:t>招标</w:t>
      </w:r>
      <w:r>
        <w:rPr>
          <w:rFonts w:hint="eastAsia" w:ascii="宋体" w:hAnsi="宋体" w:cs="宋体"/>
          <w:b/>
          <w:color w:val="auto"/>
          <w:szCs w:val="21"/>
          <w:highlight w:val="none"/>
        </w:rPr>
        <w:t xml:space="preserve">文件“第三章 </w:t>
      </w:r>
      <w:r>
        <w:rPr>
          <w:rFonts w:hint="eastAsia" w:ascii="宋体" w:hAnsi="宋体" w:cs="宋体"/>
          <w:b/>
          <w:color w:val="auto"/>
          <w:szCs w:val="21"/>
          <w:highlight w:val="none"/>
          <w:lang w:val="en-US" w:eastAsia="zh-CN"/>
        </w:rPr>
        <w:t>服务</w:t>
      </w:r>
      <w:r>
        <w:rPr>
          <w:rFonts w:hint="eastAsia" w:ascii="宋体" w:hAnsi="宋体" w:cs="宋体"/>
          <w:b/>
          <w:color w:val="auto"/>
          <w:szCs w:val="21"/>
          <w:highlight w:val="none"/>
        </w:rPr>
        <w:t>采购需求”中的</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服务需求一览表</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“商务要求”</w:t>
      </w:r>
      <w:r>
        <w:rPr>
          <w:rFonts w:hint="eastAsia" w:ascii="宋体" w:hAnsi="宋体" w:cs="宋体"/>
          <w:b/>
          <w:color w:val="auto"/>
          <w:szCs w:val="21"/>
          <w:highlight w:val="none"/>
        </w:rPr>
        <w:t>逐条实质性响应，并作出偏离说明。</w:t>
      </w:r>
    </w:p>
    <w:p w14:paraId="377B6C1B">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w:t>
      </w:r>
      <w:r>
        <w:rPr>
          <w:rFonts w:hint="eastAsia" w:ascii="宋体" w:hAnsi="宋体" w:cs="宋体"/>
          <w:b/>
          <w:color w:val="auto"/>
          <w:szCs w:val="21"/>
          <w:highlight w:val="none"/>
          <w:lang w:val="en-US" w:eastAsia="zh-CN"/>
        </w:rPr>
        <w:t>招标</w:t>
      </w:r>
      <w:r>
        <w:rPr>
          <w:rFonts w:hint="eastAsia" w:ascii="宋体" w:hAnsi="宋体" w:cs="宋体"/>
          <w:b/>
          <w:color w:val="auto"/>
          <w:szCs w:val="21"/>
          <w:highlight w:val="none"/>
        </w:rPr>
        <w:t>文件要求在“偏离说明”中注明“正偏离”、“负偏离”或者“无偏离”。既不属于“正偏离”也不属于“负偏离”即为“无偏离”。</w:t>
      </w:r>
    </w:p>
    <w:p w14:paraId="02D93DD6">
      <w:pPr>
        <w:spacing w:line="400" w:lineRule="exact"/>
        <w:ind w:firstLine="632"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3.当本表由多页构成时，需逐页加盖供应商（CA签章）（属自然人的须逐页签字或个人CA签章）。</w:t>
      </w:r>
    </w:p>
    <w:p w14:paraId="738B0EF8">
      <w:pPr>
        <w:pStyle w:val="17"/>
        <w:jc w:val="center"/>
        <w:rPr>
          <w:rFonts w:hAnsi="宋体" w:cs="宋体"/>
          <w:b/>
          <w:color w:val="auto"/>
          <w:sz w:val="32"/>
          <w:highlight w:val="none"/>
        </w:rPr>
      </w:pPr>
    </w:p>
    <w:p w14:paraId="43CBE855">
      <w:pPr>
        <w:pStyle w:val="7"/>
        <w:rPr>
          <w:rFonts w:hAnsi="宋体" w:cs="宋体"/>
          <w:b/>
          <w:color w:val="auto"/>
          <w:sz w:val="32"/>
          <w:highlight w:val="none"/>
        </w:rPr>
      </w:pPr>
    </w:p>
    <w:p w14:paraId="6E129060">
      <w:pPr>
        <w:rPr>
          <w:rFonts w:hAnsi="宋体" w:cs="宋体"/>
          <w:b/>
          <w:color w:val="auto"/>
          <w:sz w:val="32"/>
          <w:highlight w:val="none"/>
        </w:rPr>
      </w:pPr>
    </w:p>
    <w:p w14:paraId="4D5EC75A">
      <w:pPr>
        <w:pStyle w:val="50"/>
        <w:rPr>
          <w:color w:val="auto"/>
          <w:highlight w:val="none"/>
        </w:rPr>
      </w:pPr>
    </w:p>
    <w:p w14:paraId="52F2095E">
      <w:pPr>
        <w:pStyle w:val="17"/>
        <w:jc w:val="center"/>
        <w:rPr>
          <w:rFonts w:hAnsi="宋体" w:cs="宋体"/>
          <w:b/>
          <w:color w:val="auto"/>
          <w:sz w:val="32"/>
          <w:highlight w:val="none"/>
        </w:rPr>
      </w:pPr>
    </w:p>
    <w:p w14:paraId="6FDF6325">
      <w:pPr>
        <w:pStyle w:val="17"/>
        <w:jc w:val="center"/>
        <w:rPr>
          <w:rFonts w:hAnsi="宋体" w:cs="宋体"/>
          <w:b/>
          <w:color w:val="auto"/>
          <w:sz w:val="32"/>
          <w:highlight w:val="none"/>
        </w:rPr>
      </w:pPr>
    </w:p>
    <w:p w14:paraId="018CF6BC">
      <w:pPr>
        <w:pStyle w:val="7"/>
        <w:rPr>
          <w:rFonts w:hAnsi="宋体" w:cs="宋体"/>
          <w:b/>
          <w:color w:val="auto"/>
          <w:sz w:val="32"/>
          <w:highlight w:val="none"/>
        </w:rPr>
      </w:pPr>
    </w:p>
    <w:p w14:paraId="5D3863DA">
      <w:pPr>
        <w:pStyle w:val="14"/>
        <w:rPr>
          <w:color w:val="auto"/>
          <w:highlight w:val="none"/>
        </w:rPr>
      </w:pPr>
    </w:p>
    <w:p w14:paraId="28FDF4E6">
      <w:pPr>
        <w:widowControl/>
        <w:jc w:val="left"/>
        <w:rPr>
          <w:rFonts w:ascii="宋体" w:hAnsi="宋体" w:cs="宋体"/>
          <w:b/>
          <w:bCs/>
          <w:color w:val="auto"/>
          <w:sz w:val="32"/>
          <w:szCs w:val="32"/>
          <w:highlight w:val="none"/>
        </w:rPr>
      </w:pPr>
      <w:bookmarkStart w:id="317" w:name="_Toc15632"/>
      <w:r>
        <w:rPr>
          <w:rFonts w:ascii="宋体" w:hAnsi="宋体" w:cs="宋体"/>
          <w:b/>
          <w:bCs/>
          <w:color w:val="auto"/>
          <w:sz w:val="32"/>
          <w:szCs w:val="32"/>
          <w:highlight w:val="none"/>
        </w:rPr>
        <w:br w:type="page"/>
      </w:r>
    </w:p>
    <w:bookmarkEnd w:id="317"/>
    <w:p w14:paraId="345CDAAF">
      <w:pPr>
        <w:rPr>
          <w:rFonts w:ascii="宋体" w:hAnsi="宋体" w:cs="宋体"/>
          <w:b/>
          <w:bCs/>
          <w:color w:val="auto"/>
          <w:sz w:val="32"/>
          <w:szCs w:val="32"/>
          <w:highlight w:val="none"/>
        </w:rPr>
      </w:pPr>
      <w:bookmarkStart w:id="318" w:name="_Toc495841797"/>
      <w:bookmarkStart w:id="319" w:name="_Toc12988"/>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.投标人的服务承诺方案（必须提供）</w:t>
      </w:r>
      <w:bookmarkEnd w:id="318"/>
      <w:bookmarkEnd w:id="319"/>
    </w:p>
    <w:p w14:paraId="29BFD74F">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5EE9860">
      <w:pPr>
        <w:ind w:firstLine="472" w:firstLineChars="147"/>
        <w:jc w:val="center"/>
        <w:rPr>
          <w:rFonts w:ascii="宋体" w:hAnsi="宋体" w:cs="宋体"/>
          <w:b/>
          <w:bCs/>
          <w:color w:val="auto"/>
          <w:sz w:val="32"/>
          <w:szCs w:val="32"/>
          <w:highlight w:val="none"/>
        </w:rPr>
      </w:pPr>
    </w:p>
    <w:p w14:paraId="7AE59420">
      <w:pPr>
        <w:pStyle w:val="14"/>
        <w:rPr>
          <w:rFonts w:ascii="宋体" w:hAnsi="宋体" w:cs="宋体"/>
          <w:b/>
          <w:bCs/>
          <w:color w:val="auto"/>
          <w:sz w:val="32"/>
          <w:szCs w:val="32"/>
          <w:highlight w:val="none"/>
        </w:rPr>
      </w:pPr>
    </w:p>
    <w:p w14:paraId="6758D166">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服务承诺方案</w:t>
      </w:r>
      <w:r>
        <w:rPr>
          <w:rFonts w:hint="eastAsia" w:ascii="宋体" w:hAnsi="宋体" w:cs="宋体"/>
          <w:b/>
          <w:bCs/>
          <w:color w:val="auto"/>
          <w:sz w:val="32"/>
          <w:highlight w:val="none"/>
        </w:rPr>
        <w:t>（格式）</w:t>
      </w:r>
    </w:p>
    <w:p w14:paraId="4D2912A6">
      <w:pPr>
        <w:spacing w:line="400" w:lineRule="exact"/>
        <w:rPr>
          <w:rFonts w:ascii="宋体" w:hAnsi="宋体" w:cs="宋体"/>
          <w:color w:val="auto"/>
          <w:sz w:val="32"/>
          <w:szCs w:val="32"/>
          <w:highlight w:val="none"/>
        </w:rPr>
      </w:pPr>
      <w:r>
        <w:rPr>
          <w:rFonts w:hint="eastAsia" w:ascii="宋体" w:hAnsi="宋体" w:cs="宋体"/>
          <w:b/>
          <w:bCs/>
          <w:color w:val="auto"/>
          <w:sz w:val="32"/>
          <w:szCs w:val="32"/>
          <w:highlight w:val="none"/>
        </w:rPr>
        <w:t>（由供应商根据本项目采购需求、特点及</w:t>
      </w:r>
      <w:r>
        <w:rPr>
          <w:rFonts w:hint="eastAsia" w:ascii="宋体" w:hAnsi="宋体" w:cs="宋体"/>
          <w:b/>
          <w:bCs/>
          <w:color w:val="auto"/>
          <w:sz w:val="32"/>
          <w:szCs w:val="32"/>
          <w:highlight w:val="none"/>
          <w:lang w:val="en-US" w:eastAsia="zh-CN"/>
        </w:rPr>
        <w:t>评审办法和</w:t>
      </w:r>
      <w:r>
        <w:rPr>
          <w:rFonts w:hint="eastAsia" w:ascii="宋体" w:hAnsi="宋体" w:cs="宋体"/>
          <w:b/>
          <w:bCs/>
          <w:color w:val="auto"/>
          <w:sz w:val="32"/>
          <w:szCs w:val="32"/>
          <w:highlight w:val="none"/>
        </w:rPr>
        <w:t>供应商自身的处理能力自行编写）</w:t>
      </w:r>
    </w:p>
    <w:p w14:paraId="1C421493">
      <w:pPr>
        <w:spacing w:line="400" w:lineRule="exact"/>
        <w:rPr>
          <w:rFonts w:ascii="宋体" w:hAnsi="宋体" w:cs="宋体"/>
          <w:color w:val="auto"/>
          <w:sz w:val="32"/>
          <w:szCs w:val="32"/>
          <w:highlight w:val="none"/>
        </w:rPr>
      </w:pPr>
    </w:p>
    <w:p w14:paraId="23C6B0E6">
      <w:pPr>
        <w:spacing w:line="400" w:lineRule="exact"/>
        <w:rPr>
          <w:rFonts w:ascii="宋体" w:hAnsi="宋体" w:cs="宋体"/>
          <w:color w:val="auto"/>
          <w:sz w:val="32"/>
          <w:szCs w:val="32"/>
          <w:highlight w:val="none"/>
        </w:rPr>
      </w:pPr>
    </w:p>
    <w:p w14:paraId="4C82D2D1">
      <w:pPr>
        <w:spacing w:line="400" w:lineRule="exact"/>
        <w:rPr>
          <w:rFonts w:ascii="宋体" w:hAnsi="宋体" w:cs="宋体"/>
          <w:color w:val="auto"/>
          <w:sz w:val="32"/>
          <w:szCs w:val="32"/>
          <w:highlight w:val="none"/>
        </w:rPr>
      </w:pPr>
    </w:p>
    <w:p w14:paraId="7DD323AB">
      <w:pPr>
        <w:spacing w:line="400" w:lineRule="exact"/>
        <w:rPr>
          <w:rFonts w:ascii="宋体" w:hAnsi="宋体" w:cs="宋体"/>
          <w:color w:val="auto"/>
          <w:sz w:val="32"/>
          <w:szCs w:val="32"/>
          <w:highlight w:val="none"/>
        </w:rPr>
      </w:pPr>
    </w:p>
    <w:p w14:paraId="1EA27BB1">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0DEDB322">
      <w:pPr>
        <w:pStyle w:val="17"/>
        <w:spacing w:line="320" w:lineRule="exact"/>
        <w:ind w:firstLine="420"/>
        <w:jc w:val="left"/>
        <w:rPr>
          <w:rFonts w:hAnsi="宋体" w:cs="宋体"/>
          <w:color w:val="auto"/>
          <w:szCs w:val="24"/>
          <w:highlight w:val="none"/>
        </w:rPr>
      </w:pPr>
    </w:p>
    <w:p w14:paraId="074E0A8C">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6F079993">
      <w:pPr>
        <w:spacing w:line="320" w:lineRule="exact"/>
        <w:jc w:val="left"/>
        <w:rPr>
          <w:rFonts w:hAnsi="宋体"/>
          <w:color w:val="auto"/>
          <w:highlight w:val="none"/>
        </w:rPr>
      </w:pPr>
    </w:p>
    <w:p w14:paraId="3330E535">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26A3CADE">
      <w:pPr>
        <w:pStyle w:val="14"/>
        <w:rPr>
          <w:color w:val="auto"/>
          <w:highlight w:val="none"/>
        </w:rPr>
      </w:pPr>
    </w:p>
    <w:p w14:paraId="5C0A84F1">
      <w:pPr>
        <w:rPr>
          <w:rFonts w:ascii="宋体" w:hAnsi="宋体" w:cs="宋体"/>
          <w:b/>
          <w:bCs/>
          <w:color w:val="auto"/>
          <w:sz w:val="32"/>
          <w:szCs w:val="32"/>
          <w:highlight w:val="none"/>
        </w:rPr>
      </w:pPr>
    </w:p>
    <w:p w14:paraId="45BC6BFE">
      <w:pPr>
        <w:rPr>
          <w:rFonts w:ascii="宋体" w:hAnsi="宋体" w:cs="宋体"/>
          <w:b/>
          <w:bCs/>
          <w:color w:val="auto"/>
          <w:sz w:val="32"/>
          <w:szCs w:val="32"/>
          <w:highlight w:val="none"/>
        </w:rPr>
      </w:pPr>
    </w:p>
    <w:p w14:paraId="4B21343D">
      <w:pPr>
        <w:rPr>
          <w:rFonts w:ascii="宋体" w:hAnsi="宋体" w:cs="宋体"/>
          <w:b/>
          <w:bCs/>
          <w:color w:val="auto"/>
          <w:sz w:val="32"/>
          <w:szCs w:val="32"/>
          <w:highlight w:val="none"/>
        </w:rPr>
      </w:pPr>
    </w:p>
    <w:p w14:paraId="5CDD1F34">
      <w:pPr>
        <w:rPr>
          <w:rFonts w:ascii="宋体" w:hAnsi="宋体" w:cs="宋体"/>
          <w:b/>
          <w:bCs/>
          <w:color w:val="auto"/>
          <w:sz w:val="32"/>
          <w:szCs w:val="32"/>
          <w:highlight w:val="none"/>
        </w:rPr>
      </w:pPr>
    </w:p>
    <w:p w14:paraId="6C4A30B2">
      <w:pPr>
        <w:rPr>
          <w:rFonts w:ascii="宋体" w:hAnsi="宋体" w:cs="宋体"/>
          <w:b/>
          <w:bCs/>
          <w:color w:val="auto"/>
          <w:sz w:val="32"/>
          <w:szCs w:val="32"/>
          <w:highlight w:val="none"/>
        </w:rPr>
      </w:pPr>
    </w:p>
    <w:p w14:paraId="5B5F5B08">
      <w:pPr>
        <w:rPr>
          <w:rFonts w:ascii="宋体" w:hAnsi="宋体" w:cs="宋体"/>
          <w:b/>
          <w:bCs/>
          <w:color w:val="auto"/>
          <w:sz w:val="32"/>
          <w:szCs w:val="32"/>
          <w:highlight w:val="none"/>
        </w:rPr>
      </w:pPr>
    </w:p>
    <w:p w14:paraId="765DA125">
      <w:pPr>
        <w:rPr>
          <w:rFonts w:ascii="宋体" w:hAnsi="宋体" w:cs="宋体"/>
          <w:b/>
          <w:bCs/>
          <w:color w:val="auto"/>
          <w:sz w:val="32"/>
          <w:szCs w:val="32"/>
          <w:highlight w:val="none"/>
        </w:rPr>
      </w:pPr>
    </w:p>
    <w:p w14:paraId="09B548E5">
      <w:pPr>
        <w:rPr>
          <w:rFonts w:ascii="宋体" w:hAnsi="宋体" w:cs="宋体"/>
          <w:b/>
          <w:bCs/>
          <w:color w:val="auto"/>
          <w:sz w:val="32"/>
          <w:szCs w:val="32"/>
          <w:highlight w:val="none"/>
        </w:rPr>
      </w:pPr>
    </w:p>
    <w:p w14:paraId="43F931EE">
      <w:pPr>
        <w:rPr>
          <w:rFonts w:ascii="宋体" w:hAnsi="宋体" w:cs="宋体"/>
          <w:b/>
          <w:bCs/>
          <w:color w:val="auto"/>
          <w:sz w:val="32"/>
          <w:szCs w:val="32"/>
          <w:highlight w:val="none"/>
        </w:rPr>
      </w:pPr>
    </w:p>
    <w:p w14:paraId="07861CD7">
      <w:pPr>
        <w:rPr>
          <w:rFonts w:ascii="宋体" w:hAnsi="宋体" w:cs="宋体"/>
          <w:b/>
          <w:bCs/>
          <w:color w:val="auto"/>
          <w:sz w:val="32"/>
          <w:szCs w:val="32"/>
          <w:highlight w:val="none"/>
        </w:rPr>
      </w:pPr>
    </w:p>
    <w:p w14:paraId="54A44F04">
      <w:pPr>
        <w:rPr>
          <w:rFonts w:ascii="宋体" w:hAnsi="宋体" w:cs="宋体"/>
          <w:b/>
          <w:bCs/>
          <w:color w:val="auto"/>
          <w:sz w:val="32"/>
          <w:szCs w:val="32"/>
          <w:highlight w:val="none"/>
        </w:rPr>
      </w:pPr>
    </w:p>
    <w:p w14:paraId="61CCD2B0">
      <w:pPr>
        <w:rPr>
          <w:rFonts w:ascii="宋体" w:hAnsi="宋体" w:cs="宋体"/>
          <w:b/>
          <w:bCs/>
          <w:color w:val="auto"/>
          <w:sz w:val="32"/>
          <w:szCs w:val="32"/>
          <w:highlight w:val="none"/>
        </w:rPr>
      </w:pPr>
    </w:p>
    <w:p w14:paraId="71AF32D0">
      <w:pPr>
        <w:rPr>
          <w:rFonts w:ascii="宋体" w:hAnsi="宋体" w:cs="宋体"/>
          <w:b/>
          <w:bCs/>
          <w:color w:val="auto"/>
          <w:sz w:val="32"/>
          <w:szCs w:val="32"/>
          <w:highlight w:val="none"/>
        </w:rPr>
      </w:pPr>
    </w:p>
    <w:p w14:paraId="534FF4B7">
      <w:pPr>
        <w:rPr>
          <w:rFonts w:ascii="宋体" w:hAnsi="宋体" w:cs="宋体"/>
          <w:b/>
          <w:bCs/>
          <w:color w:val="auto"/>
          <w:sz w:val="32"/>
          <w:szCs w:val="32"/>
          <w:highlight w:val="none"/>
        </w:rPr>
      </w:pPr>
    </w:p>
    <w:p w14:paraId="0F220352">
      <w:pPr>
        <w:rPr>
          <w:rFonts w:ascii="宋体" w:hAnsi="宋体" w:cs="宋体"/>
          <w:b/>
          <w:bCs/>
          <w:color w:val="auto"/>
          <w:sz w:val="32"/>
          <w:szCs w:val="32"/>
          <w:highlight w:val="none"/>
        </w:rPr>
      </w:pPr>
    </w:p>
    <w:p w14:paraId="191B0F50">
      <w:pPr>
        <w:rPr>
          <w:rFonts w:ascii="宋体" w:hAnsi="宋体" w:cs="宋体"/>
          <w:b/>
          <w:bCs/>
          <w:color w:val="auto"/>
          <w:sz w:val="32"/>
          <w:szCs w:val="32"/>
          <w:highlight w:val="none"/>
        </w:rPr>
      </w:pPr>
    </w:p>
    <w:p w14:paraId="6266AE23">
      <w:pPr>
        <w:rPr>
          <w:rFonts w:ascii="宋体" w:hAnsi="宋体" w:cs="宋体"/>
          <w:b/>
          <w:bCs/>
          <w:color w:val="auto"/>
          <w:sz w:val="32"/>
          <w:szCs w:val="32"/>
          <w:highlight w:val="none"/>
        </w:rPr>
      </w:pPr>
    </w:p>
    <w:p w14:paraId="171157F3">
      <w:pPr>
        <w:rPr>
          <w:rFonts w:ascii="宋体" w:hAnsi="宋体" w:cs="宋体"/>
          <w:b/>
          <w:bCs/>
          <w:color w:val="auto"/>
          <w:sz w:val="32"/>
          <w:szCs w:val="32"/>
          <w:highlight w:val="none"/>
        </w:rPr>
      </w:pPr>
    </w:p>
    <w:p w14:paraId="278ACDE2">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.项目实施技术方案（必须提供）；</w:t>
      </w:r>
    </w:p>
    <w:p w14:paraId="7D6CA498">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7782573">
      <w:pPr>
        <w:pStyle w:val="14"/>
        <w:rPr>
          <w:rFonts w:ascii="宋体" w:hAnsi="宋体" w:cs="宋体"/>
          <w:b/>
          <w:bCs/>
          <w:color w:val="auto"/>
          <w:sz w:val="32"/>
          <w:szCs w:val="32"/>
          <w:highlight w:val="none"/>
        </w:rPr>
      </w:pPr>
    </w:p>
    <w:p w14:paraId="18672FD8">
      <w:pPr>
        <w:pStyle w:val="14"/>
        <w:rPr>
          <w:color w:val="auto"/>
          <w:highlight w:val="none"/>
        </w:rPr>
      </w:pPr>
    </w:p>
    <w:p w14:paraId="4F7F7F7C">
      <w:pPr>
        <w:rPr>
          <w:color w:val="auto"/>
          <w:highlight w:val="none"/>
        </w:rPr>
      </w:pPr>
    </w:p>
    <w:p w14:paraId="15380E5D">
      <w:pPr>
        <w:pStyle w:val="17"/>
        <w:spacing w:line="340" w:lineRule="exact"/>
        <w:jc w:val="center"/>
        <w:rPr>
          <w:b/>
          <w:color w:val="auto"/>
          <w:sz w:val="32"/>
          <w:szCs w:val="32"/>
          <w:highlight w:val="none"/>
        </w:rPr>
      </w:pPr>
      <w:r>
        <w:rPr>
          <w:rFonts w:hint="eastAsia"/>
          <w:b/>
          <w:color w:val="auto"/>
          <w:sz w:val="32"/>
          <w:szCs w:val="32"/>
          <w:highlight w:val="none"/>
        </w:rPr>
        <w:t>项目实施技术方案 （格式）</w:t>
      </w:r>
    </w:p>
    <w:p w14:paraId="6652FFB1">
      <w:pPr>
        <w:rPr>
          <w:rFonts w:hAnsi="Courier New"/>
          <w:b/>
          <w:color w:val="auto"/>
          <w:sz w:val="32"/>
          <w:szCs w:val="32"/>
          <w:highlight w:val="none"/>
        </w:rPr>
      </w:pPr>
    </w:p>
    <w:p w14:paraId="3707403E">
      <w:pPr>
        <w:pStyle w:val="14"/>
        <w:rPr>
          <w:color w:val="auto"/>
          <w:highlight w:val="none"/>
        </w:rPr>
      </w:pPr>
    </w:p>
    <w:p w14:paraId="1A044DA2">
      <w:pPr>
        <w:widowControl/>
        <w:ind w:firstLine="2249" w:firstLineChars="8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w:t>
      </w:r>
      <w:r>
        <w:rPr>
          <w:rFonts w:hint="eastAsia" w:ascii="宋体" w:hAnsi="宋体" w:cs="宋体"/>
          <w:b/>
          <w:color w:val="auto"/>
          <w:kern w:val="0"/>
          <w:sz w:val="28"/>
          <w:szCs w:val="28"/>
          <w:highlight w:val="none"/>
          <w:lang w:val="en-US" w:eastAsia="zh-CN"/>
        </w:rPr>
        <w:t>及评审办法</w:t>
      </w:r>
      <w:r>
        <w:rPr>
          <w:rFonts w:hint="eastAsia" w:ascii="宋体" w:hAnsi="宋体" w:cs="宋体"/>
          <w:b/>
          <w:color w:val="auto"/>
          <w:kern w:val="0"/>
          <w:sz w:val="28"/>
          <w:szCs w:val="28"/>
          <w:highlight w:val="none"/>
        </w:rPr>
        <w:t xml:space="preserve">求自行编制） </w:t>
      </w:r>
    </w:p>
    <w:p w14:paraId="7F536F19">
      <w:pPr>
        <w:widowControl/>
        <w:jc w:val="left"/>
        <w:rPr>
          <w:rFonts w:ascii="宋体" w:hAnsi="宋体" w:cs="宋体"/>
          <w:b/>
          <w:color w:val="auto"/>
          <w:kern w:val="0"/>
          <w:sz w:val="28"/>
          <w:szCs w:val="28"/>
          <w:highlight w:val="none"/>
        </w:rPr>
      </w:pPr>
    </w:p>
    <w:p w14:paraId="52D4C1BA">
      <w:pPr>
        <w:widowControl/>
        <w:ind w:firstLine="3092" w:firstLineChars="1100"/>
        <w:jc w:val="left"/>
        <w:rPr>
          <w:rFonts w:ascii="宋体" w:hAnsi="宋体" w:cs="宋体"/>
          <w:b/>
          <w:color w:val="auto"/>
          <w:kern w:val="0"/>
          <w:sz w:val="28"/>
          <w:szCs w:val="28"/>
          <w:highlight w:val="none"/>
        </w:rPr>
      </w:pPr>
    </w:p>
    <w:p w14:paraId="0F04680C">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6ED5FFB2">
      <w:pPr>
        <w:pStyle w:val="17"/>
        <w:spacing w:line="320" w:lineRule="exact"/>
        <w:ind w:firstLine="420"/>
        <w:jc w:val="left"/>
        <w:rPr>
          <w:rFonts w:hAnsi="宋体" w:cs="宋体"/>
          <w:color w:val="auto"/>
          <w:szCs w:val="24"/>
          <w:highlight w:val="none"/>
        </w:rPr>
      </w:pPr>
    </w:p>
    <w:p w14:paraId="378945E9">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436B69EB">
      <w:pPr>
        <w:spacing w:line="320" w:lineRule="exact"/>
        <w:jc w:val="left"/>
        <w:rPr>
          <w:rFonts w:hAnsi="宋体"/>
          <w:color w:val="auto"/>
          <w:highlight w:val="none"/>
        </w:rPr>
      </w:pPr>
    </w:p>
    <w:p w14:paraId="5D82127D">
      <w:pPr>
        <w:spacing w:line="320" w:lineRule="exact"/>
        <w:ind w:firstLine="420" w:firstLineChars="200"/>
        <w:jc w:val="left"/>
        <w:rPr>
          <w:rFonts w:hint="eastAsia" w:hAnsi="宋体"/>
          <w:color w:val="auto"/>
          <w:highlight w:val="none"/>
        </w:rPr>
      </w:pPr>
      <w:r>
        <w:rPr>
          <w:rFonts w:hint="eastAsia" w:hAnsi="宋体"/>
          <w:color w:val="auto"/>
          <w:highlight w:val="none"/>
        </w:rPr>
        <w:t>日期：</w:t>
      </w:r>
    </w:p>
    <w:p w14:paraId="171CC883">
      <w:pPr>
        <w:spacing w:line="320" w:lineRule="exact"/>
        <w:ind w:firstLine="420" w:firstLineChars="200"/>
        <w:jc w:val="left"/>
        <w:rPr>
          <w:rFonts w:hint="eastAsia" w:hAnsi="宋体"/>
          <w:color w:val="auto"/>
          <w:highlight w:val="none"/>
        </w:rPr>
      </w:pPr>
    </w:p>
    <w:p w14:paraId="08E5DA73">
      <w:pPr>
        <w:spacing w:line="320" w:lineRule="exact"/>
        <w:ind w:firstLine="420" w:firstLineChars="200"/>
        <w:jc w:val="left"/>
        <w:rPr>
          <w:rFonts w:hint="eastAsia" w:hAnsi="宋体"/>
          <w:color w:val="auto"/>
          <w:highlight w:val="none"/>
        </w:rPr>
      </w:pPr>
    </w:p>
    <w:p w14:paraId="7E7DEAB4">
      <w:pPr>
        <w:spacing w:line="320" w:lineRule="exact"/>
        <w:ind w:firstLine="420" w:firstLineChars="200"/>
        <w:jc w:val="left"/>
        <w:rPr>
          <w:rFonts w:hint="eastAsia" w:hAnsi="宋体"/>
          <w:color w:val="auto"/>
          <w:highlight w:val="none"/>
        </w:rPr>
      </w:pPr>
    </w:p>
    <w:p w14:paraId="74825CCB">
      <w:pPr>
        <w:spacing w:line="320" w:lineRule="exact"/>
        <w:ind w:firstLine="420" w:firstLineChars="200"/>
        <w:jc w:val="left"/>
        <w:rPr>
          <w:rFonts w:hint="eastAsia" w:hAnsi="宋体"/>
          <w:color w:val="auto"/>
          <w:highlight w:val="none"/>
        </w:rPr>
      </w:pPr>
    </w:p>
    <w:p w14:paraId="5F14954C">
      <w:pPr>
        <w:spacing w:line="320" w:lineRule="exact"/>
        <w:ind w:firstLine="420" w:firstLineChars="200"/>
        <w:jc w:val="left"/>
        <w:rPr>
          <w:rFonts w:hint="eastAsia" w:hAnsi="宋体"/>
          <w:color w:val="auto"/>
          <w:highlight w:val="none"/>
        </w:rPr>
      </w:pPr>
    </w:p>
    <w:p w14:paraId="4A589DC9">
      <w:pPr>
        <w:spacing w:line="320" w:lineRule="exact"/>
        <w:ind w:firstLine="420" w:firstLineChars="200"/>
        <w:jc w:val="left"/>
        <w:rPr>
          <w:rFonts w:hint="eastAsia" w:hAnsi="宋体"/>
          <w:color w:val="auto"/>
          <w:highlight w:val="none"/>
        </w:rPr>
      </w:pPr>
    </w:p>
    <w:p w14:paraId="343D9F2F">
      <w:pPr>
        <w:spacing w:line="320" w:lineRule="exact"/>
        <w:ind w:firstLine="420" w:firstLineChars="200"/>
        <w:jc w:val="left"/>
        <w:rPr>
          <w:rFonts w:hint="eastAsia" w:hAnsi="宋体"/>
          <w:color w:val="auto"/>
          <w:highlight w:val="none"/>
        </w:rPr>
      </w:pPr>
    </w:p>
    <w:p w14:paraId="10EE7D1D">
      <w:pPr>
        <w:spacing w:line="320" w:lineRule="exact"/>
        <w:ind w:firstLine="420" w:firstLineChars="200"/>
        <w:jc w:val="left"/>
        <w:rPr>
          <w:rFonts w:hint="eastAsia" w:hAnsi="宋体"/>
          <w:color w:val="auto"/>
          <w:highlight w:val="none"/>
        </w:rPr>
      </w:pPr>
    </w:p>
    <w:p w14:paraId="5619E116">
      <w:pPr>
        <w:spacing w:line="320" w:lineRule="exact"/>
        <w:ind w:firstLine="420" w:firstLineChars="200"/>
        <w:jc w:val="left"/>
        <w:rPr>
          <w:rFonts w:hint="eastAsia" w:hAnsi="宋体"/>
          <w:color w:val="auto"/>
          <w:highlight w:val="none"/>
        </w:rPr>
      </w:pPr>
    </w:p>
    <w:p w14:paraId="616A2D73">
      <w:pPr>
        <w:spacing w:line="320" w:lineRule="exact"/>
        <w:ind w:firstLine="420" w:firstLineChars="200"/>
        <w:jc w:val="left"/>
        <w:rPr>
          <w:rFonts w:hint="eastAsia" w:hAnsi="宋体"/>
          <w:color w:val="auto"/>
          <w:highlight w:val="none"/>
        </w:rPr>
      </w:pPr>
    </w:p>
    <w:p w14:paraId="758B967C">
      <w:pPr>
        <w:spacing w:line="320" w:lineRule="exact"/>
        <w:ind w:firstLine="420" w:firstLineChars="200"/>
        <w:jc w:val="left"/>
        <w:rPr>
          <w:rFonts w:hint="eastAsia" w:hAnsi="宋体"/>
          <w:color w:val="auto"/>
          <w:highlight w:val="none"/>
        </w:rPr>
      </w:pPr>
    </w:p>
    <w:p w14:paraId="06F12137">
      <w:pPr>
        <w:spacing w:line="320" w:lineRule="exact"/>
        <w:ind w:firstLine="420" w:firstLineChars="200"/>
        <w:jc w:val="left"/>
        <w:rPr>
          <w:rFonts w:hint="eastAsia" w:hAnsi="宋体"/>
          <w:color w:val="auto"/>
          <w:highlight w:val="none"/>
        </w:rPr>
      </w:pPr>
    </w:p>
    <w:p w14:paraId="044C5AD7">
      <w:pPr>
        <w:spacing w:line="320" w:lineRule="exact"/>
        <w:ind w:firstLine="420" w:firstLineChars="200"/>
        <w:jc w:val="left"/>
        <w:rPr>
          <w:rFonts w:hint="eastAsia" w:hAnsi="宋体"/>
          <w:color w:val="auto"/>
          <w:highlight w:val="none"/>
        </w:rPr>
      </w:pPr>
    </w:p>
    <w:p w14:paraId="75FAE1AE">
      <w:pPr>
        <w:spacing w:line="320" w:lineRule="exact"/>
        <w:ind w:firstLine="420" w:firstLineChars="200"/>
        <w:jc w:val="left"/>
        <w:rPr>
          <w:rFonts w:hint="eastAsia" w:hAnsi="宋体"/>
          <w:color w:val="auto"/>
          <w:highlight w:val="none"/>
        </w:rPr>
      </w:pPr>
    </w:p>
    <w:p w14:paraId="0AB51580">
      <w:pPr>
        <w:spacing w:line="320" w:lineRule="exact"/>
        <w:ind w:firstLine="420" w:firstLineChars="200"/>
        <w:jc w:val="left"/>
        <w:rPr>
          <w:rFonts w:hint="eastAsia" w:hAnsi="宋体"/>
          <w:color w:val="auto"/>
          <w:highlight w:val="none"/>
        </w:rPr>
      </w:pPr>
    </w:p>
    <w:p w14:paraId="55951D98">
      <w:pPr>
        <w:spacing w:line="320" w:lineRule="exact"/>
        <w:ind w:firstLine="420" w:firstLineChars="200"/>
        <w:jc w:val="left"/>
        <w:rPr>
          <w:rFonts w:hint="eastAsia" w:hAnsi="宋体"/>
          <w:color w:val="auto"/>
          <w:highlight w:val="none"/>
        </w:rPr>
      </w:pPr>
    </w:p>
    <w:p w14:paraId="2E6ACC99">
      <w:pPr>
        <w:spacing w:line="320" w:lineRule="exact"/>
        <w:ind w:firstLine="420" w:firstLineChars="200"/>
        <w:jc w:val="left"/>
        <w:rPr>
          <w:rFonts w:hint="eastAsia" w:hAnsi="宋体"/>
          <w:color w:val="auto"/>
          <w:highlight w:val="none"/>
        </w:rPr>
      </w:pPr>
    </w:p>
    <w:p w14:paraId="27BD71C0">
      <w:pPr>
        <w:spacing w:line="320" w:lineRule="exact"/>
        <w:ind w:firstLine="420" w:firstLineChars="200"/>
        <w:jc w:val="left"/>
        <w:rPr>
          <w:rFonts w:hint="eastAsia" w:hAnsi="宋体"/>
          <w:color w:val="auto"/>
          <w:highlight w:val="none"/>
        </w:rPr>
      </w:pPr>
    </w:p>
    <w:p w14:paraId="33ED0CB9">
      <w:pPr>
        <w:spacing w:line="320" w:lineRule="exact"/>
        <w:ind w:firstLine="420" w:firstLineChars="200"/>
        <w:jc w:val="left"/>
        <w:rPr>
          <w:rFonts w:hint="eastAsia" w:hAnsi="宋体"/>
          <w:color w:val="auto"/>
          <w:highlight w:val="none"/>
        </w:rPr>
      </w:pPr>
    </w:p>
    <w:p w14:paraId="458D91B0">
      <w:pPr>
        <w:spacing w:line="320" w:lineRule="exact"/>
        <w:ind w:firstLine="420" w:firstLineChars="200"/>
        <w:jc w:val="left"/>
        <w:rPr>
          <w:rFonts w:hint="eastAsia" w:hAnsi="宋体"/>
          <w:color w:val="auto"/>
          <w:highlight w:val="none"/>
        </w:rPr>
      </w:pPr>
    </w:p>
    <w:p w14:paraId="41564E87">
      <w:pPr>
        <w:spacing w:line="320" w:lineRule="exact"/>
        <w:ind w:firstLine="420" w:firstLineChars="200"/>
        <w:jc w:val="left"/>
        <w:rPr>
          <w:rFonts w:hint="eastAsia" w:hAnsi="宋体"/>
          <w:color w:val="auto"/>
          <w:highlight w:val="none"/>
        </w:rPr>
      </w:pPr>
    </w:p>
    <w:p w14:paraId="1C2C4F9E">
      <w:pPr>
        <w:spacing w:line="320" w:lineRule="exact"/>
        <w:ind w:firstLine="420" w:firstLineChars="200"/>
        <w:jc w:val="left"/>
        <w:rPr>
          <w:rFonts w:hint="eastAsia" w:hAnsi="宋体"/>
          <w:color w:val="auto"/>
          <w:highlight w:val="none"/>
        </w:rPr>
      </w:pPr>
    </w:p>
    <w:p w14:paraId="70733651">
      <w:pPr>
        <w:spacing w:line="320" w:lineRule="exact"/>
        <w:ind w:firstLine="420" w:firstLineChars="200"/>
        <w:jc w:val="left"/>
        <w:rPr>
          <w:rFonts w:hint="eastAsia" w:hAnsi="宋体"/>
          <w:color w:val="auto"/>
          <w:highlight w:val="none"/>
        </w:rPr>
      </w:pPr>
    </w:p>
    <w:p w14:paraId="4ECC2770">
      <w:pPr>
        <w:spacing w:line="320" w:lineRule="exact"/>
        <w:ind w:firstLine="420" w:firstLineChars="200"/>
        <w:jc w:val="left"/>
        <w:rPr>
          <w:rFonts w:hint="eastAsia" w:hAnsi="宋体"/>
          <w:color w:val="auto"/>
          <w:highlight w:val="none"/>
        </w:rPr>
      </w:pPr>
    </w:p>
    <w:p w14:paraId="63C3FE94">
      <w:pPr>
        <w:spacing w:line="320" w:lineRule="exact"/>
        <w:ind w:firstLine="420" w:firstLineChars="200"/>
        <w:jc w:val="left"/>
        <w:rPr>
          <w:rFonts w:hint="eastAsia" w:hAnsi="宋体"/>
          <w:color w:val="auto"/>
          <w:highlight w:val="none"/>
        </w:rPr>
      </w:pPr>
    </w:p>
    <w:p w14:paraId="073EA939">
      <w:pPr>
        <w:spacing w:line="320" w:lineRule="exact"/>
        <w:ind w:firstLine="420" w:firstLineChars="200"/>
        <w:jc w:val="left"/>
        <w:rPr>
          <w:rFonts w:hint="eastAsia" w:hAnsi="宋体"/>
          <w:color w:val="auto"/>
          <w:highlight w:val="none"/>
        </w:rPr>
      </w:pPr>
    </w:p>
    <w:p w14:paraId="46F11150">
      <w:pPr>
        <w:spacing w:line="320" w:lineRule="exact"/>
        <w:ind w:firstLine="420" w:firstLineChars="200"/>
        <w:jc w:val="left"/>
        <w:rPr>
          <w:rFonts w:hint="eastAsia" w:hAnsi="宋体"/>
          <w:color w:val="auto"/>
          <w:highlight w:val="none"/>
        </w:rPr>
      </w:pPr>
    </w:p>
    <w:p w14:paraId="42D78899">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.项目实施人员一览表（格式见附件）【如有，请提供】</w:t>
      </w:r>
    </w:p>
    <w:p w14:paraId="0320A18F">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63C038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45B9108E">
      <w:pPr>
        <w:rPr>
          <w:rFonts w:ascii="宋体" w:hAnsi="宋体" w:cs="宋体"/>
          <w:b/>
          <w:bCs/>
          <w:color w:val="auto"/>
          <w:sz w:val="32"/>
          <w:szCs w:val="32"/>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19"/>
        <w:gridCol w:w="1913"/>
        <w:gridCol w:w="2050"/>
        <w:gridCol w:w="2287"/>
      </w:tblGrid>
      <w:tr w14:paraId="72B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6C7447F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1119" w:type="dxa"/>
            <w:shd w:val="clear" w:color="auto" w:fill="8DB3E2"/>
            <w:vAlign w:val="center"/>
          </w:tcPr>
          <w:p w14:paraId="6E3F2AE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913" w:type="dxa"/>
            <w:shd w:val="clear" w:color="auto" w:fill="8DB3E2"/>
            <w:vAlign w:val="center"/>
          </w:tcPr>
          <w:p w14:paraId="3FFA860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2050" w:type="dxa"/>
            <w:shd w:val="clear" w:color="auto" w:fill="8DB3E2"/>
            <w:vAlign w:val="center"/>
          </w:tcPr>
          <w:p w14:paraId="56A731BA">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287" w:type="dxa"/>
            <w:shd w:val="clear" w:color="auto" w:fill="8DB3E2"/>
            <w:vAlign w:val="center"/>
          </w:tcPr>
          <w:p w14:paraId="10BD75D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767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0B13C9F2">
            <w:pPr>
              <w:spacing w:line="400" w:lineRule="exact"/>
              <w:rPr>
                <w:rFonts w:ascii="宋体" w:hAnsi="宋体" w:cs="宋体"/>
                <w:color w:val="auto"/>
                <w:szCs w:val="21"/>
                <w:highlight w:val="none"/>
              </w:rPr>
            </w:pPr>
          </w:p>
        </w:tc>
        <w:tc>
          <w:tcPr>
            <w:tcW w:w="1119" w:type="dxa"/>
          </w:tcPr>
          <w:p w14:paraId="0AE43881">
            <w:pPr>
              <w:spacing w:line="400" w:lineRule="exact"/>
              <w:rPr>
                <w:rFonts w:ascii="宋体" w:hAnsi="宋体" w:cs="宋体"/>
                <w:color w:val="auto"/>
                <w:szCs w:val="21"/>
                <w:highlight w:val="none"/>
              </w:rPr>
            </w:pPr>
          </w:p>
        </w:tc>
        <w:tc>
          <w:tcPr>
            <w:tcW w:w="1913" w:type="dxa"/>
          </w:tcPr>
          <w:p w14:paraId="2FC97894">
            <w:pPr>
              <w:spacing w:line="400" w:lineRule="exact"/>
              <w:rPr>
                <w:rFonts w:ascii="宋体" w:hAnsi="宋体" w:cs="宋体"/>
                <w:color w:val="auto"/>
                <w:szCs w:val="21"/>
                <w:highlight w:val="none"/>
              </w:rPr>
            </w:pPr>
          </w:p>
        </w:tc>
        <w:tc>
          <w:tcPr>
            <w:tcW w:w="2050" w:type="dxa"/>
          </w:tcPr>
          <w:p w14:paraId="69283B86">
            <w:pPr>
              <w:spacing w:line="400" w:lineRule="exact"/>
              <w:rPr>
                <w:rFonts w:ascii="宋体" w:hAnsi="宋体" w:cs="宋体"/>
                <w:color w:val="auto"/>
                <w:szCs w:val="21"/>
                <w:highlight w:val="none"/>
              </w:rPr>
            </w:pPr>
          </w:p>
        </w:tc>
        <w:tc>
          <w:tcPr>
            <w:tcW w:w="2287" w:type="dxa"/>
          </w:tcPr>
          <w:p w14:paraId="4C8B6AEB">
            <w:pPr>
              <w:spacing w:line="400" w:lineRule="exact"/>
              <w:rPr>
                <w:rFonts w:ascii="宋体" w:hAnsi="宋体" w:cs="宋体"/>
                <w:color w:val="auto"/>
                <w:szCs w:val="21"/>
                <w:highlight w:val="none"/>
              </w:rPr>
            </w:pPr>
          </w:p>
        </w:tc>
      </w:tr>
      <w:tr w14:paraId="110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CC4051">
            <w:pPr>
              <w:spacing w:line="400" w:lineRule="exact"/>
              <w:rPr>
                <w:rFonts w:ascii="宋体" w:hAnsi="宋体" w:cs="宋体"/>
                <w:color w:val="auto"/>
                <w:szCs w:val="21"/>
                <w:highlight w:val="none"/>
              </w:rPr>
            </w:pPr>
          </w:p>
        </w:tc>
        <w:tc>
          <w:tcPr>
            <w:tcW w:w="1119" w:type="dxa"/>
          </w:tcPr>
          <w:p w14:paraId="1328910D">
            <w:pPr>
              <w:spacing w:line="400" w:lineRule="exact"/>
              <w:rPr>
                <w:rFonts w:ascii="宋体" w:hAnsi="宋体" w:cs="宋体"/>
                <w:color w:val="auto"/>
                <w:szCs w:val="21"/>
                <w:highlight w:val="none"/>
              </w:rPr>
            </w:pPr>
          </w:p>
        </w:tc>
        <w:tc>
          <w:tcPr>
            <w:tcW w:w="1913" w:type="dxa"/>
          </w:tcPr>
          <w:p w14:paraId="5BD1B5BF">
            <w:pPr>
              <w:spacing w:line="400" w:lineRule="exact"/>
              <w:rPr>
                <w:rFonts w:ascii="宋体" w:hAnsi="宋体" w:cs="宋体"/>
                <w:color w:val="auto"/>
                <w:szCs w:val="21"/>
                <w:highlight w:val="none"/>
              </w:rPr>
            </w:pPr>
          </w:p>
        </w:tc>
        <w:tc>
          <w:tcPr>
            <w:tcW w:w="2050" w:type="dxa"/>
          </w:tcPr>
          <w:p w14:paraId="3CF0C27E">
            <w:pPr>
              <w:spacing w:line="400" w:lineRule="exact"/>
              <w:rPr>
                <w:rFonts w:ascii="宋体" w:hAnsi="宋体" w:cs="宋体"/>
                <w:color w:val="auto"/>
                <w:szCs w:val="21"/>
                <w:highlight w:val="none"/>
              </w:rPr>
            </w:pPr>
          </w:p>
        </w:tc>
        <w:tc>
          <w:tcPr>
            <w:tcW w:w="2287" w:type="dxa"/>
          </w:tcPr>
          <w:p w14:paraId="0431CC82">
            <w:pPr>
              <w:spacing w:line="400" w:lineRule="exact"/>
              <w:rPr>
                <w:rFonts w:ascii="宋体" w:hAnsi="宋体" w:cs="宋体"/>
                <w:color w:val="auto"/>
                <w:szCs w:val="21"/>
                <w:highlight w:val="none"/>
              </w:rPr>
            </w:pPr>
          </w:p>
        </w:tc>
      </w:tr>
      <w:tr w14:paraId="3EE7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8319C18">
            <w:pPr>
              <w:spacing w:line="400" w:lineRule="exact"/>
              <w:rPr>
                <w:rFonts w:ascii="宋体" w:hAnsi="宋体" w:cs="宋体"/>
                <w:color w:val="auto"/>
                <w:szCs w:val="21"/>
                <w:highlight w:val="none"/>
              </w:rPr>
            </w:pPr>
          </w:p>
        </w:tc>
        <w:tc>
          <w:tcPr>
            <w:tcW w:w="1119" w:type="dxa"/>
          </w:tcPr>
          <w:p w14:paraId="3A651C92">
            <w:pPr>
              <w:spacing w:line="400" w:lineRule="exact"/>
              <w:rPr>
                <w:rFonts w:ascii="宋体" w:hAnsi="宋体" w:cs="宋体"/>
                <w:color w:val="auto"/>
                <w:szCs w:val="21"/>
                <w:highlight w:val="none"/>
              </w:rPr>
            </w:pPr>
          </w:p>
        </w:tc>
        <w:tc>
          <w:tcPr>
            <w:tcW w:w="1913" w:type="dxa"/>
          </w:tcPr>
          <w:p w14:paraId="32159E30">
            <w:pPr>
              <w:spacing w:line="400" w:lineRule="exact"/>
              <w:rPr>
                <w:rFonts w:ascii="宋体" w:hAnsi="宋体" w:cs="宋体"/>
                <w:color w:val="auto"/>
                <w:szCs w:val="21"/>
                <w:highlight w:val="none"/>
              </w:rPr>
            </w:pPr>
          </w:p>
        </w:tc>
        <w:tc>
          <w:tcPr>
            <w:tcW w:w="2050" w:type="dxa"/>
          </w:tcPr>
          <w:p w14:paraId="0E06F1C9">
            <w:pPr>
              <w:spacing w:line="400" w:lineRule="exact"/>
              <w:rPr>
                <w:rFonts w:ascii="宋体" w:hAnsi="宋体" w:cs="宋体"/>
                <w:color w:val="auto"/>
                <w:szCs w:val="21"/>
                <w:highlight w:val="none"/>
              </w:rPr>
            </w:pPr>
          </w:p>
        </w:tc>
        <w:tc>
          <w:tcPr>
            <w:tcW w:w="2287" w:type="dxa"/>
          </w:tcPr>
          <w:p w14:paraId="08E8C26A">
            <w:pPr>
              <w:spacing w:line="400" w:lineRule="exact"/>
              <w:rPr>
                <w:rFonts w:ascii="宋体" w:hAnsi="宋体" w:cs="宋体"/>
                <w:color w:val="auto"/>
                <w:szCs w:val="21"/>
                <w:highlight w:val="none"/>
              </w:rPr>
            </w:pPr>
          </w:p>
        </w:tc>
      </w:tr>
      <w:tr w14:paraId="149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73F174E">
            <w:pPr>
              <w:spacing w:line="400" w:lineRule="exact"/>
              <w:rPr>
                <w:rFonts w:ascii="宋体" w:hAnsi="宋体" w:cs="宋体"/>
                <w:color w:val="auto"/>
                <w:szCs w:val="21"/>
                <w:highlight w:val="none"/>
              </w:rPr>
            </w:pPr>
          </w:p>
        </w:tc>
        <w:tc>
          <w:tcPr>
            <w:tcW w:w="1119" w:type="dxa"/>
          </w:tcPr>
          <w:p w14:paraId="6F7C53AA">
            <w:pPr>
              <w:spacing w:line="400" w:lineRule="exact"/>
              <w:rPr>
                <w:rFonts w:ascii="宋体" w:hAnsi="宋体" w:cs="宋体"/>
                <w:color w:val="auto"/>
                <w:szCs w:val="21"/>
                <w:highlight w:val="none"/>
              </w:rPr>
            </w:pPr>
          </w:p>
        </w:tc>
        <w:tc>
          <w:tcPr>
            <w:tcW w:w="1913" w:type="dxa"/>
          </w:tcPr>
          <w:p w14:paraId="74E021C0">
            <w:pPr>
              <w:spacing w:line="400" w:lineRule="exact"/>
              <w:rPr>
                <w:rFonts w:ascii="宋体" w:hAnsi="宋体" w:cs="宋体"/>
                <w:color w:val="auto"/>
                <w:szCs w:val="21"/>
                <w:highlight w:val="none"/>
              </w:rPr>
            </w:pPr>
          </w:p>
        </w:tc>
        <w:tc>
          <w:tcPr>
            <w:tcW w:w="2050" w:type="dxa"/>
          </w:tcPr>
          <w:p w14:paraId="23433282">
            <w:pPr>
              <w:spacing w:line="400" w:lineRule="exact"/>
              <w:rPr>
                <w:rFonts w:ascii="宋体" w:hAnsi="宋体" w:cs="宋体"/>
                <w:color w:val="auto"/>
                <w:szCs w:val="21"/>
                <w:highlight w:val="none"/>
              </w:rPr>
            </w:pPr>
          </w:p>
        </w:tc>
        <w:tc>
          <w:tcPr>
            <w:tcW w:w="2287" w:type="dxa"/>
          </w:tcPr>
          <w:p w14:paraId="09889E47">
            <w:pPr>
              <w:spacing w:line="400" w:lineRule="exact"/>
              <w:rPr>
                <w:rFonts w:ascii="宋体" w:hAnsi="宋体" w:cs="宋体"/>
                <w:color w:val="auto"/>
                <w:szCs w:val="21"/>
                <w:highlight w:val="none"/>
              </w:rPr>
            </w:pPr>
          </w:p>
        </w:tc>
      </w:tr>
      <w:tr w14:paraId="06B5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A8F5DB7">
            <w:pPr>
              <w:spacing w:line="400" w:lineRule="exact"/>
              <w:rPr>
                <w:rFonts w:ascii="宋体" w:hAnsi="宋体" w:cs="宋体"/>
                <w:color w:val="auto"/>
                <w:szCs w:val="21"/>
                <w:highlight w:val="none"/>
              </w:rPr>
            </w:pPr>
          </w:p>
        </w:tc>
        <w:tc>
          <w:tcPr>
            <w:tcW w:w="1119" w:type="dxa"/>
          </w:tcPr>
          <w:p w14:paraId="55B9BC38">
            <w:pPr>
              <w:spacing w:line="400" w:lineRule="exact"/>
              <w:rPr>
                <w:rFonts w:ascii="宋体" w:hAnsi="宋体" w:cs="宋体"/>
                <w:color w:val="auto"/>
                <w:szCs w:val="21"/>
                <w:highlight w:val="none"/>
              </w:rPr>
            </w:pPr>
          </w:p>
        </w:tc>
        <w:tc>
          <w:tcPr>
            <w:tcW w:w="1913" w:type="dxa"/>
          </w:tcPr>
          <w:p w14:paraId="476C6CCE">
            <w:pPr>
              <w:spacing w:line="400" w:lineRule="exact"/>
              <w:rPr>
                <w:rFonts w:ascii="宋体" w:hAnsi="宋体" w:cs="宋体"/>
                <w:color w:val="auto"/>
                <w:szCs w:val="21"/>
                <w:highlight w:val="none"/>
              </w:rPr>
            </w:pPr>
          </w:p>
        </w:tc>
        <w:tc>
          <w:tcPr>
            <w:tcW w:w="2050" w:type="dxa"/>
          </w:tcPr>
          <w:p w14:paraId="56B4B6CE">
            <w:pPr>
              <w:spacing w:line="400" w:lineRule="exact"/>
              <w:rPr>
                <w:rFonts w:ascii="宋体" w:hAnsi="宋体" w:cs="宋体"/>
                <w:color w:val="auto"/>
                <w:szCs w:val="21"/>
                <w:highlight w:val="none"/>
              </w:rPr>
            </w:pPr>
          </w:p>
        </w:tc>
        <w:tc>
          <w:tcPr>
            <w:tcW w:w="2287" w:type="dxa"/>
          </w:tcPr>
          <w:p w14:paraId="53E52DEF">
            <w:pPr>
              <w:spacing w:line="400" w:lineRule="exact"/>
              <w:rPr>
                <w:rFonts w:ascii="宋体" w:hAnsi="宋体" w:cs="宋体"/>
                <w:color w:val="auto"/>
                <w:szCs w:val="21"/>
                <w:highlight w:val="none"/>
              </w:rPr>
            </w:pPr>
          </w:p>
        </w:tc>
      </w:tr>
      <w:tr w14:paraId="529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55B2BD78">
            <w:pPr>
              <w:spacing w:line="400" w:lineRule="exact"/>
              <w:rPr>
                <w:rFonts w:ascii="宋体" w:hAnsi="宋体" w:cs="宋体"/>
                <w:color w:val="auto"/>
                <w:szCs w:val="21"/>
                <w:highlight w:val="none"/>
              </w:rPr>
            </w:pPr>
          </w:p>
        </w:tc>
        <w:tc>
          <w:tcPr>
            <w:tcW w:w="1119" w:type="dxa"/>
          </w:tcPr>
          <w:p w14:paraId="79AE698B">
            <w:pPr>
              <w:spacing w:line="400" w:lineRule="exact"/>
              <w:rPr>
                <w:rFonts w:ascii="宋体" w:hAnsi="宋体" w:cs="宋体"/>
                <w:color w:val="auto"/>
                <w:szCs w:val="21"/>
                <w:highlight w:val="none"/>
              </w:rPr>
            </w:pPr>
          </w:p>
        </w:tc>
        <w:tc>
          <w:tcPr>
            <w:tcW w:w="1913" w:type="dxa"/>
          </w:tcPr>
          <w:p w14:paraId="60A08170">
            <w:pPr>
              <w:spacing w:line="400" w:lineRule="exact"/>
              <w:rPr>
                <w:rFonts w:ascii="宋体" w:hAnsi="宋体" w:cs="宋体"/>
                <w:color w:val="auto"/>
                <w:szCs w:val="21"/>
                <w:highlight w:val="none"/>
              </w:rPr>
            </w:pPr>
          </w:p>
        </w:tc>
        <w:tc>
          <w:tcPr>
            <w:tcW w:w="2050" w:type="dxa"/>
          </w:tcPr>
          <w:p w14:paraId="6C1F5D33">
            <w:pPr>
              <w:spacing w:line="400" w:lineRule="exact"/>
              <w:rPr>
                <w:rFonts w:ascii="宋体" w:hAnsi="宋体" w:cs="宋体"/>
                <w:color w:val="auto"/>
                <w:szCs w:val="21"/>
                <w:highlight w:val="none"/>
              </w:rPr>
            </w:pPr>
          </w:p>
        </w:tc>
        <w:tc>
          <w:tcPr>
            <w:tcW w:w="2287" w:type="dxa"/>
          </w:tcPr>
          <w:p w14:paraId="0703EA5C">
            <w:pPr>
              <w:spacing w:line="400" w:lineRule="exact"/>
              <w:rPr>
                <w:rFonts w:ascii="宋体" w:hAnsi="宋体" w:cs="宋体"/>
                <w:color w:val="auto"/>
                <w:szCs w:val="21"/>
                <w:highlight w:val="none"/>
              </w:rPr>
            </w:pPr>
          </w:p>
        </w:tc>
      </w:tr>
    </w:tbl>
    <w:p w14:paraId="55884125">
      <w:pPr>
        <w:spacing w:line="400" w:lineRule="exact"/>
        <w:rPr>
          <w:rFonts w:ascii="宋体" w:hAnsi="宋体" w:cs="宋体"/>
          <w:color w:val="auto"/>
          <w:szCs w:val="21"/>
          <w:highlight w:val="none"/>
        </w:rPr>
      </w:pPr>
    </w:p>
    <w:p w14:paraId="496F71E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注：在填写时，如本表格不适合投标单位的实际情况，可根据本表格式自行制表填写。</w:t>
      </w:r>
    </w:p>
    <w:p w14:paraId="03D012A3">
      <w:pPr>
        <w:ind w:firstLine="420" w:firstLineChars="200"/>
        <w:rPr>
          <w:rFonts w:hint="eastAsia" w:ascii="宋体" w:hAnsi="宋体" w:cs="宋体"/>
          <w:b/>
          <w:bCs/>
          <w:color w:val="auto"/>
          <w:sz w:val="28"/>
          <w:szCs w:val="28"/>
          <w:highlight w:val="none"/>
        </w:rPr>
      </w:pPr>
      <w:r>
        <w:rPr>
          <w:rFonts w:hint="eastAsia" w:ascii="宋体" w:hAnsi="宋体" w:eastAsia="宋体" w:cs="宋体"/>
          <w:color w:val="auto"/>
          <w:kern w:val="0"/>
          <w:sz w:val="21"/>
          <w:szCs w:val="21"/>
          <w:highlight w:val="none"/>
          <w:shd w:val="clear" w:color="auto" w:fill="auto"/>
          <w:lang w:eastAsia="zh-CN"/>
        </w:rPr>
        <w:t>附身份证复印件、相关职称证</w:t>
      </w:r>
      <w:r>
        <w:rPr>
          <w:rFonts w:hint="eastAsia" w:ascii="宋体" w:hAnsi="宋体" w:cs="宋体"/>
          <w:color w:val="auto"/>
          <w:kern w:val="0"/>
          <w:sz w:val="21"/>
          <w:szCs w:val="21"/>
          <w:highlight w:val="none"/>
          <w:shd w:val="clear" w:color="auto" w:fill="auto"/>
          <w:lang w:val="en-US" w:eastAsia="zh-CN"/>
        </w:rPr>
        <w:t>复印件</w:t>
      </w:r>
      <w:r>
        <w:rPr>
          <w:rFonts w:hint="eastAsia" w:ascii="宋体" w:hAnsi="宋体" w:eastAsia="宋体" w:cs="宋体"/>
          <w:color w:val="auto"/>
          <w:kern w:val="0"/>
          <w:sz w:val="21"/>
          <w:szCs w:val="21"/>
          <w:highlight w:val="none"/>
          <w:shd w:val="clear" w:color="auto" w:fill="auto"/>
          <w:lang w:eastAsia="zh-CN"/>
        </w:rPr>
        <w:t>（如有）、</w:t>
      </w:r>
      <w:r>
        <w:rPr>
          <w:rFonts w:hint="eastAsia" w:ascii="宋体" w:hAnsi="宋体" w:cs="宋体"/>
          <w:color w:val="auto"/>
          <w:kern w:val="0"/>
          <w:sz w:val="21"/>
          <w:szCs w:val="21"/>
          <w:highlight w:val="none"/>
          <w:shd w:val="clear" w:color="auto" w:fill="auto"/>
          <w:lang w:val="en-US" w:eastAsia="zh-CN"/>
        </w:rPr>
        <w:t>上岗证复印件（如有）、</w:t>
      </w:r>
      <w:r>
        <w:rPr>
          <w:rFonts w:hint="eastAsia" w:ascii="宋体" w:hAnsi="宋体" w:eastAsia="宋体" w:cs="宋体"/>
          <w:color w:val="auto"/>
          <w:kern w:val="0"/>
          <w:sz w:val="21"/>
          <w:szCs w:val="21"/>
          <w:highlight w:val="none"/>
          <w:shd w:val="clear" w:color="auto" w:fill="auto"/>
          <w:lang w:eastAsia="zh-CN"/>
        </w:rPr>
        <w:t>由县级以上（含县级）社会养老保险经办机构出具的供应商为</w:t>
      </w:r>
      <w:r>
        <w:rPr>
          <w:rFonts w:hint="eastAsia" w:ascii="宋体" w:hAnsi="宋体" w:cs="宋体"/>
          <w:color w:val="auto"/>
          <w:kern w:val="0"/>
          <w:sz w:val="21"/>
          <w:szCs w:val="21"/>
          <w:highlight w:val="none"/>
          <w:shd w:val="clear" w:color="auto" w:fill="auto"/>
          <w:lang w:val="en-US" w:eastAsia="zh-CN"/>
        </w:rPr>
        <w:t>实施人员</w:t>
      </w:r>
      <w:r>
        <w:rPr>
          <w:rFonts w:hint="eastAsia" w:ascii="宋体" w:hAnsi="宋体" w:eastAsia="宋体" w:cs="宋体"/>
          <w:color w:val="auto"/>
          <w:kern w:val="0"/>
          <w:sz w:val="21"/>
          <w:szCs w:val="21"/>
          <w:highlight w:val="none"/>
          <w:shd w:val="clear" w:color="auto" w:fill="auto"/>
          <w:lang w:eastAsia="zh-CN"/>
        </w:rPr>
        <w:t>的</w:t>
      </w:r>
      <w:r>
        <w:rPr>
          <w:rFonts w:hint="eastAsia" w:ascii="宋体" w:hAnsi="宋体" w:cs="宋体"/>
          <w:color w:val="auto"/>
          <w:kern w:val="0"/>
          <w:sz w:val="21"/>
          <w:szCs w:val="21"/>
          <w:highlight w:val="none"/>
          <w:shd w:val="clear" w:color="auto" w:fill="auto"/>
          <w:lang w:val="en-US" w:eastAsia="zh-CN"/>
        </w:rPr>
        <w:t>投标</w:t>
      </w:r>
      <w:r>
        <w:rPr>
          <w:rFonts w:hint="eastAsia" w:ascii="宋体" w:hAnsi="宋体" w:eastAsia="宋体" w:cs="宋体"/>
          <w:color w:val="auto"/>
          <w:kern w:val="0"/>
          <w:sz w:val="21"/>
          <w:szCs w:val="21"/>
          <w:highlight w:val="none"/>
          <w:shd w:val="clear" w:color="auto" w:fill="auto"/>
          <w:lang w:eastAsia="zh-CN"/>
        </w:rPr>
        <w:t>文件递交截止时间前半年内</w:t>
      </w:r>
      <w:r>
        <w:rPr>
          <w:rFonts w:hint="eastAsia" w:ascii="宋体" w:hAnsi="宋体" w:eastAsia="宋体" w:cs="宋体"/>
          <w:color w:val="auto"/>
          <w:kern w:val="0"/>
          <w:sz w:val="21"/>
          <w:szCs w:val="21"/>
          <w:highlight w:val="none"/>
          <w:shd w:val="clear" w:color="auto" w:fill="auto"/>
          <w:lang w:val="en-US" w:eastAsia="zh-CN"/>
        </w:rPr>
        <w:t>一</w:t>
      </w:r>
      <w:r>
        <w:rPr>
          <w:rFonts w:hint="eastAsia" w:ascii="宋体" w:hAnsi="宋体" w:eastAsia="宋体" w:cs="宋体"/>
          <w:color w:val="auto"/>
          <w:kern w:val="0"/>
          <w:sz w:val="21"/>
          <w:szCs w:val="21"/>
          <w:highlight w:val="none"/>
          <w:shd w:val="clear" w:color="auto" w:fill="auto"/>
          <w:lang w:eastAsia="zh-CN"/>
        </w:rPr>
        <w:t>个月社保证明复印件（若供应商为截标时间前60日以内成立的公司，可以提供</w:t>
      </w:r>
      <w:r>
        <w:rPr>
          <w:rFonts w:hint="eastAsia" w:ascii="宋体" w:hAnsi="宋体" w:cs="宋体"/>
          <w:color w:val="auto"/>
          <w:kern w:val="0"/>
          <w:sz w:val="21"/>
          <w:szCs w:val="21"/>
          <w:highlight w:val="none"/>
          <w:shd w:val="clear" w:color="auto" w:fill="auto"/>
          <w:lang w:val="en-US" w:eastAsia="zh-CN"/>
        </w:rPr>
        <w:t>供</w:t>
      </w:r>
      <w:r>
        <w:rPr>
          <w:rFonts w:hint="eastAsia" w:ascii="宋体" w:hAnsi="宋体" w:eastAsia="宋体" w:cs="宋体"/>
          <w:color w:val="auto"/>
          <w:kern w:val="0"/>
          <w:sz w:val="21"/>
          <w:szCs w:val="21"/>
          <w:highlight w:val="none"/>
          <w:shd w:val="clear" w:color="auto" w:fill="auto"/>
          <w:lang w:eastAsia="zh-CN"/>
        </w:rPr>
        <w:t>应商与</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人员签订的劳动合同复印件代替养老保险证明复印件；如供应商为事业单位，可以提供事业单位机构编制管理证复印件或事业单位机构为其发放工资的工资条复印件代替养老保险证明复印件；如</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人员为免缴纳社保人员，提供免缴纳社保的证明材料复印件及供应商与</w:t>
      </w:r>
      <w:r>
        <w:rPr>
          <w:rFonts w:hint="eastAsia" w:ascii="宋体" w:hAnsi="宋体" w:cs="宋体"/>
          <w:color w:val="auto"/>
          <w:kern w:val="0"/>
          <w:sz w:val="21"/>
          <w:szCs w:val="21"/>
          <w:highlight w:val="none"/>
          <w:shd w:val="clear" w:color="auto" w:fill="auto"/>
          <w:lang w:val="en-US" w:eastAsia="zh-CN"/>
        </w:rPr>
        <w:t>实施</w:t>
      </w:r>
      <w:r>
        <w:rPr>
          <w:rFonts w:hint="eastAsia" w:ascii="宋体" w:hAnsi="宋体" w:eastAsia="宋体" w:cs="宋体"/>
          <w:color w:val="auto"/>
          <w:kern w:val="0"/>
          <w:sz w:val="21"/>
          <w:szCs w:val="21"/>
          <w:highlight w:val="none"/>
          <w:shd w:val="clear" w:color="auto" w:fill="auto"/>
          <w:lang w:eastAsia="zh-CN"/>
        </w:rPr>
        <w:t>人员签订的劳动合同复印件代替养老保险证明复印件）</w:t>
      </w:r>
    </w:p>
    <w:p w14:paraId="0F048891">
      <w:pPr>
        <w:spacing w:line="400" w:lineRule="exact"/>
        <w:ind w:firstLine="3255" w:firstLineChars="1550"/>
        <w:rPr>
          <w:rFonts w:ascii="宋体" w:hAnsi="宋体" w:cs="宋体"/>
          <w:color w:val="auto"/>
          <w:highlight w:val="none"/>
        </w:rPr>
      </w:pPr>
    </w:p>
    <w:p w14:paraId="00BDC02F">
      <w:pPr>
        <w:snapToGrid w:val="0"/>
        <w:spacing w:line="320" w:lineRule="exact"/>
        <w:ind w:firstLine="420" w:firstLineChars="200"/>
        <w:jc w:val="left"/>
        <w:outlineLvl w:val="4"/>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s="宋体"/>
          <w:color w:val="auto"/>
          <w:szCs w:val="21"/>
          <w:highlight w:val="none"/>
        </w:rPr>
        <w:t xml:space="preserve"> (</w:t>
      </w:r>
      <w:r>
        <w:rPr>
          <w:rFonts w:hint="eastAsia" w:ascii="宋体" w:hAnsi="宋体"/>
          <w:color w:val="auto"/>
          <w:szCs w:val="21"/>
          <w:highlight w:val="none"/>
        </w:rPr>
        <w:t>CA签章</w:t>
      </w:r>
      <w:r>
        <w:rPr>
          <w:rFonts w:hint="eastAsia" w:ascii="宋体" w:hAnsi="宋体" w:cs="宋体"/>
          <w:color w:val="auto"/>
          <w:szCs w:val="21"/>
          <w:highlight w:val="none"/>
        </w:rPr>
        <w:t>，自然人除外)</w:t>
      </w:r>
      <w:r>
        <w:rPr>
          <w:rFonts w:hint="eastAsia" w:ascii="宋体" w:hAnsi="宋体"/>
          <w:color w:val="auto"/>
          <w:szCs w:val="21"/>
          <w:highlight w:val="none"/>
        </w:rPr>
        <w:t>：</w:t>
      </w:r>
    </w:p>
    <w:p w14:paraId="52B8F605">
      <w:pPr>
        <w:pStyle w:val="17"/>
        <w:spacing w:line="320" w:lineRule="exact"/>
        <w:ind w:firstLine="420"/>
        <w:jc w:val="left"/>
        <w:rPr>
          <w:rFonts w:hAnsi="宋体" w:cs="宋体"/>
          <w:color w:val="auto"/>
          <w:szCs w:val="24"/>
          <w:highlight w:val="none"/>
        </w:rPr>
      </w:pPr>
    </w:p>
    <w:p w14:paraId="3C910194">
      <w:pPr>
        <w:pStyle w:val="17"/>
        <w:spacing w:line="320" w:lineRule="exact"/>
        <w:ind w:firstLine="420"/>
        <w:jc w:val="left"/>
        <w:rPr>
          <w:rFonts w:hAnsi="宋体"/>
          <w:color w:val="auto"/>
          <w:szCs w:val="21"/>
          <w:highlight w:val="none"/>
          <w:u w:val="single"/>
        </w:rPr>
      </w:pPr>
      <w:r>
        <w:rPr>
          <w:rFonts w:hint="eastAsia" w:hAnsi="宋体" w:cs="宋体"/>
          <w:color w:val="auto"/>
          <w:szCs w:val="24"/>
          <w:highlight w:val="none"/>
        </w:rPr>
        <w:t>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（个人CA签章）</w:t>
      </w:r>
      <w:r>
        <w:rPr>
          <w:rFonts w:hint="eastAsia" w:hAnsi="宋体"/>
          <w:color w:val="auto"/>
          <w:highlight w:val="none"/>
        </w:rPr>
        <w:t>：</w:t>
      </w:r>
    </w:p>
    <w:p w14:paraId="35C6B055">
      <w:pPr>
        <w:spacing w:line="320" w:lineRule="exact"/>
        <w:jc w:val="left"/>
        <w:rPr>
          <w:rFonts w:hAnsi="宋体"/>
          <w:color w:val="auto"/>
          <w:highlight w:val="none"/>
        </w:rPr>
      </w:pPr>
    </w:p>
    <w:p w14:paraId="0EE09709">
      <w:pPr>
        <w:spacing w:line="320" w:lineRule="exact"/>
        <w:ind w:firstLine="420" w:firstLineChars="200"/>
        <w:jc w:val="left"/>
        <w:rPr>
          <w:rFonts w:ascii="宋体" w:hAnsi="宋体"/>
          <w:color w:val="auto"/>
          <w:szCs w:val="21"/>
          <w:highlight w:val="none"/>
          <w:u w:val="single"/>
        </w:rPr>
      </w:pPr>
      <w:r>
        <w:rPr>
          <w:rFonts w:hint="eastAsia" w:hAnsi="宋体"/>
          <w:color w:val="auto"/>
          <w:highlight w:val="none"/>
        </w:rPr>
        <w:t>日期：</w:t>
      </w:r>
    </w:p>
    <w:p w14:paraId="18E3E293">
      <w:pPr>
        <w:spacing w:line="340" w:lineRule="exact"/>
        <w:ind w:firstLine="4200" w:firstLineChars="2000"/>
        <w:rPr>
          <w:color w:val="auto"/>
          <w:highlight w:val="none"/>
        </w:rPr>
      </w:pPr>
      <w:bookmarkStart w:id="320" w:name="_Toc10856"/>
      <w:bookmarkStart w:id="321" w:name="_Toc495841799"/>
    </w:p>
    <w:p w14:paraId="0918F2CA">
      <w:pPr>
        <w:spacing w:line="340" w:lineRule="exact"/>
        <w:ind w:firstLine="4200" w:firstLineChars="2000"/>
        <w:rPr>
          <w:color w:val="auto"/>
          <w:highlight w:val="none"/>
        </w:rPr>
      </w:pPr>
    </w:p>
    <w:p w14:paraId="262B5E26">
      <w:pPr>
        <w:spacing w:line="340" w:lineRule="exact"/>
        <w:ind w:firstLine="4200" w:firstLineChars="2000"/>
        <w:rPr>
          <w:color w:val="auto"/>
          <w:highlight w:val="none"/>
        </w:rPr>
      </w:pPr>
    </w:p>
    <w:p w14:paraId="013091CC">
      <w:pPr>
        <w:spacing w:line="340" w:lineRule="exact"/>
        <w:ind w:firstLine="4200" w:firstLineChars="2000"/>
        <w:rPr>
          <w:color w:val="auto"/>
          <w:highlight w:val="none"/>
        </w:rPr>
      </w:pPr>
    </w:p>
    <w:p w14:paraId="5512B91F">
      <w:pPr>
        <w:spacing w:line="340" w:lineRule="exact"/>
        <w:ind w:firstLine="4200" w:firstLineChars="2000"/>
        <w:rPr>
          <w:color w:val="auto"/>
          <w:highlight w:val="none"/>
        </w:rPr>
      </w:pPr>
    </w:p>
    <w:p w14:paraId="5C99B05C">
      <w:pPr>
        <w:spacing w:line="340" w:lineRule="exact"/>
        <w:ind w:firstLine="4200" w:firstLineChars="2000"/>
        <w:rPr>
          <w:color w:val="auto"/>
          <w:highlight w:val="none"/>
        </w:rPr>
      </w:pPr>
    </w:p>
    <w:p w14:paraId="0C17288F">
      <w:pPr>
        <w:spacing w:line="340" w:lineRule="exact"/>
        <w:ind w:firstLine="4200" w:firstLineChars="2000"/>
        <w:rPr>
          <w:color w:val="auto"/>
          <w:highlight w:val="none"/>
        </w:rPr>
      </w:pPr>
    </w:p>
    <w:p w14:paraId="13AB68F1">
      <w:pPr>
        <w:spacing w:line="340" w:lineRule="exact"/>
        <w:ind w:firstLine="4200" w:firstLineChars="2000"/>
        <w:rPr>
          <w:color w:val="auto"/>
          <w:highlight w:val="none"/>
        </w:rPr>
      </w:pPr>
    </w:p>
    <w:p w14:paraId="211F3463">
      <w:pPr>
        <w:spacing w:line="340" w:lineRule="exact"/>
        <w:ind w:firstLine="4200" w:firstLineChars="2000"/>
        <w:rPr>
          <w:color w:val="auto"/>
          <w:highlight w:val="none"/>
        </w:rPr>
      </w:pPr>
    </w:p>
    <w:p w14:paraId="5D41F589">
      <w:pPr>
        <w:spacing w:line="340" w:lineRule="exact"/>
        <w:ind w:firstLine="4200" w:firstLineChars="2000"/>
        <w:rPr>
          <w:color w:val="auto"/>
          <w:highlight w:val="none"/>
        </w:rPr>
      </w:pPr>
    </w:p>
    <w:p w14:paraId="03D3D0D3">
      <w:pPr>
        <w:spacing w:line="340" w:lineRule="exact"/>
        <w:ind w:firstLine="4200" w:firstLineChars="2000"/>
        <w:rPr>
          <w:color w:val="auto"/>
          <w:highlight w:val="none"/>
        </w:rPr>
      </w:pPr>
    </w:p>
    <w:bookmarkEnd w:id="320"/>
    <w:bookmarkEnd w:id="321"/>
    <w:p w14:paraId="099A47BB">
      <w:pPr>
        <w:rPr>
          <w:rFonts w:ascii="宋体" w:hAnsi="宋体" w:cs="宋体"/>
          <w:b/>
          <w:bCs/>
          <w:color w:val="auto"/>
          <w:sz w:val="32"/>
          <w:szCs w:val="32"/>
          <w:highlight w:val="none"/>
        </w:rPr>
      </w:pPr>
    </w:p>
    <w:p w14:paraId="0C4D30AA">
      <w:pPr>
        <w:rPr>
          <w:rFonts w:ascii="宋体" w:hAnsi="宋体" w:cs="宋体"/>
          <w:b/>
          <w:bCs/>
          <w:color w:val="auto"/>
          <w:sz w:val="32"/>
          <w:szCs w:val="32"/>
          <w:highlight w:val="none"/>
        </w:rPr>
      </w:pPr>
    </w:p>
    <w:p w14:paraId="1DC9C6D4">
      <w:pPr>
        <w:rPr>
          <w:rFonts w:ascii="宋体" w:hAnsi="宋体" w:cs="宋体"/>
          <w:b/>
          <w:bCs/>
          <w:color w:val="auto"/>
          <w:sz w:val="32"/>
          <w:szCs w:val="32"/>
          <w:highlight w:val="none"/>
        </w:rPr>
      </w:pPr>
      <w:bookmarkStart w:id="322" w:name="_Toc6517"/>
      <w:bookmarkStart w:id="323" w:name="_Toc495841802"/>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w:t>
      </w:r>
      <w:bookmarkEnd w:id="322"/>
      <w:bookmarkEnd w:id="323"/>
      <w:r>
        <w:rPr>
          <w:rFonts w:hint="eastAsia" w:ascii="宋体" w:hAnsi="宋体" w:cs="宋体"/>
          <w:b/>
          <w:bCs/>
          <w:color w:val="auto"/>
          <w:sz w:val="32"/>
          <w:szCs w:val="32"/>
          <w:highlight w:val="none"/>
        </w:rPr>
        <w:t>投标人2020年以来具有同类业绩的相关证明材料【无不良记录，以中标（成交）通知书或签订的合同复印件为准，并能清晰反映所</w:t>
      </w:r>
      <w:r>
        <w:rPr>
          <w:rFonts w:hint="eastAsia" w:ascii="宋体" w:hAnsi="宋体" w:cs="宋体"/>
          <w:b/>
          <w:bCs/>
          <w:color w:val="auto"/>
          <w:sz w:val="32"/>
          <w:szCs w:val="32"/>
          <w:highlight w:val="none"/>
          <w:lang w:val="en-US" w:eastAsia="zh-CN"/>
        </w:rPr>
        <w:t>标的</w:t>
      </w:r>
      <w:r>
        <w:rPr>
          <w:rFonts w:hint="eastAsia" w:ascii="宋体" w:hAnsi="宋体" w:cs="宋体"/>
          <w:b/>
          <w:bCs/>
          <w:color w:val="auto"/>
          <w:sz w:val="32"/>
          <w:szCs w:val="32"/>
          <w:highlight w:val="none"/>
        </w:rPr>
        <w:t>名称、种类、时间等内容】（具体以评分办法为准，如有，请提供）</w:t>
      </w:r>
    </w:p>
    <w:p w14:paraId="348887D5">
      <w:pPr>
        <w:rPr>
          <w:rFonts w:ascii="宋体" w:hAnsi="宋体" w:cs="宋体"/>
          <w:b/>
          <w:bCs/>
          <w:color w:val="auto"/>
          <w:sz w:val="32"/>
          <w:szCs w:val="32"/>
          <w:highlight w:val="none"/>
        </w:rPr>
      </w:pPr>
    </w:p>
    <w:p w14:paraId="1E4A9978">
      <w:pPr>
        <w:rPr>
          <w:rFonts w:ascii="宋体" w:hAnsi="宋体" w:cs="宋体"/>
          <w:b/>
          <w:bCs/>
          <w:color w:val="auto"/>
          <w:sz w:val="32"/>
          <w:szCs w:val="32"/>
          <w:highlight w:val="none"/>
        </w:rPr>
      </w:pPr>
      <w:bookmarkStart w:id="324" w:name="_Toc495841803"/>
      <w:bookmarkStart w:id="325" w:name="_Toc30520"/>
    </w:p>
    <w:bookmarkEnd w:id="324"/>
    <w:bookmarkEnd w:id="325"/>
    <w:p w14:paraId="6067FE04">
      <w:pPr>
        <w:rPr>
          <w:rFonts w:ascii="宋体" w:hAnsi="宋体" w:cs="宋体"/>
          <w:b/>
          <w:bCs/>
          <w:color w:val="auto"/>
          <w:sz w:val="32"/>
          <w:szCs w:val="32"/>
          <w:highlight w:val="none"/>
        </w:rPr>
      </w:pPr>
    </w:p>
    <w:p w14:paraId="0639575D">
      <w:pPr>
        <w:rPr>
          <w:rFonts w:ascii="宋体" w:hAnsi="宋体" w:cs="宋体"/>
          <w:b/>
          <w:bCs/>
          <w:color w:val="auto"/>
          <w:sz w:val="32"/>
          <w:szCs w:val="32"/>
          <w:highlight w:val="none"/>
        </w:rPr>
      </w:pPr>
    </w:p>
    <w:p w14:paraId="49D0B984">
      <w:pPr>
        <w:rPr>
          <w:rFonts w:ascii="宋体" w:hAnsi="宋体" w:cs="宋体"/>
          <w:b/>
          <w:bCs/>
          <w:color w:val="auto"/>
          <w:sz w:val="32"/>
          <w:szCs w:val="32"/>
          <w:highlight w:val="none"/>
        </w:rPr>
      </w:pPr>
      <w:bookmarkStart w:id="326" w:name="_Toc14735"/>
      <w:bookmarkStart w:id="327" w:name="_Toc495841807"/>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.投标人可结合本项目的评标办法视自身情况自行提交相关证明材料（如有，请提供）</w:t>
      </w:r>
      <w:bookmarkEnd w:id="326"/>
      <w:bookmarkEnd w:id="327"/>
      <w:r>
        <w:rPr>
          <w:rFonts w:hint="eastAsia" w:ascii="宋体" w:hAnsi="宋体" w:cs="宋体"/>
          <w:b/>
          <w:bCs/>
          <w:color w:val="auto"/>
          <w:sz w:val="32"/>
          <w:szCs w:val="32"/>
          <w:highlight w:val="none"/>
        </w:rPr>
        <w:t>。</w:t>
      </w:r>
    </w:p>
    <w:p w14:paraId="08A854C8">
      <w:pPr>
        <w:pStyle w:val="50"/>
        <w:rPr>
          <w:color w:val="auto"/>
          <w:highlight w:val="none"/>
        </w:rPr>
      </w:pPr>
    </w:p>
    <w:p w14:paraId="02C9277E">
      <w:pPr>
        <w:widowControl/>
        <w:jc w:val="left"/>
        <w:rPr>
          <w:color w:val="auto"/>
          <w:highlight w:val="none"/>
        </w:rPr>
      </w:pPr>
      <w:r>
        <w:rPr>
          <w:color w:val="auto"/>
          <w:highlight w:val="none"/>
        </w:rPr>
        <w:br w:type="page"/>
      </w:r>
    </w:p>
    <w:p w14:paraId="526100B6">
      <w:pPr>
        <w:pStyle w:val="17"/>
        <w:snapToGrid w:val="0"/>
        <w:rPr>
          <w:rFonts w:hAnsi="宋体"/>
          <w:b/>
          <w:color w:val="auto"/>
          <w:sz w:val="24"/>
          <w:szCs w:val="24"/>
          <w:highlight w:val="none"/>
        </w:rPr>
      </w:pPr>
      <w:r>
        <w:rPr>
          <w:rFonts w:hint="eastAsia" w:hAnsi="宋体"/>
          <w:b/>
          <w:color w:val="auto"/>
          <w:sz w:val="24"/>
          <w:szCs w:val="24"/>
          <w:highlight w:val="none"/>
        </w:rPr>
        <w:t>附表1：</w:t>
      </w:r>
    </w:p>
    <w:p w14:paraId="530A80B4">
      <w:pPr>
        <w:spacing w:line="460" w:lineRule="exact"/>
        <w:jc w:val="center"/>
        <w:rPr>
          <w:rFonts w:ascii="宋体" w:hAnsi="宋体"/>
          <w:color w:val="auto"/>
          <w:sz w:val="44"/>
          <w:highlight w:val="none"/>
        </w:rPr>
      </w:pPr>
      <w:r>
        <w:rPr>
          <w:rFonts w:hint="eastAsia" w:ascii="宋体" w:hAnsi="宋体"/>
          <w:color w:val="auto"/>
          <w:sz w:val="44"/>
          <w:highlight w:val="none"/>
        </w:rPr>
        <w:t>质疑函（格式）</w:t>
      </w:r>
    </w:p>
    <w:p w14:paraId="5F258C1B">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1E6521AB">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质疑供应商：</w:t>
      </w:r>
      <w:r>
        <w:rPr>
          <w:rFonts w:hAnsi="宋体"/>
          <w:bCs/>
          <w:color w:val="auto"/>
          <w:highlight w:val="none"/>
          <w:u w:val="single"/>
        </w:rPr>
        <w:t>    </w:t>
      </w:r>
    </w:p>
    <w:p w14:paraId="44CCF917">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869B027">
      <w:pPr>
        <w:pStyle w:val="17"/>
        <w:snapToGrid w:val="0"/>
        <w:spacing w:line="320" w:lineRule="exact"/>
        <w:ind w:firstLine="420" w:firstLineChars="200"/>
        <w:rPr>
          <w:rFonts w:hAnsi="宋体"/>
          <w:bCs/>
          <w:color w:val="auto"/>
          <w:highlight w:val="none"/>
          <w:u w:val="singl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2B20311E">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u w:val="single"/>
        </w:rPr>
        <w:t>      </w:t>
      </w:r>
      <w:r>
        <w:rPr>
          <w:rFonts w:hAnsi="宋体"/>
          <w:bCs/>
          <w:color w:val="auto"/>
          <w:highlight w:val="none"/>
        </w:rPr>
        <w:t>       联系</w:t>
      </w:r>
      <w:r>
        <w:rPr>
          <w:rFonts w:hint="eastAsia" w:hAnsi="宋体"/>
          <w:bCs/>
          <w:color w:val="auto"/>
          <w:highlight w:val="none"/>
        </w:rPr>
        <w:t>电话：</w:t>
      </w:r>
      <w:r>
        <w:rPr>
          <w:rFonts w:hAnsi="宋体"/>
          <w:bCs/>
          <w:color w:val="auto"/>
          <w:highlight w:val="none"/>
          <w:u w:val="single"/>
        </w:rPr>
        <w:t>  </w:t>
      </w:r>
    </w:p>
    <w:p w14:paraId="2280C50F">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3A77E2F8">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 xml:space="preserve">二、质疑项目基本情况： </w:t>
      </w:r>
    </w:p>
    <w:p w14:paraId="1E60412F">
      <w:pPr>
        <w:pStyle w:val="17"/>
        <w:spacing w:line="320" w:lineRule="exact"/>
        <w:ind w:left="25" w:leftChars="12" w:firstLine="41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Ansi="宋体"/>
          <w:bCs/>
          <w:color w:val="auto"/>
          <w:highlight w:val="none"/>
          <w:u w:val="single"/>
        </w:rPr>
        <w:t>               </w:t>
      </w:r>
    </w:p>
    <w:p w14:paraId="39DAABAD">
      <w:pPr>
        <w:pStyle w:val="17"/>
        <w:spacing w:line="320" w:lineRule="exact"/>
        <w:ind w:left="25" w:leftChars="12" w:firstLine="413" w:firstLineChars="197"/>
        <w:rPr>
          <w:rFonts w:hAnsi="宋体"/>
          <w:bCs/>
          <w:color w:val="auto"/>
          <w:highlight w:val="none"/>
          <w:u w:val="single"/>
        </w:rPr>
      </w:pPr>
      <w:r>
        <w:rPr>
          <w:rFonts w:hint="eastAsia" w:hAnsi="宋体"/>
          <w:bCs/>
          <w:color w:val="auto"/>
          <w:highlight w:val="none"/>
        </w:rPr>
        <w:t>质疑</w:t>
      </w:r>
      <w:r>
        <w:rPr>
          <w:rFonts w:hint="eastAsia" w:hAnsi="宋体"/>
          <w:color w:val="auto"/>
          <w:szCs w:val="21"/>
          <w:highlight w:val="none"/>
        </w:rPr>
        <w:t>项目的编号：</w:t>
      </w:r>
      <w:r>
        <w:rPr>
          <w:rFonts w:hAnsi="宋体"/>
          <w:bCs/>
          <w:color w:val="auto"/>
          <w:highlight w:val="none"/>
          <w:u w:val="single"/>
        </w:rPr>
        <w:t>  </w:t>
      </w:r>
    </w:p>
    <w:p w14:paraId="0BFF934C">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09DE237">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质疑事项：</w:t>
      </w:r>
    </w:p>
    <w:p w14:paraId="5B9B3FDF">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谈判文件   采购文件获取日期：</w:t>
      </w:r>
      <w:r>
        <w:rPr>
          <w:rFonts w:hAnsi="宋体"/>
          <w:bCs/>
          <w:color w:val="auto"/>
          <w:highlight w:val="none"/>
          <w:u w:val="single"/>
        </w:rPr>
        <w:t>    </w:t>
      </w:r>
    </w:p>
    <w:p w14:paraId="2B4731A8">
      <w:pPr>
        <w:pStyle w:val="17"/>
        <w:spacing w:line="320" w:lineRule="exact"/>
        <w:ind w:left="25" w:leftChars="12" w:firstLine="441" w:firstLineChars="147"/>
        <w:rPr>
          <w:rFonts w:hAnsi="宋体"/>
          <w:color w:val="auto"/>
          <w:szCs w:val="21"/>
          <w:highlight w:val="none"/>
        </w:rPr>
      </w:pPr>
      <w:r>
        <w:rPr>
          <w:rFonts w:hint="eastAsia" w:hAnsi="宋体"/>
          <w:color w:val="auto"/>
          <w:sz w:val="30"/>
          <w:szCs w:val="30"/>
          <w:highlight w:val="none"/>
        </w:rPr>
        <w:t>□</w:t>
      </w:r>
      <w:r>
        <w:rPr>
          <w:rFonts w:hint="eastAsia" w:hAnsi="宋体"/>
          <w:color w:val="auto"/>
          <w:szCs w:val="21"/>
          <w:highlight w:val="none"/>
        </w:rPr>
        <w:t xml:space="preserve">采购过程   </w:t>
      </w:r>
    </w:p>
    <w:p w14:paraId="4D744A85">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 xml:space="preserve">成交结果   </w:t>
      </w:r>
    </w:p>
    <w:p w14:paraId="3CE3E98C">
      <w:pPr>
        <w:pStyle w:val="17"/>
        <w:spacing w:line="320" w:lineRule="exact"/>
        <w:ind w:left="25" w:leftChars="12" w:firstLine="413" w:firstLineChars="196"/>
        <w:rPr>
          <w:rFonts w:hAnsi="宋体"/>
          <w:b/>
          <w:color w:val="auto"/>
          <w:szCs w:val="21"/>
          <w:highlight w:val="none"/>
        </w:rPr>
      </w:pPr>
      <w:r>
        <w:rPr>
          <w:rFonts w:hint="eastAsia" w:hAnsi="宋体"/>
          <w:b/>
          <w:color w:val="auto"/>
          <w:szCs w:val="21"/>
          <w:highlight w:val="none"/>
        </w:rPr>
        <w:t>三、质疑事项具体内容</w:t>
      </w:r>
    </w:p>
    <w:p w14:paraId="179C583A">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质疑事项1：</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057456D3">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事实依据：</w:t>
      </w:r>
      <w:r>
        <w:rPr>
          <w:rFonts w:hAnsi="宋体"/>
          <w:bCs/>
          <w:color w:val="auto"/>
          <w:highlight w:val="none"/>
          <w:u w:val="single"/>
        </w:rPr>
        <w:t>                      </w:t>
      </w:r>
    </w:p>
    <w:p w14:paraId="3959C99E">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法律依据：</w:t>
      </w:r>
      <w:r>
        <w:rPr>
          <w:rFonts w:hAnsi="宋体"/>
          <w:bCs/>
          <w:color w:val="auto"/>
          <w:highlight w:val="none"/>
          <w:u w:val="single"/>
        </w:rPr>
        <w:t>          </w:t>
      </w:r>
    </w:p>
    <w:p w14:paraId="56E1CF44">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质疑事项2：</w:t>
      </w:r>
      <w:r>
        <w:rPr>
          <w:rFonts w:hAnsi="宋体"/>
          <w:bCs/>
          <w:color w:val="auto"/>
          <w:highlight w:val="none"/>
          <w:u w:val="single"/>
        </w:rPr>
        <w:t>          </w:t>
      </w:r>
    </w:p>
    <w:p w14:paraId="660D03CD">
      <w:pPr>
        <w:pStyle w:val="17"/>
        <w:spacing w:line="320" w:lineRule="exact"/>
        <w:ind w:left="25" w:leftChars="12" w:firstLine="413" w:firstLineChars="197"/>
        <w:rPr>
          <w:rFonts w:hAnsi="宋体"/>
          <w:color w:val="auto"/>
          <w:szCs w:val="21"/>
          <w:highlight w:val="none"/>
        </w:rPr>
      </w:pPr>
      <w:r>
        <w:rPr>
          <w:rFonts w:hAnsi="宋体"/>
          <w:color w:val="auto"/>
          <w:szCs w:val="21"/>
          <w:highlight w:val="none"/>
        </w:rPr>
        <w:t>……</w:t>
      </w:r>
    </w:p>
    <w:p w14:paraId="1B3883B5">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四、与质疑事项相关的质疑请求：</w:t>
      </w:r>
    </w:p>
    <w:p w14:paraId="5309CC18">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12362C8B">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7C07193">
      <w:pPr>
        <w:pStyle w:val="17"/>
        <w:spacing w:line="32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DE82F03">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567E9AF4">
      <w:pPr>
        <w:pStyle w:val="17"/>
        <w:snapToGrid w:val="0"/>
        <w:spacing w:line="320" w:lineRule="exact"/>
        <w:rPr>
          <w:rFonts w:hAnsi="宋体"/>
          <w:b/>
          <w:color w:val="auto"/>
          <w:szCs w:val="21"/>
          <w:highlight w:val="none"/>
        </w:rPr>
      </w:pPr>
    </w:p>
    <w:p w14:paraId="71583825">
      <w:pPr>
        <w:pStyle w:val="17"/>
        <w:snapToGrid w:val="0"/>
        <w:spacing w:line="320" w:lineRule="exact"/>
        <w:rPr>
          <w:rFonts w:hAnsi="宋体"/>
          <w:b/>
          <w:color w:val="auto"/>
          <w:szCs w:val="21"/>
          <w:highlight w:val="none"/>
        </w:rPr>
      </w:pPr>
      <w:r>
        <w:rPr>
          <w:rFonts w:hint="eastAsia" w:hAnsi="宋体"/>
          <w:b/>
          <w:color w:val="auto"/>
          <w:szCs w:val="21"/>
          <w:highlight w:val="none"/>
        </w:rPr>
        <w:t>说明：</w:t>
      </w:r>
    </w:p>
    <w:p w14:paraId="5E6727A4">
      <w:pPr>
        <w:pStyle w:val="17"/>
        <w:spacing w:line="320" w:lineRule="exact"/>
        <w:ind w:left="25" w:leftChars="12" w:firstLine="310"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3F161B8A">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3717D9">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3.质疑函的质疑事项应具体、明确，并有必要的事实依据和法律依据。</w:t>
      </w:r>
    </w:p>
    <w:p w14:paraId="3170C406">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4.质疑函的质疑请求应与质疑事项相关。</w:t>
      </w:r>
    </w:p>
    <w:p w14:paraId="7D3E2EB9">
      <w:pPr>
        <w:pStyle w:val="17"/>
        <w:spacing w:line="320" w:lineRule="exact"/>
        <w:ind w:left="25" w:leftChars="12" w:firstLine="310" w:firstLineChars="147"/>
        <w:rPr>
          <w:rFonts w:hAnsi="宋体"/>
          <w:b/>
          <w:bCs/>
          <w:color w:val="auto"/>
          <w:highlight w:val="none"/>
        </w:rPr>
      </w:pPr>
      <w:r>
        <w:rPr>
          <w:rFonts w:hAnsi="宋体"/>
          <w:b/>
          <w:bCs/>
          <w:color w:val="auto"/>
          <w:highlight w:val="none"/>
        </w:rPr>
        <w:t>5.</w:t>
      </w:r>
      <w:r>
        <w:rPr>
          <w:rFonts w:hint="eastAsia" w:hAnsi="宋体"/>
          <w:b/>
          <w:bCs/>
          <w:color w:val="auto"/>
          <w:highlight w:val="none"/>
        </w:rPr>
        <w:t>质疑供应商为法人或者其他组织的，质疑函应由法定代表人、主要负责人，或者其授权代表签字或者盖章，并加盖公章。</w:t>
      </w:r>
    </w:p>
    <w:p w14:paraId="75C522FA">
      <w:pPr>
        <w:pStyle w:val="17"/>
        <w:snapToGrid w:val="0"/>
        <w:rPr>
          <w:rFonts w:hAnsi="宋体"/>
          <w:b/>
          <w:color w:val="auto"/>
          <w:sz w:val="24"/>
          <w:szCs w:val="24"/>
          <w:highlight w:val="none"/>
        </w:rPr>
      </w:pPr>
      <w:r>
        <w:rPr>
          <w:rFonts w:hAnsi="宋体"/>
          <w:b/>
          <w:color w:val="auto"/>
          <w:sz w:val="24"/>
          <w:szCs w:val="24"/>
          <w:highlight w:val="none"/>
        </w:rPr>
        <w:br w:type="page"/>
      </w:r>
      <w:r>
        <w:rPr>
          <w:rFonts w:hint="eastAsia" w:hAnsi="宋体"/>
          <w:b/>
          <w:color w:val="auto"/>
          <w:sz w:val="24"/>
          <w:szCs w:val="24"/>
          <w:highlight w:val="none"/>
        </w:rPr>
        <w:t>附表2：</w:t>
      </w:r>
    </w:p>
    <w:p w14:paraId="38402F49">
      <w:pPr>
        <w:spacing w:line="460" w:lineRule="exact"/>
        <w:jc w:val="center"/>
        <w:rPr>
          <w:rFonts w:ascii="宋体" w:hAnsi="宋体"/>
          <w:color w:val="auto"/>
          <w:sz w:val="44"/>
          <w:highlight w:val="none"/>
        </w:rPr>
      </w:pPr>
    </w:p>
    <w:p w14:paraId="3C150072">
      <w:pPr>
        <w:spacing w:line="460" w:lineRule="exact"/>
        <w:jc w:val="center"/>
        <w:rPr>
          <w:rFonts w:ascii="宋体" w:hAnsi="宋体"/>
          <w:color w:val="auto"/>
          <w:sz w:val="44"/>
          <w:highlight w:val="none"/>
        </w:rPr>
      </w:pPr>
      <w:r>
        <w:rPr>
          <w:rFonts w:hint="eastAsia" w:ascii="宋体" w:hAnsi="宋体"/>
          <w:color w:val="auto"/>
          <w:sz w:val="44"/>
          <w:highlight w:val="none"/>
        </w:rPr>
        <w:t>投诉书（格式）</w:t>
      </w:r>
    </w:p>
    <w:p w14:paraId="0E6C63EE">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1DE00832">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投标人：</w:t>
      </w:r>
      <w:r>
        <w:rPr>
          <w:rFonts w:hAnsi="宋体"/>
          <w:bCs/>
          <w:color w:val="auto"/>
          <w:highlight w:val="none"/>
          <w:u w:val="single"/>
        </w:rPr>
        <w:t>             </w:t>
      </w:r>
    </w:p>
    <w:p w14:paraId="5F7D1BDB">
      <w:pPr>
        <w:pStyle w:val="17"/>
        <w:snapToGrid w:val="0"/>
        <w:spacing w:line="400" w:lineRule="exact"/>
        <w:ind w:firstLine="42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723F88A5">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法定代表人/主要负责人：</w:t>
      </w:r>
      <w:r>
        <w:rPr>
          <w:rFonts w:hAnsi="宋体"/>
          <w:bCs/>
          <w:color w:val="auto"/>
          <w:highlight w:val="none"/>
          <w:u w:val="single"/>
        </w:rPr>
        <w:t>     </w:t>
      </w:r>
    </w:p>
    <w:p w14:paraId="6BFF283E">
      <w:pPr>
        <w:pStyle w:val="17"/>
        <w:snapToGrid w:val="0"/>
        <w:spacing w:line="400" w:lineRule="exact"/>
        <w:ind w:firstLine="420" w:firstLineChars="200"/>
        <w:rPr>
          <w:rFonts w:hAnsi="宋体"/>
          <w:bCs/>
          <w:color w:val="auto"/>
          <w:highlight w:val="none"/>
          <w:u w:val="single"/>
        </w:rPr>
      </w:pP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7FF215C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046C5D19">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5EA00C16">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被投诉人1：</w:t>
      </w:r>
      <w:r>
        <w:rPr>
          <w:rFonts w:hAnsi="宋体"/>
          <w:bCs/>
          <w:color w:val="auto"/>
          <w:highlight w:val="none"/>
          <w:u w:val="single"/>
        </w:rPr>
        <w:t>                  </w:t>
      </w:r>
    </w:p>
    <w:p w14:paraId="36ED4ADE">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6AE64F29">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2CC041EB">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被投诉人2：</w:t>
      </w:r>
    </w:p>
    <w:p w14:paraId="3A021202">
      <w:pPr>
        <w:pStyle w:val="17"/>
        <w:snapToGrid w:val="0"/>
        <w:spacing w:line="400" w:lineRule="exact"/>
        <w:ind w:firstLine="420" w:firstLineChars="200"/>
        <w:rPr>
          <w:rFonts w:hAnsi="宋体"/>
          <w:bCs/>
          <w:color w:val="auto"/>
          <w:highlight w:val="none"/>
        </w:rPr>
      </w:pPr>
      <w:r>
        <w:rPr>
          <w:rFonts w:hAnsi="宋体"/>
          <w:bCs/>
          <w:color w:val="auto"/>
          <w:highlight w:val="none"/>
        </w:rPr>
        <w:t>……</w:t>
      </w:r>
    </w:p>
    <w:p w14:paraId="51F2F95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相关供应商：</w:t>
      </w:r>
    </w:p>
    <w:p w14:paraId="5B17CE6C">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4BF84B8F">
      <w:pPr>
        <w:pStyle w:val="17"/>
        <w:snapToGrid w:val="0"/>
        <w:spacing w:line="40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6090FB53">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二、投诉项目基本情况：</w:t>
      </w:r>
    </w:p>
    <w:p w14:paraId="4FB01478">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项目的名称：</w:t>
      </w:r>
      <w:r>
        <w:rPr>
          <w:rFonts w:hAnsi="宋体"/>
          <w:bCs/>
          <w:color w:val="auto"/>
          <w:highlight w:val="none"/>
          <w:u w:val="single"/>
        </w:rPr>
        <w:t>        </w:t>
      </w:r>
    </w:p>
    <w:p w14:paraId="25F548C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项目的编号：</w:t>
      </w:r>
      <w:r>
        <w:rPr>
          <w:rFonts w:hAnsi="宋体"/>
          <w:bCs/>
          <w:color w:val="auto"/>
          <w:highlight w:val="none"/>
          <w:u w:val="single"/>
        </w:rPr>
        <w:t>         </w:t>
      </w:r>
    </w:p>
    <w:p w14:paraId="0C79C602">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313EAB11">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代理机构名称：</w:t>
      </w:r>
      <w:r>
        <w:rPr>
          <w:rFonts w:hAnsi="宋体"/>
          <w:bCs/>
          <w:color w:val="auto"/>
          <w:highlight w:val="none"/>
          <w:u w:val="single"/>
        </w:rPr>
        <w:t>          </w:t>
      </w:r>
    </w:p>
    <w:p w14:paraId="10641E6D">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1632EBE8">
      <w:pPr>
        <w:pStyle w:val="17"/>
        <w:spacing w:line="400" w:lineRule="exact"/>
        <w:ind w:left="25" w:leftChars="12" w:firstLine="41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423F0043">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三、质疑基本情况</w:t>
      </w:r>
    </w:p>
    <w:p w14:paraId="58C5C176">
      <w:pPr>
        <w:pStyle w:val="17"/>
        <w:spacing w:line="400" w:lineRule="exact"/>
        <w:ind w:left="25" w:leftChars="12" w:firstLine="833" w:firstLineChars="397"/>
        <w:rPr>
          <w:rFonts w:hAnsi="宋体"/>
          <w:color w:val="auto"/>
          <w:szCs w:val="21"/>
          <w:highlight w:val="none"/>
        </w:rPr>
      </w:pPr>
      <w:r>
        <w:rPr>
          <w:rFonts w:hint="eastAsia" w:hAnsi="宋体"/>
          <w:color w:val="auto"/>
          <w:szCs w:val="21"/>
          <w:highlight w:val="none"/>
        </w:rPr>
        <w:t>投诉人于年月日，向提出质疑，质疑事项为：</w:t>
      </w:r>
    </w:p>
    <w:p w14:paraId="7810F472">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28B6C3C7">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48AE08DF">
      <w:pPr>
        <w:pStyle w:val="17"/>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 xml:space="preserve">就质疑事项作出了答复/没有在法定期限内作出答复。                                                                                             </w:t>
      </w:r>
    </w:p>
    <w:p w14:paraId="22EBD8E7">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四、投诉事项具体内容</w:t>
      </w:r>
    </w:p>
    <w:p w14:paraId="6A88FE7C">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投诉事项1：</w:t>
      </w:r>
      <w:r>
        <w:rPr>
          <w:rFonts w:hAnsi="宋体"/>
          <w:bCs/>
          <w:color w:val="auto"/>
          <w:highlight w:val="none"/>
          <w:u w:val="single"/>
        </w:rPr>
        <w:t>              </w:t>
      </w:r>
    </w:p>
    <w:p w14:paraId="1EC6DF9D">
      <w:pPr>
        <w:pStyle w:val="17"/>
        <w:spacing w:line="400" w:lineRule="exact"/>
        <w:ind w:firstLine="420" w:firstLineChars="200"/>
        <w:rPr>
          <w:rFonts w:hAnsi="宋体"/>
          <w:bCs/>
          <w:color w:val="auto"/>
          <w:highlight w:val="none"/>
          <w:u w:val="single"/>
        </w:rPr>
      </w:pPr>
      <w:r>
        <w:rPr>
          <w:rFonts w:hint="eastAsia" w:hAnsi="宋体"/>
          <w:bCs/>
          <w:color w:val="auto"/>
          <w:highlight w:val="none"/>
        </w:rPr>
        <w:t>事实依据：</w:t>
      </w:r>
      <w:r>
        <w:rPr>
          <w:rFonts w:hAnsi="宋体"/>
          <w:bCs/>
          <w:color w:val="auto"/>
          <w:highlight w:val="none"/>
          <w:u w:val="single"/>
        </w:rPr>
        <w:t>              </w:t>
      </w:r>
    </w:p>
    <w:p w14:paraId="675590C5">
      <w:pPr>
        <w:pStyle w:val="17"/>
        <w:spacing w:line="400" w:lineRule="exact"/>
        <w:ind w:firstLine="420" w:firstLineChars="200"/>
        <w:rPr>
          <w:rFonts w:hAnsi="宋体"/>
          <w:color w:val="auto"/>
          <w:szCs w:val="21"/>
          <w:highlight w:val="none"/>
        </w:rPr>
      </w:pPr>
      <w:r>
        <w:rPr>
          <w:rFonts w:hAnsi="宋体"/>
          <w:bCs/>
          <w:color w:val="auto"/>
          <w:highlight w:val="none"/>
          <w:u w:val="single"/>
        </w:rPr>
        <w:t>              </w:t>
      </w:r>
    </w:p>
    <w:p w14:paraId="2ECE3F1E">
      <w:pPr>
        <w:pStyle w:val="17"/>
        <w:spacing w:line="400" w:lineRule="exact"/>
        <w:ind w:firstLine="420" w:firstLineChars="200"/>
        <w:rPr>
          <w:rFonts w:hAnsi="宋体"/>
          <w:bCs/>
          <w:color w:val="auto"/>
          <w:highlight w:val="none"/>
          <w:u w:val="single"/>
        </w:rPr>
      </w:pPr>
      <w:r>
        <w:rPr>
          <w:rFonts w:hint="eastAsia" w:hAnsi="宋体"/>
          <w:bCs/>
          <w:color w:val="auto"/>
          <w:highlight w:val="none"/>
        </w:rPr>
        <w:t>法律依据：</w:t>
      </w:r>
      <w:r>
        <w:rPr>
          <w:rFonts w:hAnsi="宋体"/>
          <w:bCs/>
          <w:color w:val="auto"/>
          <w:highlight w:val="none"/>
          <w:u w:val="single"/>
        </w:rPr>
        <w:t>              </w:t>
      </w:r>
    </w:p>
    <w:p w14:paraId="1E1F4476">
      <w:pPr>
        <w:pStyle w:val="17"/>
        <w:spacing w:line="400" w:lineRule="exact"/>
        <w:ind w:firstLine="420" w:firstLineChars="200"/>
        <w:rPr>
          <w:rFonts w:hAnsi="宋体"/>
          <w:bCs/>
          <w:color w:val="auto"/>
          <w:highlight w:val="none"/>
          <w:u w:val="single"/>
        </w:rPr>
      </w:pPr>
      <w:r>
        <w:rPr>
          <w:rFonts w:hAnsi="宋体"/>
          <w:bCs/>
          <w:color w:val="auto"/>
          <w:highlight w:val="none"/>
          <w:u w:val="single"/>
        </w:rPr>
        <w:t>              </w:t>
      </w:r>
    </w:p>
    <w:p w14:paraId="5716C8CB">
      <w:pPr>
        <w:pStyle w:val="17"/>
        <w:spacing w:line="400" w:lineRule="exact"/>
        <w:ind w:firstLine="420" w:firstLineChars="200"/>
        <w:rPr>
          <w:rFonts w:hAnsi="宋体"/>
          <w:bCs/>
          <w:color w:val="auto"/>
          <w:highlight w:val="none"/>
        </w:rPr>
      </w:pPr>
      <w:r>
        <w:rPr>
          <w:rFonts w:hint="eastAsia" w:hAnsi="宋体"/>
          <w:color w:val="auto"/>
          <w:szCs w:val="21"/>
          <w:highlight w:val="none"/>
        </w:rPr>
        <w:t>投诉事项2：</w:t>
      </w:r>
      <w:r>
        <w:rPr>
          <w:rFonts w:hAnsi="宋体"/>
          <w:bCs/>
          <w:color w:val="auto"/>
          <w:highlight w:val="none"/>
          <w:u w:val="single"/>
        </w:rPr>
        <w:t>              </w:t>
      </w:r>
    </w:p>
    <w:p w14:paraId="3AA03524">
      <w:pPr>
        <w:pStyle w:val="17"/>
        <w:spacing w:line="400" w:lineRule="exact"/>
        <w:ind w:left="25" w:leftChars="12" w:firstLine="413" w:firstLineChars="197"/>
        <w:rPr>
          <w:rFonts w:hAnsi="宋体"/>
          <w:bCs/>
          <w:color w:val="auto"/>
          <w:highlight w:val="none"/>
        </w:rPr>
      </w:pPr>
      <w:r>
        <w:rPr>
          <w:rFonts w:hAnsi="宋体"/>
          <w:bCs/>
          <w:color w:val="auto"/>
          <w:highlight w:val="none"/>
        </w:rPr>
        <w:t>……</w:t>
      </w:r>
    </w:p>
    <w:p w14:paraId="46CBADA6">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五、与投诉事项相关的投诉请求：</w:t>
      </w:r>
    </w:p>
    <w:p w14:paraId="45D871F3">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p>
    <w:p w14:paraId="1D6E05AE">
      <w:pPr>
        <w:pStyle w:val="17"/>
        <w:spacing w:line="400" w:lineRule="exact"/>
        <w:ind w:left="25" w:leftChars="12" w:firstLine="308" w:firstLineChars="147"/>
        <w:rPr>
          <w:rFonts w:hAnsi="宋体"/>
          <w:color w:val="auto"/>
          <w:szCs w:val="21"/>
          <w:highlight w:val="none"/>
        </w:rPr>
      </w:pPr>
      <w:r>
        <w:rPr>
          <w:rFonts w:hAnsi="宋体"/>
          <w:bCs/>
          <w:color w:val="auto"/>
          <w:highlight w:val="none"/>
          <w:u w:val="single"/>
        </w:rPr>
        <w:t>             </w:t>
      </w:r>
    </w:p>
    <w:p w14:paraId="19508964">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0CBF727D">
      <w:pPr>
        <w:pStyle w:val="17"/>
        <w:spacing w:line="40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4B94A43D">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2EEA60C2">
      <w:pPr>
        <w:pStyle w:val="17"/>
        <w:spacing w:line="360" w:lineRule="exact"/>
        <w:ind w:left="25" w:leftChars="12" w:firstLine="413" w:firstLineChars="197"/>
        <w:rPr>
          <w:rFonts w:hAnsi="宋体"/>
          <w:color w:val="auto"/>
          <w:szCs w:val="21"/>
          <w:highlight w:val="none"/>
        </w:rPr>
      </w:pPr>
    </w:p>
    <w:p w14:paraId="5369FA53">
      <w:pPr>
        <w:pStyle w:val="17"/>
        <w:snapToGrid w:val="0"/>
        <w:spacing w:line="340" w:lineRule="exact"/>
        <w:rPr>
          <w:rFonts w:hAnsi="宋体"/>
          <w:b/>
          <w:color w:val="auto"/>
          <w:szCs w:val="21"/>
          <w:highlight w:val="none"/>
        </w:rPr>
      </w:pPr>
    </w:p>
    <w:p w14:paraId="0447AB1F">
      <w:pPr>
        <w:pStyle w:val="17"/>
        <w:snapToGrid w:val="0"/>
        <w:spacing w:line="340" w:lineRule="exact"/>
        <w:rPr>
          <w:rFonts w:hAnsi="宋体"/>
          <w:b/>
          <w:color w:val="auto"/>
          <w:szCs w:val="21"/>
          <w:highlight w:val="none"/>
        </w:rPr>
      </w:pPr>
      <w:r>
        <w:rPr>
          <w:rFonts w:hint="eastAsia" w:hAnsi="宋体"/>
          <w:b/>
          <w:color w:val="auto"/>
          <w:szCs w:val="21"/>
          <w:highlight w:val="none"/>
        </w:rPr>
        <w:t>说明：</w:t>
      </w:r>
    </w:p>
    <w:p w14:paraId="6BE57F76">
      <w:pPr>
        <w:pStyle w:val="17"/>
        <w:spacing w:line="340" w:lineRule="exact"/>
        <w:ind w:left="25" w:leftChars="12" w:firstLine="310"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r>
        <w:rPr>
          <w:rFonts w:hint="eastAsia" w:hAnsi="宋体"/>
          <w:b/>
          <w:bCs/>
          <w:color w:val="auto"/>
          <w:highlight w:val="none"/>
        </w:rPr>
        <w:t>。</w:t>
      </w:r>
    </w:p>
    <w:p w14:paraId="0BACBB96">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11E9E2">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3.投诉书应简要列明质疑事项，质疑函、质疑答复等作为附件材料提供。</w:t>
      </w:r>
    </w:p>
    <w:p w14:paraId="357533CC">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4.投诉书的投诉事项应具体、明确，并有必要的事实依据和法律依据。</w:t>
      </w:r>
    </w:p>
    <w:p w14:paraId="1A831123">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5.投诉书的投诉请求应与投诉事项相关。</w:t>
      </w:r>
    </w:p>
    <w:p w14:paraId="2CF59E78">
      <w:pPr>
        <w:rPr>
          <w:rFonts w:ascii="宋体" w:hAnsi="宋体"/>
          <w:b/>
          <w:bCs/>
          <w:color w:val="auto"/>
          <w:highlight w:val="none"/>
        </w:rPr>
      </w:pPr>
      <w:r>
        <w:rPr>
          <w:rFonts w:ascii="宋体" w:hAnsi="宋体"/>
          <w:b/>
          <w:color w:val="auto"/>
          <w:szCs w:val="21"/>
          <w:highlight w:val="none"/>
        </w:rPr>
        <w:t>6.</w:t>
      </w:r>
      <w:r>
        <w:rPr>
          <w:rFonts w:hint="eastAsia" w:ascii="宋体" w:hAnsi="宋体"/>
          <w:b/>
          <w:bCs/>
          <w:color w:val="auto"/>
          <w:highlight w:val="none"/>
        </w:rPr>
        <w:t>投诉人为法人或者其他组织的，投诉书应由法定代表人、主要负责人，或者其授权代表签字或者盖章，并加盖公章。</w:t>
      </w:r>
    </w:p>
    <w:p w14:paraId="721F1E6A">
      <w:pPr>
        <w:widowControl/>
        <w:jc w:val="left"/>
        <w:rPr>
          <w:color w:val="auto"/>
          <w:highlight w:val="none"/>
        </w:rPr>
      </w:pPr>
    </w:p>
    <w:sectPr>
      <w:footerReference r:id="rId3" w:type="default"/>
      <w:pgSz w:w="11906" w:h="16838"/>
      <w:pgMar w:top="1440" w:right="1077" w:bottom="1440"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70E8">
    <w:pPr>
      <w:pStyle w:val="2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7B4341">
                <w:pPr>
                  <w:pStyle w:val="21"/>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911D2"/>
    <w:multiLevelType w:val="singleLevel"/>
    <w:tmpl w:val="8DB911D2"/>
    <w:lvl w:ilvl="0" w:tentative="0">
      <w:start w:val="4"/>
      <w:numFmt w:val="decimal"/>
      <w:suff w:val="space"/>
      <w:lvlText w:val="%1."/>
      <w:lvlJc w:val="left"/>
    </w:lvl>
  </w:abstractNum>
  <w:abstractNum w:abstractNumId="1">
    <w:nsid w:val="AC0B2570"/>
    <w:multiLevelType w:val="singleLevel"/>
    <w:tmpl w:val="AC0B2570"/>
    <w:lvl w:ilvl="0" w:tentative="0">
      <w:start w:val="4"/>
      <w:numFmt w:val="chineseCounting"/>
      <w:suff w:val="space"/>
      <w:lvlText w:val="第%1章"/>
      <w:lvlJc w:val="left"/>
      <w:rPr>
        <w:rFonts w:hint="eastAsia"/>
      </w:rPr>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xNzUwMzM1MWIzYzYzMGQ3ZjZjZDViMzY5NjNiZTQ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88F"/>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176F2"/>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3E9"/>
    <w:rsid w:val="00043717"/>
    <w:rsid w:val="00043BC9"/>
    <w:rsid w:val="00043E53"/>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4D89"/>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97C47"/>
    <w:rsid w:val="000A1985"/>
    <w:rsid w:val="000A1B2D"/>
    <w:rsid w:val="000A1C5C"/>
    <w:rsid w:val="000A22E4"/>
    <w:rsid w:val="000A2348"/>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E7B06"/>
    <w:rsid w:val="000F07E0"/>
    <w:rsid w:val="000F0927"/>
    <w:rsid w:val="000F09EA"/>
    <w:rsid w:val="000F0AEC"/>
    <w:rsid w:val="000F0DF2"/>
    <w:rsid w:val="000F1BF2"/>
    <w:rsid w:val="000F1C7B"/>
    <w:rsid w:val="000F2448"/>
    <w:rsid w:val="000F25B0"/>
    <w:rsid w:val="000F2B3A"/>
    <w:rsid w:val="000F3291"/>
    <w:rsid w:val="000F33D3"/>
    <w:rsid w:val="000F3A6F"/>
    <w:rsid w:val="000F3E81"/>
    <w:rsid w:val="000F433E"/>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6849"/>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B86"/>
    <w:rsid w:val="00115442"/>
    <w:rsid w:val="00115F5F"/>
    <w:rsid w:val="00115FBC"/>
    <w:rsid w:val="0011635D"/>
    <w:rsid w:val="00116814"/>
    <w:rsid w:val="00116CBB"/>
    <w:rsid w:val="0011747F"/>
    <w:rsid w:val="001174AE"/>
    <w:rsid w:val="00117D20"/>
    <w:rsid w:val="00117D34"/>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1B4"/>
    <w:rsid w:val="001363FF"/>
    <w:rsid w:val="00136517"/>
    <w:rsid w:val="001365A0"/>
    <w:rsid w:val="00137953"/>
    <w:rsid w:val="00140213"/>
    <w:rsid w:val="0014047C"/>
    <w:rsid w:val="0014115B"/>
    <w:rsid w:val="00141AE7"/>
    <w:rsid w:val="00141BE9"/>
    <w:rsid w:val="00141E3C"/>
    <w:rsid w:val="00142784"/>
    <w:rsid w:val="00142C09"/>
    <w:rsid w:val="00142CC9"/>
    <w:rsid w:val="00142FA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2FB4"/>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00"/>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98E"/>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4D43"/>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3B76"/>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3F6"/>
    <w:rsid w:val="00211891"/>
    <w:rsid w:val="00211CED"/>
    <w:rsid w:val="00212153"/>
    <w:rsid w:val="00212499"/>
    <w:rsid w:val="002125D6"/>
    <w:rsid w:val="00212626"/>
    <w:rsid w:val="0021325E"/>
    <w:rsid w:val="002133B5"/>
    <w:rsid w:val="002135A1"/>
    <w:rsid w:val="00214CC2"/>
    <w:rsid w:val="00214FEB"/>
    <w:rsid w:val="00216381"/>
    <w:rsid w:val="00216D6C"/>
    <w:rsid w:val="00216F19"/>
    <w:rsid w:val="0021787D"/>
    <w:rsid w:val="00217EDD"/>
    <w:rsid w:val="002201F5"/>
    <w:rsid w:val="00220601"/>
    <w:rsid w:val="0022092C"/>
    <w:rsid w:val="00220A7A"/>
    <w:rsid w:val="00220BB9"/>
    <w:rsid w:val="002210A3"/>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F25"/>
    <w:rsid w:val="002277F1"/>
    <w:rsid w:val="0023032D"/>
    <w:rsid w:val="00230D05"/>
    <w:rsid w:val="00230DF5"/>
    <w:rsid w:val="00230EDB"/>
    <w:rsid w:val="002312B3"/>
    <w:rsid w:val="00231C91"/>
    <w:rsid w:val="00231EB6"/>
    <w:rsid w:val="002323B1"/>
    <w:rsid w:val="00233414"/>
    <w:rsid w:val="002336EB"/>
    <w:rsid w:val="002339C1"/>
    <w:rsid w:val="00233BD9"/>
    <w:rsid w:val="00233D3B"/>
    <w:rsid w:val="0023410C"/>
    <w:rsid w:val="002346BF"/>
    <w:rsid w:val="00234B7A"/>
    <w:rsid w:val="00234C7A"/>
    <w:rsid w:val="00234DC8"/>
    <w:rsid w:val="00235085"/>
    <w:rsid w:val="0023591C"/>
    <w:rsid w:val="00235AD7"/>
    <w:rsid w:val="00235C84"/>
    <w:rsid w:val="002367BC"/>
    <w:rsid w:val="00236898"/>
    <w:rsid w:val="00236F5D"/>
    <w:rsid w:val="002371F2"/>
    <w:rsid w:val="002373BA"/>
    <w:rsid w:val="00237617"/>
    <w:rsid w:val="00237D7B"/>
    <w:rsid w:val="00237DD4"/>
    <w:rsid w:val="002402FB"/>
    <w:rsid w:val="002403AB"/>
    <w:rsid w:val="0024086C"/>
    <w:rsid w:val="00240B43"/>
    <w:rsid w:val="00240CCC"/>
    <w:rsid w:val="002414E2"/>
    <w:rsid w:val="00241A5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54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2F5"/>
    <w:rsid w:val="002804B6"/>
    <w:rsid w:val="0028059E"/>
    <w:rsid w:val="002808EF"/>
    <w:rsid w:val="00280B47"/>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B9"/>
    <w:rsid w:val="002976DF"/>
    <w:rsid w:val="002A1849"/>
    <w:rsid w:val="002A1EF2"/>
    <w:rsid w:val="002A22AA"/>
    <w:rsid w:val="002A2715"/>
    <w:rsid w:val="002A3296"/>
    <w:rsid w:val="002A39A3"/>
    <w:rsid w:val="002A3A57"/>
    <w:rsid w:val="002A3B7C"/>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357"/>
    <w:rsid w:val="002F25EC"/>
    <w:rsid w:val="002F2C27"/>
    <w:rsid w:val="002F375C"/>
    <w:rsid w:val="002F3C9C"/>
    <w:rsid w:val="002F3E7D"/>
    <w:rsid w:val="002F43A6"/>
    <w:rsid w:val="002F4F60"/>
    <w:rsid w:val="002F51D4"/>
    <w:rsid w:val="002F5420"/>
    <w:rsid w:val="002F5A67"/>
    <w:rsid w:val="002F5FBD"/>
    <w:rsid w:val="002F6488"/>
    <w:rsid w:val="002F6D0E"/>
    <w:rsid w:val="002F73A0"/>
    <w:rsid w:val="002F77A3"/>
    <w:rsid w:val="003000B4"/>
    <w:rsid w:val="0030097B"/>
    <w:rsid w:val="00300A97"/>
    <w:rsid w:val="00300F4A"/>
    <w:rsid w:val="00301C9A"/>
    <w:rsid w:val="00301F57"/>
    <w:rsid w:val="003026B8"/>
    <w:rsid w:val="003026EB"/>
    <w:rsid w:val="00302969"/>
    <w:rsid w:val="003039DF"/>
    <w:rsid w:val="0030413D"/>
    <w:rsid w:val="00304417"/>
    <w:rsid w:val="003049C0"/>
    <w:rsid w:val="00304BB2"/>
    <w:rsid w:val="00304DAD"/>
    <w:rsid w:val="00304DF1"/>
    <w:rsid w:val="0030566A"/>
    <w:rsid w:val="003056F9"/>
    <w:rsid w:val="00305979"/>
    <w:rsid w:val="00305B81"/>
    <w:rsid w:val="00305DE0"/>
    <w:rsid w:val="00305FAC"/>
    <w:rsid w:val="0030608A"/>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073"/>
    <w:rsid w:val="00313FF8"/>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2EE"/>
    <w:rsid w:val="0033794F"/>
    <w:rsid w:val="00337F00"/>
    <w:rsid w:val="003405CA"/>
    <w:rsid w:val="003408D2"/>
    <w:rsid w:val="00340A08"/>
    <w:rsid w:val="00340B21"/>
    <w:rsid w:val="00340DAB"/>
    <w:rsid w:val="00341BF9"/>
    <w:rsid w:val="003421BD"/>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F66"/>
    <w:rsid w:val="0034617F"/>
    <w:rsid w:val="0034674E"/>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AC"/>
    <w:rsid w:val="003747C9"/>
    <w:rsid w:val="00375499"/>
    <w:rsid w:val="00375873"/>
    <w:rsid w:val="0037610F"/>
    <w:rsid w:val="00376A71"/>
    <w:rsid w:val="00376FE3"/>
    <w:rsid w:val="003770CE"/>
    <w:rsid w:val="00380D09"/>
    <w:rsid w:val="00380F4E"/>
    <w:rsid w:val="00380F81"/>
    <w:rsid w:val="0038170D"/>
    <w:rsid w:val="00381898"/>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F18"/>
    <w:rsid w:val="003956A2"/>
    <w:rsid w:val="003956FA"/>
    <w:rsid w:val="00395754"/>
    <w:rsid w:val="00395C8D"/>
    <w:rsid w:val="00396890"/>
    <w:rsid w:val="00396E22"/>
    <w:rsid w:val="00397264"/>
    <w:rsid w:val="0039736F"/>
    <w:rsid w:val="00397EEB"/>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BD2"/>
    <w:rsid w:val="003B4F2D"/>
    <w:rsid w:val="003B5007"/>
    <w:rsid w:val="003B558E"/>
    <w:rsid w:val="003B5799"/>
    <w:rsid w:val="003B6B85"/>
    <w:rsid w:val="003B7721"/>
    <w:rsid w:val="003B773D"/>
    <w:rsid w:val="003B77DA"/>
    <w:rsid w:val="003B78E1"/>
    <w:rsid w:val="003C09A2"/>
    <w:rsid w:val="003C0D5B"/>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BA"/>
    <w:rsid w:val="003C57F6"/>
    <w:rsid w:val="003C5C5B"/>
    <w:rsid w:val="003C6664"/>
    <w:rsid w:val="003C66C2"/>
    <w:rsid w:val="003C681E"/>
    <w:rsid w:val="003C7323"/>
    <w:rsid w:val="003C76A1"/>
    <w:rsid w:val="003C7BBC"/>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C41"/>
    <w:rsid w:val="00443F66"/>
    <w:rsid w:val="0044435C"/>
    <w:rsid w:val="00444399"/>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2B2"/>
    <w:rsid w:val="00464D5E"/>
    <w:rsid w:val="00465395"/>
    <w:rsid w:val="004657C4"/>
    <w:rsid w:val="00466435"/>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AA"/>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04A"/>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499"/>
    <w:rsid w:val="004D67F9"/>
    <w:rsid w:val="004D699D"/>
    <w:rsid w:val="004D69B4"/>
    <w:rsid w:val="004D7989"/>
    <w:rsid w:val="004D7B8D"/>
    <w:rsid w:val="004D7C30"/>
    <w:rsid w:val="004D7CD2"/>
    <w:rsid w:val="004E00A3"/>
    <w:rsid w:val="004E04BE"/>
    <w:rsid w:val="004E0623"/>
    <w:rsid w:val="004E0896"/>
    <w:rsid w:val="004E08DC"/>
    <w:rsid w:val="004E0E84"/>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0D4"/>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2E47"/>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3D1B"/>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9A"/>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59A"/>
    <w:rsid w:val="00571ED7"/>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BF3"/>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5F6F"/>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AD2"/>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1A52"/>
    <w:rsid w:val="006023B9"/>
    <w:rsid w:val="006023E9"/>
    <w:rsid w:val="00602441"/>
    <w:rsid w:val="00602864"/>
    <w:rsid w:val="00603BE1"/>
    <w:rsid w:val="00603CD7"/>
    <w:rsid w:val="00603CEE"/>
    <w:rsid w:val="0060412A"/>
    <w:rsid w:val="006044D5"/>
    <w:rsid w:val="00604532"/>
    <w:rsid w:val="00604756"/>
    <w:rsid w:val="00604A94"/>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2F8E"/>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0D49"/>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BA5"/>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45A"/>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44E5"/>
    <w:rsid w:val="006D52CB"/>
    <w:rsid w:val="006D53C6"/>
    <w:rsid w:val="006D614C"/>
    <w:rsid w:val="006D67EE"/>
    <w:rsid w:val="006D714F"/>
    <w:rsid w:val="006D71A1"/>
    <w:rsid w:val="006D7B45"/>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8EE"/>
    <w:rsid w:val="006E4977"/>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16E"/>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26E"/>
    <w:rsid w:val="00724A2F"/>
    <w:rsid w:val="00725001"/>
    <w:rsid w:val="00725B83"/>
    <w:rsid w:val="00725E63"/>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37BA1"/>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228"/>
    <w:rsid w:val="00775546"/>
    <w:rsid w:val="00775620"/>
    <w:rsid w:val="00775F70"/>
    <w:rsid w:val="00776048"/>
    <w:rsid w:val="007761C3"/>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445"/>
    <w:rsid w:val="00793E86"/>
    <w:rsid w:val="00794031"/>
    <w:rsid w:val="007941C7"/>
    <w:rsid w:val="00795048"/>
    <w:rsid w:val="0079515A"/>
    <w:rsid w:val="007953DE"/>
    <w:rsid w:val="007957A3"/>
    <w:rsid w:val="0079588F"/>
    <w:rsid w:val="00795AD0"/>
    <w:rsid w:val="00795D31"/>
    <w:rsid w:val="00795DC9"/>
    <w:rsid w:val="00795EA6"/>
    <w:rsid w:val="00796239"/>
    <w:rsid w:val="007963AE"/>
    <w:rsid w:val="00797013"/>
    <w:rsid w:val="00797150"/>
    <w:rsid w:val="0079718C"/>
    <w:rsid w:val="00797A00"/>
    <w:rsid w:val="007A08B6"/>
    <w:rsid w:val="007A0EAE"/>
    <w:rsid w:val="007A17C0"/>
    <w:rsid w:val="007A1AA8"/>
    <w:rsid w:val="007A25CB"/>
    <w:rsid w:val="007A28EA"/>
    <w:rsid w:val="007A2D0F"/>
    <w:rsid w:val="007A31A4"/>
    <w:rsid w:val="007A3529"/>
    <w:rsid w:val="007A3B9F"/>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8F6"/>
    <w:rsid w:val="007C3C43"/>
    <w:rsid w:val="007C3F58"/>
    <w:rsid w:val="007C440F"/>
    <w:rsid w:val="007C4577"/>
    <w:rsid w:val="007C4A58"/>
    <w:rsid w:val="007C4C50"/>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859"/>
    <w:rsid w:val="007E2AFC"/>
    <w:rsid w:val="007E3E65"/>
    <w:rsid w:val="007E3FDE"/>
    <w:rsid w:val="007E46E8"/>
    <w:rsid w:val="007E482E"/>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3A"/>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5A65"/>
    <w:rsid w:val="00825CAA"/>
    <w:rsid w:val="0082644D"/>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143F"/>
    <w:rsid w:val="008416B9"/>
    <w:rsid w:val="00841DD8"/>
    <w:rsid w:val="00842317"/>
    <w:rsid w:val="00842FBE"/>
    <w:rsid w:val="00844B7E"/>
    <w:rsid w:val="00844F61"/>
    <w:rsid w:val="00845035"/>
    <w:rsid w:val="00845221"/>
    <w:rsid w:val="008455D8"/>
    <w:rsid w:val="0084597C"/>
    <w:rsid w:val="008462BD"/>
    <w:rsid w:val="0084636B"/>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2F0B"/>
    <w:rsid w:val="00853210"/>
    <w:rsid w:val="00854212"/>
    <w:rsid w:val="0085431A"/>
    <w:rsid w:val="00854CFA"/>
    <w:rsid w:val="00854DE5"/>
    <w:rsid w:val="00854EBF"/>
    <w:rsid w:val="00855433"/>
    <w:rsid w:val="008558A5"/>
    <w:rsid w:val="008572B6"/>
    <w:rsid w:val="008573D9"/>
    <w:rsid w:val="00860414"/>
    <w:rsid w:val="00860490"/>
    <w:rsid w:val="008606E5"/>
    <w:rsid w:val="008608DA"/>
    <w:rsid w:val="00861575"/>
    <w:rsid w:val="0086234A"/>
    <w:rsid w:val="008623ED"/>
    <w:rsid w:val="00862F26"/>
    <w:rsid w:val="008632DB"/>
    <w:rsid w:val="008634FC"/>
    <w:rsid w:val="008635AF"/>
    <w:rsid w:val="008638F1"/>
    <w:rsid w:val="008643DE"/>
    <w:rsid w:val="00864A69"/>
    <w:rsid w:val="00864FF9"/>
    <w:rsid w:val="0086502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800CC"/>
    <w:rsid w:val="008802D9"/>
    <w:rsid w:val="00880B87"/>
    <w:rsid w:val="008816BA"/>
    <w:rsid w:val="00881D51"/>
    <w:rsid w:val="00882301"/>
    <w:rsid w:val="008827C0"/>
    <w:rsid w:val="00883328"/>
    <w:rsid w:val="008837D6"/>
    <w:rsid w:val="00883AD3"/>
    <w:rsid w:val="00883C32"/>
    <w:rsid w:val="00883E35"/>
    <w:rsid w:val="00884A55"/>
    <w:rsid w:val="00884E03"/>
    <w:rsid w:val="00884E7C"/>
    <w:rsid w:val="0088559D"/>
    <w:rsid w:val="0088562B"/>
    <w:rsid w:val="008856DB"/>
    <w:rsid w:val="008857EF"/>
    <w:rsid w:val="00885818"/>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B5"/>
    <w:rsid w:val="008E26F5"/>
    <w:rsid w:val="008E28E3"/>
    <w:rsid w:val="008E3055"/>
    <w:rsid w:val="008E3210"/>
    <w:rsid w:val="008E32E5"/>
    <w:rsid w:val="008E392A"/>
    <w:rsid w:val="008E3F13"/>
    <w:rsid w:val="008E4176"/>
    <w:rsid w:val="008E4489"/>
    <w:rsid w:val="008E454D"/>
    <w:rsid w:val="008E4FE5"/>
    <w:rsid w:val="008E5728"/>
    <w:rsid w:val="008E6291"/>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2814"/>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6958"/>
    <w:rsid w:val="00926D9F"/>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2C49"/>
    <w:rsid w:val="009432DD"/>
    <w:rsid w:val="009434F1"/>
    <w:rsid w:val="009439A2"/>
    <w:rsid w:val="009445BB"/>
    <w:rsid w:val="0094471C"/>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3AE"/>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6E1"/>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81A"/>
    <w:rsid w:val="00983903"/>
    <w:rsid w:val="00983956"/>
    <w:rsid w:val="00983E2E"/>
    <w:rsid w:val="00984062"/>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8A2"/>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B6D"/>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77A"/>
    <w:rsid w:val="00A02837"/>
    <w:rsid w:val="00A049DB"/>
    <w:rsid w:val="00A04A02"/>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D7D"/>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527"/>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0E1"/>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1ECC"/>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71F"/>
    <w:rsid w:val="00A809C0"/>
    <w:rsid w:val="00A80F86"/>
    <w:rsid w:val="00A812E7"/>
    <w:rsid w:val="00A82378"/>
    <w:rsid w:val="00A825EE"/>
    <w:rsid w:val="00A829FF"/>
    <w:rsid w:val="00A83C4D"/>
    <w:rsid w:val="00A83F31"/>
    <w:rsid w:val="00A8422D"/>
    <w:rsid w:val="00A84644"/>
    <w:rsid w:val="00A846BB"/>
    <w:rsid w:val="00A84B77"/>
    <w:rsid w:val="00A84EC9"/>
    <w:rsid w:val="00A854BF"/>
    <w:rsid w:val="00A85935"/>
    <w:rsid w:val="00A859CD"/>
    <w:rsid w:val="00A85BB2"/>
    <w:rsid w:val="00A85D67"/>
    <w:rsid w:val="00A866BC"/>
    <w:rsid w:val="00A8739B"/>
    <w:rsid w:val="00A87B27"/>
    <w:rsid w:val="00A87C73"/>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D93"/>
    <w:rsid w:val="00A94E7A"/>
    <w:rsid w:val="00A94EBE"/>
    <w:rsid w:val="00A957AA"/>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717"/>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0E5F"/>
    <w:rsid w:val="00B0186C"/>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70"/>
    <w:rsid w:val="00B1399D"/>
    <w:rsid w:val="00B13CA3"/>
    <w:rsid w:val="00B13DCC"/>
    <w:rsid w:val="00B14402"/>
    <w:rsid w:val="00B14FFB"/>
    <w:rsid w:val="00B15C30"/>
    <w:rsid w:val="00B16A34"/>
    <w:rsid w:val="00B16AAD"/>
    <w:rsid w:val="00B1736C"/>
    <w:rsid w:val="00B17407"/>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461"/>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1A8"/>
    <w:rsid w:val="00B616B9"/>
    <w:rsid w:val="00B618F6"/>
    <w:rsid w:val="00B61DC7"/>
    <w:rsid w:val="00B62106"/>
    <w:rsid w:val="00B62177"/>
    <w:rsid w:val="00B624E6"/>
    <w:rsid w:val="00B6323C"/>
    <w:rsid w:val="00B636A2"/>
    <w:rsid w:val="00B639DE"/>
    <w:rsid w:val="00B63DB3"/>
    <w:rsid w:val="00B641ED"/>
    <w:rsid w:val="00B6497C"/>
    <w:rsid w:val="00B64BD1"/>
    <w:rsid w:val="00B65517"/>
    <w:rsid w:val="00B65D15"/>
    <w:rsid w:val="00B65E18"/>
    <w:rsid w:val="00B6641D"/>
    <w:rsid w:val="00B6685A"/>
    <w:rsid w:val="00B66B54"/>
    <w:rsid w:val="00B66F0C"/>
    <w:rsid w:val="00B678B1"/>
    <w:rsid w:val="00B67A2E"/>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4EE"/>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3534"/>
    <w:rsid w:val="00B840DC"/>
    <w:rsid w:val="00B84419"/>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0AA"/>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950"/>
    <w:rsid w:val="00BC1FB9"/>
    <w:rsid w:val="00BC210E"/>
    <w:rsid w:val="00BC23D1"/>
    <w:rsid w:val="00BC3107"/>
    <w:rsid w:val="00BC3948"/>
    <w:rsid w:val="00BC45AD"/>
    <w:rsid w:val="00BC4744"/>
    <w:rsid w:val="00BC4B50"/>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853"/>
    <w:rsid w:val="00BE0E42"/>
    <w:rsid w:val="00BE1275"/>
    <w:rsid w:val="00BE1513"/>
    <w:rsid w:val="00BE226A"/>
    <w:rsid w:val="00BE2BA6"/>
    <w:rsid w:val="00BE2FF6"/>
    <w:rsid w:val="00BE32BD"/>
    <w:rsid w:val="00BE3671"/>
    <w:rsid w:val="00BE56F4"/>
    <w:rsid w:val="00BE57A8"/>
    <w:rsid w:val="00BE5899"/>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4E86"/>
    <w:rsid w:val="00BF63BF"/>
    <w:rsid w:val="00BF6705"/>
    <w:rsid w:val="00BF7186"/>
    <w:rsid w:val="00BF72E6"/>
    <w:rsid w:val="00BF74F9"/>
    <w:rsid w:val="00BF765A"/>
    <w:rsid w:val="00C005D3"/>
    <w:rsid w:val="00C0091C"/>
    <w:rsid w:val="00C00BEC"/>
    <w:rsid w:val="00C00FF7"/>
    <w:rsid w:val="00C01241"/>
    <w:rsid w:val="00C0127C"/>
    <w:rsid w:val="00C01B4F"/>
    <w:rsid w:val="00C01D71"/>
    <w:rsid w:val="00C01F12"/>
    <w:rsid w:val="00C01F75"/>
    <w:rsid w:val="00C02BE6"/>
    <w:rsid w:val="00C02FC6"/>
    <w:rsid w:val="00C03733"/>
    <w:rsid w:val="00C03753"/>
    <w:rsid w:val="00C03869"/>
    <w:rsid w:val="00C044E2"/>
    <w:rsid w:val="00C04A1F"/>
    <w:rsid w:val="00C05032"/>
    <w:rsid w:val="00C0549D"/>
    <w:rsid w:val="00C05855"/>
    <w:rsid w:val="00C06197"/>
    <w:rsid w:val="00C06738"/>
    <w:rsid w:val="00C07F97"/>
    <w:rsid w:val="00C10178"/>
    <w:rsid w:val="00C101F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8B8"/>
    <w:rsid w:val="00C30D91"/>
    <w:rsid w:val="00C30FA2"/>
    <w:rsid w:val="00C318A9"/>
    <w:rsid w:val="00C31C89"/>
    <w:rsid w:val="00C323D5"/>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C3"/>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248B"/>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1E38"/>
    <w:rsid w:val="00C823E3"/>
    <w:rsid w:val="00C825B3"/>
    <w:rsid w:val="00C82A06"/>
    <w:rsid w:val="00C82DF4"/>
    <w:rsid w:val="00C8329C"/>
    <w:rsid w:val="00C84359"/>
    <w:rsid w:val="00C8453A"/>
    <w:rsid w:val="00C84716"/>
    <w:rsid w:val="00C8526E"/>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271"/>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49E1"/>
    <w:rsid w:val="00CA4CF1"/>
    <w:rsid w:val="00CA4CF2"/>
    <w:rsid w:val="00CA5043"/>
    <w:rsid w:val="00CA59BB"/>
    <w:rsid w:val="00CA5CCD"/>
    <w:rsid w:val="00CA6CEC"/>
    <w:rsid w:val="00CA6FE6"/>
    <w:rsid w:val="00CA745D"/>
    <w:rsid w:val="00CB054B"/>
    <w:rsid w:val="00CB0AEB"/>
    <w:rsid w:val="00CB0C30"/>
    <w:rsid w:val="00CB0D8F"/>
    <w:rsid w:val="00CB1571"/>
    <w:rsid w:val="00CB1A9F"/>
    <w:rsid w:val="00CB1DE9"/>
    <w:rsid w:val="00CB2564"/>
    <w:rsid w:val="00CB26DA"/>
    <w:rsid w:val="00CB36D5"/>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BA0"/>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BB1"/>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EC"/>
    <w:rsid w:val="00D676F4"/>
    <w:rsid w:val="00D679CC"/>
    <w:rsid w:val="00D703C1"/>
    <w:rsid w:val="00D70FAD"/>
    <w:rsid w:val="00D716E2"/>
    <w:rsid w:val="00D71AAB"/>
    <w:rsid w:val="00D71CA9"/>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799"/>
    <w:rsid w:val="00D848A7"/>
    <w:rsid w:val="00D85511"/>
    <w:rsid w:val="00D859CF"/>
    <w:rsid w:val="00D86726"/>
    <w:rsid w:val="00D8702A"/>
    <w:rsid w:val="00D874F7"/>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20F7"/>
    <w:rsid w:val="00DB30B8"/>
    <w:rsid w:val="00DB3102"/>
    <w:rsid w:val="00DB33F0"/>
    <w:rsid w:val="00DB3585"/>
    <w:rsid w:val="00DB3A58"/>
    <w:rsid w:val="00DB3A7F"/>
    <w:rsid w:val="00DB3F39"/>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6F9F"/>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341"/>
    <w:rsid w:val="00E103B5"/>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6F8D"/>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8B3"/>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4C8F"/>
    <w:rsid w:val="00E7518D"/>
    <w:rsid w:val="00E753E2"/>
    <w:rsid w:val="00E75895"/>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4ED5"/>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B54"/>
    <w:rsid w:val="00E96C2A"/>
    <w:rsid w:val="00E97339"/>
    <w:rsid w:val="00EA01F5"/>
    <w:rsid w:val="00EA0324"/>
    <w:rsid w:val="00EA0BCB"/>
    <w:rsid w:val="00EA1089"/>
    <w:rsid w:val="00EA1152"/>
    <w:rsid w:val="00EA1173"/>
    <w:rsid w:val="00EA1829"/>
    <w:rsid w:val="00EA1A5B"/>
    <w:rsid w:val="00EA1C32"/>
    <w:rsid w:val="00EA1D34"/>
    <w:rsid w:val="00EA2E3A"/>
    <w:rsid w:val="00EA2E77"/>
    <w:rsid w:val="00EA3852"/>
    <w:rsid w:val="00EA38FF"/>
    <w:rsid w:val="00EA3916"/>
    <w:rsid w:val="00EA3966"/>
    <w:rsid w:val="00EA3B34"/>
    <w:rsid w:val="00EA3C14"/>
    <w:rsid w:val="00EA44CA"/>
    <w:rsid w:val="00EA5B4A"/>
    <w:rsid w:val="00EA6074"/>
    <w:rsid w:val="00EA696C"/>
    <w:rsid w:val="00EA6AFD"/>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182"/>
    <w:rsid w:val="00EB4C35"/>
    <w:rsid w:val="00EB50B3"/>
    <w:rsid w:val="00EB52BB"/>
    <w:rsid w:val="00EB5A35"/>
    <w:rsid w:val="00EB5FAD"/>
    <w:rsid w:val="00EB5FFF"/>
    <w:rsid w:val="00EB619F"/>
    <w:rsid w:val="00EB6340"/>
    <w:rsid w:val="00EB64C1"/>
    <w:rsid w:val="00EB65AB"/>
    <w:rsid w:val="00EB6708"/>
    <w:rsid w:val="00EB739B"/>
    <w:rsid w:val="00EB750D"/>
    <w:rsid w:val="00EB7C5C"/>
    <w:rsid w:val="00EC04F2"/>
    <w:rsid w:val="00EC057E"/>
    <w:rsid w:val="00EC0BDE"/>
    <w:rsid w:val="00EC0F40"/>
    <w:rsid w:val="00EC1845"/>
    <w:rsid w:val="00EC190A"/>
    <w:rsid w:val="00EC218C"/>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B52"/>
    <w:rsid w:val="00ED1C26"/>
    <w:rsid w:val="00ED1C9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691"/>
    <w:rsid w:val="00EE772E"/>
    <w:rsid w:val="00EF0267"/>
    <w:rsid w:val="00EF03EB"/>
    <w:rsid w:val="00EF08DB"/>
    <w:rsid w:val="00EF0F65"/>
    <w:rsid w:val="00EF10FF"/>
    <w:rsid w:val="00EF11D3"/>
    <w:rsid w:val="00EF145A"/>
    <w:rsid w:val="00EF260B"/>
    <w:rsid w:val="00EF29BE"/>
    <w:rsid w:val="00EF340A"/>
    <w:rsid w:val="00EF3558"/>
    <w:rsid w:val="00EF35EE"/>
    <w:rsid w:val="00EF3ACF"/>
    <w:rsid w:val="00EF40D1"/>
    <w:rsid w:val="00EF491D"/>
    <w:rsid w:val="00EF4C12"/>
    <w:rsid w:val="00EF4C24"/>
    <w:rsid w:val="00EF52BD"/>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41"/>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93D"/>
    <w:rsid w:val="00F22D00"/>
    <w:rsid w:val="00F23316"/>
    <w:rsid w:val="00F23700"/>
    <w:rsid w:val="00F23AB2"/>
    <w:rsid w:val="00F24121"/>
    <w:rsid w:val="00F24BC8"/>
    <w:rsid w:val="00F2526E"/>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B0"/>
    <w:rsid w:val="00F324FD"/>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DD1"/>
    <w:rsid w:val="00F46513"/>
    <w:rsid w:val="00F46662"/>
    <w:rsid w:val="00F46963"/>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B90"/>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70252"/>
    <w:rsid w:val="00F709BA"/>
    <w:rsid w:val="00F70D8C"/>
    <w:rsid w:val="00F70DF1"/>
    <w:rsid w:val="00F71183"/>
    <w:rsid w:val="00F71B86"/>
    <w:rsid w:val="00F725F3"/>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417"/>
    <w:rsid w:val="00FB0708"/>
    <w:rsid w:val="00FB0731"/>
    <w:rsid w:val="00FB0B07"/>
    <w:rsid w:val="00FB1624"/>
    <w:rsid w:val="00FB169D"/>
    <w:rsid w:val="00FB1B9F"/>
    <w:rsid w:val="00FB1E2C"/>
    <w:rsid w:val="00FB2064"/>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30C"/>
    <w:rsid w:val="00FD14EA"/>
    <w:rsid w:val="00FD169E"/>
    <w:rsid w:val="00FD1828"/>
    <w:rsid w:val="00FD1B05"/>
    <w:rsid w:val="00FD1BC3"/>
    <w:rsid w:val="00FD234E"/>
    <w:rsid w:val="00FD2D65"/>
    <w:rsid w:val="00FD3038"/>
    <w:rsid w:val="00FD3587"/>
    <w:rsid w:val="00FD3DF2"/>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39C"/>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86B"/>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3F3D86"/>
    <w:rsid w:val="0150059B"/>
    <w:rsid w:val="017658EE"/>
    <w:rsid w:val="018241E3"/>
    <w:rsid w:val="0187172A"/>
    <w:rsid w:val="018A1439"/>
    <w:rsid w:val="0196032D"/>
    <w:rsid w:val="0199328E"/>
    <w:rsid w:val="01AC6FF2"/>
    <w:rsid w:val="01B41481"/>
    <w:rsid w:val="01B84694"/>
    <w:rsid w:val="01B8481B"/>
    <w:rsid w:val="01CD5676"/>
    <w:rsid w:val="01CF7782"/>
    <w:rsid w:val="01E53944"/>
    <w:rsid w:val="01EA312A"/>
    <w:rsid w:val="01EC5C3E"/>
    <w:rsid w:val="01F068F2"/>
    <w:rsid w:val="02015B47"/>
    <w:rsid w:val="02061494"/>
    <w:rsid w:val="02235224"/>
    <w:rsid w:val="02282146"/>
    <w:rsid w:val="023341B1"/>
    <w:rsid w:val="02345E8B"/>
    <w:rsid w:val="02354F69"/>
    <w:rsid w:val="02500809"/>
    <w:rsid w:val="02621EB2"/>
    <w:rsid w:val="026B4332"/>
    <w:rsid w:val="02850BB3"/>
    <w:rsid w:val="02934CEF"/>
    <w:rsid w:val="02985EFC"/>
    <w:rsid w:val="029B0F27"/>
    <w:rsid w:val="02A75F90"/>
    <w:rsid w:val="02AA616C"/>
    <w:rsid w:val="02B53CBE"/>
    <w:rsid w:val="02C519A4"/>
    <w:rsid w:val="02C70C22"/>
    <w:rsid w:val="02C766DC"/>
    <w:rsid w:val="02CD15A9"/>
    <w:rsid w:val="02CE7A4B"/>
    <w:rsid w:val="02D012D4"/>
    <w:rsid w:val="02E42A9C"/>
    <w:rsid w:val="02E863D8"/>
    <w:rsid w:val="02FC2C26"/>
    <w:rsid w:val="030B0178"/>
    <w:rsid w:val="030C2E3A"/>
    <w:rsid w:val="03265180"/>
    <w:rsid w:val="033B2F48"/>
    <w:rsid w:val="034B7E0E"/>
    <w:rsid w:val="03576E5E"/>
    <w:rsid w:val="035F7C75"/>
    <w:rsid w:val="03746140"/>
    <w:rsid w:val="03762D18"/>
    <w:rsid w:val="03783D1C"/>
    <w:rsid w:val="037E0EBC"/>
    <w:rsid w:val="038F1B8A"/>
    <w:rsid w:val="039544B3"/>
    <w:rsid w:val="03A12977"/>
    <w:rsid w:val="03B46C2F"/>
    <w:rsid w:val="03C0711D"/>
    <w:rsid w:val="03E80866"/>
    <w:rsid w:val="03EE33BF"/>
    <w:rsid w:val="03FE4686"/>
    <w:rsid w:val="04094A5F"/>
    <w:rsid w:val="040A45ED"/>
    <w:rsid w:val="041F0240"/>
    <w:rsid w:val="045D3940"/>
    <w:rsid w:val="04687059"/>
    <w:rsid w:val="047636B0"/>
    <w:rsid w:val="047776B3"/>
    <w:rsid w:val="04797C66"/>
    <w:rsid w:val="04823210"/>
    <w:rsid w:val="04887278"/>
    <w:rsid w:val="049709EF"/>
    <w:rsid w:val="04A32E9D"/>
    <w:rsid w:val="04A85A33"/>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31C43"/>
    <w:rsid w:val="067B7E89"/>
    <w:rsid w:val="068E2F00"/>
    <w:rsid w:val="0693146B"/>
    <w:rsid w:val="06997830"/>
    <w:rsid w:val="069D4928"/>
    <w:rsid w:val="069F07B9"/>
    <w:rsid w:val="06A25401"/>
    <w:rsid w:val="06B12033"/>
    <w:rsid w:val="06BB0EAA"/>
    <w:rsid w:val="06BC0961"/>
    <w:rsid w:val="06BF04CB"/>
    <w:rsid w:val="06C93296"/>
    <w:rsid w:val="06D90323"/>
    <w:rsid w:val="06D949E3"/>
    <w:rsid w:val="06DD1AFD"/>
    <w:rsid w:val="06E445F8"/>
    <w:rsid w:val="06E87E13"/>
    <w:rsid w:val="06ED18D7"/>
    <w:rsid w:val="07010474"/>
    <w:rsid w:val="07075C9C"/>
    <w:rsid w:val="073C1361"/>
    <w:rsid w:val="07590CF0"/>
    <w:rsid w:val="07797230"/>
    <w:rsid w:val="07812C00"/>
    <w:rsid w:val="0781507A"/>
    <w:rsid w:val="07832BD0"/>
    <w:rsid w:val="078B100F"/>
    <w:rsid w:val="07953D06"/>
    <w:rsid w:val="079A3F2C"/>
    <w:rsid w:val="07A7766F"/>
    <w:rsid w:val="07A92473"/>
    <w:rsid w:val="07B465CB"/>
    <w:rsid w:val="07CC09EB"/>
    <w:rsid w:val="07D40FD5"/>
    <w:rsid w:val="07D4316E"/>
    <w:rsid w:val="07E14ADB"/>
    <w:rsid w:val="07F10AB7"/>
    <w:rsid w:val="07F15947"/>
    <w:rsid w:val="07F93805"/>
    <w:rsid w:val="07FA2903"/>
    <w:rsid w:val="08040837"/>
    <w:rsid w:val="081169D5"/>
    <w:rsid w:val="081415B7"/>
    <w:rsid w:val="081D1DBB"/>
    <w:rsid w:val="08252894"/>
    <w:rsid w:val="082A162C"/>
    <w:rsid w:val="082C5831"/>
    <w:rsid w:val="08323C36"/>
    <w:rsid w:val="08364DDB"/>
    <w:rsid w:val="083F75BF"/>
    <w:rsid w:val="084F3B52"/>
    <w:rsid w:val="085D66F5"/>
    <w:rsid w:val="085E409F"/>
    <w:rsid w:val="08625F36"/>
    <w:rsid w:val="0868273B"/>
    <w:rsid w:val="086D6B98"/>
    <w:rsid w:val="0876656F"/>
    <w:rsid w:val="08782B49"/>
    <w:rsid w:val="087832DE"/>
    <w:rsid w:val="08834CD2"/>
    <w:rsid w:val="0893420B"/>
    <w:rsid w:val="089D5FCA"/>
    <w:rsid w:val="08A47847"/>
    <w:rsid w:val="08AD03FF"/>
    <w:rsid w:val="08B46D7E"/>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0F2E11"/>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E2A0E"/>
    <w:rsid w:val="0B225152"/>
    <w:rsid w:val="0B303037"/>
    <w:rsid w:val="0B36269B"/>
    <w:rsid w:val="0B3E0F30"/>
    <w:rsid w:val="0B4460B3"/>
    <w:rsid w:val="0B553B0A"/>
    <w:rsid w:val="0B633415"/>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144437"/>
    <w:rsid w:val="0C3B1689"/>
    <w:rsid w:val="0C50067B"/>
    <w:rsid w:val="0C507879"/>
    <w:rsid w:val="0C5478BF"/>
    <w:rsid w:val="0C56615C"/>
    <w:rsid w:val="0C6245B1"/>
    <w:rsid w:val="0C6915F2"/>
    <w:rsid w:val="0C6E0DF7"/>
    <w:rsid w:val="0C856E52"/>
    <w:rsid w:val="0C8672C2"/>
    <w:rsid w:val="0C8835F1"/>
    <w:rsid w:val="0C895E65"/>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33640"/>
    <w:rsid w:val="0E6C24F0"/>
    <w:rsid w:val="0E774B4E"/>
    <w:rsid w:val="0E90717B"/>
    <w:rsid w:val="0E913F3F"/>
    <w:rsid w:val="0E9204DA"/>
    <w:rsid w:val="0E941D8D"/>
    <w:rsid w:val="0E97378D"/>
    <w:rsid w:val="0E9A01FB"/>
    <w:rsid w:val="0E9C77E0"/>
    <w:rsid w:val="0EA5406C"/>
    <w:rsid w:val="0EA639FA"/>
    <w:rsid w:val="0EA83ED5"/>
    <w:rsid w:val="0EAB56CC"/>
    <w:rsid w:val="0EC67D03"/>
    <w:rsid w:val="0ED15D87"/>
    <w:rsid w:val="0ED5743F"/>
    <w:rsid w:val="0EDD26E0"/>
    <w:rsid w:val="0EE63407"/>
    <w:rsid w:val="0EEF3F2E"/>
    <w:rsid w:val="0EF53F21"/>
    <w:rsid w:val="0F000A81"/>
    <w:rsid w:val="0F016FDB"/>
    <w:rsid w:val="0F086673"/>
    <w:rsid w:val="0F135F9C"/>
    <w:rsid w:val="0F154C5A"/>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A2746"/>
    <w:rsid w:val="10405DD6"/>
    <w:rsid w:val="104C5928"/>
    <w:rsid w:val="1052271B"/>
    <w:rsid w:val="10532DA0"/>
    <w:rsid w:val="105A2214"/>
    <w:rsid w:val="106916D0"/>
    <w:rsid w:val="106D2C14"/>
    <w:rsid w:val="1088161D"/>
    <w:rsid w:val="1089753B"/>
    <w:rsid w:val="1092036D"/>
    <w:rsid w:val="10A613B8"/>
    <w:rsid w:val="10B45948"/>
    <w:rsid w:val="10ED16BE"/>
    <w:rsid w:val="10F94749"/>
    <w:rsid w:val="11050F3A"/>
    <w:rsid w:val="110B7C86"/>
    <w:rsid w:val="111B7796"/>
    <w:rsid w:val="111D46B4"/>
    <w:rsid w:val="11266968"/>
    <w:rsid w:val="112A5FF0"/>
    <w:rsid w:val="113A2D97"/>
    <w:rsid w:val="113A7E7D"/>
    <w:rsid w:val="113F7B1C"/>
    <w:rsid w:val="114C38FF"/>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8B4FFF"/>
    <w:rsid w:val="129070A2"/>
    <w:rsid w:val="12A61E8B"/>
    <w:rsid w:val="12A714C9"/>
    <w:rsid w:val="12BA7692"/>
    <w:rsid w:val="12C01FED"/>
    <w:rsid w:val="12C51E41"/>
    <w:rsid w:val="12C77593"/>
    <w:rsid w:val="12C906D8"/>
    <w:rsid w:val="12DB2936"/>
    <w:rsid w:val="12ED55F4"/>
    <w:rsid w:val="12EF6632"/>
    <w:rsid w:val="12F4621D"/>
    <w:rsid w:val="1301042B"/>
    <w:rsid w:val="131360CC"/>
    <w:rsid w:val="131417AB"/>
    <w:rsid w:val="132023CD"/>
    <w:rsid w:val="132C233E"/>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05D8D"/>
    <w:rsid w:val="1634210F"/>
    <w:rsid w:val="16342542"/>
    <w:rsid w:val="163C2B13"/>
    <w:rsid w:val="16555B6A"/>
    <w:rsid w:val="165F1FC3"/>
    <w:rsid w:val="1660277C"/>
    <w:rsid w:val="166139C2"/>
    <w:rsid w:val="16772F40"/>
    <w:rsid w:val="167878C2"/>
    <w:rsid w:val="168123F1"/>
    <w:rsid w:val="16845253"/>
    <w:rsid w:val="16855282"/>
    <w:rsid w:val="168B26F9"/>
    <w:rsid w:val="168C0184"/>
    <w:rsid w:val="16905BEC"/>
    <w:rsid w:val="169A5A8F"/>
    <w:rsid w:val="16A333A7"/>
    <w:rsid w:val="16A50B6A"/>
    <w:rsid w:val="16A57A69"/>
    <w:rsid w:val="16AA28FA"/>
    <w:rsid w:val="16B34D7B"/>
    <w:rsid w:val="16BD198A"/>
    <w:rsid w:val="16D77CBF"/>
    <w:rsid w:val="16DB0BFD"/>
    <w:rsid w:val="16FD5FCF"/>
    <w:rsid w:val="17033859"/>
    <w:rsid w:val="171E3822"/>
    <w:rsid w:val="171F21BA"/>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D962EE"/>
    <w:rsid w:val="17DE3219"/>
    <w:rsid w:val="17E00F6E"/>
    <w:rsid w:val="17E769AB"/>
    <w:rsid w:val="17EF37F9"/>
    <w:rsid w:val="17F673B7"/>
    <w:rsid w:val="18047825"/>
    <w:rsid w:val="181A7AA6"/>
    <w:rsid w:val="182271D1"/>
    <w:rsid w:val="18293512"/>
    <w:rsid w:val="182C548F"/>
    <w:rsid w:val="18327661"/>
    <w:rsid w:val="184B01F2"/>
    <w:rsid w:val="1850387F"/>
    <w:rsid w:val="1856132B"/>
    <w:rsid w:val="18582673"/>
    <w:rsid w:val="185830D7"/>
    <w:rsid w:val="185C2EDF"/>
    <w:rsid w:val="18650AF2"/>
    <w:rsid w:val="18675385"/>
    <w:rsid w:val="186902BF"/>
    <w:rsid w:val="18701884"/>
    <w:rsid w:val="18704BAD"/>
    <w:rsid w:val="18760FDE"/>
    <w:rsid w:val="18902D39"/>
    <w:rsid w:val="18AC19CF"/>
    <w:rsid w:val="18AC3BEE"/>
    <w:rsid w:val="18EC0606"/>
    <w:rsid w:val="18FA1113"/>
    <w:rsid w:val="18FD4F90"/>
    <w:rsid w:val="19044582"/>
    <w:rsid w:val="19087026"/>
    <w:rsid w:val="190A5ABE"/>
    <w:rsid w:val="190C2389"/>
    <w:rsid w:val="192D6B20"/>
    <w:rsid w:val="19304EC5"/>
    <w:rsid w:val="19387784"/>
    <w:rsid w:val="193F069B"/>
    <w:rsid w:val="19455F1C"/>
    <w:rsid w:val="19600F94"/>
    <w:rsid w:val="19610DEF"/>
    <w:rsid w:val="1961286F"/>
    <w:rsid w:val="19665D28"/>
    <w:rsid w:val="19850AF9"/>
    <w:rsid w:val="1989144C"/>
    <w:rsid w:val="19902190"/>
    <w:rsid w:val="19A8303F"/>
    <w:rsid w:val="19AF5DD1"/>
    <w:rsid w:val="19B66E06"/>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C53748"/>
    <w:rsid w:val="1AC64307"/>
    <w:rsid w:val="1AD37B8D"/>
    <w:rsid w:val="1AD47B96"/>
    <w:rsid w:val="1AD94DDF"/>
    <w:rsid w:val="1ADF6D58"/>
    <w:rsid w:val="1AEB21F0"/>
    <w:rsid w:val="1AFC2A03"/>
    <w:rsid w:val="1B1258BD"/>
    <w:rsid w:val="1B164B5E"/>
    <w:rsid w:val="1B180311"/>
    <w:rsid w:val="1B183088"/>
    <w:rsid w:val="1B292BC7"/>
    <w:rsid w:val="1B313650"/>
    <w:rsid w:val="1B3B754B"/>
    <w:rsid w:val="1B563F9E"/>
    <w:rsid w:val="1B6B39BC"/>
    <w:rsid w:val="1B6C7155"/>
    <w:rsid w:val="1B72173B"/>
    <w:rsid w:val="1B744224"/>
    <w:rsid w:val="1B7A5099"/>
    <w:rsid w:val="1B7A6C0C"/>
    <w:rsid w:val="1B7E7D96"/>
    <w:rsid w:val="1B7F55A6"/>
    <w:rsid w:val="1B89508D"/>
    <w:rsid w:val="1B94018A"/>
    <w:rsid w:val="1BAE18A7"/>
    <w:rsid w:val="1BB14302"/>
    <w:rsid w:val="1BBA2DE0"/>
    <w:rsid w:val="1BC65E87"/>
    <w:rsid w:val="1BCE0F9D"/>
    <w:rsid w:val="1BE136C9"/>
    <w:rsid w:val="1BE65CC6"/>
    <w:rsid w:val="1BE83AC4"/>
    <w:rsid w:val="1BEE66EE"/>
    <w:rsid w:val="1BF12978"/>
    <w:rsid w:val="1C182E62"/>
    <w:rsid w:val="1C294FF9"/>
    <w:rsid w:val="1C296169"/>
    <w:rsid w:val="1C3138A1"/>
    <w:rsid w:val="1C340F0E"/>
    <w:rsid w:val="1C3D380E"/>
    <w:rsid w:val="1C4A1A70"/>
    <w:rsid w:val="1C50373A"/>
    <w:rsid w:val="1C581A17"/>
    <w:rsid w:val="1C5A78FA"/>
    <w:rsid w:val="1C6E712E"/>
    <w:rsid w:val="1C7B1C92"/>
    <w:rsid w:val="1C961AB5"/>
    <w:rsid w:val="1CAF60DA"/>
    <w:rsid w:val="1CBA4001"/>
    <w:rsid w:val="1CE03C2B"/>
    <w:rsid w:val="1D11447C"/>
    <w:rsid w:val="1D1F4F82"/>
    <w:rsid w:val="1D25294D"/>
    <w:rsid w:val="1D3C35D7"/>
    <w:rsid w:val="1D3C7E89"/>
    <w:rsid w:val="1D581489"/>
    <w:rsid w:val="1D582060"/>
    <w:rsid w:val="1D61678A"/>
    <w:rsid w:val="1D6864B5"/>
    <w:rsid w:val="1D8130A9"/>
    <w:rsid w:val="1D830B79"/>
    <w:rsid w:val="1D914288"/>
    <w:rsid w:val="1D9E300B"/>
    <w:rsid w:val="1DA75838"/>
    <w:rsid w:val="1DB65465"/>
    <w:rsid w:val="1DBC3A09"/>
    <w:rsid w:val="1DCC3964"/>
    <w:rsid w:val="1DDD1FE1"/>
    <w:rsid w:val="1DE71DF5"/>
    <w:rsid w:val="1DEC0EC6"/>
    <w:rsid w:val="1E3B0826"/>
    <w:rsid w:val="1E3E2693"/>
    <w:rsid w:val="1E3E2776"/>
    <w:rsid w:val="1E40548E"/>
    <w:rsid w:val="1E4A19AF"/>
    <w:rsid w:val="1E5A579C"/>
    <w:rsid w:val="1E7223AB"/>
    <w:rsid w:val="1E7A3AEF"/>
    <w:rsid w:val="1E7F376F"/>
    <w:rsid w:val="1E874C28"/>
    <w:rsid w:val="1E8F3078"/>
    <w:rsid w:val="1EAB0F03"/>
    <w:rsid w:val="1EB14A2F"/>
    <w:rsid w:val="1EB3177A"/>
    <w:rsid w:val="1EB56858"/>
    <w:rsid w:val="1EC705C4"/>
    <w:rsid w:val="1EC83B25"/>
    <w:rsid w:val="1EC975DB"/>
    <w:rsid w:val="1ECD4C36"/>
    <w:rsid w:val="1ED97BDC"/>
    <w:rsid w:val="1EE5351D"/>
    <w:rsid w:val="1EE80EEA"/>
    <w:rsid w:val="1EED33D1"/>
    <w:rsid w:val="1EF8692C"/>
    <w:rsid w:val="1EFB70AD"/>
    <w:rsid w:val="1F02433E"/>
    <w:rsid w:val="1F2545A0"/>
    <w:rsid w:val="1F5B41C5"/>
    <w:rsid w:val="1F5B522B"/>
    <w:rsid w:val="1F602B95"/>
    <w:rsid w:val="1F6034DA"/>
    <w:rsid w:val="1F610464"/>
    <w:rsid w:val="1F6608F6"/>
    <w:rsid w:val="1F6B516B"/>
    <w:rsid w:val="1F737DA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0EE157B"/>
    <w:rsid w:val="210D463D"/>
    <w:rsid w:val="2122497B"/>
    <w:rsid w:val="212A5E65"/>
    <w:rsid w:val="21382F57"/>
    <w:rsid w:val="21483DCB"/>
    <w:rsid w:val="214F31D6"/>
    <w:rsid w:val="21520506"/>
    <w:rsid w:val="215971DB"/>
    <w:rsid w:val="216840B7"/>
    <w:rsid w:val="21707ABA"/>
    <w:rsid w:val="217C7FFF"/>
    <w:rsid w:val="217D6F5B"/>
    <w:rsid w:val="217F7DE1"/>
    <w:rsid w:val="218C712D"/>
    <w:rsid w:val="219433BE"/>
    <w:rsid w:val="219519F6"/>
    <w:rsid w:val="219B42AE"/>
    <w:rsid w:val="219F4DC2"/>
    <w:rsid w:val="21A6323A"/>
    <w:rsid w:val="21AD0A07"/>
    <w:rsid w:val="21B8627A"/>
    <w:rsid w:val="21C76342"/>
    <w:rsid w:val="21DC1077"/>
    <w:rsid w:val="21E500BF"/>
    <w:rsid w:val="21F46DD7"/>
    <w:rsid w:val="21FE34D3"/>
    <w:rsid w:val="22102FC3"/>
    <w:rsid w:val="22106435"/>
    <w:rsid w:val="2211058E"/>
    <w:rsid w:val="2212793C"/>
    <w:rsid w:val="222446A3"/>
    <w:rsid w:val="22263305"/>
    <w:rsid w:val="22267251"/>
    <w:rsid w:val="224A3888"/>
    <w:rsid w:val="2258018F"/>
    <w:rsid w:val="2269387C"/>
    <w:rsid w:val="226C7BAC"/>
    <w:rsid w:val="22834CF1"/>
    <w:rsid w:val="228F4F8F"/>
    <w:rsid w:val="229A773C"/>
    <w:rsid w:val="229C6E40"/>
    <w:rsid w:val="229D0F3D"/>
    <w:rsid w:val="229F0037"/>
    <w:rsid w:val="22A77209"/>
    <w:rsid w:val="22B26378"/>
    <w:rsid w:val="22B649DD"/>
    <w:rsid w:val="22B83BBC"/>
    <w:rsid w:val="22C2087A"/>
    <w:rsid w:val="22DB1E07"/>
    <w:rsid w:val="22DF69C6"/>
    <w:rsid w:val="22E569AE"/>
    <w:rsid w:val="22F874E8"/>
    <w:rsid w:val="22FC4DA6"/>
    <w:rsid w:val="22FF073F"/>
    <w:rsid w:val="230612A7"/>
    <w:rsid w:val="230F4FB3"/>
    <w:rsid w:val="232668D5"/>
    <w:rsid w:val="232A266D"/>
    <w:rsid w:val="232C327F"/>
    <w:rsid w:val="23360FB7"/>
    <w:rsid w:val="23384757"/>
    <w:rsid w:val="23462716"/>
    <w:rsid w:val="234E1D95"/>
    <w:rsid w:val="234E7067"/>
    <w:rsid w:val="23550AD0"/>
    <w:rsid w:val="23577E5C"/>
    <w:rsid w:val="235A168E"/>
    <w:rsid w:val="235B0632"/>
    <w:rsid w:val="235F6585"/>
    <w:rsid w:val="236E316D"/>
    <w:rsid w:val="2394513F"/>
    <w:rsid w:val="23AE0B4E"/>
    <w:rsid w:val="23B271DC"/>
    <w:rsid w:val="23B742F4"/>
    <w:rsid w:val="23B9450B"/>
    <w:rsid w:val="23BC0507"/>
    <w:rsid w:val="23CB21DA"/>
    <w:rsid w:val="23DB5B4C"/>
    <w:rsid w:val="23DD1F6C"/>
    <w:rsid w:val="240437AA"/>
    <w:rsid w:val="240C2B3A"/>
    <w:rsid w:val="240D2A9C"/>
    <w:rsid w:val="24210E4E"/>
    <w:rsid w:val="242C18C4"/>
    <w:rsid w:val="242C213A"/>
    <w:rsid w:val="24482E6D"/>
    <w:rsid w:val="245F17EC"/>
    <w:rsid w:val="2461726B"/>
    <w:rsid w:val="24624B37"/>
    <w:rsid w:val="24625EA0"/>
    <w:rsid w:val="24635DDC"/>
    <w:rsid w:val="246E68E8"/>
    <w:rsid w:val="2472601F"/>
    <w:rsid w:val="24895713"/>
    <w:rsid w:val="249971F4"/>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7F509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D5FFF"/>
    <w:rsid w:val="260F58DC"/>
    <w:rsid w:val="2617264B"/>
    <w:rsid w:val="262420A3"/>
    <w:rsid w:val="26407842"/>
    <w:rsid w:val="264D2600"/>
    <w:rsid w:val="267B0D13"/>
    <w:rsid w:val="268169ED"/>
    <w:rsid w:val="26916F1C"/>
    <w:rsid w:val="26A1465B"/>
    <w:rsid w:val="26A717FF"/>
    <w:rsid w:val="26A772A7"/>
    <w:rsid w:val="26AE7FF0"/>
    <w:rsid w:val="26B171B9"/>
    <w:rsid w:val="26B86B93"/>
    <w:rsid w:val="26BA2A88"/>
    <w:rsid w:val="26E72CF4"/>
    <w:rsid w:val="27036A48"/>
    <w:rsid w:val="270812F9"/>
    <w:rsid w:val="270A712E"/>
    <w:rsid w:val="27120152"/>
    <w:rsid w:val="27410905"/>
    <w:rsid w:val="275F7EF3"/>
    <w:rsid w:val="2764097C"/>
    <w:rsid w:val="2776090A"/>
    <w:rsid w:val="27767961"/>
    <w:rsid w:val="278542B4"/>
    <w:rsid w:val="279069C1"/>
    <w:rsid w:val="27A66474"/>
    <w:rsid w:val="27CC091C"/>
    <w:rsid w:val="27E67A43"/>
    <w:rsid w:val="27FA15F4"/>
    <w:rsid w:val="27FC19AB"/>
    <w:rsid w:val="28180E41"/>
    <w:rsid w:val="28187989"/>
    <w:rsid w:val="282B5E5B"/>
    <w:rsid w:val="28416434"/>
    <w:rsid w:val="28441B85"/>
    <w:rsid w:val="28445BA3"/>
    <w:rsid w:val="28572FF4"/>
    <w:rsid w:val="2861534B"/>
    <w:rsid w:val="286921AF"/>
    <w:rsid w:val="28776D26"/>
    <w:rsid w:val="289042BD"/>
    <w:rsid w:val="28940373"/>
    <w:rsid w:val="28A06628"/>
    <w:rsid w:val="28AA045C"/>
    <w:rsid w:val="28BD5251"/>
    <w:rsid w:val="28C265E6"/>
    <w:rsid w:val="28D01274"/>
    <w:rsid w:val="28D92391"/>
    <w:rsid w:val="28E901C4"/>
    <w:rsid w:val="28F60BE9"/>
    <w:rsid w:val="29040AEF"/>
    <w:rsid w:val="291717A7"/>
    <w:rsid w:val="2917705B"/>
    <w:rsid w:val="291974D7"/>
    <w:rsid w:val="292713F3"/>
    <w:rsid w:val="29357C71"/>
    <w:rsid w:val="2938367F"/>
    <w:rsid w:val="293E43CA"/>
    <w:rsid w:val="29460A6F"/>
    <w:rsid w:val="29753B56"/>
    <w:rsid w:val="2979190F"/>
    <w:rsid w:val="2980065D"/>
    <w:rsid w:val="2982372F"/>
    <w:rsid w:val="299A3E32"/>
    <w:rsid w:val="29A2287A"/>
    <w:rsid w:val="29A95FD6"/>
    <w:rsid w:val="29AA5DFE"/>
    <w:rsid w:val="29B26CBD"/>
    <w:rsid w:val="29B915F2"/>
    <w:rsid w:val="29BF65D9"/>
    <w:rsid w:val="29C60BDD"/>
    <w:rsid w:val="29D3071B"/>
    <w:rsid w:val="29E14085"/>
    <w:rsid w:val="29FD49E7"/>
    <w:rsid w:val="29FD5C67"/>
    <w:rsid w:val="2A0C376C"/>
    <w:rsid w:val="2A1A6F3D"/>
    <w:rsid w:val="2A205C5E"/>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AEB0FC5"/>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BFE5AA0"/>
    <w:rsid w:val="2C0C40B6"/>
    <w:rsid w:val="2C0D60C4"/>
    <w:rsid w:val="2C221352"/>
    <w:rsid w:val="2C230F12"/>
    <w:rsid w:val="2C340552"/>
    <w:rsid w:val="2C3A3A18"/>
    <w:rsid w:val="2C3D6F12"/>
    <w:rsid w:val="2C406671"/>
    <w:rsid w:val="2C437678"/>
    <w:rsid w:val="2C5F7ED0"/>
    <w:rsid w:val="2C701C82"/>
    <w:rsid w:val="2C7566AC"/>
    <w:rsid w:val="2C770FA3"/>
    <w:rsid w:val="2C7929C9"/>
    <w:rsid w:val="2C7A2CDC"/>
    <w:rsid w:val="2C804DA5"/>
    <w:rsid w:val="2C8C4DA7"/>
    <w:rsid w:val="2C940967"/>
    <w:rsid w:val="2CA3250F"/>
    <w:rsid w:val="2CA83BFD"/>
    <w:rsid w:val="2CB172AB"/>
    <w:rsid w:val="2CB5245E"/>
    <w:rsid w:val="2CCC61DC"/>
    <w:rsid w:val="2CD0577D"/>
    <w:rsid w:val="2CD835FA"/>
    <w:rsid w:val="2CE30F22"/>
    <w:rsid w:val="2CE460FF"/>
    <w:rsid w:val="2CF34C3B"/>
    <w:rsid w:val="2CFD1EAE"/>
    <w:rsid w:val="2CFF2CF1"/>
    <w:rsid w:val="2D0020FD"/>
    <w:rsid w:val="2D004449"/>
    <w:rsid w:val="2D040A3A"/>
    <w:rsid w:val="2D1B6979"/>
    <w:rsid w:val="2D3065F6"/>
    <w:rsid w:val="2D3E159C"/>
    <w:rsid w:val="2D454F76"/>
    <w:rsid w:val="2D5E5ACD"/>
    <w:rsid w:val="2D664DBA"/>
    <w:rsid w:val="2D664E53"/>
    <w:rsid w:val="2D764C10"/>
    <w:rsid w:val="2D7A291E"/>
    <w:rsid w:val="2D7A5B83"/>
    <w:rsid w:val="2D7A691B"/>
    <w:rsid w:val="2D7E6051"/>
    <w:rsid w:val="2D8662AB"/>
    <w:rsid w:val="2D9D3CD6"/>
    <w:rsid w:val="2DA11629"/>
    <w:rsid w:val="2DAB070C"/>
    <w:rsid w:val="2DB81BCA"/>
    <w:rsid w:val="2DBA421D"/>
    <w:rsid w:val="2DCA68D8"/>
    <w:rsid w:val="2DCB4211"/>
    <w:rsid w:val="2DD123D5"/>
    <w:rsid w:val="2DD94C15"/>
    <w:rsid w:val="2DFF65A7"/>
    <w:rsid w:val="2E007074"/>
    <w:rsid w:val="2E14172E"/>
    <w:rsid w:val="2E156C84"/>
    <w:rsid w:val="2E1F458A"/>
    <w:rsid w:val="2E344DAF"/>
    <w:rsid w:val="2E3933DD"/>
    <w:rsid w:val="2E542892"/>
    <w:rsid w:val="2E6B483B"/>
    <w:rsid w:val="2E7C5CD1"/>
    <w:rsid w:val="2E827222"/>
    <w:rsid w:val="2E881839"/>
    <w:rsid w:val="2E936895"/>
    <w:rsid w:val="2E9C1619"/>
    <w:rsid w:val="2EA90574"/>
    <w:rsid w:val="2EA96D06"/>
    <w:rsid w:val="2EB948EE"/>
    <w:rsid w:val="2EBF66E8"/>
    <w:rsid w:val="2EC767B9"/>
    <w:rsid w:val="2ECD6C74"/>
    <w:rsid w:val="2ECE30AA"/>
    <w:rsid w:val="2EDE7E92"/>
    <w:rsid w:val="2EDF2CF0"/>
    <w:rsid w:val="2EE32667"/>
    <w:rsid w:val="2EE70C2A"/>
    <w:rsid w:val="2EFE0BDB"/>
    <w:rsid w:val="2EFE24FC"/>
    <w:rsid w:val="2F0B230D"/>
    <w:rsid w:val="2F154177"/>
    <w:rsid w:val="2F1831B2"/>
    <w:rsid w:val="2F1D1825"/>
    <w:rsid w:val="2F1F6148"/>
    <w:rsid w:val="2F2909DC"/>
    <w:rsid w:val="2F397ECA"/>
    <w:rsid w:val="2F3B2964"/>
    <w:rsid w:val="2F4C7A7D"/>
    <w:rsid w:val="2F596C0F"/>
    <w:rsid w:val="2F5F3350"/>
    <w:rsid w:val="2F622F67"/>
    <w:rsid w:val="2F624BBD"/>
    <w:rsid w:val="2F77336C"/>
    <w:rsid w:val="2F831B61"/>
    <w:rsid w:val="2F8C627E"/>
    <w:rsid w:val="2F9E6F42"/>
    <w:rsid w:val="2FA86799"/>
    <w:rsid w:val="2FBB3BF3"/>
    <w:rsid w:val="2FC25AE3"/>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505F30"/>
    <w:rsid w:val="3164256F"/>
    <w:rsid w:val="316C1AF9"/>
    <w:rsid w:val="316E5904"/>
    <w:rsid w:val="31744959"/>
    <w:rsid w:val="31820ECF"/>
    <w:rsid w:val="31890D85"/>
    <w:rsid w:val="31941E22"/>
    <w:rsid w:val="31BE6C8E"/>
    <w:rsid w:val="31CD4724"/>
    <w:rsid w:val="31D04565"/>
    <w:rsid w:val="31D60522"/>
    <w:rsid w:val="31DC5E9C"/>
    <w:rsid w:val="31E06BCA"/>
    <w:rsid w:val="31E37F93"/>
    <w:rsid w:val="31F816AF"/>
    <w:rsid w:val="32083CCE"/>
    <w:rsid w:val="32157EE6"/>
    <w:rsid w:val="322354C0"/>
    <w:rsid w:val="322B2CE8"/>
    <w:rsid w:val="322B406C"/>
    <w:rsid w:val="323139FD"/>
    <w:rsid w:val="323B5551"/>
    <w:rsid w:val="32403CD5"/>
    <w:rsid w:val="32484430"/>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141AC"/>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3678DB"/>
    <w:rsid w:val="355072A3"/>
    <w:rsid w:val="355154B2"/>
    <w:rsid w:val="355B39D5"/>
    <w:rsid w:val="356A1FBE"/>
    <w:rsid w:val="356A72E6"/>
    <w:rsid w:val="358C2E02"/>
    <w:rsid w:val="35903BC2"/>
    <w:rsid w:val="359274C2"/>
    <w:rsid w:val="359E49E9"/>
    <w:rsid w:val="35AC7D9F"/>
    <w:rsid w:val="35C41F10"/>
    <w:rsid w:val="35C743CC"/>
    <w:rsid w:val="35CC2E55"/>
    <w:rsid w:val="35D25FBE"/>
    <w:rsid w:val="35E20F81"/>
    <w:rsid w:val="35F257DC"/>
    <w:rsid w:val="35F44E15"/>
    <w:rsid w:val="35F52853"/>
    <w:rsid w:val="36036E4C"/>
    <w:rsid w:val="360646D4"/>
    <w:rsid w:val="360F2A66"/>
    <w:rsid w:val="36177C38"/>
    <w:rsid w:val="363A4100"/>
    <w:rsid w:val="36410A3A"/>
    <w:rsid w:val="364D2060"/>
    <w:rsid w:val="364E7F63"/>
    <w:rsid w:val="36611E9F"/>
    <w:rsid w:val="366A4252"/>
    <w:rsid w:val="367754DE"/>
    <w:rsid w:val="36784AF0"/>
    <w:rsid w:val="368F6E62"/>
    <w:rsid w:val="36900D69"/>
    <w:rsid w:val="369236D1"/>
    <w:rsid w:val="36A121B3"/>
    <w:rsid w:val="36AF25C1"/>
    <w:rsid w:val="36BB5176"/>
    <w:rsid w:val="36C64BF6"/>
    <w:rsid w:val="36D72FA9"/>
    <w:rsid w:val="36DD1115"/>
    <w:rsid w:val="36FA4156"/>
    <w:rsid w:val="37013427"/>
    <w:rsid w:val="370653E7"/>
    <w:rsid w:val="370E3984"/>
    <w:rsid w:val="373B505A"/>
    <w:rsid w:val="374F2F07"/>
    <w:rsid w:val="3750792F"/>
    <w:rsid w:val="375236E8"/>
    <w:rsid w:val="375463DB"/>
    <w:rsid w:val="375F7232"/>
    <w:rsid w:val="37625982"/>
    <w:rsid w:val="37671578"/>
    <w:rsid w:val="3768699A"/>
    <w:rsid w:val="378B504F"/>
    <w:rsid w:val="378B76CC"/>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5C4BC4"/>
    <w:rsid w:val="38650C1B"/>
    <w:rsid w:val="38982766"/>
    <w:rsid w:val="38991B97"/>
    <w:rsid w:val="38A07B54"/>
    <w:rsid w:val="38AC37B6"/>
    <w:rsid w:val="38B5657F"/>
    <w:rsid w:val="38CC4BED"/>
    <w:rsid w:val="38DC2F57"/>
    <w:rsid w:val="38F61625"/>
    <w:rsid w:val="38F95415"/>
    <w:rsid w:val="390412D8"/>
    <w:rsid w:val="390C505F"/>
    <w:rsid w:val="391B4A7F"/>
    <w:rsid w:val="392017C0"/>
    <w:rsid w:val="39252B76"/>
    <w:rsid w:val="392C4D9D"/>
    <w:rsid w:val="392E6F43"/>
    <w:rsid w:val="394D69CA"/>
    <w:rsid w:val="394F3CCB"/>
    <w:rsid w:val="3952140A"/>
    <w:rsid w:val="3962620A"/>
    <w:rsid w:val="39716FB5"/>
    <w:rsid w:val="397A1C59"/>
    <w:rsid w:val="397F6E8D"/>
    <w:rsid w:val="399B7825"/>
    <w:rsid w:val="39A209C1"/>
    <w:rsid w:val="39AD6790"/>
    <w:rsid w:val="39C84866"/>
    <w:rsid w:val="39C86214"/>
    <w:rsid w:val="39D252AE"/>
    <w:rsid w:val="39D26619"/>
    <w:rsid w:val="39E25290"/>
    <w:rsid w:val="39E276D4"/>
    <w:rsid w:val="39E93BC2"/>
    <w:rsid w:val="39F8422A"/>
    <w:rsid w:val="39F91CCB"/>
    <w:rsid w:val="3A04454A"/>
    <w:rsid w:val="3A0E457E"/>
    <w:rsid w:val="3A3D6D40"/>
    <w:rsid w:val="3A4112DA"/>
    <w:rsid w:val="3A4335B5"/>
    <w:rsid w:val="3A462802"/>
    <w:rsid w:val="3A485C20"/>
    <w:rsid w:val="3A4A4CC7"/>
    <w:rsid w:val="3A50211E"/>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76FA"/>
    <w:rsid w:val="3B0D52B2"/>
    <w:rsid w:val="3B143A56"/>
    <w:rsid w:val="3B367657"/>
    <w:rsid w:val="3B410BE2"/>
    <w:rsid w:val="3B411A26"/>
    <w:rsid w:val="3B5732FB"/>
    <w:rsid w:val="3B8904A2"/>
    <w:rsid w:val="3B9A7293"/>
    <w:rsid w:val="3BD24ADD"/>
    <w:rsid w:val="3BDF38AF"/>
    <w:rsid w:val="3C050532"/>
    <w:rsid w:val="3C095D17"/>
    <w:rsid w:val="3C285D82"/>
    <w:rsid w:val="3C32053F"/>
    <w:rsid w:val="3C3E406C"/>
    <w:rsid w:val="3C404221"/>
    <w:rsid w:val="3C51067F"/>
    <w:rsid w:val="3C536B06"/>
    <w:rsid w:val="3C58436E"/>
    <w:rsid w:val="3C672048"/>
    <w:rsid w:val="3CA9364C"/>
    <w:rsid w:val="3CB74FF6"/>
    <w:rsid w:val="3CBE0B75"/>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A5311"/>
    <w:rsid w:val="3DBD041E"/>
    <w:rsid w:val="3DC765B7"/>
    <w:rsid w:val="3DCB73BA"/>
    <w:rsid w:val="3DD35B24"/>
    <w:rsid w:val="3DEC3A44"/>
    <w:rsid w:val="3E1A50E1"/>
    <w:rsid w:val="3E1C7725"/>
    <w:rsid w:val="3E25747C"/>
    <w:rsid w:val="3E26098F"/>
    <w:rsid w:val="3E3B04B0"/>
    <w:rsid w:val="3E3E7F7D"/>
    <w:rsid w:val="3E4D031B"/>
    <w:rsid w:val="3E4F3306"/>
    <w:rsid w:val="3E6B319E"/>
    <w:rsid w:val="3E796FBB"/>
    <w:rsid w:val="3E7D20AD"/>
    <w:rsid w:val="3E98343F"/>
    <w:rsid w:val="3E9E014C"/>
    <w:rsid w:val="3EA12164"/>
    <w:rsid w:val="3EA22193"/>
    <w:rsid w:val="3EA77B3A"/>
    <w:rsid w:val="3EB44782"/>
    <w:rsid w:val="3EBD0BC4"/>
    <w:rsid w:val="3EBF0B79"/>
    <w:rsid w:val="3EC35584"/>
    <w:rsid w:val="3EC97CCB"/>
    <w:rsid w:val="3ED2230C"/>
    <w:rsid w:val="3EE27E07"/>
    <w:rsid w:val="3F0A6D15"/>
    <w:rsid w:val="3F1C0B53"/>
    <w:rsid w:val="3F1E2BD3"/>
    <w:rsid w:val="3F254B77"/>
    <w:rsid w:val="3F337FF6"/>
    <w:rsid w:val="3F394A24"/>
    <w:rsid w:val="3F401D03"/>
    <w:rsid w:val="3F4802CD"/>
    <w:rsid w:val="3F734553"/>
    <w:rsid w:val="3F822788"/>
    <w:rsid w:val="3F954106"/>
    <w:rsid w:val="3F9723FF"/>
    <w:rsid w:val="3FA24D04"/>
    <w:rsid w:val="3FA45CFF"/>
    <w:rsid w:val="3FB74B6A"/>
    <w:rsid w:val="3FC53F70"/>
    <w:rsid w:val="3FDA4009"/>
    <w:rsid w:val="3FE574EF"/>
    <w:rsid w:val="401C76D3"/>
    <w:rsid w:val="401E4371"/>
    <w:rsid w:val="402179A3"/>
    <w:rsid w:val="40330CA4"/>
    <w:rsid w:val="40356427"/>
    <w:rsid w:val="4051781D"/>
    <w:rsid w:val="40734F8E"/>
    <w:rsid w:val="40890A0A"/>
    <w:rsid w:val="408B2769"/>
    <w:rsid w:val="40963AA1"/>
    <w:rsid w:val="40AE1FF7"/>
    <w:rsid w:val="40B733A7"/>
    <w:rsid w:val="40BA68B9"/>
    <w:rsid w:val="40C16266"/>
    <w:rsid w:val="40C17CBA"/>
    <w:rsid w:val="40C235CF"/>
    <w:rsid w:val="40CF00C1"/>
    <w:rsid w:val="40E40DFF"/>
    <w:rsid w:val="40F842AA"/>
    <w:rsid w:val="40FD678B"/>
    <w:rsid w:val="410B5436"/>
    <w:rsid w:val="41176148"/>
    <w:rsid w:val="411E7E74"/>
    <w:rsid w:val="412344BF"/>
    <w:rsid w:val="412C5510"/>
    <w:rsid w:val="41356D45"/>
    <w:rsid w:val="414F7E63"/>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55690C"/>
    <w:rsid w:val="42642D31"/>
    <w:rsid w:val="426A1BC5"/>
    <w:rsid w:val="426E763A"/>
    <w:rsid w:val="427F1399"/>
    <w:rsid w:val="42970839"/>
    <w:rsid w:val="429C47B7"/>
    <w:rsid w:val="42A92E88"/>
    <w:rsid w:val="42AB449F"/>
    <w:rsid w:val="42AE439D"/>
    <w:rsid w:val="42B55856"/>
    <w:rsid w:val="42BB0C2D"/>
    <w:rsid w:val="42BF2999"/>
    <w:rsid w:val="42C21EAE"/>
    <w:rsid w:val="42C60F27"/>
    <w:rsid w:val="42D33507"/>
    <w:rsid w:val="42DA2B3E"/>
    <w:rsid w:val="42F45061"/>
    <w:rsid w:val="430075B6"/>
    <w:rsid w:val="430A2E6D"/>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330ECF"/>
    <w:rsid w:val="444136BD"/>
    <w:rsid w:val="44674566"/>
    <w:rsid w:val="446C1472"/>
    <w:rsid w:val="446C449B"/>
    <w:rsid w:val="446E0DE7"/>
    <w:rsid w:val="44855B8D"/>
    <w:rsid w:val="44A01FB0"/>
    <w:rsid w:val="44A57709"/>
    <w:rsid w:val="44B63749"/>
    <w:rsid w:val="44B7174C"/>
    <w:rsid w:val="44C03003"/>
    <w:rsid w:val="44DA7B6C"/>
    <w:rsid w:val="44E173B8"/>
    <w:rsid w:val="44E33D42"/>
    <w:rsid w:val="44E94B58"/>
    <w:rsid w:val="44FD08B9"/>
    <w:rsid w:val="44FD4C59"/>
    <w:rsid w:val="45010901"/>
    <w:rsid w:val="4523483B"/>
    <w:rsid w:val="45503B6C"/>
    <w:rsid w:val="45615A31"/>
    <w:rsid w:val="45631F71"/>
    <w:rsid w:val="45645083"/>
    <w:rsid w:val="45645939"/>
    <w:rsid w:val="45744428"/>
    <w:rsid w:val="457914A8"/>
    <w:rsid w:val="457A431F"/>
    <w:rsid w:val="45873F2E"/>
    <w:rsid w:val="45903A89"/>
    <w:rsid w:val="459A2B4B"/>
    <w:rsid w:val="45AE56E5"/>
    <w:rsid w:val="45B03BFE"/>
    <w:rsid w:val="45B60586"/>
    <w:rsid w:val="45CC0749"/>
    <w:rsid w:val="45CE0436"/>
    <w:rsid w:val="45D547C7"/>
    <w:rsid w:val="45E74894"/>
    <w:rsid w:val="45F11718"/>
    <w:rsid w:val="45FF600B"/>
    <w:rsid w:val="460C5E7C"/>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B67B95"/>
    <w:rsid w:val="46C451FF"/>
    <w:rsid w:val="46D13F56"/>
    <w:rsid w:val="46D73768"/>
    <w:rsid w:val="46DB748E"/>
    <w:rsid w:val="46E00800"/>
    <w:rsid w:val="46E42907"/>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97C39"/>
    <w:rsid w:val="48DB204A"/>
    <w:rsid w:val="48DC5F5F"/>
    <w:rsid w:val="48E94325"/>
    <w:rsid w:val="48F505DB"/>
    <w:rsid w:val="48FF23C8"/>
    <w:rsid w:val="492B0536"/>
    <w:rsid w:val="492F19EC"/>
    <w:rsid w:val="4946107B"/>
    <w:rsid w:val="49590FFD"/>
    <w:rsid w:val="49694ABD"/>
    <w:rsid w:val="497D17F6"/>
    <w:rsid w:val="497D527C"/>
    <w:rsid w:val="49800655"/>
    <w:rsid w:val="498B5309"/>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90B67"/>
    <w:rsid w:val="4A1D15AB"/>
    <w:rsid w:val="4A554FA8"/>
    <w:rsid w:val="4A616062"/>
    <w:rsid w:val="4A623B85"/>
    <w:rsid w:val="4A6A64C2"/>
    <w:rsid w:val="4A6F336A"/>
    <w:rsid w:val="4A700CF9"/>
    <w:rsid w:val="4A712133"/>
    <w:rsid w:val="4A782BCF"/>
    <w:rsid w:val="4A7850FA"/>
    <w:rsid w:val="4A85354F"/>
    <w:rsid w:val="4A8F2BAF"/>
    <w:rsid w:val="4A995804"/>
    <w:rsid w:val="4AA81784"/>
    <w:rsid w:val="4AA87225"/>
    <w:rsid w:val="4AB463CE"/>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9B60E7"/>
    <w:rsid w:val="4BB25E6F"/>
    <w:rsid w:val="4BB62985"/>
    <w:rsid w:val="4BB72DF0"/>
    <w:rsid w:val="4BBF3B05"/>
    <w:rsid w:val="4BC46E98"/>
    <w:rsid w:val="4BD95B32"/>
    <w:rsid w:val="4BFE6267"/>
    <w:rsid w:val="4C1045AA"/>
    <w:rsid w:val="4C1665C6"/>
    <w:rsid w:val="4C2A0254"/>
    <w:rsid w:val="4C2A62E8"/>
    <w:rsid w:val="4C3479F8"/>
    <w:rsid w:val="4C387FEA"/>
    <w:rsid w:val="4C41408F"/>
    <w:rsid w:val="4C617EA0"/>
    <w:rsid w:val="4C6C058F"/>
    <w:rsid w:val="4C742C79"/>
    <w:rsid w:val="4C81376E"/>
    <w:rsid w:val="4C822C8D"/>
    <w:rsid w:val="4C852640"/>
    <w:rsid w:val="4C8D63BF"/>
    <w:rsid w:val="4CA24D1D"/>
    <w:rsid w:val="4CB93537"/>
    <w:rsid w:val="4CCE340B"/>
    <w:rsid w:val="4CD170E8"/>
    <w:rsid w:val="4CDB2ED1"/>
    <w:rsid w:val="4CE40296"/>
    <w:rsid w:val="4CE83472"/>
    <w:rsid w:val="4CED0A5E"/>
    <w:rsid w:val="4CEE5D2B"/>
    <w:rsid w:val="4CFD2DA9"/>
    <w:rsid w:val="4D010936"/>
    <w:rsid w:val="4D0D702D"/>
    <w:rsid w:val="4D146429"/>
    <w:rsid w:val="4D2B37A9"/>
    <w:rsid w:val="4D3B22CD"/>
    <w:rsid w:val="4D3F2287"/>
    <w:rsid w:val="4D496228"/>
    <w:rsid w:val="4D521DFA"/>
    <w:rsid w:val="4D617E6D"/>
    <w:rsid w:val="4D661B93"/>
    <w:rsid w:val="4D78531A"/>
    <w:rsid w:val="4D7F6329"/>
    <w:rsid w:val="4D897CEC"/>
    <w:rsid w:val="4D8D592F"/>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A332D"/>
    <w:rsid w:val="4E3B0B12"/>
    <w:rsid w:val="4E457CFC"/>
    <w:rsid w:val="4E494054"/>
    <w:rsid w:val="4E5035B9"/>
    <w:rsid w:val="4E5D6EB6"/>
    <w:rsid w:val="4E764269"/>
    <w:rsid w:val="4E796130"/>
    <w:rsid w:val="4E8619E7"/>
    <w:rsid w:val="4E894E7D"/>
    <w:rsid w:val="4ED07F80"/>
    <w:rsid w:val="4ED22AD6"/>
    <w:rsid w:val="4ED25FDC"/>
    <w:rsid w:val="4EDB7BE2"/>
    <w:rsid w:val="4EE143E2"/>
    <w:rsid w:val="4EE30C74"/>
    <w:rsid w:val="4EEC5DC2"/>
    <w:rsid w:val="4EF917AA"/>
    <w:rsid w:val="4EF96C36"/>
    <w:rsid w:val="4EFA1A63"/>
    <w:rsid w:val="4F053BD8"/>
    <w:rsid w:val="4F1064A1"/>
    <w:rsid w:val="4F2B2829"/>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630D2"/>
    <w:rsid w:val="5108514E"/>
    <w:rsid w:val="512750E6"/>
    <w:rsid w:val="514D180D"/>
    <w:rsid w:val="51567810"/>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A6C72"/>
    <w:rsid w:val="52AB3F4D"/>
    <w:rsid w:val="52B33BDC"/>
    <w:rsid w:val="52B434C6"/>
    <w:rsid w:val="52C87D18"/>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C47DB"/>
    <w:rsid w:val="53A72FD1"/>
    <w:rsid w:val="53AD224A"/>
    <w:rsid w:val="53B603DC"/>
    <w:rsid w:val="53B67B60"/>
    <w:rsid w:val="53B8749A"/>
    <w:rsid w:val="53BE1C17"/>
    <w:rsid w:val="53C24CC5"/>
    <w:rsid w:val="53CF3238"/>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053D"/>
    <w:rsid w:val="565A4801"/>
    <w:rsid w:val="56605189"/>
    <w:rsid w:val="5665180E"/>
    <w:rsid w:val="566C32B4"/>
    <w:rsid w:val="567337C7"/>
    <w:rsid w:val="567B79EB"/>
    <w:rsid w:val="567D5FDA"/>
    <w:rsid w:val="568850AA"/>
    <w:rsid w:val="569E221B"/>
    <w:rsid w:val="56B27F3E"/>
    <w:rsid w:val="56B605A5"/>
    <w:rsid w:val="56CC3113"/>
    <w:rsid w:val="56CF0992"/>
    <w:rsid w:val="56D3618E"/>
    <w:rsid w:val="56E84067"/>
    <w:rsid w:val="57060DA5"/>
    <w:rsid w:val="570B1D0C"/>
    <w:rsid w:val="570E2542"/>
    <w:rsid w:val="57105F22"/>
    <w:rsid w:val="571628AF"/>
    <w:rsid w:val="57190023"/>
    <w:rsid w:val="572478E2"/>
    <w:rsid w:val="57286DAB"/>
    <w:rsid w:val="572A0645"/>
    <w:rsid w:val="573F2FA4"/>
    <w:rsid w:val="574861C5"/>
    <w:rsid w:val="574F31E1"/>
    <w:rsid w:val="5763331E"/>
    <w:rsid w:val="576A0E17"/>
    <w:rsid w:val="576D542E"/>
    <w:rsid w:val="577E64AD"/>
    <w:rsid w:val="579B29DB"/>
    <w:rsid w:val="57A81360"/>
    <w:rsid w:val="57B5615E"/>
    <w:rsid w:val="57C61FCE"/>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C62A8"/>
    <w:rsid w:val="588D1F1F"/>
    <w:rsid w:val="589C20F4"/>
    <w:rsid w:val="58A0117C"/>
    <w:rsid w:val="58A02642"/>
    <w:rsid w:val="58AB5F44"/>
    <w:rsid w:val="58AC4087"/>
    <w:rsid w:val="58AD7C1E"/>
    <w:rsid w:val="58AE77FC"/>
    <w:rsid w:val="58B145E3"/>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03D33"/>
    <w:rsid w:val="59811429"/>
    <w:rsid w:val="59814F7A"/>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6617B0"/>
    <w:rsid w:val="5A8955AF"/>
    <w:rsid w:val="5AA251E6"/>
    <w:rsid w:val="5AAD3CEF"/>
    <w:rsid w:val="5AB16450"/>
    <w:rsid w:val="5ACB4EEC"/>
    <w:rsid w:val="5ACD2AC8"/>
    <w:rsid w:val="5AD32754"/>
    <w:rsid w:val="5ADE17A9"/>
    <w:rsid w:val="5AEA58A1"/>
    <w:rsid w:val="5AF06D6E"/>
    <w:rsid w:val="5AF552C4"/>
    <w:rsid w:val="5B0567F2"/>
    <w:rsid w:val="5B07173B"/>
    <w:rsid w:val="5B110B78"/>
    <w:rsid w:val="5B1374B1"/>
    <w:rsid w:val="5B1661ED"/>
    <w:rsid w:val="5B200B71"/>
    <w:rsid w:val="5B2F2DE4"/>
    <w:rsid w:val="5B47501F"/>
    <w:rsid w:val="5B506F99"/>
    <w:rsid w:val="5B586B25"/>
    <w:rsid w:val="5B7230ED"/>
    <w:rsid w:val="5B771706"/>
    <w:rsid w:val="5B807034"/>
    <w:rsid w:val="5B8153FB"/>
    <w:rsid w:val="5BA73EE2"/>
    <w:rsid w:val="5BA9593B"/>
    <w:rsid w:val="5BB7666F"/>
    <w:rsid w:val="5BBB0088"/>
    <w:rsid w:val="5BC333BC"/>
    <w:rsid w:val="5BC60DEC"/>
    <w:rsid w:val="5BC616E3"/>
    <w:rsid w:val="5BD73A7F"/>
    <w:rsid w:val="5BED6F4A"/>
    <w:rsid w:val="5C045C36"/>
    <w:rsid w:val="5C074CC3"/>
    <w:rsid w:val="5C362E9D"/>
    <w:rsid w:val="5C457203"/>
    <w:rsid w:val="5C49705F"/>
    <w:rsid w:val="5C4A1567"/>
    <w:rsid w:val="5C4B1054"/>
    <w:rsid w:val="5C505487"/>
    <w:rsid w:val="5C533B03"/>
    <w:rsid w:val="5C5C2DB9"/>
    <w:rsid w:val="5C640C8A"/>
    <w:rsid w:val="5C78087D"/>
    <w:rsid w:val="5C7A1980"/>
    <w:rsid w:val="5C8A59C8"/>
    <w:rsid w:val="5CAF25EF"/>
    <w:rsid w:val="5CB35BC5"/>
    <w:rsid w:val="5CC14995"/>
    <w:rsid w:val="5CC43A65"/>
    <w:rsid w:val="5CCA507C"/>
    <w:rsid w:val="5CD3738E"/>
    <w:rsid w:val="5CDF4A83"/>
    <w:rsid w:val="5CDF79EE"/>
    <w:rsid w:val="5CE13344"/>
    <w:rsid w:val="5D2C3E5A"/>
    <w:rsid w:val="5D5A4CE6"/>
    <w:rsid w:val="5DA64068"/>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86C7F"/>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F2B39"/>
    <w:rsid w:val="601F751B"/>
    <w:rsid w:val="60273FDE"/>
    <w:rsid w:val="60376CFC"/>
    <w:rsid w:val="60472C3A"/>
    <w:rsid w:val="607140D0"/>
    <w:rsid w:val="607D34DA"/>
    <w:rsid w:val="60852CCE"/>
    <w:rsid w:val="60866FC5"/>
    <w:rsid w:val="60880163"/>
    <w:rsid w:val="6088786F"/>
    <w:rsid w:val="608973B8"/>
    <w:rsid w:val="60A3490B"/>
    <w:rsid w:val="60A65036"/>
    <w:rsid w:val="60AF76D8"/>
    <w:rsid w:val="60D3357A"/>
    <w:rsid w:val="60DE464C"/>
    <w:rsid w:val="60E03EFA"/>
    <w:rsid w:val="610142AB"/>
    <w:rsid w:val="610A00CE"/>
    <w:rsid w:val="61155851"/>
    <w:rsid w:val="61205B8C"/>
    <w:rsid w:val="61277E71"/>
    <w:rsid w:val="614909B6"/>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5B6E07"/>
    <w:rsid w:val="62843B1F"/>
    <w:rsid w:val="629532C2"/>
    <w:rsid w:val="62A849E9"/>
    <w:rsid w:val="62C96C1C"/>
    <w:rsid w:val="62E26E6C"/>
    <w:rsid w:val="62E316D0"/>
    <w:rsid w:val="62F62311"/>
    <w:rsid w:val="63000919"/>
    <w:rsid w:val="631708CE"/>
    <w:rsid w:val="631E09AF"/>
    <w:rsid w:val="63210676"/>
    <w:rsid w:val="632424C1"/>
    <w:rsid w:val="632457CD"/>
    <w:rsid w:val="634C3F40"/>
    <w:rsid w:val="634E31D8"/>
    <w:rsid w:val="634F395F"/>
    <w:rsid w:val="635C1D50"/>
    <w:rsid w:val="63613007"/>
    <w:rsid w:val="6362619B"/>
    <w:rsid w:val="63703AED"/>
    <w:rsid w:val="63862258"/>
    <w:rsid w:val="639075E2"/>
    <w:rsid w:val="63957971"/>
    <w:rsid w:val="63A669C9"/>
    <w:rsid w:val="63A92E6B"/>
    <w:rsid w:val="63CB179D"/>
    <w:rsid w:val="63D157DD"/>
    <w:rsid w:val="63E93CBF"/>
    <w:rsid w:val="63F320A2"/>
    <w:rsid w:val="63F61AD4"/>
    <w:rsid w:val="63FF6C76"/>
    <w:rsid w:val="64004618"/>
    <w:rsid w:val="64026086"/>
    <w:rsid w:val="64073EDA"/>
    <w:rsid w:val="640D111D"/>
    <w:rsid w:val="64156BCB"/>
    <w:rsid w:val="641854A2"/>
    <w:rsid w:val="64284D06"/>
    <w:rsid w:val="64402B34"/>
    <w:rsid w:val="64532BB0"/>
    <w:rsid w:val="646A467D"/>
    <w:rsid w:val="646D2223"/>
    <w:rsid w:val="647D193B"/>
    <w:rsid w:val="647F5CA1"/>
    <w:rsid w:val="64857EA7"/>
    <w:rsid w:val="6486038C"/>
    <w:rsid w:val="649B6A0A"/>
    <w:rsid w:val="649F0473"/>
    <w:rsid w:val="64A65BB3"/>
    <w:rsid w:val="64C62351"/>
    <w:rsid w:val="64D64573"/>
    <w:rsid w:val="64D869FA"/>
    <w:rsid w:val="64D947CF"/>
    <w:rsid w:val="65020B1F"/>
    <w:rsid w:val="650414B6"/>
    <w:rsid w:val="65130F31"/>
    <w:rsid w:val="651E2EA8"/>
    <w:rsid w:val="65214347"/>
    <w:rsid w:val="65260478"/>
    <w:rsid w:val="653F637B"/>
    <w:rsid w:val="65792C9B"/>
    <w:rsid w:val="65796823"/>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3F32AC"/>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EA3218"/>
    <w:rsid w:val="66F425CE"/>
    <w:rsid w:val="66FA7FAF"/>
    <w:rsid w:val="670A28A8"/>
    <w:rsid w:val="670A76B6"/>
    <w:rsid w:val="671110C2"/>
    <w:rsid w:val="671A3B7C"/>
    <w:rsid w:val="671A5EC6"/>
    <w:rsid w:val="672B7CC7"/>
    <w:rsid w:val="67414388"/>
    <w:rsid w:val="675024EE"/>
    <w:rsid w:val="6758406F"/>
    <w:rsid w:val="67591A5A"/>
    <w:rsid w:val="676A667F"/>
    <w:rsid w:val="67977CD1"/>
    <w:rsid w:val="67B93427"/>
    <w:rsid w:val="67BC2E40"/>
    <w:rsid w:val="67D806ED"/>
    <w:rsid w:val="67DA1E3B"/>
    <w:rsid w:val="67DD1918"/>
    <w:rsid w:val="67E91C4C"/>
    <w:rsid w:val="67E944A6"/>
    <w:rsid w:val="67F6367D"/>
    <w:rsid w:val="68014063"/>
    <w:rsid w:val="68311E62"/>
    <w:rsid w:val="6841330B"/>
    <w:rsid w:val="687703E8"/>
    <w:rsid w:val="68811A62"/>
    <w:rsid w:val="688C27B2"/>
    <w:rsid w:val="68934D5C"/>
    <w:rsid w:val="689748C0"/>
    <w:rsid w:val="68975E67"/>
    <w:rsid w:val="689B3943"/>
    <w:rsid w:val="68A4441D"/>
    <w:rsid w:val="68A92BBB"/>
    <w:rsid w:val="68AA3189"/>
    <w:rsid w:val="68B06589"/>
    <w:rsid w:val="68B87AA8"/>
    <w:rsid w:val="68C4047A"/>
    <w:rsid w:val="68CE79E9"/>
    <w:rsid w:val="68CF5FBA"/>
    <w:rsid w:val="68E032BE"/>
    <w:rsid w:val="68E84832"/>
    <w:rsid w:val="68EF4322"/>
    <w:rsid w:val="68F6064D"/>
    <w:rsid w:val="68FA155B"/>
    <w:rsid w:val="690B782E"/>
    <w:rsid w:val="691B41AD"/>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A352F"/>
    <w:rsid w:val="69EF3AA6"/>
    <w:rsid w:val="69FD3BAD"/>
    <w:rsid w:val="6A007B99"/>
    <w:rsid w:val="6A152E7C"/>
    <w:rsid w:val="6A252E23"/>
    <w:rsid w:val="6A283947"/>
    <w:rsid w:val="6A2B7A6E"/>
    <w:rsid w:val="6A4609B2"/>
    <w:rsid w:val="6A516637"/>
    <w:rsid w:val="6A534F45"/>
    <w:rsid w:val="6A6125E1"/>
    <w:rsid w:val="6A645A26"/>
    <w:rsid w:val="6A655D02"/>
    <w:rsid w:val="6A6F2A4D"/>
    <w:rsid w:val="6A910026"/>
    <w:rsid w:val="6A9A4C08"/>
    <w:rsid w:val="6A9F07BD"/>
    <w:rsid w:val="6AA1438C"/>
    <w:rsid w:val="6AA33636"/>
    <w:rsid w:val="6AA9148D"/>
    <w:rsid w:val="6ADA058D"/>
    <w:rsid w:val="6ADB53D5"/>
    <w:rsid w:val="6AF55F2D"/>
    <w:rsid w:val="6AF620F3"/>
    <w:rsid w:val="6B210699"/>
    <w:rsid w:val="6B305200"/>
    <w:rsid w:val="6B5B3E77"/>
    <w:rsid w:val="6B63682C"/>
    <w:rsid w:val="6B7278F9"/>
    <w:rsid w:val="6B76781E"/>
    <w:rsid w:val="6B806B86"/>
    <w:rsid w:val="6B912284"/>
    <w:rsid w:val="6B9504F2"/>
    <w:rsid w:val="6BA023E9"/>
    <w:rsid w:val="6BA45F22"/>
    <w:rsid w:val="6BAF11DE"/>
    <w:rsid w:val="6BB248AE"/>
    <w:rsid w:val="6BC03BE4"/>
    <w:rsid w:val="6C0333AB"/>
    <w:rsid w:val="6C0F32DC"/>
    <w:rsid w:val="6C103720"/>
    <w:rsid w:val="6C122F2C"/>
    <w:rsid w:val="6C1848DF"/>
    <w:rsid w:val="6C1D2F9F"/>
    <w:rsid w:val="6C206F72"/>
    <w:rsid w:val="6C251624"/>
    <w:rsid w:val="6C2C6A38"/>
    <w:rsid w:val="6C3810A1"/>
    <w:rsid w:val="6C3A5834"/>
    <w:rsid w:val="6C4E22D9"/>
    <w:rsid w:val="6C530186"/>
    <w:rsid w:val="6C545E29"/>
    <w:rsid w:val="6C570C04"/>
    <w:rsid w:val="6C5A228B"/>
    <w:rsid w:val="6C5D23B9"/>
    <w:rsid w:val="6C7A54AF"/>
    <w:rsid w:val="6C8576CF"/>
    <w:rsid w:val="6C906DBE"/>
    <w:rsid w:val="6C940191"/>
    <w:rsid w:val="6C945EC1"/>
    <w:rsid w:val="6C9B5343"/>
    <w:rsid w:val="6C9C771D"/>
    <w:rsid w:val="6CA80F7D"/>
    <w:rsid w:val="6CAE4DC9"/>
    <w:rsid w:val="6CB8006D"/>
    <w:rsid w:val="6CC97D25"/>
    <w:rsid w:val="6CDB120E"/>
    <w:rsid w:val="6CE056C8"/>
    <w:rsid w:val="6CF57915"/>
    <w:rsid w:val="6CFB1BE5"/>
    <w:rsid w:val="6D0E445B"/>
    <w:rsid w:val="6D154B26"/>
    <w:rsid w:val="6D320AEC"/>
    <w:rsid w:val="6D4315B7"/>
    <w:rsid w:val="6D441015"/>
    <w:rsid w:val="6D476697"/>
    <w:rsid w:val="6D4F17DC"/>
    <w:rsid w:val="6D5C5811"/>
    <w:rsid w:val="6D6171C7"/>
    <w:rsid w:val="6D64106F"/>
    <w:rsid w:val="6D663BF9"/>
    <w:rsid w:val="6D6C22C0"/>
    <w:rsid w:val="6D7E41EB"/>
    <w:rsid w:val="6D885DEA"/>
    <w:rsid w:val="6DA7006F"/>
    <w:rsid w:val="6DAC4AC0"/>
    <w:rsid w:val="6DBE2D94"/>
    <w:rsid w:val="6DCC42B3"/>
    <w:rsid w:val="6DEB30B5"/>
    <w:rsid w:val="6DF96AE0"/>
    <w:rsid w:val="6DFB2674"/>
    <w:rsid w:val="6E094A2E"/>
    <w:rsid w:val="6E0E5A3E"/>
    <w:rsid w:val="6E0E6F67"/>
    <w:rsid w:val="6E0F7A08"/>
    <w:rsid w:val="6E103324"/>
    <w:rsid w:val="6E1B1D04"/>
    <w:rsid w:val="6E4F65C4"/>
    <w:rsid w:val="6E753AFC"/>
    <w:rsid w:val="6E7659E3"/>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447C8"/>
    <w:rsid w:val="6F6A6988"/>
    <w:rsid w:val="6F79580D"/>
    <w:rsid w:val="6F7D12F4"/>
    <w:rsid w:val="6F9375EA"/>
    <w:rsid w:val="6F9F5811"/>
    <w:rsid w:val="6FAE0351"/>
    <w:rsid w:val="6FB369C1"/>
    <w:rsid w:val="6FC54716"/>
    <w:rsid w:val="6FC55C8A"/>
    <w:rsid w:val="6FC707AD"/>
    <w:rsid w:val="6FCA41E1"/>
    <w:rsid w:val="6FCF6A53"/>
    <w:rsid w:val="6FD33F3E"/>
    <w:rsid w:val="6FD44871"/>
    <w:rsid w:val="6FD96315"/>
    <w:rsid w:val="6FDE0649"/>
    <w:rsid w:val="6FE517B6"/>
    <w:rsid w:val="6FE775AA"/>
    <w:rsid w:val="6FEA0BD4"/>
    <w:rsid w:val="6FFA1C6B"/>
    <w:rsid w:val="6FFA5B14"/>
    <w:rsid w:val="70201662"/>
    <w:rsid w:val="70230291"/>
    <w:rsid w:val="7024187D"/>
    <w:rsid w:val="70257AF8"/>
    <w:rsid w:val="7043389A"/>
    <w:rsid w:val="70503F25"/>
    <w:rsid w:val="70513947"/>
    <w:rsid w:val="70526725"/>
    <w:rsid w:val="705A4DB3"/>
    <w:rsid w:val="705E7338"/>
    <w:rsid w:val="707E3635"/>
    <w:rsid w:val="70870E3F"/>
    <w:rsid w:val="709B29A8"/>
    <w:rsid w:val="70B54D0D"/>
    <w:rsid w:val="70B56644"/>
    <w:rsid w:val="70C81BA2"/>
    <w:rsid w:val="70CE1D3A"/>
    <w:rsid w:val="70CF7507"/>
    <w:rsid w:val="70D728AB"/>
    <w:rsid w:val="70E04AB7"/>
    <w:rsid w:val="70E752F8"/>
    <w:rsid w:val="70EE5669"/>
    <w:rsid w:val="70F00542"/>
    <w:rsid w:val="71054859"/>
    <w:rsid w:val="71084A5A"/>
    <w:rsid w:val="710B3E50"/>
    <w:rsid w:val="71234CD4"/>
    <w:rsid w:val="712D5E72"/>
    <w:rsid w:val="7135050C"/>
    <w:rsid w:val="71383FA3"/>
    <w:rsid w:val="713D7F80"/>
    <w:rsid w:val="71434BED"/>
    <w:rsid w:val="714D544E"/>
    <w:rsid w:val="71560B60"/>
    <w:rsid w:val="71641E43"/>
    <w:rsid w:val="716E5C58"/>
    <w:rsid w:val="71923A1E"/>
    <w:rsid w:val="71954DDE"/>
    <w:rsid w:val="71A70273"/>
    <w:rsid w:val="71C30463"/>
    <w:rsid w:val="71C84B93"/>
    <w:rsid w:val="71CC06EF"/>
    <w:rsid w:val="71CE363D"/>
    <w:rsid w:val="71E43ADE"/>
    <w:rsid w:val="71F42EB8"/>
    <w:rsid w:val="72083B4D"/>
    <w:rsid w:val="72143096"/>
    <w:rsid w:val="72214459"/>
    <w:rsid w:val="7225217C"/>
    <w:rsid w:val="722F0E5C"/>
    <w:rsid w:val="722F148A"/>
    <w:rsid w:val="72394D2A"/>
    <w:rsid w:val="723B780F"/>
    <w:rsid w:val="724405BD"/>
    <w:rsid w:val="72474748"/>
    <w:rsid w:val="724A3704"/>
    <w:rsid w:val="72606560"/>
    <w:rsid w:val="72746531"/>
    <w:rsid w:val="7279326C"/>
    <w:rsid w:val="727B0E73"/>
    <w:rsid w:val="729D67D7"/>
    <w:rsid w:val="72B7269E"/>
    <w:rsid w:val="72B83871"/>
    <w:rsid w:val="72BF3070"/>
    <w:rsid w:val="72C82FDE"/>
    <w:rsid w:val="72CE136A"/>
    <w:rsid w:val="72DD1671"/>
    <w:rsid w:val="72E56B49"/>
    <w:rsid w:val="72EB6154"/>
    <w:rsid w:val="72F558F2"/>
    <w:rsid w:val="7312119F"/>
    <w:rsid w:val="731877F4"/>
    <w:rsid w:val="73266077"/>
    <w:rsid w:val="732B21AE"/>
    <w:rsid w:val="73310AF2"/>
    <w:rsid w:val="733A2A9A"/>
    <w:rsid w:val="73524BC5"/>
    <w:rsid w:val="735C766E"/>
    <w:rsid w:val="7365769A"/>
    <w:rsid w:val="73673828"/>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6564C"/>
    <w:rsid w:val="741833DC"/>
    <w:rsid w:val="742841E7"/>
    <w:rsid w:val="742E52CB"/>
    <w:rsid w:val="743F3C36"/>
    <w:rsid w:val="745E364C"/>
    <w:rsid w:val="746E4153"/>
    <w:rsid w:val="74802216"/>
    <w:rsid w:val="7480721E"/>
    <w:rsid w:val="74A1543A"/>
    <w:rsid w:val="74BB39F0"/>
    <w:rsid w:val="74BD5F94"/>
    <w:rsid w:val="74C73C76"/>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0064A"/>
    <w:rsid w:val="779A60FD"/>
    <w:rsid w:val="77A53815"/>
    <w:rsid w:val="77B5380B"/>
    <w:rsid w:val="77B73DB6"/>
    <w:rsid w:val="77BD62BD"/>
    <w:rsid w:val="77C955DF"/>
    <w:rsid w:val="77F5079C"/>
    <w:rsid w:val="780F0E00"/>
    <w:rsid w:val="782013CC"/>
    <w:rsid w:val="782379C5"/>
    <w:rsid w:val="782E0CD5"/>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3769E2"/>
    <w:rsid w:val="79601FFF"/>
    <w:rsid w:val="79671272"/>
    <w:rsid w:val="79697C10"/>
    <w:rsid w:val="797377DF"/>
    <w:rsid w:val="797B4607"/>
    <w:rsid w:val="79890C5D"/>
    <w:rsid w:val="798F5E60"/>
    <w:rsid w:val="79923CB3"/>
    <w:rsid w:val="79994FDB"/>
    <w:rsid w:val="799B49B2"/>
    <w:rsid w:val="79A023C6"/>
    <w:rsid w:val="79A75DED"/>
    <w:rsid w:val="79AF6CF7"/>
    <w:rsid w:val="79B83C71"/>
    <w:rsid w:val="79C71E03"/>
    <w:rsid w:val="79CA2953"/>
    <w:rsid w:val="79D05EA5"/>
    <w:rsid w:val="79D0613E"/>
    <w:rsid w:val="79D53D35"/>
    <w:rsid w:val="79DB3E6D"/>
    <w:rsid w:val="79DB7DBB"/>
    <w:rsid w:val="79E90504"/>
    <w:rsid w:val="7A0D78EC"/>
    <w:rsid w:val="7A171326"/>
    <w:rsid w:val="7A19343E"/>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E6C6A"/>
    <w:rsid w:val="7AD92855"/>
    <w:rsid w:val="7AE74A0C"/>
    <w:rsid w:val="7AE9630D"/>
    <w:rsid w:val="7AEA69B5"/>
    <w:rsid w:val="7AEC352E"/>
    <w:rsid w:val="7B204C6C"/>
    <w:rsid w:val="7B2F13E3"/>
    <w:rsid w:val="7B323B12"/>
    <w:rsid w:val="7B3D406D"/>
    <w:rsid w:val="7B4D0B4B"/>
    <w:rsid w:val="7B542F1C"/>
    <w:rsid w:val="7B595071"/>
    <w:rsid w:val="7B5B2270"/>
    <w:rsid w:val="7B5F2971"/>
    <w:rsid w:val="7B64725E"/>
    <w:rsid w:val="7B6B0056"/>
    <w:rsid w:val="7B844529"/>
    <w:rsid w:val="7B8F5F44"/>
    <w:rsid w:val="7B96610F"/>
    <w:rsid w:val="7B9A5BCF"/>
    <w:rsid w:val="7BAA1965"/>
    <w:rsid w:val="7BB06386"/>
    <w:rsid w:val="7BC0698C"/>
    <w:rsid w:val="7BEB25BE"/>
    <w:rsid w:val="7BF34248"/>
    <w:rsid w:val="7BFA3A3D"/>
    <w:rsid w:val="7C14022C"/>
    <w:rsid w:val="7C163543"/>
    <w:rsid w:val="7C16489D"/>
    <w:rsid w:val="7C222BB8"/>
    <w:rsid w:val="7C2358FF"/>
    <w:rsid w:val="7C2C7719"/>
    <w:rsid w:val="7C2E17DB"/>
    <w:rsid w:val="7C4A3E4B"/>
    <w:rsid w:val="7C4F6131"/>
    <w:rsid w:val="7C636752"/>
    <w:rsid w:val="7C657B35"/>
    <w:rsid w:val="7C89017F"/>
    <w:rsid w:val="7C9D08C9"/>
    <w:rsid w:val="7CA455DE"/>
    <w:rsid w:val="7CAF47B7"/>
    <w:rsid w:val="7CB86D53"/>
    <w:rsid w:val="7CBA32E5"/>
    <w:rsid w:val="7CBB25B5"/>
    <w:rsid w:val="7CC70CCE"/>
    <w:rsid w:val="7CCA0ED7"/>
    <w:rsid w:val="7CCE69FE"/>
    <w:rsid w:val="7CD072E2"/>
    <w:rsid w:val="7CE1380D"/>
    <w:rsid w:val="7CE60EAF"/>
    <w:rsid w:val="7CED5A0D"/>
    <w:rsid w:val="7D0E77C0"/>
    <w:rsid w:val="7D123CCA"/>
    <w:rsid w:val="7D2427B4"/>
    <w:rsid w:val="7D356E56"/>
    <w:rsid w:val="7D4F0510"/>
    <w:rsid w:val="7D660289"/>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74F5D"/>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F33C03"/>
    <w:rsid w:val="7EF65A47"/>
    <w:rsid w:val="7EF9195B"/>
    <w:rsid w:val="7F0B0626"/>
    <w:rsid w:val="7F137B09"/>
    <w:rsid w:val="7F142CC8"/>
    <w:rsid w:val="7F146FB9"/>
    <w:rsid w:val="7F201338"/>
    <w:rsid w:val="7F2809A6"/>
    <w:rsid w:val="7F2E3E36"/>
    <w:rsid w:val="7F3418AA"/>
    <w:rsid w:val="7F345520"/>
    <w:rsid w:val="7F4F75A0"/>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3"/>
    <w:qFormat/>
    <w:uiPriority w:val="0"/>
    <w:pPr>
      <w:keepNext/>
      <w:keepLines/>
      <w:spacing w:before="240" w:after="64" w:line="320" w:lineRule="auto"/>
      <w:outlineLvl w:val="5"/>
    </w:pPr>
    <w:rPr>
      <w:rFonts w:ascii="Arial" w:hAnsi="Arial" w:eastAsia="黑体"/>
      <w:b/>
      <w:bCs/>
      <w:sz w:val="24"/>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4"/>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5"/>
    <w:qFormat/>
    <w:uiPriority w:val="0"/>
    <w:rPr>
      <w:rFonts w:ascii="宋体" w:hAnsi="Tahoma"/>
      <w:sz w:val="18"/>
      <w:szCs w:val="18"/>
    </w:rPr>
  </w:style>
  <w:style w:type="paragraph" w:styleId="12">
    <w:name w:val="annotation text"/>
    <w:basedOn w:val="1"/>
    <w:link w:val="56"/>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link w:val="149"/>
    <w:qFormat/>
    <w:uiPriority w:val="0"/>
    <w:pPr>
      <w:spacing w:line="380" w:lineRule="exact"/>
    </w:pPr>
    <w:rPr>
      <w:sz w:val="24"/>
    </w:rPr>
  </w:style>
  <w:style w:type="paragraph" w:styleId="15">
    <w:name w:val="Body Text Indent"/>
    <w:basedOn w:val="1"/>
    <w:link w:val="57"/>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5"/>
    <w:link w:val="58"/>
    <w:qFormat/>
    <w:uiPriority w:val="99"/>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link w:val="59"/>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styleId="25">
    <w:name w:val="toc 2"/>
    <w:basedOn w:val="1"/>
    <w:next w:val="1"/>
    <w:qFormat/>
    <w:uiPriority w:val="39"/>
    <w:pPr>
      <w:ind w:left="420" w:leftChars="200"/>
    </w:pPr>
  </w:style>
  <w:style w:type="paragraph" w:styleId="26">
    <w:name w:val="toc 9"/>
    <w:basedOn w:val="1"/>
    <w:next w:val="1"/>
    <w:qFormat/>
    <w:uiPriority w:val="39"/>
    <w:pPr>
      <w:ind w:left="1680"/>
      <w:jc w:val="left"/>
    </w:pPr>
    <w:rPr>
      <w:sz w:val="18"/>
      <w:szCs w:val="18"/>
    </w:rPr>
  </w:style>
  <w:style w:type="paragraph" w:styleId="27">
    <w:name w:val="List 4"/>
    <w:basedOn w:val="1"/>
    <w:unhideWhenUsed/>
    <w:qFormat/>
    <w:uiPriority w:val="99"/>
    <w:pPr>
      <w:ind w:left="100" w:leftChars="600" w:hanging="200" w:hangingChars="200"/>
      <w:contextualSpacing/>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qFormat/>
    <w:uiPriority w:val="10"/>
    <w:pPr>
      <w:spacing w:before="240" w:after="60"/>
      <w:jc w:val="center"/>
      <w:outlineLvl w:val="0"/>
    </w:pPr>
    <w:rPr>
      <w:rFonts w:ascii="等线 Light" w:hAnsi="等线 Light"/>
      <w:b/>
      <w:bCs/>
      <w:sz w:val="32"/>
      <w:szCs w:val="32"/>
    </w:rPr>
  </w:style>
  <w:style w:type="paragraph" w:styleId="30">
    <w:name w:val="annotation subject"/>
    <w:basedOn w:val="12"/>
    <w:next w:val="12"/>
    <w:semiHidden/>
    <w:qFormat/>
    <w:uiPriority w:val="0"/>
    <w:rPr>
      <w:b/>
      <w:bCs/>
    </w:rPr>
  </w:style>
  <w:style w:type="paragraph" w:styleId="31">
    <w:name w:val="Body Text First Indent"/>
    <w:basedOn w:val="14"/>
    <w:qFormat/>
    <w:uiPriority w:val="0"/>
    <w:pPr>
      <w:autoSpaceDE/>
      <w:autoSpaceDN/>
      <w:spacing w:after="120"/>
      <w:ind w:left="0" w:firstLine="420" w:firstLineChars="100"/>
      <w:jc w:val="both"/>
    </w:pPr>
    <w:rPr>
      <w:rFonts w:ascii="Times New Roman" w:hAnsi="Times New Roman" w:cs="Times New Roman"/>
      <w:kern w:val="2"/>
      <w:szCs w:val="24"/>
      <w:lang w:val="en-US" w:bidi="ar-SA"/>
    </w:rPr>
  </w:style>
  <w:style w:type="paragraph" w:styleId="32">
    <w:name w:val="Body Text First Indent 2"/>
    <w:basedOn w:val="15"/>
    <w:link w:val="147"/>
    <w:qFormat/>
    <w:uiPriority w:val="0"/>
    <w:pPr>
      <w:ind w:firstLine="420" w:firstLineChars="200"/>
    </w:pPr>
    <w:rPr>
      <w:rFonts w:ascii="Times New Roman" w:hAnsi="Times New Roman"/>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rFonts w:ascii="Tahoma" w:hAnsi="Tahoma"/>
      <w:b/>
      <w:bCs/>
      <w:sz w:val="24"/>
      <w:szCs w:val="20"/>
    </w:rPr>
  </w:style>
  <w:style w:type="character" w:styleId="37">
    <w:name w:val="page number"/>
    <w:qFormat/>
    <w:uiPriority w:val="0"/>
  </w:style>
  <w:style w:type="character" w:styleId="38">
    <w:name w:val="FollowedHyperlink"/>
    <w:unhideWhenUsed/>
    <w:qFormat/>
    <w:uiPriority w:val="99"/>
    <w:rPr>
      <w:color w:val="954F72"/>
      <w:u w:val="single"/>
    </w:rPr>
  </w:style>
  <w:style w:type="character" w:styleId="39">
    <w:name w:val="Emphasis"/>
    <w:qFormat/>
    <w:uiPriority w:val="0"/>
  </w:style>
  <w:style w:type="character" w:styleId="40">
    <w:name w:val="HTML Definition"/>
    <w:qFormat/>
    <w:uiPriority w:val="0"/>
  </w:style>
  <w:style w:type="character" w:styleId="41">
    <w:name w:val="HTML Typewriter"/>
    <w:qFormat/>
    <w:uiPriority w:val="0"/>
    <w:rPr>
      <w:rFonts w:hint="default" w:ascii="monospace" w:hAnsi="monospace" w:eastAsia="monospace" w:cs="monospace"/>
      <w:sz w:val="20"/>
    </w:rPr>
  </w:style>
  <w:style w:type="character" w:styleId="42">
    <w:name w:val="HTML Acronym"/>
    <w:qFormat/>
    <w:uiPriority w:val="0"/>
  </w:style>
  <w:style w:type="character" w:styleId="43">
    <w:name w:val="HTML Variable"/>
    <w:qFormat/>
    <w:uiPriority w:val="0"/>
    <w:rPr>
      <w:rFonts w:ascii="Tahoma" w:hAnsi="Tahoma"/>
      <w:sz w:val="24"/>
      <w:szCs w:val="20"/>
    </w:rPr>
  </w:style>
  <w:style w:type="character" w:styleId="44">
    <w:name w:val="Hyperlink"/>
    <w:qFormat/>
    <w:uiPriority w:val="99"/>
    <w:rPr>
      <w:rFonts w:ascii="Tahoma" w:hAnsi="Tahoma"/>
      <w:color w:val="0000FF"/>
      <w:sz w:val="24"/>
      <w:szCs w:val="20"/>
      <w:u w:val="single"/>
    </w:rPr>
  </w:style>
  <w:style w:type="character" w:styleId="45">
    <w:name w:val="HTML Code"/>
    <w:qFormat/>
    <w:uiPriority w:val="0"/>
    <w:rPr>
      <w:rFonts w:ascii="monospace" w:hAnsi="monospace" w:eastAsia="monospace" w:cs="monospace"/>
      <w:sz w:val="20"/>
    </w:rPr>
  </w:style>
  <w:style w:type="character" w:styleId="46">
    <w:name w:val="annotation reference"/>
    <w:semiHidden/>
    <w:qFormat/>
    <w:uiPriority w:val="0"/>
    <w:rPr>
      <w:rFonts w:ascii="Tahoma" w:hAnsi="Tahoma"/>
      <w:sz w:val="21"/>
      <w:szCs w:val="21"/>
    </w:rPr>
  </w:style>
  <w:style w:type="character" w:styleId="47">
    <w:name w:val="HTML Cite"/>
    <w:qFormat/>
    <w:uiPriority w:val="0"/>
  </w:style>
  <w:style w:type="character" w:styleId="48">
    <w:name w:val="HTML Keyboard"/>
    <w:qFormat/>
    <w:uiPriority w:val="0"/>
    <w:rPr>
      <w:rFonts w:hint="default" w:ascii="monospace" w:hAnsi="monospace" w:eastAsia="monospace" w:cs="monospace"/>
      <w:sz w:val="20"/>
    </w:rPr>
  </w:style>
  <w:style w:type="character" w:styleId="49">
    <w:name w:val="HTML Sample"/>
    <w:qFormat/>
    <w:uiPriority w:val="0"/>
    <w:rPr>
      <w:rFonts w:hint="default" w:ascii="monospace" w:hAnsi="monospace" w:eastAsia="monospace" w:cs="monospace"/>
    </w:rPr>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1">
    <w:name w:val="标题 1 Char"/>
    <w:link w:val="2"/>
    <w:qFormat/>
    <w:uiPriority w:val="0"/>
    <w:rPr>
      <w:rFonts w:ascii="Tahoma" w:hAnsi="Tahoma"/>
      <w:b/>
      <w:bCs/>
      <w:kern w:val="44"/>
      <w:sz w:val="44"/>
      <w:szCs w:val="44"/>
    </w:rPr>
  </w:style>
  <w:style w:type="character" w:customStyle="1" w:styleId="52">
    <w:name w:val="标题 2 Char"/>
    <w:link w:val="3"/>
    <w:semiHidden/>
    <w:qFormat/>
    <w:uiPriority w:val="0"/>
    <w:rPr>
      <w:rFonts w:ascii="Cambria" w:hAnsi="Cambria" w:eastAsia="宋体" w:cs="Times New Roman"/>
      <w:b/>
      <w:bCs/>
      <w:kern w:val="2"/>
      <w:sz w:val="32"/>
      <w:szCs w:val="32"/>
    </w:rPr>
  </w:style>
  <w:style w:type="character" w:customStyle="1" w:styleId="53">
    <w:name w:val="标题 6 Char"/>
    <w:link w:val="6"/>
    <w:qFormat/>
    <w:uiPriority w:val="0"/>
    <w:rPr>
      <w:rFonts w:ascii="Arial" w:hAnsi="Arial" w:eastAsia="黑体"/>
      <w:b/>
      <w:bCs/>
      <w:kern w:val="2"/>
      <w:sz w:val="24"/>
      <w:szCs w:val="24"/>
      <w:lang w:val="en-US" w:eastAsia="zh-CN" w:bidi="ar-SA"/>
    </w:rPr>
  </w:style>
  <w:style w:type="character" w:customStyle="1" w:styleId="54">
    <w:name w:val="正文缩进 Char"/>
    <w:link w:val="9"/>
    <w:qFormat/>
    <w:locked/>
    <w:uiPriority w:val="0"/>
    <w:rPr>
      <w:rFonts w:eastAsia="宋体"/>
      <w:kern w:val="2"/>
      <w:sz w:val="21"/>
      <w:lang w:val="en-US" w:eastAsia="zh-CN" w:bidi="ar-SA"/>
    </w:rPr>
  </w:style>
  <w:style w:type="character" w:customStyle="1" w:styleId="55">
    <w:name w:val="文档结构图 Char"/>
    <w:link w:val="11"/>
    <w:qFormat/>
    <w:uiPriority w:val="0"/>
    <w:rPr>
      <w:rFonts w:ascii="宋体" w:hAnsi="Tahoma"/>
      <w:kern w:val="2"/>
      <w:sz w:val="18"/>
      <w:szCs w:val="18"/>
    </w:rPr>
  </w:style>
  <w:style w:type="character" w:customStyle="1" w:styleId="56">
    <w:name w:val="批注文字 Char1"/>
    <w:link w:val="12"/>
    <w:qFormat/>
    <w:uiPriority w:val="0"/>
    <w:rPr>
      <w:rFonts w:eastAsia="宋体"/>
      <w:kern w:val="2"/>
      <w:sz w:val="21"/>
      <w:szCs w:val="24"/>
      <w:lang w:val="en-US" w:eastAsia="zh-CN" w:bidi="ar-SA"/>
    </w:rPr>
  </w:style>
  <w:style w:type="character" w:customStyle="1" w:styleId="57">
    <w:name w:val="正文文本缩进 Char1"/>
    <w:link w:val="15"/>
    <w:qFormat/>
    <w:uiPriority w:val="0"/>
    <w:rPr>
      <w:rFonts w:ascii="Tahoma" w:hAnsi="Tahoma"/>
      <w:kern w:val="2"/>
      <w:sz w:val="21"/>
      <w:szCs w:val="24"/>
    </w:rPr>
  </w:style>
  <w:style w:type="character" w:customStyle="1" w:styleId="58">
    <w:name w:val="纯文本 Char2"/>
    <w:link w:val="17"/>
    <w:qFormat/>
    <w:uiPriority w:val="0"/>
    <w:rPr>
      <w:rFonts w:ascii="宋体" w:hAnsi="Courier New" w:eastAsia="宋体"/>
      <w:kern w:val="2"/>
      <w:sz w:val="21"/>
      <w:szCs w:val="20"/>
      <w:lang w:val="en-US" w:eastAsia="zh-CN" w:bidi="ar-SA"/>
    </w:rPr>
  </w:style>
  <w:style w:type="character" w:customStyle="1" w:styleId="59">
    <w:name w:val="页脚 Char"/>
    <w:link w:val="21"/>
    <w:qFormat/>
    <w:uiPriority w:val="99"/>
    <w:rPr>
      <w:rFonts w:ascii="Tahoma" w:hAnsi="Tahoma"/>
      <w:kern w:val="2"/>
      <w:sz w:val="18"/>
      <w:szCs w:val="18"/>
    </w:rPr>
  </w:style>
  <w:style w:type="character" w:customStyle="1" w:styleId="60">
    <w:name w:val="页眉 Char"/>
    <w:link w:val="22"/>
    <w:qFormat/>
    <w:uiPriority w:val="99"/>
    <w:rPr>
      <w:rFonts w:ascii="Tahoma" w:hAnsi="Tahoma"/>
      <w:kern w:val="2"/>
      <w:sz w:val="18"/>
      <w:szCs w:val="18"/>
    </w:rPr>
  </w:style>
  <w:style w:type="character" w:customStyle="1" w:styleId="61">
    <w:name w:val="apple-converted-space"/>
    <w:qFormat/>
    <w:uiPriority w:val="0"/>
  </w:style>
  <w:style w:type="character" w:customStyle="1" w:styleId="62">
    <w:name w:val="批注文字 字符"/>
    <w:qFormat/>
    <w:uiPriority w:val="0"/>
    <w:rPr>
      <w:rFonts w:eastAsia="宋体"/>
      <w:kern w:val="2"/>
      <w:sz w:val="21"/>
      <w:szCs w:val="24"/>
      <w:lang w:val="en-US" w:eastAsia="zh-CN" w:bidi="ar-SA"/>
    </w:rPr>
  </w:style>
  <w:style w:type="character" w:customStyle="1" w:styleId="63">
    <w:name w:val="正文缩进 Char1"/>
    <w:qFormat/>
    <w:locked/>
    <w:uiPriority w:val="0"/>
    <w:rPr>
      <w:rFonts w:eastAsia="宋体"/>
      <w:kern w:val="2"/>
      <w:sz w:val="21"/>
      <w:lang w:val="en-US" w:eastAsia="zh-CN" w:bidi="ar-SA"/>
    </w:rPr>
  </w:style>
  <w:style w:type="character" w:customStyle="1" w:styleId="64">
    <w:name w:val="gjfg"/>
    <w:qFormat/>
    <w:uiPriority w:val="0"/>
  </w:style>
  <w:style w:type="character" w:customStyle="1" w:styleId="65">
    <w:name w:val="纯文本 字符3"/>
    <w:qFormat/>
    <w:uiPriority w:val="0"/>
    <w:rPr>
      <w:rFonts w:ascii="宋体" w:hAnsi="Courier New" w:eastAsia="宋体"/>
      <w:kern w:val="2"/>
      <w:sz w:val="21"/>
      <w:szCs w:val="20"/>
      <w:lang w:val="en-US" w:eastAsia="zh-CN" w:bidi="ar-SA"/>
    </w:rPr>
  </w:style>
  <w:style w:type="character" w:customStyle="1" w:styleId="66">
    <w:name w:val="纯文本 Char"/>
    <w:qFormat/>
    <w:uiPriority w:val="99"/>
    <w:rPr>
      <w:rFonts w:ascii="宋体" w:hAnsi="Courier New" w:eastAsia="宋体"/>
    </w:rPr>
  </w:style>
  <w:style w:type="character" w:customStyle="1" w:styleId="67">
    <w:name w:val="main12"/>
    <w:qFormat/>
    <w:uiPriority w:val="0"/>
    <w:rPr>
      <w:rFonts w:ascii="Arial" w:hAnsi="Arial" w:cs="Arial"/>
      <w:color w:val="000000"/>
      <w:sz w:val="18"/>
      <w:szCs w:val="18"/>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正文文本缩进 Char"/>
    <w:qFormat/>
    <w:uiPriority w:val="0"/>
    <w:rPr>
      <w:rFonts w:ascii="Times New Roman" w:hAnsi="Times New Roman" w:eastAsia="宋体" w:cs="Times New Roman"/>
      <w:kern w:val="2"/>
      <w:sz w:val="21"/>
      <w:szCs w:val="24"/>
    </w:rPr>
  </w:style>
  <w:style w:type="character" w:customStyle="1" w:styleId="70">
    <w:name w:val="纯文本 Char4"/>
    <w:qFormat/>
    <w:uiPriority w:val="0"/>
    <w:rPr>
      <w:rFonts w:ascii="宋体" w:hAnsi="Courier New" w:eastAsia="宋体" w:cs="Courier New"/>
      <w:kern w:val="2"/>
      <w:sz w:val="21"/>
      <w:szCs w:val="21"/>
      <w:lang w:val="en-US" w:eastAsia="zh-CN" w:bidi="ar-SA"/>
    </w:rPr>
  </w:style>
  <w:style w:type="character" w:customStyle="1" w:styleId="71">
    <w:name w:val="fontstyle01"/>
    <w:qFormat/>
    <w:uiPriority w:val="0"/>
    <w:rPr>
      <w:rFonts w:hint="eastAsia" w:ascii="宋体" w:hAnsi="宋体" w:eastAsia="宋体"/>
      <w:color w:val="000000"/>
      <w:sz w:val="22"/>
      <w:szCs w:val="22"/>
    </w:rPr>
  </w:style>
  <w:style w:type="character" w:customStyle="1" w:styleId="72">
    <w:name w:val="未处理的提及1"/>
    <w:unhideWhenUsed/>
    <w:qFormat/>
    <w:uiPriority w:val="99"/>
    <w:rPr>
      <w:rFonts w:ascii="Tahoma" w:hAnsi="Tahoma"/>
      <w:color w:val="808080"/>
      <w:sz w:val="24"/>
      <w:szCs w:val="20"/>
      <w:shd w:val="clear" w:color="auto" w:fill="E6E6E6"/>
    </w:rPr>
  </w:style>
  <w:style w:type="character" w:customStyle="1" w:styleId="73">
    <w:name w:val="纯文本 字符2"/>
    <w:qFormat/>
    <w:uiPriority w:val="0"/>
    <w:rPr>
      <w:rFonts w:ascii="宋体" w:hAnsi="Courier New" w:eastAsia="宋体"/>
      <w:kern w:val="2"/>
      <w:sz w:val="21"/>
      <w:lang w:val="en-US" w:eastAsia="zh-CN" w:bidi="ar-SA"/>
    </w:rPr>
  </w:style>
  <w:style w:type="character" w:customStyle="1" w:styleId="74">
    <w:name w:val="纯文本 字符1"/>
    <w:qFormat/>
    <w:uiPriority w:val="0"/>
    <w:rPr>
      <w:rFonts w:ascii="Ђˎ̥" w:hAnsi="Verdana" w:eastAsia="Ђˎ̥" w:cs="Verdana"/>
      <w:szCs w:val="21"/>
    </w:rPr>
  </w:style>
  <w:style w:type="character" w:customStyle="1" w:styleId="75">
    <w:name w:val="页脚 字符"/>
    <w:qFormat/>
    <w:uiPriority w:val="99"/>
  </w:style>
  <w:style w:type="character" w:customStyle="1" w:styleId="76">
    <w:name w:val="标题 Char"/>
    <w:qFormat/>
    <w:uiPriority w:val="10"/>
    <w:rPr>
      <w:rFonts w:ascii="Calibri Light" w:hAnsi="Calibri Light" w:cs="Times New Roman"/>
      <w:b/>
      <w:bCs/>
      <w:kern w:val="2"/>
      <w:sz w:val="32"/>
      <w:szCs w:val="32"/>
    </w:rPr>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10"/>
    <w:qFormat/>
    <w:locked/>
    <w:uiPriority w:val="0"/>
    <w:rPr>
      <w:rFonts w:ascii="宋体" w:hAnsi="宋体" w:eastAsia="宋体"/>
      <w:kern w:val="2"/>
      <w:sz w:val="21"/>
      <w:szCs w:val="24"/>
      <w:lang w:val="en-US" w:eastAsia="zh-CN" w:bidi="ar-SA"/>
    </w:rPr>
  </w:style>
  <w:style w:type="character" w:customStyle="1" w:styleId="79">
    <w:name w:val="批注文字 字符1"/>
    <w:qFormat/>
    <w:uiPriority w:val="0"/>
    <w:rPr>
      <w:rFonts w:eastAsia="宋体"/>
      <w:kern w:val="2"/>
      <w:sz w:val="21"/>
      <w:szCs w:val="24"/>
      <w:lang w:val="en-US" w:eastAsia="zh-CN" w:bidi="ar-SA"/>
    </w:rPr>
  </w:style>
  <w:style w:type="character" w:customStyle="1" w:styleId="80">
    <w:name w:val="font21"/>
    <w:basedOn w:val="35"/>
    <w:qFormat/>
    <w:uiPriority w:val="0"/>
    <w:rPr>
      <w:rFonts w:hint="eastAsia" w:ascii="宋体" w:hAnsi="宋体" w:eastAsia="宋体" w:cs="宋体"/>
      <w:color w:val="000000"/>
      <w:sz w:val="22"/>
      <w:szCs w:val="22"/>
      <w:u w:val="none"/>
    </w:rPr>
  </w:style>
  <w:style w:type="character" w:customStyle="1" w:styleId="81">
    <w:name w:val="redfilefwwh"/>
    <w:qFormat/>
    <w:uiPriority w:val="0"/>
    <w:rPr>
      <w:color w:val="BA2636"/>
      <w:sz w:val="18"/>
      <w:szCs w:val="18"/>
    </w:rPr>
  </w:style>
  <w:style w:type="character" w:customStyle="1" w:styleId="82">
    <w:name w:val="列出段落 Char"/>
    <w:qFormat/>
    <w:locked/>
    <w:uiPriority w:val="34"/>
    <w:rPr>
      <w:rFonts w:ascii="Times New Roman" w:hAnsi="Times New Roman" w:eastAsia="宋体" w:cs="Times New Roman"/>
      <w:kern w:val="0"/>
      <w:sz w:val="24"/>
      <w:szCs w:val="20"/>
    </w:rPr>
  </w:style>
  <w:style w:type="character" w:customStyle="1" w:styleId="83">
    <w:name w:val="Char Char1"/>
    <w:qFormat/>
    <w:uiPriority w:val="0"/>
    <w:rPr>
      <w:rFonts w:eastAsia="宋体"/>
      <w:kern w:val="2"/>
      <w:sz w:val="21"/>
      <w:szCs w:val="24"/>
      <w:lang w:val="en-US" w:eastAsia="zh-CN" w:bidi="ar-SA"/>
    </w:rPr>
  </w:style>
  <w:style w:type="character" w:customStyle="1" w:styleId="84">
    <w:name w:val="无"/>
    <w:qFormat/>
    <w:uiPriority w:val="0"/>
  </w:style>
  <w:style w:type="character" w:customStyle="1" w:styleId="85">
    <w:name w:val="qxdate"/>
    <w:qFormat/>
    <w:uiPriority w:val="0"/>
    <w:rPr>
      <w:color w:val="333333"/>
      <w:sz w:val="18"/>
      <w:szCs w:val="18"/>
    </w:rPr>
  </w:style>
  <w:style w:type="character" w:customStyle="1" w:styleId="86">
    <w:name w:val="纯文本 字符4"/>
    <w:qFormat/>
    <w:uiPriority w:val="0"/>
    <w:rPr>
      <w:rFonts w:ascii="宋体" w:hAnsi="Courier New" w:eastAsia="宋体"/>
      <w:kern w:val="2"/>
      <w:sz w:val="21"/>
      <w:szCs w:val="20"/>
      <w:lang w:val="en-US" w:eastAsia="zh-CN" w:bidi="ar-SA"/>
    </w:rPr>
  </w:style>
  <w:style w:type="character" w:customStyle="1" w:styleId="87">
    <w:name w:val="纯文本 字符"/>
    <w:qFormat/>
    <w:uiPriority w:val="0"/>
    <w:rPr>
      <w:rFonts w:ascii="宋体" w:hAnsi="Courier New" w:eastAsia="宋体" w:cs="Courier New"/>
      <w:szCs w:val="21"/>
    </w:rPr>
  </w:style>
  <w:style w:type="character" w:customStyle="1" w:styleId="88">
    <w:name w:val="cfdate"/>
    <w:qFormat/>
    <w:uiPriority w:val="0"/>
    <w:rPr>
      <w:color w:val="333333"/>
      <w:sz w:val="18"/>
      <w:szCs w:val="18"/>
    </w:rPr>
  </w:style>
  <w:style w:type="character" w:customStyle="1" w:styleId="89">
    <w:name w:val="displayarti"/>
    <w:qFormat/>
    <w:uiPriority w:val="0"/>
    <w:rPr>
      <w:color w:val="FFFFFF"/>
      <w:shd w:val="clear" w:color="auto" w:fill="A00000"/>
    </w:rPr>
  </w:style>
  <w:style w:type="character" w:customStyle="1" w:styleId="90">
    <w:name w:val="普通文字 Char Char5"/>
    <w:qFormat/>
    <w:uiPriority w:val="0"/>
    <w:rPr>
      <w:rFonts w:ascii="宋体" w:hAnsi="Courier New" w:eastAsia="宋体"/>
      <w:szCs w:val="21"/>
      <w:lang w:bidi="ar-SA"/>
    </w:rPr>
  </w:style>
  <w:style w:type="character" w:customStyle="1" w:styleId="91">
    <w:name w:val="font11"/>
    <w:qFormat/>
    <w:uiPriority w:val="0"/>
    <w:rPr>
      <w:rFonts w:hint="default" w:ascii="Times New Roman" w:hAnsi="Times New Roman" w:cs="Times New Roman"/>
      <w:color w:val="000000"/>
      <w:sz w:val="20"/>
      <w:szCs w:val="20"/>
      <w:u w:val="none"/>
    </w:rPr>
  </w:style>
  <w:style w:type="character" w:customStyle="1" w:styleId="92">
    <w:name w:val="纯文本 Char1"/>
    <w:qFormat/>
    <w:uiPriority w:val="0"/>
    <w:rPr>
      <w:rFonts w:ascii="宋体" w:hAnsi="Courier New" w:eastAsia="宋体"/>
      <w:kern w:val="2"/>
      <w:sz w:val="21"/>
      <w:szCs w:val="20"/>
      <w:lang w:val="en-US" w:eastAsia="zh-CN" w:bidi="ar-SA"/>
    </w:rPr>
  </w:style>
  <w:style w:type="character" w:customStyle="1" w:styleId="93">
    <w:name w:val="font61"/>
    <w:qFormat/>
    <w:uiPriority w:val="0"/>
    <w:rPr>
      <w:rFonts w:hint="eastAsia" w:ascii="宋体" w:hAnsi="宋体" w:eastAsia="宋体" w:cs="宋体"/>
      <w:color w:val="000000"/>
      <w:sz w:val="21"/>
      <w:szCs w:val="21"/>
      <w:u w:val="none"/>
    </w:rPr>
  </w:style>
  <w:style w:type="character" w:customStyle="1" w:styleId="94">
    <w:name w:val="列出段落 Char1"/>
    <w:link w:val="95"/>
    <w:qFormat/>
    <w:locked/>
    <w:uiPriority w:val="0"/>
    <w:rPr>
      <w:kern w:val="2"/>
      <w:sz w:val="21"/>
      <w:szCs w:val="24"/>
    </w:rPr>
  </w:style>
  <w:style w:type="paragraph" w:styleId="95">
    <w:name w:val="List Paragraph"/>
    <w:basedOn w:val="1"/>
    <w:link w:val="94"/>
    <w:qFormat/>
    <w:uiPriority w:val="0"/>
    <w:pPr>
      <w:ind w:firstLine="420" w:firstLineChars="200"/>
    </w:pPr>
  </w:style>
  <w:style w:type="character" w:customStyle="1" w:styleId="96">
    <w:name w:val="redfilenumber"/>
    <w:qFormat/>
    <w:uiPriority w:val="0"/>
    <w:rPr>
      <w:color w:val="BA2636"/>
      <w:sz w:val="18"/>
      <w:szCs w:val="18"/>
    </w:rPr>
  </w:style>
  <w:style w:type="paragraph" w:customStyle="1" w:styleId="97">
    <w:name w:val="样式1"/>
    <w:basedOn w:val="1"/>
    <w:qFormat/>
    <w:uiPriority w:val="0"/>
    <w:pPr>
      <w:widowControl/>
      <w:jc w:val="left"/>
    </w:pPr>
    <w:rPr>
      <w:rFonts w:ascii="宋体" w:hAnsi="宋体"/>
      <w:kern w:val="0"/>
      <w:szCs w:val="21"/>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1">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3">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8">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2">
    <w:name w:val="1"/>
    <w:basedOn w:val="1"/>
    <w:next w:val="17"/>
    <w:qFormat/>
    <w:uiPriority w:val="0"/>
    <w:rPr>
      <w:rFonts w:ascii="宋体" w:hAnsi="Courier New"/>
      <w:szCs w:val="20"/>
    </w:rPr>
  </w:style>
  <w:style w:type="paragraph" w:customStyle="1" w:styleId="113">
    <w:name w:val="Char Char8"/>
    <w:basedOn w:val="1"/>
    <w:qFormat/>
    <w:uiPriority w:val="0"/>
    <w:rPr>
      <w:rFonts w:ascii="Tahoma" w:hAnsi="Tahoma" w:eastAsia="Times New Roman"/>
      <w:kern w:val="0"/>
      <w:sz w:val="24"/>
      <w:szCs w:val="20"/>
    </w:rPr>
  </w:style>
  <w:style w:type="paragraph" w:customStyle="1" w:styleId="11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6">
    <w:name w:val="p17"/>
    <w:basedOn w:val="1"/>
    <w:qFormat/>
    <w:uiPriority w:val="0"/>
    <w:pPr>
      <w:widowControl/>
    </w:pPr>
    <w:rPr>
      <w:rFonts w:ascii="宋体" w:hAnsi="宋体" w:cs="宋体"/>
      <w:kern w:val="0"/>
      <w:szCs w:val="21"/>
    </w:rPr>
  </w:style>
  <w:style w:type="paragraph" w:customStyle="1" w:styleId="11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0">
    <w:name w:val="Char Char2 Char Char"/>
    <w:basedOn w:val="1"/>
    <w:qFormat/>
    <w:uiPriority w:val="0"/>
    <w:rPr>
      <w:rFonts w:ascii="Tahoma" w:hAnsi="Tahoma"/>
      <w:sz w:val="24"/>
      <w:szCs w:val="20"/>
    </w:rPr>
  </w:style>
  <w:style w:type="paragraph" w:customStyle="1" w:styleId="121">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8">
    <w:name w:val="Body text|3"/>
    <w:basedOn w:val="1"/>
    <w:qFormat/>
    <w:uiPriority w:val="0"/>
    <w:pPr>
      <w:spacing w:after="460"/>
      <w:jc w:val="center"/>
    </w:pPr>
    <w:rPr>
      <w:rFonts w:ascii="宋体" w:hAnsi="宋体" w:cs="宋体"/>
      <w:kern w:val="0"/>
      <w:sz w:val="34"/>
      <w:szCs w:val="34"/>
    </w:rPr>
  </w:style>
  <w:style w:type="paragraph" w:customStyle="1" w:styleId="129">
    <w:name w:val="CM14"/>
    <w:basedOn w:val="50"/>
    <w:next w:val="50"/>
    <w:qFormat/>
    <w:uiPriority w:val="0"/>
    <w:pPr>
      <w:spacing w:line="468" w:lineRule="atLeast"/>
    </w:pPr>
    <w:rPr>
      <w:rFonts w:ascii="Sim Sun" w:eastAsia="Sim Sun" w:cs="Times New Roman"/>
      <w:color w:val="auto"/>
    </w:rPr>
  </w:style>
  <w:style w:type="paragraph" w:customStyle="1" w:styleId="130">
    <w:name w:val="普通(网站)1"/>
    <w:basedOn w:val="1"/>
    <w:qFormat/>
    <w:uiPriority w:val="0"/>
    <w:pPr>
      <w:jc w:val="left"/>
    </w:pPr>
    <w:rPr>
      <w:kern w:val="0"/>
      <w:sz w:val="24"/>
    </w:rPr>
  </w:style>
  <w:style w:type="paragraph" w:customStyle="1" w:styleId="131">
    <w:name w:val="CM15"/>
    <w:basedOn w:val="50"/>
    <w:next w:val="50"/>
    <w:qFormat/>
    <w:uiPriority w:val="0"/>
    <w:pPr>
      <w:spacing w:line="468" w:lineRule="atLeast"/>
    </w:pPr>
    <w:rPr>
      <w:rFonts w:ascii="Sim Sun" w:eastAsia="Sim Sun" w:cs="Times New Roman"/>
      <w:color w:val="auto"/>
    </w:rPr>
  </w:style>
  <w:style w:type="paragraph" w:customStyle="1" w:styleId="132">
    <w:name w:val="列出段落1"/>
    <w:basedOn w:val="1"/>
    <w:qFormat/>
    <w:uiPriority w:val="0"/>
    <w:pPr>
      <w:ind w:firstLine="420" w:firstLineChars="200"/>
    </w:pPr>
    <w:rPr>
      <w:rFonts w:ascii="仿宋_GB2312" w:eastAsia="仿宋_GB2312"/>
      <w:sz w:val="32"/>
    </w:rPr>
  </w:style>
  <w:style w:type="paragraph" w:customStyle="1" w:styleId="133">
    <w:name w:val="Table Paragraph"/>
    <w:basedOn w:val="1"/>
    <w:qFormat/>
    <w:uiPriority w:val="1"/>
  </w:style>
  <w:style w:type="paragraph" w:customStyle="1" w:styleId="134">
    <w:name w:val="首行缩进"/>
    <w:basedOn w:val="1"/>
    <w:qFormat/>
    <w:uiPriority w:val="0"/>
    <w:pPr>
      <w:ind w:firstLine="480" w:firstLineChars="200"/>
    </w:pPr>
  </w:style>
  <w:style w:type="paragraph" w:customStyle="1" w:styleId="13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p0"/>
    <w:basedOn w:val="1"/>
    <w:qFormat/>
    <w:uiPriority w:val="0"/>
    <w:pPr>
      <w:widowControl/>
    </w:pPr>
    <w:rPr>
      <w:kern w:val="0"/>
      <w:szCs w:val="20"/>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4">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5">
    <w:name w:val="_Style 36"/>
    <w:basedOn w:val="1"/>
    <w:qFormat/>
    <w:uiPriority w:val="0"/>
    <w:rPr>
      <w:rFonts w:ascii="Tahoma" w:hAnsi="Tahoma"/>
      <w:sz w:val="24"/>
      <w:szCs w:val="20"/>
    </w:rPr>
  </w:style>
  <w:style w:type="paragraph" w:customStyle="1" w:styleId="146">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7">
    <w:name w:val="正文首行缩进 2 Char"/>
    <w:basedOn w:val="57"/>
    <w:link w:val="32"/>
    <w:qFormat/>
    <w:uiPriority w:val="0"/>
  </w:style>
  <w:style w:type="character" w:customStyle="1" w:styleId="148">
    <w:name w:val="标题 3 Char"/>
    <w:link w:val="4"/>
    <w:qFormat/>
    <w:uiPriority w:val="0"/>
    <w:rPr>
      <w:b/>
      <w:bCs/>
      <w:kern w:val="2"/>
      <w:sz w:val="32"/>
      <w:szCs w:val="32"/>
    </w:rPr>
  </w:style>
  <w:style w:type="character" w:customStyle="1" w:styleId="149">
    <w:name w:val="正文文本 Char"/>
    <w:basedOn w:val="35"/>
    <w:link w:val="14"/>
    <w:qFormat/>
    <w:uiPriority w:val="0"/>
    <w:rPr>
      <w:kern w:val="2"/>
      <w:sz w:val="24"/>
      <w:szCs w:val="24"/>
    </w:rPr>
  </w:style>
  <w:style w:type="character" w:customStyle="1" w:styleId="150">
    <w:name w:val="NormalCharacter"/>
    <w:qFormat/>
    <w:uiPriority w:val="0"/>
    <w:rPr>
      <w:rFonts w:ascii="Times New Roman" w:hAnsi="Times New Roman" w:eastAsia="宋体"/>
      <w:lang w:val="en-US"/>
    </w:rPr>
  </w:style>
  <w:style w:type="paragraph" w:customStyle="1" w:styleId="151">
    <w:name w:val="Table Text"/>
    <w:basedOn w:val="1"/>
    <w:semiHidden/>
    <w:qFormat/>
    <w:uiPriority w:val="0"/>
    <w:rPr>
      <w:rFonts w:ascii="宋体" w:hAnsi="宋体" w:eastAsia="宋体" w:cs="宋体"/>
      <w:sz w:val="24"/>
      <w:szCs w:val="24"/>
      <w:lang w:val="en-US" w:eastAsia="en-US" w:bidi="ar-SA"/>
    </w:rPr>
  </w:style>
  <w:style w:type="paragraph" w:customStyle="1" w:styleId="15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64</Pages>
  <Words>18522</Words>
  <Characters>20189</Characters>
  <Lines>344</Lines>
  <Paragraphs>96</Paragraphs>
  <TotalTime>296</TotalTime>
  <ScaleCrop>false</ScaleCrop>
  <LinksUpToDate>false</LinksUpToDate>
  <CharactersWithSpaces>20452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2023-05-15T01:07:00Z</dcterms:created>
  <dc:creator>微软用户</dc:creator>
  <cp:lastModifiedBy>一只坏喵喵.</cp:lastModifiedBy>
  <cp:lastPrinted>2025-06-12T06:18:00Z</cp:lastPrinted>
  <dcterms:modified xsi:type="dcterms:W3CDTF">2025-06-19T06:23:11Z</dcterms:modified>
  <dc:title>医疗设备采购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75CA1CDE0A324FCFA0ED8D5C3AE4AE94_13</vt:lpwstr>
  </property>
  <property fmtid="{D5CDD505-2E9C-101B-9397-08002B2CF9AE}" pid="4" name="KSOTemplateDocerSaveRecord">
    <vt:lpwstr>eyJoZGlkIjoiYTI3ZDYzMGZmOWU4OTlmNmE5NjVmYTc2NDNlYTdlYjAiLCJ1c2VySWQiOiI3MDc1NTAwMzYifQ==</vt:lpwstr>
  </property>
</Properties>
</file>