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9769F">
      <w:pPr>
        <w:spacing w:line="1000" w:lineRule="exact"/>
        <w:jc w:val="center"/>
        <w:rPr>
          <w:rFonts w:hint="eastAsia" w:ascii="宋体" w:hAnsi="宋体" w:eastAsia="宋体" w:cs="宋体"/>
          <w:b/>
          <w:color w:val="auto"/>
          <w:sz w:val="84"/>
          <w:szCs w:val="84"/>
          <w:highlight w:val="none"/>
        </w:rPr>
      </w:pPr>
      <w:bookmarkStart w:id="1858" w:name="_GoBack"/>
      <w:r>
        <w:rPr>
          <w:rFonts w:hint="eastAsia" w:ascii="宋体" w:hAnsi="宋体" w:eastAsia="宋体" w:cs="宋体"/>
          <w:b/>
          <w:bCs/>
          <w:color w:val="auto"/>
          <w:sz w:val="72"/>
          <w:highlight w:val="none"/>
        </w:rPr>
        <w:cr/>
      </w:r>
    </w:p>
    <w:p w14:paraId="13FC4917">
      <w:pPr>
        <w:pStyle w:val="2"/>
        <w:rPr>
          <w:rFonts w:hint="eastAsia"/>
          <w:color w:val="auto"/>
          <w:highlight w:val="none"/>
        </w:rPr>
      </w:pPr>
    </w:p>
    <w:p w14:paraId="3F24CE0A">
      <w:pPr>
        <w:spacing w:line="1000" w:lineRule="exact"/>
        <w:jc w:val="center"/>
        <w:rPr>
          <w:rFonts w:hint="eastAsia" w:ascii="宋体" w:hAnsi="宋体" w:eastAsia="宋体" w:cs="宋体"/>
          <w:b/>
          <w:color w:val="auto"/>
          <w:sz w:val="84"/>
          <w:szCs w:val="84"/>
          <w:highlight w:val="none"/>
        </w:rPr>
      </w:pPr>
      <w:r>
        <w:rPr>
          <w:rFonts w:hint="eastAsia" w:ascii="宋体" w:hAnsi="宋体" w:eastAsia="宋体" w:cs="宋体"/>
          <w:b/>
          <w:color w:val="auto"/>
          <w:sz w:val="84"/>
          <w:szCs w:val="84"/>
          <w:highlight w:val="none"/>
        </w:rPr>
        <w:t>竞争性磋商文件</w:t>
      </w:r>
      <w:r>
        <w:rPr>
          <w:rFonts w:hint="eastAsia" w:ascii="宋体" w:hAnsi="宋体" w:eastAsia="宋体" w:cs="宋体"/>
          <w:b/>
          <w:color w:val="auto"/>
          <w:sz w:val="84"/>
          <w:szCs w:val="84"/>
          <w:highlight w:val="none"/>
        </w:rPr>
        <w:cr/>
      </w:r>
      <w:r>
        <w:rPr>
          <w:rFonts w:hint="eastAsia" w:ascii="宋体" w:hAnsi="宋体" w:eastAsia="宋体" w:cs="宋体"/>
          <w:b/>
          <w:color w:val="auto"/>
          <w:sz w:val="84"/>
          <w:szCs w:val="84"/>
          <w:highlight w:val="none"/>
        </w:rPr>
        <w:cr/>
      </w:r>
    </w:p>
    <w:p w14:paraId="3223A0EC">
      <w:pPr>
        <w:pStyle w:val="11"/>
        <w:ind w:firstLine="3990" w:firstLineChars="1900"/>
        <w:rPr>
          <w:rFonts w:hint="eastAsia" w:ascii="宋体" w:hAnsi="宋体" w:eastAsia="宋体" w:cs="宋体"/>
          <w:color w:val="auto"/>
          <w:highlight w:val="none"/>
        </w:rPr>
      </w:pPr>
    </w:p>
    <w:p w14:paraId="5BD0B231">
      <w:pPr>
        <w:pStyle w:val="11"/>
        <w:rPr>
          <w:rFonts w:hint="eastAsia" w:ascii="宋体" w:hAnsi="宋体" w:eastAsia="宋体" w:cs="宋体"/>
          <w:color w:val="auto"/>
          <w:highlight w:val="none"/>
        </w:rPr>
      </w:pPr>
    </w:p>
    <w:p w14:paraId="4CB23DB0">
      <w:pPr>
        <w:ind w:left="2082" w:leftChars="304" w:hanging="1444" w:hangingChars="400"/>
        <w:jc w:val="both"/>
        <w:rPr>
          <w:rFonts w:hint="eastAsia" w:ascii="宋体" w:hAnsi="宋体" w:eastAsia="宋体" w:cs="宋体"/>
          <w:b/>
          <w:bCs/>
          <w:color w:val="auto"/>
          <w:spacing w:val="40"/>
          <w:sz w:val="28"/>
          <w:szCs w:val="22"/>
          <w:highlight w:val="none"/>
          <w:lang w:val="en-US" w:eastAsia="zh-CN"/>
        </w:rPr>
      </w:pPr>
      <w:r>
        <w:rPr>
          <w:rFonts w:hint="eastAsia" w:ascii="宋体" w:hAnsi="宋体" w:eastAsia="宋体" w:cs="宋体"/>
          <w:b/>
          <w:bCs/>
          <w:color w:val="auto"/>
          <w:spacing w:val="40"/>
          <w:sz w:val="28"/>
          <w:szCs w:val="22"/>
          <w:highlight w:val="none"/>
        </w:rPr>
        <w:t>项目名称：</w:t>
      </w:r>
      <w:r>
        <w:rPr>
          <w:rFonts w:hint="eastAsia" w:ascii="宋体" w:hAnsi="宋体" w:cs="宋体"/>
          <w:b/>
          <w:bCs/>
          <w:color w:val="auto"/>
          <w:spacing w:val="40"/>
          <w:sz w:val="28"/>
          <w:szCs w:val="22"/>
          <w:highlight w:val="none"/>
          <w:lang w:eastAsia="zh-CN"/>
        </w:rPr>
        <w:t>桂林市秀峰房产管理处2025年公共租赁住房大修工程</w:t>
      </w:r>
    </w:p>
    <w:p w14:paraId="40E516EB">
      <w:pPr>
        <w:ind w:firstLine="722" w:firstLineChars="200"/>
        <w:rPr>
          <w:rFonts w:hint="default" w:ascii="宋体" w:hAnsi="宋体" w:eastAsia="宋体" w:cs="宋体"/>
          <w:color w:val="auto"/>
          <w:highlight w:val="none"/>
          <w:lang w:val="en-US"/>
        </w:rPr>
      </w:pPr>
      <w:r>
        <w:rPr>
          <w:rFonts w:hint="eastAsia" w:ascii="宋体" w:hAnsi="宋体" w:eastAsia="宋体" w:cs="宋体"/>
          <w:b/>
          <w:bCs/>
          <w:color w:val="auto"/>
          <w:spacing w:val="40"/>
          <w:sz w:val="28"/>
          <w:szCs w:val="22"/>
          <w:highlight w:val="none"/>
        </w:rPr>
        <w:t>项目编号</w:t>
      </w:r>
      <w:r>
        <w:rPr>
          <w:rFonts w:hint="eastAsia" w:ascii="宋体" w:hAnsi="宋体" w:eastAsia="宋体" w:cs="宋体"/>
          <w:b/>
          <w:bCs/>
          <w:color w:val="auto"/>
          <w:spacing w:val="40"/>
          <w:sz w:val="28"/>
          <w:szCs w:val="22"/>
          <w:highlight w:val="none"/>
          <w:lang w:eastAsia="zh-CN"/>
        </w:rPr>
        <w:t>：</w:t>
      </w:r>
      <w:r>
        <w:rPr>
          <w:rFonts w:hint="eastAsia" w:ascii="宋体" w:hAnsi="宋体" w:cs="宋体"/>
          <w:b/>
          <w:bCs/>
          <w:color w:val="auto"/>
          <w:spacing w:val="40"/>
          <w:sz w:val="28"/>
          <w:szCs w:val="22"/>
          <w:highlight w:val="none"/>
          <w:lang w:eastAsia="zh-CN"/>
        </w:rPr>
        <w:t>GLZC2025-C2-990332-ZCJS</w:t>
      </w:r>
    </w:p>
    <w:p w14:paraId="340D01E7">
      <w:pPr>
        <w:ind w:firstLine="401" w:firstLineChars="100"/>
        <w:jc w:val="both"/>
        <w:rPr>
          <w:rFonts w:hint="default" w:ascii="宋体" w:hAnsi="宋体" w:eastAsia="宋体" w:cs="宋体"/>
          <w:b/>
          <w:bCs/>
          <w:color w:val="auto"/>
          <w:spacing w:val="40"/>
          <w:sz w:val="32"/>
          <w:highlight w:val="none"/>
          <w:lang w:val="en-US"/>
        </w:rPr>
      </w:pPr>
    </w:p>
    <w:p w14:paraId="001B04F8">
      <w:pPr>
        <w:ind w:firstLine="1050" w:firstLineChars="500"/>
        <w:rPr>
          <w:rFonts w:hint="eastAsia" w:ascii="宋体" w:hAnsi="宋体" w:eastAsia="宋体" w:cs="宋体"/>
          <w:color w:val="auto"/>
          <w:highlight w:val="none"/>
        </w:rPr>
      </w:pPr>
    </w:p>
    <w:p w14:paraId="5B323DE2">
      <w:pPr>
        <w:ind w:firstLine="1050" w:firstLineChars="500"/>
        <w:rPr>
          <w:rFonts w:hint="eastAsia" w:ascii="宋体" w:hAnsi="宋体" w:eastAsia="宋体" w:cs="宋体"/>
          <w:color w:val="auto"/>
          <w:highlight w:val="none"/>
        </w:rPr>
      </w:pPr>
    </w:p>
    <w:p w14:paraId="1C712B5F">
      <w:pPr>
        <w:ind w:firstLine="1050" w:firstLineChars="500"/>
        <w:rPr>
          <w:rFonts w:hint="eastAsia" w:ascii="宋体" w:hAnsi="宋体" w:eastAsia="宋体" w:cs="宋体"/>
          <w:color w:val="auto"/>
          <w:highlight w:val="none"/>
        </w:rPr>
      </w:pPr>
    </w:p>
    <w:p w14:paraId="51A1F5AD">
      <w:pPr>
        <w:pStyle w:val="8"/>
        <w:rPr>
          <w:rFonts w:hint="eastAsia"/>
          <w:color w:val="auto"/>
          <w:highlight w:val="none"/>
        </w:rPr>
      </w:pPr>
    </w:p>
    <w:p w14:paraId="332CC175">
      <w:pPr>
        <w:ind w:left="-2" w:leftChars="-1" w:firstLine="630" w:firstLineChars="300"/>
        <w:rPr>
          <w:rFonts w:hint="eastAsia" w:ascii="宋体" w:hAnsi="宋体" w:eastAsia="宋体" w:cs="宋体"/>
          <w:color w:val="auto"/>
          <w:highlight w:val="none"/>
        </w:rPr>
      </w:pPr>
    </w:p>
    <w:p w14:paraId="589680CF">
      <w:pPr>
        <w:ind w:left="-2" w:leftChars="-1" w:firstLine="630" w:firstLineChars="300"/>
        <w:rPr>
          <w:rFonts w:hint="eastAsia" w:ascii="宋体" w:hAnsi="宋体" w:eastAsia="宋体" w:cs="宋体"/>
          <w:color w:val="auto"/>
          <w:highlight w:val="none"/>
        </w:rPr>
      </w:pPr>
    </w:p>
    <w:p w14:paraId="7829F185">
      <w:pPr>
        <w:ind w:left="-2" w:leftChars="-1" w:firstLine="630" w:firstLineChars="300"/>
        <w:rPr>
          <w:rFonts w:hint="eastAsia" w:ascii="宋体" w:hAnsi="宋体" w:eastAsia="宋体" w:cs="宋体"/>
          <w:color w:val="auto"/>
          <w:highlight w:val="none"/>
        </w:rPr>
      </w:pPr>
    </w:p>
    <w:p w14:paraId="2EE5739F">
      <w:pPr>
        <w:pStyle w:val="12"/>
        <w:rPr>
          <w:rFonts w:hint="eastAsia"/>
          <w:color w:val="auto"/>
          <w:highlight w:val="none"/>
        </w:rPr>
      </w:pPr>
    </w:p>
    <w:p w14:paraId="7091972A">
      <w:pPr>
        <w:ind w:firstLine="643" w:firstLineChars="200"/>
        <w:rPr>
          <w:rFonts w:hint="eastAsia" w:ascii="宋体" w:hAnsi="宋体" w:eastAsia="宋体" w:cs="宋体"/>
          <w:color w:val="auto"/>
          <w:sz w:val="32"/>
          <w:szCs w:val="32"/>
          <w:highlight w:val="none"/>
        </w:rPr>
      </w:pPr>
      <w:r>
        <w:rPr>
          <w:rFonts w:hint="eastAsia" w:ascii="宋体" w:hAnsi="宋体" w:eastAsia="宋体" w:cs="宋体"/>
          <w:b/>
          <w:bCs/>
          <w:color w:val="auto"/>
          <w:sz w:val="32"/>
          <w:highlight w:val="none"/>
          <w:lang w:val="en-US" w:eastAsia="zh-CN"/>
        </w:rPr>
        <w:t xml:space="preserve">  </w:t>
      </w:r>
      <w:r>
        <w:rPr>
          <w:rFonts w:hint="eastAsia" w:ascii="宋体" w:hAnsi="宋体" w:eastAsia="宋体" w:cs="宋体"/>
          <w:b/>
          <w:bCs/>
          <w:color w:val="auto"/>
          <w:sz w:val="32"/>
          <w:highlight w:val="none"/>
        </w:rPr>
        <w:t>采购代理机构：</w:t>
      </w:r>
      <w:r>
        <w:rPr>
          <w:rFonts w:hint="eastAsia" w:ascii="宋体" w:hAnsi="宋体" w:cs="宋体"/>
          <w:b/>
          <w:bCs/>
          <w:color w:val="auto"/>
          <w:sz w:val="32"/>
          <w:highlight w:val="none"/>
          <w:lang w:eastAsia="zh-CN"/>
        </w:rPr>
        <w:t>广西中承建设工程咨询有限公司</w:t>
      </w:r>
      <w:r>
        <w:rPr>
          <w:rFonts w:hint="eastAsia" w:ascii="宋体" w:hAnsi="宋体" w:eastAsia="宋体" w:cs="宋体"/>
          <w:b/>
          <w:bCs/>
          <w:color w:val="auto"/>
          <w:sz w:val="32"/>
          <w:highlight w:val="none"/>
        </w:rPr>
        <w:t xml:space="preserve"> </w:t>
      </w:r>
      <w:r>
        <w:rPr>
          <w:rFonts w:hint="eastAsia" w:ascii="宋体" w:hAnsi="宋体" w:eastAsia="宋体" w:cs="宋体"/>
          <w:b/>
          <w:bCs/>
          <w:color w:val="auto"/>
          <w:spacing w:val="40"/>
          <w:kern w:val="0"/>
          <w:sz w:val="32"/>
          <w:highlight w:val="none"/>
        </w:rPr>
        <w:t xml:space="preserve">           </w:t>
      </w:r>
      <w:r>
        <w:rPr>
          <w:rFonts w:hint="eastAsia" w:ascii="宋体" w:hAnsi="宋体" w:eastAsia="宋体" w:cs="宋体"/>
          <w:color w:val="auto"/>
          <w:sz w:val="32"/>
          <w:szCs w:val="32"/>
          <w:highlight w:val="none"/>
        </w:rPr>
        <w:t xml:space="preserve">     </w:t>
      </w:r>
    </w:p>
    <w:p w14:paraId="154C57E8">
      <w:pPr>
        <w:ind w:firstLine="3694" w:firstLineChars="1150"/>
        <w:rPr>
          <w:rFonts w:hint="eastAsia" w:ascii="宋体" w:hAnsi="宋体" w:eastAsia="宋体" w:cs="宋体"/>
          <w:color w:val="auto"/>
          <w:sz w:val="32"/>
          <w:highlight w:val="none"/>
        </w:rPr>
      </w:pPr>
      <w:r>
        <w:rPr>
          <w:rFonts w:hint="eastAsia" w:ascii="宋体" w:hAnsi="宋体" w:eastAsia="宋体" w:cs="宋体"/>
          <w:b/>
          <w:bCs/>
          <w:color w:val="auto"/>
          <w:sz w:val="32"/>
          <w:highlight w:val="none"/>
          <w:lang w:val="en-US" w:eastAsia="zh-CN"/>
        </w:rPr>
        <w:t>202</w:t>
      </w:r>
      <w:r>
        <w:rPr>
          <w:rFonts w:hint="eastAsia" w:ascii="宋体" w:hAnsi="宋体" w:cs="宋体"/>
          <w:b/>
          <w:bCs/>
          <w:color w:val="auto"/>
          <w:sz w:val="32"/>
          <w:highlight w:val="none"/>
          <w:lang w:val="en-US" w:eastAsia="zh-CN"/>
        </w:rPr>
        <w:t>5</w:t>
      </w:r>
      <w:r>
        <w:rPr>
          <w:rFonts w:hint="eastAsia" w:ascii="宋体" w:hAnsi="宋体" w:eastAsia="宋体" w:cs="宋体"/>
          <w:b/>
          <w:bCs/>
          <w:color w:val="auto"/>
          <w:sz w:val="32"/>
          <w:highlight w:val="none"/>
        </w:rPr>
        <w:t>年</w:t>
      </w:r>
      <w:r>
        <w:rPr>
          <w:rFonts w:hint="eastAsia" w:ascii="宋体" w:hAnsi="宋体" w:cs="宋体"/>
          <w:b/>
          <w:bCs/>
          <w:color w:val="auto"/>
          <w:sz w:val="32"/>
          <w:highlight w:val="none"/>
          <w:lang w:val="en-US" w:eastAsia="zh-CN"/>
        </w:rPr>
        <w:t>7</w:t>
      </w:r>
      <w:r>
        <w:rPr>
          <w:rFonts w:hint="eastAsia" w:ascii="宋体" w:hAnsi="宋体" w:eastAsia="宋体" w:cs="宋体"/>
          <w:b/>
          <w:bCs/>
          <w:color w:val="auto"/>
          <w:sz w:val="32"/>
          <w:highlight w:val="none"/>
        </w:rPr>
        <w:t>月</w:t>
      </w:r>
    </w:p>
    <w:p w14:paraId="13D623BA">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p>
    <w:p w14:paraId="24EFF00E">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30"/>
          <w:szCs w:val="30"/>
          <w:highlight w:val="none"/>
          <w:lang w:eastAsia="zh-CN"/>
        </w:rPr>
        <w:sectPr>
          <w:pgSz w:w="11906" w:h="16838"/>
          <w:pgMar w:top="1418" w:right="1115" w:bottom="1418" w:left="1131" w:header="851" w:footer="992" w:gutter="0"/>
          <w:pgNumType w:fmt="decimal" w:start="1"/>
          <w:cols w:space="720" w:num="1"/>
          <w:titlePg/>
          <w:docGrid w:type="lines" w:linePitch="312" w:charSpace="0"/>
        </w:sectPr>
      </w:pPr>
    </w:p>
    <w:p w14:paraId="31568442">
      <w:pPr>
        <w:rPr>
          <w:rFonts w:hint="eastAsia"/>
          <w:color w:val="auto"/>
          <w:highlight w:val="none"/>
          <w:lang w:eastAsia="zh-CN"/>
        </w:rPr>
      </w:pPr>
    </w:p>
    <w:p w14:paraId="09E4F7CC">
      <w:pPr>
        <w:pStyle w:val="15"/>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48"/>
          <w:szCs w:val="48"/>
          <w:highlight w:val="none"/>
          <w:lang w:eastAsia="zh-CN"/>
        </w:rPr>
      </w:pPr>
      <w:r>
        <w:rPr>
          <w:rFonts w:hint="eastAsia" w:ascii="宋体" w:hAnsi="宋体" w:eastAsia="宋体" w:cs="宋体"/>
          <w:b/>
          <w:color w:val="auto"/>
          <w:spacing w:val="-6"/>
          <w:kern w:val="0"/>
          <w:sz w:val="48"/>
          <w:szCs w:val="48"/>
          <w:highlight w:val="none"/>
          <w:lang w:eastAsia="zh-CN"/>
        </w:rPr>
        <w:t>目</w:t>
      </w:r>
      <w:r>
        <w:rPr>
          <w:rFonts w:hint="eastAsia" w:ascii="宋体" w:hAnsi="宋体" w:eastAsia="宋体" w:cs="宋体"/>
          <w:b/>
          <w:color w:val="auto"/>
          <w:spacing w:val="-6"/>
          <w:kern w:val="0"/>
          <w:sz w:val="48"/>
          <w:szCs w:val="48"/>
          <w:highlight w:val="none"/>
          <w:lang w:val="en-US" w:eastAsia="zh-CN"/>
        </w:rPr>
        <w:t xml:space="preserve">  </w:t>
      </w:r>
      <w:r>
        <w:rPr>
          <w:rFonts w:hint="eastAsia" w:ascii="宋体" w:hAnsi="宋体" w:eastAsia="宋体" w:cs="宋体"/>
          <w:b/>
          <w:color w:val="auto"/>
          <w:spacing w:val="-6"/>
          <w:kern w:val="0"/>
          <w:sz w:val="48"/>
          <w:szCs w:val="48"/>
          <w:highlight w:val="none"/>
          <w:lang w:eastAsia="zh-CN"/>
        </w:rPr>
        <w:t>录</w:t>
      </w:r>
    </w:p>
    <w:p w14:paraId="7BE58A67">
      <w:pPr>
        <w:rPr>
          <w:rFonts w:hint="eastAsia"/>
          <w:color w:val="auto"/>
          <w:highlight w:val="none"/>
          <w:lang w:eastAsia="zh-CN"/>
        </w:rPr>
      </w:pPr>
    </w:p>
    <w:p w14:paraId="7B5F6F98">
      <w:pPr>
        <w:pStyle w:val="15"/>
        <w:tabs>
          <w:tab w:val="right" w:leader="dot" w:pos="9660"/>
        </w:tabs>
        <w:rPr>
          <w:color w:val="auto"/>
          <w:sz w:val="28"/>
          <w:szCs w:val="36"/>
          <w:highlight w:val="none"/>
        </w:rPr>
      </w:pPr>
      <w:r>
        <w:rPr>
          <w:rFonts w:hint="eastAsia" w:ascii="宋体" w:hAnsi="宋体" w:eastAsia="宋体" w:cs="宋体"/>
          <w:b/>
          <w:color w:val="auto"/>
          <w:spacing w:val="-6"/>
          <w:kern w:val="0"/>
          <w:sz w:val="48"/>
          <w:szCs w:val="48"/>
          <w:highlight w:val="none"/>
        </w:rPr>
        <w:fldChar w:fldCharType="begin"/>
      </w:r>
      <w:r>
        <w:rPr>
          <w:rFonts w:hint="eastAsia" w:ascii="宋体" w:hAnsi="宋体" w:eastAsia="宋体" w:cs="宋体"/>
          <w:b/>
          <w:color w:val="auto"/>
          <w:spacing w:val="-6"/>
          <w:kern w:val="0"/>
          <w:sz w:val="48"/>
          <w:szCs w:val="48"/>
          <w:highlight w:val="none"/>
        </w:rPr>
        <w:instrText xml:space="preserve">TOC \o "1-2" \h \u </w:instrText>
      </w:r>
      <w:r>
        <w:rPr>
          <w:rFonts w:hint="eastAsia" w:ascii="宋体" w:hAnsi="宋体" w:eastAsia="宋体" w:cs="宋体"/>
          <w:b/>
          <w:color w:val="auto"/>
          <w:spacing w:val="-6"/>
          <w:kern w:val="0"/>
          <w:sz w:val="48"/>
          <w:szCs w:val="48"/>
          <w:highlight w:val="none"/>
        </w:rPr>
        <w:fldChar w:fldCharType="separate"/>
      </w: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_Toc8943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第一章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竞争性磋商公告</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_Toc8943 \h </w:instrText>
      </w:r>
      <w:r>
        <w:rPr>
          <w:color w:val="auto"/>
          <w:sz w:val="28"/>
          <w:szCs w:val="36"/>
          <w:highlight w:val="none"/>
        </w:rPr>
        <w:fldChar w:fldCharType="separate"/>
      </w:r>
      <w:r>
        <w:rPr>
          <w:color w:val="auto"/>
          <w:sz w:val="28"/>
          <w:szCs w:val="36"/>
          <w:highlight w:val="none"/>
        </w:rPr>
        <w:t>2</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EA6503F">
      <w:pPr>
        <w:pStyle w:val="15"/>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_Toc11572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第二章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供应商须知</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_Toc11572 \h </w:instrText>
      </w:r>
      <w:r>
        <w:rPr>
          <w:color w:val="auto"/>
          <w:sz w:val="28"/>
          <w:szCs w:val="36"/>
          <w:highlight w:val="none"/>
        </w:rPr>
        <w:fldChar w:fldCharType="separate"/>
      </w:r>
      <w:r>
        <w:rPr>
          <w:color w:val="auto"/>
          <w:sz w:val="28"/>
          <w:szCs w:val="36"/>
          <w:highlight w:val="none"/>
        </w:rPr>
        <w:t>5</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8354CDF">
      <w:pPr>
        <w:pStyle w:val="15"/>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_Toc18727 </w:instrText>
      </w:r>
      <w:r>
        <w:rPr>
          <w:rFonts w:hint="eastAsia" w:ascii="宋体" w:hAnsi="宋体" w:eastAsia="宋体" w:cs="宋体"/>
          <w:color w:val="auto"/>
          <w:spacing w:val="-6"/>
          <w:kern w:val="0"/>
          <w:sz w:val="28"/>
          <w:szCs w:val="48"/>
          <w:highlight w:val="none"/>
        </w:rPr>
        <w:fldChar w:fldCharType="separate"/>
      </w:r>
      <w:r>
        <w:rPr>
          <w:rFonts w:hint="eastAsia"/>
          <w:color w:val="auto"/>
          <w:sz w:val="28"/>
          <w:szCs w:val="44"/>
          <w:highlight w:val="none"/>
        </w:rPr>
        <w:t xml:space="preserve">第三章 </w:t>
      </w:r>
      <w:r>
        <w:rPr>
          <w:rFonts w:hint="eastAsia"/>
          <w:color w:val="auto"/>
          <w:sz w:val="28"/>
          <w:szCs w:val="44"/>
          <w:highlight w:val="none"/>
          <w:lang w:eastAsia="zh-CN"/>
        </w:rPr>
        <w:t>工程量清单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_Toc18727 \h </w:instrText>
      </w:r>
      <w:r>
        <w:rPr>
          <w:color w:val="auto"/>
          <w:sz w:val="28"/>
          <w:szCs w:val="36"/>
          <w:highlight w:val="none"/>
        </w:rPr>
        <w:fldChar w:fldCharType="separate"/>
      </w:r>
      <w:r>
        <w:rPr>
          <w:color w:val="auto"/>
          <w:sz w:val="28"/>
          <w:szCs w:val="36"/>
          <w:highlight w:val="none"/>
        </w:rPr>
        <w:t>- 26 -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79C776FB">
      <w:pPr>
        <w:pStyle w:val="15"/>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_Toc4390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第四章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评审办法</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_Toc4390 \h </w:instrText>
      </w:r>
      <w:r>
        <w:rPr>
          <w:color w:val="auto"/>
          <w:sz w:val="28"/>
          <w:szCs w:val="36"/>
          <w:highlight w:val="none"/>
        </w:rPr>
        <w:fldChar w:fldCharType="separate"/>
      </w:r>
      <w:r>
        <w:rPr>
          <w:color w:val="auto"/>
          <w:sz w:val="28"/>
          <w:szCs w:val="36"/>
          <w:highlight w:val="none"/>
        </w:rPr>
        <w:t>- 29 -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D5697E8">
      <w:pPr>
        <w:pStyle w:val="15"/>
        <w:tabs>
          <w:tab w:val="right" w:leader="dot" w:pos="9660"/>
        </w:tabs>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_Toc29318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color w:val="auto"/>
          <w:sz w:val="28"/>
          <w:szCs w:val="44"/>
          <w:highlight w:val="none"/>
          <w:lang w:eastAsia="zh-CN"/>
        </w:rPr>
        <w:t>第五章</w:t>
      </w:r>
      <w:r>
        <w:rPr>
          <w:rFonts w:hint="eastAsia" w:ascii="宋体" w:hAnsi="宋体" w:eastAsia="宋体" w:cs="宋体"/>
          <w:color w:val="auto"/>
          <w:sz w:val="28"/>
          <w:szCs w:val="44"/>
          <w:highlight w:val="none"/>
          <w:lang w:val="en-US" w:eastAsia="zh-CN"/>
        </w:rPr>
        <w:t xml:space="preserve"> </w:t>
      </w:r>
      <w:r>
        <w:rPr>
          <w:rFonts w:hint="eastAsia" w:ascii="宋体" w:hAnsi="宋体" w:eastAsia="宋体" w:cs="宋体"/>
          <w:color w:val="auto"/>
          <w:sz w:val="28"/>
          <w:szCs w:val="44"/>
          <w:highlight w:val="none"/>
        </w:rPr>
        <w:t>采购合同（合同主要条款及格式）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_Toc29318 \h </w:instrText>
      </w:r>
      <w:r>
        <w:rPr>
          <w:color w:val="auto"/>
          <w:sz w:val="28"/>
          <w:szCs w:val="36"/>
          <w:highlight w:val="none"/>
        </w:rPr>
        <w:fldChar w:fldCharType="separate"/>
      </w:r>
      <w:r>
        <w:rPr>
          <w:color w:val="auto"/>
          <w:sz w:val="28"/>
          <w:szCs w:val="36"/>
          <w:highlight w:val="none"/>
        </w:rPr>
        <w:t>- 34 -</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5EBE3707">
      <w:pPr>
        <w:pStyle w:val="16"/>
        <w:tabs>
          <w:tab w:val="right" w:leader="dot" w:pos="9660"/>
        </w:tabs>
        <w:ind w:left="0" w:leftChars="0" w:firstLine="0" w:firstLineChars="0"/>
        <w:rPr>
          <w:color w:val="auto"/>
          <w:sz w:val="28"/>
          <w:szCs w:val="36"/>
          <w:highlight w:val="none"/>
        </w:rPr>
      </w:pPr>
      <w:r>
        <w:rPr>
          <w:rFonts w:hint="eastAsia" w:ascii="宋体" w:hAnsi="宋体" w:eastAsia="宋体" w:cs="宋体"/>
          <w:color w:val="auto"/>
          <w:spacing w:val="-6"/>
          <w:kern w:val="0"/>
          <w:sz w:val="28"/>
          <w:szCs w:val="48"/>
          <w:highlight w:val="none"/>
        </w:rPr>
        <w:fldChar w:fldCharType="begin"/>
      </w:r>
      <w:r>
        <w:rPr>
          <w:rFonts w:hint="eastAsia" w:ascii="宋体" w:hAnsi="宋体" w:eastAsia="宋体" w:cs="宋体"/>
          <w:color w:val="auto"/>
          <w:spacing w:val="-6"/>
          <w:kern w:val="0"/>
          <w:sz w:val="28"/>
          <w:szCs w:val="48"/>
          <w:highlight w:val="none"/>
        </w:rPr>
        <w:instrText xml:space="preserve"> HYPERLINK \l _Toc25671 </w:instrText>
      </w:r>
      <w:r>
        <w:rPr>
          <w:rFonts w:hint="eastAsia" w:ascii="宋体" w:hAnsi="宋体" w:eastAsia="宋体" w:cs="宋体"/>
          <w:color w:val="auto"/>
          <w:spacing w:val="-6"/>
          <w:kern w:val="0"/>
          <w:sz w:val="28"/>
          <w:szCs w:val="48"/>
          <w:highlight w:val="none"/>
        </w:rPr>
        <w:fldChar w:fldCharType="separate"/>
      </w:r>
      <w:r>
        <w:rPr>
          <w:rFonts w:hint="eastAsia" w:ascii="宋体" w:hAnsi="宋体" w:eastAsia="宋体" w:cs="宋体"/>
          <w:bCs/>
          <w:color w:val="auto"/>
          <w:kern w:val="44"/>
          <w:sz w:val="28"/>
          <w:szCs w:val="44"/>
          <w:highlight w:val="none"/>
        </w:rPr>
        <w:t xml:space="preserve">第六章 </w:t>
      </w:r>
      <w:r>
        <w:rPr>
          <w:rFonts w:hint="eastAsia" w:ascii="宋体" w:hAnsi="宋体" w:eastAsia="宋体" w:cs="宋体"/>
          <w:bCs/>
          <w:color w:val="auto"/>
          <w:sz w:val="28"/>
          <w:szCs w:val="44"/>
          <w:highlight w:val="none"/>
        </w:rPr>
        <w:t>响应文件（格式）</w:t>
      </w:r>
      <w:r>
        <w:rPr>
          <w:color w:val="auto"/>
          <w:sz w:val="28"/>
          <w:szCs w:val="36"/>
          <w:highlight w:val="none"/>
        </w:rPr>
        <w:tab/>
      </w:r>
      <w:r>
        <w:rPr>
          <w:color w:val="auto"/>
          <w:sz w:val="28"/>
          <w:szCs w:val="36"/>
          <w:highlight w:val="none"/>
        </w:rPr>
        <w:fldChar w:fldCharType="begin"/>
      </w:r>
      <w:r>
        <w:rPr>
          <w:color w:val="auto"/>
          <w:sz w:val="28"/>
          <w:szCs w:val="36"/>
          <w:highlight w:val="none"/>
        </w:rPr>
        <w:instrText xml:space="preserve"> PAGEREF _Toc25671 \h </w:instrText>
      </w:r>
      <w:r>
        <w:rPr>
          <w:color w:val="auto"/>
          <w:sz w:val="28"/>
          <w:szCs w:val="36"/>
          <w:highlight w:val="none"/>
        </w:rPr>
        <w:fldChar w:fldCharType="separate"/>
      </w:r>
      <w:r>
        <w:rPr>
          <w:color w:val="auto"/>
          <w:sz w:val="28"/>
          <w:szCs w:val="36"/>
          <w:highlight w:val="none"/>
        </w:rPr>
        <w:t>64</w:t>
      </w:r>
      <w:r>
        <w:rPr>
          <w:color w:val="auto"/>
          <w:sz w:val="28"/>
          <w:szCs w:val="36"/>
          <w:highlight w:val="none"/>
        </w:rPr>
        <w:fldChar w:fldCharType="end"/>
      </w:r>
      <w:r>
        <w:rPr>
          <w:rFonts w:hint="eastAsia" w:ascii="宋体" w:hAnsi="宋体" w:eastAsia="宋体" w:cs="宋体"/>
          <w:color w:val="auto"/>
          <w:spacing w:val="-6"/>
          <w:kern w:val="0"/>
          <w:sz w:val="28"/>
          <w:szCs w:val="48"/>
          <w:highlight w:val="none"/>
        </w:rPr>
        <w:fldChar w:fldCharType="end"/>
      </w:r>
    </w:p>
    <w:p w14:paraId="0C13166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36"/>
          <w:szCs w:val="36"/>
          <w:highlight w:val="none"/>
        </w:rPr>
      </w:pPr>
      <w:r>
        <w:rPr>
          <w:rFonts w:hint="eastAsia" w:ascii="宋体" w:hAnsi="宋体" w:eastAsia="宋体" w:cs="宋体"/>
          <w:color w:val="auto"/>
          <w:spacing w:val="-6"/>
          <w:kern w:val="0"/>
          <w:sz w:val="28"/>
          <w:szCs w:val="48"/>
          <w:highlight w:val="none"/>
        </w:rPr>
        <w:fldChar w:fldCharType="end"/>
      </w:r>
    </w:p>
    <w:p w14:paraId="2519DAAA">
      <w:pPr>
        <w:pStyle w:val="2"/>
        <w:rPr>
          <w:rFonts w:hint="eastAsia" w:ascii="宋体" w:hAnsi="宋体" w:eastAsia="宋体" w:cs="宋体"/>
          <w:color w:val="auto"/>
          <w:spacing w:val="-6"/>
          <w:kern w:val="0"/>
          <w:sz w:val="24"/>
          <w:szCs w:val="24"/>
          <w:highlight w:val="none"/>
        </w:rPr>
      </w:pPr>
    </w:p>
    <w:p w14:paraId="2C92B490">
      <w:pPr>
        <w:rPr>
          <w:rFonts w:hint="eastAsia" w:ascii="宋体" w:hAnsi="宋体" w:eastAsia="宋体" w:cs="宋体"/>
          <w:color w:val="auto"/>
          <w:spacing w:val="-6"/>
          <w:kern w:val="0"/>
          <w:sz w:val="24"/>
          <w:szCs w:val="24"/>
          <w:highlight w:val="none"/>
        </w:rPr>
      </w:pPr>
    </w:p>
    <w:p w14:paraId="75955482">
      <w:pPr>
        <w:pStyle w:val="2"/>
        <w:rPr>
          <w:rFonts w:hint="eastAsia" w:ascii="宋体" w:hAnsi="宋体" w:eastAsia="宋体" w:cs="宋体"/>
          <w:color w:val="auto"/>
          <w:spacing w:val="-6"/>
          <w:kern w:val="0"/>
          <w:sz w:val="24"/>
          <w:szCs w:val="24"/>
          <w:highlight w:val="none"/>
        </w:rPr>
      </w:pPr>
    </w:p>
    <w:p w14:paraId="5258994E">
      <w:pPr>
        <w:rPr>
          <w:rFonts w:hint="eastAsia" w:ascii="宋体" w:hAnsi="宋体" w:eastAsia="宋体" w:cs="宋体"/>
          <w:color w:val="auto"/>
          <w:spacing w:val="-6"/>
          <w:kern w:val="0"/>
          <w:sz w:val="24"/>
          <w:szCs w:val="24"/>
          <w:highlight w:val="none"/>
        </w:rPr>
      </w:pPr>
    </w:p>
    <w:p w14:paraId="1E2B5170">
      <w:pPr>
        <w:pStyle w:val="2"/>
        <w:rPr>
          <w:rFonts w:hint="eastAsia" w:ascii="宋体" w:hAnsi="宋体" w:eastAsia="宋体" w:cs="宋体"/>
          <w:color w:val="auto"/>
          <w:spacing w:val="-6"/>
          <w:kern w:val="0"/>
          <w:sz w:val="24"/>
          <w:szCs w:val="24"/>
          <w:highlight w:val="none"/>
        </w:rPr>
      </w:pPr>
    </w:p>
    <w:p w14:paraId="58D16641">
      <w:pPr>
        <w:rPr>
          <w:color w:val="auto"/>
          <w:highlight w:val="none"/>
        </w:rPr>
      </w:pPr>
    </w:p>
    <w:p w14:paraId="1DE58DB2">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32"/>
          <w:szCs w:val="32"/>
          <w:highlight w:val="none"/>
        </w:rPr>
        <w:sectPr>
          <w:footerReference r:id="rId4" w:type="first"/>
          <w:footerReference r:id="rId3" w:type="default"/>
          <w:pgSz w:w="11906" w:h="16838"/>
          <w:pgMar w:top="1418" w:right="1115" w:bottom="1418" w:left="1131" w:header="851" w:footer="992" w:gutter="0"/>
          <w:pgNumType w:fmt="decimal" w:start="1"/>
          <w:cols w:space="720" w:num="1"/>
          <w:titlePg/>
          <w:docGrid w:type="lines" w:linePitch="312" w:charSpace="0"/>
        </w:sectPr>
      </w:pPr>
      <w:bookmarkStart w:id="0" w:name="_Toc35393797"/>
      <w:bookmarkStart w:id="1" w:name="_Toc21930"/>
      <w:bookmarkStart w:id="2" w:name="_Toc28359011"/>
      <w:bookmarkStart w:id="3" w:name="_Toc30170"/>
      <w:bookmarkStart w:id="4" w:name="_Toc26809"/>
    </w:p>
    <w:p w14:paraId="698C692F">
      <w:pPr>
        <w:pStyle w:val="3"/>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8943"/>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28"/>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14:paraId="530A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9320" w:type="dxa"/>
            <w:vAlign w:val="top"/>
          </w:tcPr>
          <w:p w14:paraId="33AD179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r>
              <w:rPr>
                <w:rFonts w:hint="eastAsia" w:ascii="宋体" w:hAnsi="宋体" w:cs="宋体"/>
                <w:b w:val="0"/>
                <w:bCs w:val="0"/>
                <w:color w:val="auto"/>
                <w:kern w:val="2"/>
                <w:sz w:val="21"/>
                <w:szCs w:val="21"/>
                <w:highlight w:val="none"/>
                <w:u w:val="single"/>
                <w:lang w:val="en-US" w:eastAsia="zh-CN" w:bidi="ar-SA"/>
              </w:rPr>
              <w:t>桂林市秀峰房产管理处2025年公共租赁住房大修工程</w:t>
            </w:r>
            <w:r>
              <w:rPr>
                <w:rFonts w:hint="eastAsia" w:ascii="宋体" w:hAnsi="宋体" w:eastAsia="宋体" w:cs="宋体"/>
                <w:b w:val="0"/>
                <w:bCs w:val="0"/>
                <w:color w:val="auto"/>
                <w:kern w:val="2"/>
                <w:sz w:val="21"/>
                <w:szCs w:val="21"/>
                <w:highlight w:val="none"/>
                <w:lang w:val="en-US" w:eastAsia="zh-CN" w:bidi="ar-SA"/>
              </w:rPr>
              <w:t>的潜在供应商登陆</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b w:val="0"/>
                <w:bCs w:val="0"/>
                <w:color w:val="auto"/>
                <w:kern w:val="2"/>
                <w:sz w:val="21"/>
                <w:szCs w:val="21"/>
                <w:highlight w:val="none"/>
                <w:lang w:val="en-US" w:eastAsia="zh-CN" w:bidi="ar-SA"/>
              </w:rPr>
              <w:t>获取采购文件，并于</w:t>
            </w:r>
            <w:r>
              <w:rPr>
                <w:rFonts w:hint="eastAsia" w:ascii="宋体" w:hAnsi="宋体" w:cs="宋体"/>
                <w:b w:val="0"/>
                <w:bCs w:val="0"/>
                <w:color w:val="auto"/>
                <w:kern w:val="2"/>
                <w:sz w:val="21"/>
                <w:szCs w:val="21"/>
                <w:highlight w:val="none"/>
                <w:lang w:val="en-US" w:eastAsia="zh-CN" w:bidi="ar-SA"/>
              </w:rPr>
              <w:t>2025年8月11</w:t>
            </w:r>
            <w:r>
              <w:rPr>
                <w:rFonts w:hint="eastAsia" w:ascii="宋体" w:hAnsi="宋体" w:eastAsia="宋体" w:cs="宋体"/>
                <w:b w:val="0"/>
                <w:bCs w:val="0"/>
                <w:color w:val="auto"/>
                <w:kern w:val="2"/>
                <w:sz w:val="21"/>
                <w:szCs w:val="21"/>
                <w:highlight w:val="none"/>
                <w:lang w:val="en-US" w:eastAsia="zh-CN" w:bidi="ar-SA"/>
              </w:rPr>
              <w:t>日</w:t>
            </w:r>
            <w:r>
              <w:rPr>
                <w:rFonts w:hint="eastAsia" w:ascii="宋体" w:hAnsi="宋体" w:eastAsia="宋体" w:cs="宋体"/>
                <w:b w:val="0"/>
                <w:bCs w:val="0"/>
                <w:color w:val="auto"/>
                <w:kern w:val="2"/>
                <w:sz w:val="21"/>
                <w:szCs w:val="21"/>
                <w:highlight w:val="none"/>
                <w:lang w:val="en-US" w:eastAsia="zh-CN" w:bidi="ar-SA"/>
              </w:rPr>
              <w:t>09：30（北京时间）前提交响应文件。</w:t>
            </w:r>
          </w:p>
        </w:tc>
      </w:tr>
    </w:tbl>
    <w:p w14:paraId="13BF024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1"/>
          <w:szCs w:val="21"/>
          <w:highlight w:val="none"/>
        </w:rPr>
      </w:pPr>
      <w:bookmarkStart w:id="6" w:name="_Toc28359089"/>
      <w:bookmarkStart w:id="7" w:name="_Toc35393629"/>
      <w:bookmarkStart w:id="8" w:name="_Toc28359012"/>
      <w:bookmarkStart w:id="9" w:name="_Toc35393798"/>
      <w:r>
        <w:rPr>
          <w:rFonts w:hint="eastAsia" w:ascii="宋体" w:hAnsi="宋体" w:eastAsia="宋体" w:cs="宋体"/>
          <w:b/>
          <w:bCs/>
          <w:color w:val="auto"/>
          <w:sz w:val="21"/>
          <w:szCs w:val="21"/>
          <w:highlight w:val="none"/>
        </w:rPr>
        <w:t>一、项目基本情况</w:t>
      </w:r>
      <w:bookmarkEnd w:id="6"/>
      <w:bookmarkEnd w:id="7"/>
      <w:bookmarkEnd w:id="8"/>
      <w:bookmarkEnd w:id="9"/>
    </w:p>
    <w:p w14:paraId="1E7D35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bookmarkStart w:id="10" w:name="_Toc35393630"/>
      <w:bookmarkStart w:id="11" w:name="_Toc28359013"/>
      <w:bookmarkStart w:id="12" w:name="_Toc28359090"/>
      <w:bookmarkStart w:id="13" w:name="_Toc35393799"/>
      <w:r>
        <w:rPr>
          <w:rFonts w:hint="eastAsia" w:ascii="宋体" w:hAnsi="宋体" w:eastAsia="宋体" w:cs="宋体"/>
          <w:color w:val="auto"/>
          <w:sz w:val="21"/>
          <w:szCs w:val="21"/>
          <w:highlight w:val="none"/>
          <w:lang w:val="en-US" w:eastAsia="zh-CN"/>
        </w:rPr>
        <w:t>项目编号：</w:t>
      </w:r>
      <w:r>
        <w:rPr>
          <w:rFonts w:hint="eastAsia" w:ascii="宋体" w:hAnsi="宋体" w:cs="宋体"/>
          <w:color w:val="auto"/>
          <w:sz w:val="21"/>
          <w:szCs w:val="21"/>
          <w:highlight w:val="none"/>
          <w:lang w:val="en-US" w:eastAsia="zh-CN"/>
        </w:rPr>
        <w:t>GLZC2025-C2-990332-ZCJS</w:t>
      </w:r>
    </w:p>
    <w:p w14:paraId="37825EC2">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项目名称：</w:t>
      </w:r>
      <w:r>
        <w:rPr>
          <w:rFonts w:hint="eastAsia" w:ascii="宋体" w:hAnsi="宋体" w:cs="宋体"/>
          <w:color w:val="auto"/>
          <w:sz w:val="21"/>
          <w:szCs w:val="21"/>
          <w:highlight w:val="none"/>
          <w:lang w:val="en-US" w:eastAsia="zh-CN"/>
        </w:rPr>
        <w:t>桂林市秀峰房产管理处2025年公共租赁住房大修工程</w:t>
      </w:r>
      <w:r>
        <w:rPr>
          <w:rFonts w:hint="eastAsia" w:ascii="宋体" w:hAnsi="宋体" w:eastAsia="宋体" w:cs="宋体"/>
          <w:color w:val="auto"/>
          <w:sz w:val="21"/>
          <w:szCs w:val="21"/>
          <w:highlight w:val="none"/>
          <w:lang w:val="en-US" w:eastAsia="zh-CN"/>
        </w:rPr>
        <w:t xml:space="preserve"> </w:t>
      </w:r>
    </w:p>
    <w:p w14:paraId="0318345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采购方式：竞争性磋商 </w:t>
      </w:r>
    </w:p>
    <w:p w14:paraId="292F8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预算总金额（元）：</w:t>
      </w:r>
      <w:r>
        <w:rPr>
          <w:rFonts w:hint="eastAsia" w:ascii="宋体" w:hAnsi="宋体" w:cs="宋体"/>
          <w:color w:val="auto"/>
          <w:sz w:val="21"/>
          <w:szCs w:val="21"/>
          <w:highlight w:val="none"/>
          <w:lang w:val="en-US" w:eastAsia="zh-CN"/>
        </w:rPr>
        <w:t>780467.18</w:t>
      </w:r>
    </w:p>
    <w:p w14:paraId="320CBCA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0DA5D8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 w:val="21"/>
          <w:szCs w:val="21"/>
          <w:highlight w:val="none"/>
          <w:lang w:val="en-US" w:eastAsia="zh-CN"/>
        </w:rPr>
        <w:t>桂林市秀峰房产管理处2025年公共租赁住房大修工程</w:t>
      </w:r>
    </w:p>
    <w:p w14:paraId="3C5B5B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数量:不限</w:t>
      </w:r>
    </w:p>
    <w:p w14:paraId="25D4F0D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780467.18</w:t>
      </w:r>
    </w:p>
    <w:p w14:paraId="0686DEC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桂林市秀峰房产管理处2025年公共租赁住房大修工程施工，具体内容详见磋商文件及工程量清单。</w:t>
      </w:r>
    </w:p>
    <w:p w14:paraId="2BCEC03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780467.18</w:t>
      </w:r>
    </w:p>
    <w:p w14:paraId="6B1F3B0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合同履约期限：自合同签订之日起</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个日历天内完工</w:t>
      </w:r>
    </w:p>
    <w:p w14:paraId="29DAA86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6366343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r>
        <w:rPr>
          <w:rFonts w:hint="eastAsia" w:ascii="宋体" w:hAnsi="宋体" w:cs="宋体"/>
          <w:color w:val="auto"/>
          <w:sz w:val="21"/>
          <w:szCs w:val="21"/>
          <w:highlight w:val="none"/>
          <w:lang w:val="en-US" w:eastAsia="zh-CN"/>
        </w:rPr>
        <w:t>无</w:t>
      </w:r>
    </w:p>
    <w:p w14:paraId="78C74C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二、申请人的资格要求：</w:t>
      </w:r>
      <w:bookmarkEnd w:id="10"/>
      <w:bookmarkEnd w:id="11"/>
      <w:bookmarkEnd w:id="12"/>
      <w:bookmarkEnd w:id="13"/>
    </w:p>
    <w:p w14:paraId="06332E90">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14:paraId="3E202109">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3F9419FD">
      <w:pPr>
        <w:keepNext w:val="0"/>
        <w:keepLines w:val="0"/>
        <w:pageBreakBefore w:val="0"/>
        <w:widowControl/>
        <w:kinsoku w:val="0"/>
        <w:wordWrap/>
        <w:overflowPunct/>
        <w:topLinePunct w:val="0"/>
        <w:autoSpaceDE w:val="0"/>
        <w:autoSpaceDN w:val="0"/>
        <w:bidi w:val="0"/>
        <w:adjustRightInd w:val="0"/>
        <w:snapToGrid w:val="0"/>
        <w:spacing w:before="165" w:line="360" w:lineRule="exact"/>
        <w:ind w:right="166"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color w:val="auto"/>
          <w:sz w:val="21"/>
          <w:szCs w:val="21"/>
          <w:highlight w:val="none"/>
        </w:rPr>
        <w:t>本项目的特定资格要求：</w:t>
      </w:r>
      <w:bookmarkStart w:id="16" w:name="_Toc35393800"/>
      <w:bookmarkStart w:id="17" w:name="_Toc35393631"/>
      <w:r>
        <w:rPr>
          <w:rFonts w:hint="eastAsia" w:ascii="宋体" w:hAnsi="宋体" w:cs="宋体"/>
          <w:color w:val="auto"/>
          <w:sz w:val="21"/>
          <w:szCs w:val="21"/>
          <w:highlight w:val="none"/>
          <w:lang w:val="en-US" w:eastAsia="zh-CN"/>
        </w:rPr>
        <w:t>供应商须具备建筑工程施工总承包三级及以上资质和有效的安全生产许可证，并在人员、设备、资金等方面具备相应的施工能力，拟派项目经理须具备建筑工程专业二级及以上注册建造师执业资格，具备安全生产考核合格证书（B类）。</w:t>
      </w:r>
    </w:p>
    <w:bookmarkEnd w:id="14"/>
    <w:bookmarkEnd w:id="15"/>
    <w:bookmarkEnd w:id="16"/>
    <w:bookmarkEnd w:id="17"/>
    <w:p w14:paraId="057D9972">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lang w:eastAsia="zh-CN"/>
        </w:rPr>
      </w:pPr>
      <w:bookmarkStart w:id="18" w:name="_Toc35393792"/>
      <w:bookmarkStart w:id="19" w:name="_Toc35393623"/>
      <w:bookmarkStart w:id="20" w:name="_Toc28359018"/>
      <w:bookmarkStart w:id="21" w:name="_Toc35393636"/>
      <w:bookmarkStart w:id="22" w:name="_Toc35393805"/>
      <w:bookmarkStart w:id="23" w:name="_Toc28359095"/>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14:paraId="1371D382">
      <w:pPr>
        <w:spacing w:line="380" w:lineRule="exact"/>
        <w:ind w:firstLine="540"/>
        <w:rPr>
          <w:rFonts w:hint="eastAsia" w:ascii="宋体" w:hAnsi="宋体" w:eastAsia="宋体" w:cs="宋体"/>
          <w:bCs/>
          <w:color w:val="auto"/>
          <w:kern w:val="0"/>
          <w:sz w:val="21"/>
          <w:szCs w:val="21"/>
          <w:highlight w:val="none"/>
        </w:rPr>
      </w:pPr>
      <w:bookmarkStart w:id="24" w:name="_Toc28359082"/>
      <w:bookmarkStart w:id="25" w:name="_Toc28359005"/>
      <w:bookmarkStart w:id="26" w:name="_Toc35393793"/>
      <w:bookmarkStart w:id="27" w:name="_Toc35393624"/>
      <w:r>
        <w:rPr>
          <w:rFonts w:hint="eastAsia" w:ascii="宋体" w:hAnsi="宋体" w:eastAsia="宋体" w:cs="宋体"/>
          <w:bCs/>
          <w:color w:val="auto"/>
          <w:kern w:val="0"/>
          <w:sz w:val="21"/>
          <w:szCs w:val="21"/>
          <w:highlight w:val="none"/>
        </w:rPr>
        <w:t>时间：</w:t>
      </w:r>
      <w:r>
        <w:rPr>
          <w:rFonts w:hint="eastAsia" w:ascii="宋体" w:hAnsi="宋体" w:cs="宋体"/>
          <w:bCs/>
          <w:color w:val="auto"/>
          <w:kern w:val="0"/>
          <w:sz w:val="21"/>
          <w:szCs w:val="21"/>
          <w:highlight w:val="none"/>
          <w:lang w:eastAsia="zh-CN"/>
        </w:rPr>
        <w:t>公告发布之日起</w:t>
      </w:r>
      <w:r>
        <w:rPr>
          <w:rFonts w:hint="eastAsia" w:ascii="宋体" w:hAnsi="宋体" w:eastAsia="宋体" w:cs="宋体"/>
          <w:bCs/>
          <w:color w:val="auto"/>
          <w:kern w:val="0"/>
          <w:sz w:val="21"/>
          <w:szCs w:val="21"/>
          <w:highlight w:val="none"/>
        </w:rPr>
        <w:t>至</w:t>
      </w:r>
      <w:r>
        <w:rPr>
          <w:rFonts w:hint="eastAsia" w:ascii="宋体" w:hAnsi="宋体" w:cs="宋体"/>
          <w:bCs/>
          <w:color w:val="auto"/>
          <w:kern w:val="0"/>
          <w:sz w:val="21"/>
          <w:szCs w:val="21"/>
          <w:highlight w:val="none"/>
          <w:lang w:eastAsia="zh-CN"/>
        </w:rPr>
        <w:t>2025年</w:t>
      </w:r>
      <w:r>
        <w:rPr>
          <w:rFonts w:hint="eastAsia" w:ascii="宋体" w:hAnsi="宋体" w:cs="宋体"/>
          <w:bCs/>
          <w:color w:val="auto"/>
          <w:kern w:val="0"/>
          <w:sz w:val="21"/>
          <w:szCs w:val="21"/>
          <w:highlight w:val="none"/>
          <w:lang w:val="en-US" w:eastAsia="zh-CN"/>
        </w:rPr>
        <w:t>8</w:t>
      </w:r>
      <w:r>
        <w:rPr>
          <w:rFonts w:hint="eastAsia" w:ascii="宋体" w:hAnsi="宋体" w:cs="宋体"/>
          <w:bCs/>
          <w:color w:val="auto"/>
          <w:kern w:val="0"/>
          <w:sz w:val="21"/>
          <w:szCs w:val="21"/>
          <w:highlight w:val="none"/>
          <w:lang w:eastAsia="zh-CN"/>
        </w:rPr>
        <w:t>月</w:t>
      </w:r>
      <w:r>
        <w:rPr>
          <w:rFonts w:hint="eastAsia" w:ascii="宋体" w:hAnsi="宋体" w:cs="宋体"/>
          <w:bCs/>
          <w:color w:val="auto"/>
          <w:kern w:val="0"/>
          <w:sz w:val="21"/>
          <w:szCs w:val="21"/>
          <w:highlight w:val="none"/>
          <w:lang w:val="en-US" w:eastAsia="zh-CN"/>
        </w:rPr>
        <w:t>11</w:t>
      </w:r>
      <w:r>
        <w:rPr>
          <w:rFonts w:hint="eastAsia" w:ascii="宋体" w:hAnsi="宋体" w:eastAsia="宋体" w:cs="宋体"/>
          <w:bCs/>
          <w:color w:val="auto"/>
          <w:kern w:val="0"/>
          <w:sz w:val="21"/>
          <w:szCs w:val="21"/>
          <w:highlight w:val="none"/>
        </w:rPr>
        <w:t>日</w:t>
      </w:r>
      <w:r>
        <w:rPr>
          <w:rFonts w:hint="eastAsia" w:ascii="宋体" w:hAnsi="宋体" w:eastAsia="宋体" w:cs="宋体"/>
          <w:bCs/>
          <w:color w:val="auto"/>
          <w:kern w:val="0"/>
          <w:sz w:val="21"/>
          <w:szCs w:val="21"/>
          <w:highlight w:val="none"/>
        </w:rPr>
        <w:t>，每天上午00:00至12:00，下午12:00至23:59（北京时间，法定节假日除外）</w:t>
      </w:r>
    </w:p>
    <w:p w14:paraId="3B2B6A63">
      <w:pPr>
        <w:spacing w:line="380" w:lineRule="exact"/>
        <w:ind w:firstLine="54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地点（网址）：</w:t>
      </w:r>
      <w:r>
        <w:rPr>
          <w:rFonts w:hint="eastAsia" w:ascii="宋体" w:hAnsi="宋体" w:eastAsia="宋体" w:cs="宋体"/>
          <w:color w:val="auto"/>
          <w:kern w:val="2"/>
          <w:sz w:val="21"/>
          <w:szCs w:val="21"/>
          <w:highlight w:val="none"/>
          <w:lang w:val="en-US" w:eastAsia="zh-CN"/>
        </w:rPr>
        <w:t>广西政府采购云平台（ https://www.gcy.zfcg.gxzf.gov.cn/）</w:t>
      </w:r>
      <w:r>
        <w:rPr>
          <w:rFonts w:hint="eastAsia" w:ascii="宋体" w:hAnsi="宋体" w:cs="宋体"/>
          <w:color w:val="auto"/>
          <w:kern w:val="2"/>
          <w:sz w:val="21"/>
          <w:szCs w:val="21"/>
          <w:highlight w:val="none"/>
          <w:lang w:val="en-US" w:eastAsia="zh-CN"/>
        </w:rPr>
        <w:t>。</w:t>
      </w:r>
      <w:r>
        <w:rPr>
          <w:rFonts w:hint="eastAsia" w:ascii="宋体" w:hAnsi="宋体" w:eastAsia="宋体" w:cs="宋体"/>
          <w:bCs/>
          <w:color w:val="auto"/>
          <w:kern w:val="0"/>
          <w:sz w:val="21"/>
          <w:szCs w:val="21"/>
          <w:highlight w:val="none"/>
        </w:rPr>
        <w:t>  </w:t>
      </w:r>
    </w:p>
    <w:p w14:paraId="793C1ABE">
      <w:pPr>
        <w:keepNext w:val="0"/>
        <w:keepLines w:val="0"/>
        <w:pageBreakBefore w:val="0"/>
        <w:widowControl w:val="0"/>
        <w:kinsoku/>
        <w:wordWrap/>
        <w:overflowPunct/>
        <w:topLinePunct w:val="0"/>
        <w:bidi w:val="0"/>
        <w:snapToGrid/>
        <w:spacing w:line="42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方式：</w:t>
      </w:r>
      <w:r>
        <w:rPr>
          <w:rFonts w:hint="eastAsia" w:ascii="宋体" w:hAnsi="宋体" w:eastAsia="宋体" w:cs="宋体"/>
          <w:color w:val="auto"/>
          <w:kern w:val="2"/>
          <w:sz w:val="21"/>
          <w:szCs w:val="21"/>
          <w:highlight w:val="none"/>
          <w:lang w:val="en-US" w:eastAsia="zh-CN"/>
        </w:rPr>
        <w:t>供应商登录广西政府采购云平台（ https://www.gcy.zfcg.gxzf.gov.cn/）在线申请获取采购文件（进入“项目采购”应用，在获取采购文件菜单中选择项目，申请获取采购文件）</w:t>
      </w:r>
      <w:r>
        <w:rPr>
          <w:rFonts w:hint="eastAsia" w:ascii="宋体" w:hAnsi="宋体" w:eastAsia="宋体" w:cs="宋体"/>
          <w:bCs/>
          <w:color w:val="auto"/>
          <w:kern w:val="0"/>
          <w:sz w:val="21"/>
          <w:szCs w:val="21"/>
          <w:highlight w:val="none"/>
        </w:rPr>
        <w:t>。</w:t>
      </w:r>
    </w:p>
    <w:p w14:paraId="4CF3DA78">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p>
    <w:p w14:paraId="179C26ED">
      <w:pPr>
        <w:keepNext w:val="0"/>
        <w:keepLines w:val="0"/>
        <w:pageBreakBefore w:val="0"/>
        <w:widowControl w:val="0"/>
        <w:kinsoku/>
        <w:wordWrap/>
        <w:overflowPunct/>
        <w:topLinePunct w:val="0"/>
        <w:bidi w:val="0"/>
        <w:snapToGrid/>
        <w:spacing w:line="42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r>
        <w:rPr>
          <w:rFonts w:hint="eastAsia" w:ascii="宋体" w:hAnsi="宋体" w:eastAsia="宋体" w:cs="宋体"/>
          <w:b/>
          <w:bCs/>
          <w:color w:val="auto"/>
          <w:sz w:val="21"/>
          <w:szCs w:val="21"/>
          <w:highlight w:val="none"/>
        </w:rPr>
        <w:t>时间和地点</w:t>
      </w:r>
      <w:bookmarkEnd w:id="26"/>
      <w:bookmarkEnd w:id="27"/>
    </w:p>
    <w:p w14:paraId="524A57F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p>
    <w:p w14:paraId="36E080E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r>
        <w:rPr>
          <w:rFonts w:hint="eastAsia" w:ascii="宋体" w:hAnsi="宋体" w:cs="Times New Roman"/>
          <w:color w:val="auto"/>
          <w:sz w:val="21"/>
          <w:szCs w:val="21"/>
          <w:highlight w:val="none"/>
          <w:lang w:eastAsia="zh-CN"/>
        </w:rPr>
        <w:t>。</w:t>
      </w:r>
    </w:p>
    <w:p w14:paraId="4E5E4B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五、开启</w:t>
      </w:r>
    </w:p>
    <w:p w14:paraId="3E22D53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cs="宋体"/>
          <w:color w:val="auto"/>
          <w:sz w:val="21"/>
          <w:szCs w:val="21"/>
          <w:highlight w:val="none"/>
          <w:lang w:eastAsia="zh-CN"/>
        </w:rPr>
        <w:t>2025年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（北京时间）截标后。</w:t>
      </w:r>
    </w:p>
    <w:p w14:paraId="299F6B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地点：桂林市公共资源交易中心</w:t>
      </w:r>
      <w:r>
        <w:rPr>
          <w:rFonts w:hint="eastAsia" w:ascii="宋体" w:hAnsi="宋体" w:cs="宋体"/>
          <w:b w:val="0"/>
          <w:bCs w:val="0"/>
          <w:color w:val="auto"/>
          <w:sz w:val="21"/>
          <w:szCs w:val="21"/>
          <w:highlight w:val="none"/>
          <w:u w:val="single"/>
          <w:lang w:val="en-US" w:eastAsia="zh-CN"/>
        </w:rPr>
        <w:t xml:space="preserve"> 3</w:t>
      </w:r>
      <w:r>
        <w:rPr>
          <w:rFonts w:hint="eastAsia" w:ascii="宋体" w:hAnsi="宋体" w:eastAsia="宋体" w:cs="宋体"/>
          <w:b w:val="0"/>
          <w:bCs w:val="0"/>
          <w:color w:val="auto"/>
          <w:sz w:val="21"/>
          <w:szCs w:val="21"/>
          <w:highlight w:val="none"/>
          <w:u w:val="single"/>
          <w:lang w:val="en-US" w:eastAsia="zh-CN"/>
        </w:rPr>
        <w:t>号政采开标仓</w:t>
      </w:r>
      <w:r>
        <w:rPr>
          <w:rFonts w:hint="eastAsia" w:ascii="宋体" w:hAnsi="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14:paraId="4836B6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bookmarkStart w:id="28" w:name="_Toc35393794"/>
      <w:bookmarkStart w:id="29" w:name="_Toc35393625"/>
      <w:bookmarkStart w:id="30" w:name="_Toc28359084"/>
      <w:bookmarkStart w:id="31" w:name="_Toc28359007"/>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14:paraId="2CCA198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p>
    <w:p w14:paraId="57D9FCF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1"/>
          <w:szCs w:val="21"/>
          <w:highlight w:val="none"/>
        </w:rPr>
      </w:pPr>
      <w:bookmarkStart w:id="32" w:name="_Toc35393626"/>
      <w:bookmarkStart w:id="33" w:name="_Toc35393795"/>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14:paraId="1DBAD5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14:paraId="3EE04DA8">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14:paraId="0541BD37">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91B372E">
      <w:pPr>
        <w:keepNext w:val="0"/>
        <w:keepLines w:val="0"/>
        <w:pageBreakBefore w:val="0"/>
        <w:widowControl w:val="0"/>
        <w:numPr>
          <w:ilvl w:val="0"/>
          <w:numId w:val="0"/>
        </w:numPr>
        <w:kinsoku/>
        <w:wordWrap/>
        <w:overflowPunct/>
        <w:topLinePunct w:val="0"/>
        <w:bidi w:val="0"/>
        <w:snapToGrid/>
        <w:spacing w:line="420" w:lineRule="exact"/>
        <w:ind w:firstLine="420" w:firstLineChars="200"/>
        <w:jc w:val="both"/>
        <w:textAlignment w:val="auto"/>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14:paraId="704EB35C">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5、</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响应文件解密时间：截标时间后30分钟内</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供应商可以登录广西政府采购云平台，用“项目采购-开标评标”功能进行解密</w:t>
      </w:r>
      <w:r>
        <w:rPr>
          <w:rFonts w:hint="eastAsia" w:ascii="宋体" w:hAnsi="宋体" w:eastAsia="宋体" w:cs="宋体"/>
          <w:b w:val="0"/>
          <w:bCs/>
          <w:color w:val="auto"/>
          <w:sz w:val="21"/>
          <w:szCs w:val="21"/>
          <w:highlight w:val="none"/>
          <w:u w:val="none"/>
          <w:lang w:val="en-US" w:eastAsia="zh-CN"/>
        </w:rPr>
        <w:t>电子</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lang w:val="en-US" w:eastAsia="zh-CN"/>
        </w:rPr>
        <w:t>响应</w:t>
      </w:r>
      <w:r>
        <w:rPr>
          <w:rFonts w:hint="eastAsia" w:ascii="宋体" w:hAnsi="宋体" w:eastAsia="宋体" w:cs="宋体"/>
          <w:b w:val="0"/>
          <w:bCs/>
          <w:color w:val="auto"/>
          <w:sz w:val="21"/>
          <w:szCs w:val="21"/>
          <w:highlight w:val="none"/>
          <w:u w:val="none"/>
        </w:rPr>
        <w:t>文件。若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供应商在规定时间内无法解密或解密失败，可以以电子备份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响应文件作为依据</w:t>
      </w:r>
      <w:r>
        <w:rPr>
          <w:rFonts w:hint="eastAsia" w:ascii="宋体" w:hAnsi="宋体" w:eastAsia="宋体" w:cs="宋体"/>
          <w:color w:val="auto"/>
          <w:sz w:val="21"/>
          <w:szCs w:val="21"/>
          <w:highlight w:val="none"/>
          <w:u w:val="none"/>
          <w:lang w:eastAsia="zh-CN"/>
        </w:rPr>
        <w:t>【</w:t>
      </w:r>
      <w:r>
        <w:rPr>
          <w:rFonts w:hint="eastAsia" w:ascii="宋体" w:hAnsi="宋体" w:eastAsia="宋体" w:cs="宋体"/>
          <w:b/>
          <w:bCs/>
          <w:color w:val="auto"/>
          <w:sz w:val="21"/>
          <w:szCs w:val="21"/>
          <w:highlight w:val="none"/>
          <w:u w:val="none"/>
          <w:lang w:val="en-US" w:eastAsia="zh-CN"/>
        </w:rPr>
        <w:t>在接到无法解密或解密失败的通知后，供应商可根据自身实际情况按通知时要求的时间到桂林市公共资源交易中心</w:t>
      </w:r>
      <w:r>
        <w:rPr>
          <w:rFonts w:hint="eastAsia" w:ascii="宋体" w:hAnsi="宋体" w:cs="宋体"/>
          <w:b/>
          <w:bCs/>
          <w:color w:val="auto"/>
          <w:sz w:val="21"/>
          <w:szCs w:val="21"/>
          <w:highlight w:val="none"/>
          <w:u w:val="single"/>
          <w:lang w:val="en-US" w:eastAsia="zh-CN"/>
        </w:rPr>
        <w:t xml:space="preserve"> 3</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val="0"/>
          <w:bCs/>
          <w:color w:val="auto"/>
          <w:sz w:val="21"/>
          <w:szCs w:val="21"/>
          <w:highlight w:val="none"/>
          <w:u w:val="none"/>
        </w:rPr>
        <w:t>，若</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供应商在规定时间内无法解密或解密失败且未提供电子备份</w:t>
      </w:r>
      <w:r>
        <w:rPr>
          <w:rFonts w:hint="eastAsia" w:ascii="宋体" w:hAnsi="宋体" w:eastAsia="宋体" w:cs="宋体"/>
          <w:b w:val="0"/>
          <w:bCs/>
          <w:color w:val="auto"/>
          <w:sz w:val="21"/>
          <w:szCs w:val="21"/>
          <w:highlight w:val="none"/>
          <w:u w:val="none"/>
          <w:lang w:eastAsia="zh-CN"/>
        </w:rPr>
        <w:t>磋商</w:t>
      </w:r>
      <w:r>
        <w:rPr>
          <w:rFonts w:hint="eastAsia" w:ascii="宋体" w:hAnsi="宋体" w:eastAsia="宋体" w:cs="宋体"/>
          <w:b w:val="0"/>
          <w:bCs/>
          <w:color w:val="auto"/>
          <w:sz w:val="21"/>
          <w:szCs w:val="21"/>
          <w:highlight w:val="none"/>
          <w:u w:val="none"/>
        </w:rPr>
        <w:t>响应文件的</w:t>
      </w:r>
      <w:r>
        <w:rPr>
          <w:rFonts w:hint="eastAsia" w:ascii="宋体" w:hAnsi="宋体" w:eastAsia="宋体" w:cs="宋体"/>
          <w:b w:val="0"/>
          <w:bCs/>
          <w:color w:val="auto"/>
          <w:sz w:val="21"/>
          <w:szCs w:val="21"/>
          <w:highlight w:val="none"/>
          <w:u w:val="none"/>
          <w:lang w:val="en-US" w:eastAsia="zh-CN"/>
        </w:rPr>
        <w:t>(包含提供的电子备份文件无效或无法解密的情况)</w:t>
      </w:r>
      <w:r>
        <w:rPr>
          <w:rFonts w:hint="eastAsia" w:ascii="宋体" w:hAnsi="宋体" w:eastAsia="宋体" w:cs="宋体"/>
          <w:b w:val="0"/>
          <w:bCs/>
          <w:color w:val="auto"/>
          <w:sz w:val="21"/>
          <w:szCs w:val="21"/>
          <w:highlight w:val="none"/>
          <w:u w:val="none"/>
        </w:rPr>
        <w:t>，视为</w:t>
      </w:r>
      <w:r>
        <w:rPr>
          <w:rFonts w:hint="eastAsia" w:ascii="宋体" w:hAnsi="宋体" w:eastAsia="宋体" w:cs="宋体"/>
          <w:b w:val="0"/>
          <w:bCs/>
          <w:color w:val="auto"/>
          <w:sz w:val="21"/>
          <w:szCs w:val="21"/>
          <w:highlight w:val="none"/>
          <w:u w:val="none"/>
          <w:lang w:val="en-US" w:eastAsia="zh-CN"/>
        </w:rPr>
        <w:t>无效</w:t>
      </w:r>
      <w:r>
        <w:rPr>
          <w:rFonts w:hint="eastAsia" w:ascii="宋体" w:hAnsi="宋体" w:eastAsia="宋体" w:cs="宋体"/>
          <w:b w:val="0"/>
          <w:bCs/>
          <w:color w:val="auto"/>
          <w:sz w:val="21"/>
          <w:szCs w:val="21"/>
          <w:highlight w:val="none"/>
          <w:u w:val="none"/>
        </w:rPr>
        <w:t>响应</w:t>
      </w:r>
      <w:r>
        <w:rPr>
          <w:rFonts w:hint="eastAsia" w:ascii="宋体" w:hAnsi="宋体" w:eastAsia="宋体" w:cs="宋体"/>
          <w:b w:val="0"/>
          <w:bCs/>
          <w:color w:val="auto"/>
          <w:sz w:val="21"/>
          <w:szCs w:val="21"/>
          <w:highlight w:val="none"/>
          <w:u w:val="none"/>
          <w:lang w:val="en-US" w:eastAsia="zh-CN"/>
        </w:rPr>
        <w:t>。</w:t>
      </w:r>
    </w:p>
    <w:p w14:paraId="1C456B10">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6、本项目需要落实的政府采购政策：</w:t>
      </w:r>
    </w:p>
    <w:p w14:paraId="35ED5680">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（1）政府采购促进中小企业发展。</w:t>
      </w:r>
    </w:p>
    <w:p w14:paraId="76275A4C">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（2）政府采购促进残疾人就业政策。</w:t>
      </w:r>
    </w:p>
    <w:p w14:paraId="58ECBE0C">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color w:val="auto"/>
          <w:sz w:val="21"/>
          <w:szCs w:val="21"/>
          <w:highlight w:val="none"/>
          <w:u w:val="none"/>
          <w:lang w:val="en-US" w:eastAsia="zh-CN"/>
        </w:rPr>
      </w:pPr>
      <w:r>
        <w:rPr>
          <w:rFonts w:hint="eastAsia" w:ascii="宋体" w:hAnsi="宋体" w:eastAsia="宋体" w:cs="宋体"/>
          <w:b w:val="0"/>
          <w:bCs/>
          <w:color w:val="auto"/>
          <w:sz w:val="21"/>
          <w:szCs w:val="21"/>
          <w:highlight w:val="none"/>
          <w:u w:val="none"/>
          <w:lang w:val="en-US" w:eastAsia="zh-CN"/>
        </w:rPr>
        <w:t>（3）政府采购支持监狱企业发展。</w:t>
      </w:r>
    </w:p>
    <w:p w14:paraId="256BA311">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14:paraId="442F83EE">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14:paraId="30EC7699">
      <w:pPr>
        <w:pStyle w:val="30"/>
        <w:keepNext w:val="0"/>
        <w:keepLines w:val="0"/>
        <w:pageBreakBefore w:val="0"/>
        <w:widowControl w:val="0"/>
        <w:kinsoku/>
        <w:wordWrap/>
        <w:overflowPunct/>
        <w:topLinePunct w:val="0"/>
        <w:bidi w:val="0"/>
        <w:snapToGrid/>
        <w:spacing w:line="400" w:lineRule="exact"/>
        <w:ind w:firstLine="420" w:firstLineChars="200"/>
        <w:jc w:val="both"/>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14:paraId="7CABC0BF">
      <w:pPr>
        <w:pStyle w:val="30"/>
        <w:keepNext w:val="0"/>
        <w:keepLines w:val="0"/>
        <w:pageBreakBefore w:val="0"/>
        <w:widowControl w:val="0"/>
        <w:kinsoku/>
        <w:wordWrap/>
        <w:overflowPunct/>
        <w:topLinePunct w:val="0"/>
        <w:bidi w:val="0"/>
        <w:snapToGrid/>
        <w:spacing w:line="420" w:lineRule="exact"/>
        <w:ind w:firstLine="422" w:firstLineChars="200"/>
        <w:jc w:val="both"/>
        <w:textAlignment w:val="auto"/>
        <w:rPr>
          <w:rFonts w:hint="eastAsia" w:ascii="宋体" w:hAnsi="宋体" w:eastAsia="宋体" w:cs="宋体"/>
          <w:b/>
          <w:bCs w:val="0"/>
          <w:color w:val="auto"/>
          <w:sz w:val="21"/>
          <w:szCs w:val="21"/>
          <w:highlight w:val="none"/>
          <w:u w:val="none"/>
        </w:rPr>
      </w:pPr>
      <w:r>
        <w:rPr>
          <w:rFonts w:hint="eastAsia" w:ascii="宋体" w:hAnsi="宋体" w:eastAsia="宋体" w:cs="宋体"/>
          <w:b/>
          <w:bCs w:val="0"/>
          <w:color w:val="auto"/>
          <w:sz w:val="21"/>
          <w:szCs w:val="21"/>
          <w:highlight w:val="none"/>
          <w:u w:val="none"/>
          <w:lang w:eastAsia="zh-CN"/>
        </w:rPr>
        <w:t>八</w:t>
      </w:r>
      <w:r>
        <w:rPr>
          <w:rFonts w:hint="eastAsia" w:ascii="宋体" w:hAnsi="宋体" w:eastAsia="宋体" w:cs="宋体"/>
          <w:b/>
          <w:bCs w:val="0"/>
          <w:color w:val="auto"/>
          <w:sz w:val="21"/>
          <w:szCs w:val="21"/>
          <w:highlight w:val="none"/>
          <w:u w:val="none"/>
        </w:rPr>
        <w:t>、凡对本次采购提出询问，请按以下方式联系。</w:t>
      </w:r>
      <w:bookmarkEnd w:id="20"/>
      <w:bookmarkEnd w:id="21"/>
      <w:bookmarkEnd w:id="22"/>
      <w:bookmarkEnd w:id="23"/>
    </w:p>
    <w:p w14:paraId="30469012">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采购人信息</w:t>
      </w:r>
    </w:p>
    <w:p w14:paraId="24664BCF">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桂林市秀峰房产管理处</w:t>
      </w:r>
    </w:p>
    <w:p w14:paraId="72CD2C1C">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地址：</w:t>
      </w:r>
      <w:r>
        <w:rPr>
          <w:rFonts w:hint="eastAsia" w:ascii="宋体" w:hAnsi="宋体" w:cs="宋体"/>
          <w:color w:val="auto"/>
          <w:sz w:val="21"/>
          <w:szCs w:val="21"/>
          <w:highlight w:val="none"/>
          <w:lang w:eastAsia="zh-CN"/>
        </w:rPr>
        <w:t>桂林市秀峰区三多路15-3号</w:t>
      </w:r>
    </w:p>
    <w:p w14:paraId="3B5A9153">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联系人：王景彤</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赵思思</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联系电话：</w:t>
      </w:r>
      <w:r>
        <w:rPr>
          <w:rFonts w:hint="eastAsia" w:ascii="宋体" w:hAnsi="宋体" w:cs="宋体"/>
          <w:color w:val="auto"/>
          <w:sz w:val="21"/>
          <w:szCs w:val="21"/>
          <w:highlight w:val="none"/>
          <w:lang w:eastAsia="zh-CN"/>
        </w:rPr>
        <w:t>0773-2882598</w:t>
      </w:r>
    </w:p>
    <w:p w14:paraId="465F8CE6">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14:paraId="0FF67F2A">
      <w:pPr>
        <w:keepNext w:val="0"/>
        <w:keepLines w:val="0"/>
        <w:pageBreakBefore w:val="0"/>
        <w:widowControl w:val="0"/>
        <w:kinsoku/>
        <w:wordWrap/>
        <w:overflowPunct/>
        <w:topLinePunct w:val="0"/>
        <w:autoSpaceDE/>
        <w:autoSpaceDN/>
        <w:bidi w:val="0"/>
        <w:adjustRightInd/>
        <w:snapToGrid/>
        <w:spacing w:line="42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eastAsia="zh-CN"/>
        </w:rPr>
        <w:t>广西中承建设工程咨询有限公司</w:t>
      </w:r>
    </w:p>
    <w:p w14:paraId="3FBCF488">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桂林市临桂区临桂镇金山路147号彰泰·滟澜山B4幢20层01号</w:t>
      </w:r>
      <w:r>
        <w:rPr>
          <w:rFonts w:hint="eastAsia" w:ascii="宋体" w:hAnsi="宋体" w:eastAsia="宋体" w:cs="宋体"/>
          <w:color w:val="auto"/>
          <w:sz w:val="21"/>
          <w:szCs w:val="21"/>
          <w:highlight w:val="none"/>
        </w:rPr>
        <w:t xml:space="preserve">     </w:t>
      </w:r>
    </w:p>
    <w:p w14:paraId="15512F14">
      <w:pPr>
        <w:keepNext w:val="0"/>
        <w:keepLines w:val="0"/>
        <w:pageBreakBefore w:val="0"/>
        <w:widowControl w:val="0"/>
        <w:kinsoku/>
        <w:wordWrap/>
        <w:overflowPunct/>
        <w:topLinePunct w:val="0"/>
        <w:autoSpaceDE/>
        <w:autoSpaceDN/>
        <w:bidi w:val="0"/>
        <w:adjustRightInd/>
        <w:snapToGrid/>
        <w:spacing w:line="42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李根</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eastAsia="zh-CN"/>
        </w:rPr>
        <w:t>：</w:t>
      </w:r>
      <w:r>
        <w:rPr>
          <w:rFonts w:hint="eastAsia" w:ascii="宋体" w:hAnsi="宋体" w:cs="宋体"/>
          <w:color w:val="auto"/>
          <w:highlight w:val="none"/>
          <w:lang w:eastAsia="zh-CN"/>
        </w:rPr>
        <w:t>0773-2608995</w:t>
      </w:r>
      <w:r>
        <w:rPr>
          <w:rFonts w:hint="eastAsia" w:ascii="宋体" w:hAnsi="宋体" w:eastAsia="宋体" w:cs="宋体"/>
          <w:color w:val="auto"/>
          <w:sz w:val="21"/>
          <w:szCs w:val="21"/>
          <w:highlight w:val="none"/>
          <w:lang w:val="en-US" w:eastAsia="zh-CN"/>
        </w:rPr>
        <w:t xml:space="preserve">                     </w:t>
      </w:r>
    </w:p>
    <w:p w14:paraId="43EAAF13">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14:paraId="75CEB460">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14:paraId="58642337">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s="宋体"/>
          <w:color w:val="auto"/>
          <w:sz w:val="21"/>
          <w:szCs w:val="21"/>
          <w:highlight w:val="none"/>
          <w:lang w:val="en-US" w:eastAsia="zh-CN"/>
        </w:rPr>
      </w:pPr>
    </w:p>
    <w:p w14:paraId="4ED1818F">
      <w:pPr>
        <w:keepNext w:val="0"/>
        <w:keepLines w:val="0"/>
        <w:pageBreakBefore w:val="0"/>
        <w:widowControl w:val="0"/>
        <w:kinsoku/>
        <w:wordWrap/>
        <w:overflowPunct/>
        <w:topLinePunct w:val="0"/>
        <w:autoSpaceDE/>
        <w:autoSpaceDN/>
        <w:bidi w:val="0"/>
        <w:adjustRightInd/>
        <w:snapToGrid/>
        <w:spacing w:line="360" w:lineRule="auto"/>
        <w:ind w:firstLine="525" w:firstLineChars="250"/>
        <w:jc w:val="center"/>
        <w:textAlignment w:val="auto"/>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lang w:val="en-US" w:eastAsia="zh-CN"/>
        </w:rPr>
        <w:t xml:space="preserve">                                       </w:t>
      </w:r>
      <w:r>
        <w:rPr>
          <w:rFonts w:hint="eastAsia" w:ascii="宋体" w:hAnsi="宋体"/>
          <w:color w:val="auto"/>
          <w:sz w:val="21"/>
          <w:szCs w:val="21"/>
          <w:highlight w:val="none"/>
          <w:lang w:eastAsia="zh-CN"/>
        </w:rPr>
        <w:t>广西中承建设工程咨询有限公司</w:t>
      </w:r>
    </w:p>
    <w:p w14:paraId="6BC3749C">
      <w:pPr>
        <w:keepNext w:val="0"/>
        <w:keepLines w:val="0"/>
        <w:pageBreakBefore w:val="0"/>
        <w:widowControl w:val="0"/>
        <w:kinsoku/>
        <w:wordWrap/>
        <w:overflowPunct/>
        <w:topLinePunct w:val="0"/>
        <w:autoSpaceDE/>
        <w:autoSpaceDN/>
        <w:bidi w:val="0"/>
        <w:adjustRightInd/>
        <w:snapToGrid/>
        <w:spacing w:line="360" w:lineRule="auto"/>
        <w:ind w:firstLine="6720" w:firstLineChars="32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2025年</w:t>
      </w:r>
      <w:r>
        <w:rPr>
          <w:rFonts w:hint="eastAsia" w:ascii="宋体" w:hAnsi="宋体"/>
          <w:color w:val="auto"/>
          <w:sz w:val="21"/>
          <w:szCs w:val="21"/>
          <w:highlight w:val="none"/>
          <w:lang w:val="en-US" w:eastAsia="zh-CN"/>
        </w:rPr>
        <w:t>7</w:t>
      </w:r>
      <w:r>
        <w:rPr>
          <w:rFonts w:hint="eastAsia" w:ascii="宋体" w:hAnsi="宋体"/>
          <w:color w:val="auto"/>
          <w:sz w:val="21"/>
          <w:szCs w:val="21"/>
          <w:highlight w:val="none"/>
          <w:lang w:eastAsia="zh-CN"/>
        </w:rPr>
        <w:t>月</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日</w:t>
      </w:r>
      <w:bookmarkStart w:id="34" w:name="_Toc26924"/>
    </w:p>
    <w:p w14:paraId="7EFD5A03">
      <w:pPr>
        <w:pStyle w:val="12"/>
        <w:rPr>
          <w:rFonts w:hint="eastAsia"/>
          <w:color w:val="auto"/>
          <w:highlight w:val="none"/>
        </w:rPr>
      </w:pPr>
    </w:p>
    <w:p w14:paraId="321FE150">
      <w:pPr>
        <w:pStyle w:val="12"/>
        <w:rPr>
          <w:rFonts w:hint="eastAsia"/>
          <w:color w:val="auto"/>
          <w:highlight w:val="none"/>
        </w:rPr>
      </w:pPr>
    </w:p>
    <w:p w14:paraId="3F5D4D58">
      <w:pPr>
        <w:pStyle w:val="12"/>
        <w:rPr>
          <w:rFonts w:hint="eastAsia"/>
          <w:color w:val="auto"/>
          <w:highlight w:val="none"/>
        </w:rPr>
      </w:pPr>
    </w:p>
    <w:p w14:paraId="01C8FCED">
      <w:pPr>
        <w:rPr>
          <w:rFonts w:hint="eastAsia"/>
          <w:color w:val="auto"/>
          <w:highlight w:val="none"/>
        </w:rPr>
      </w:pPr>
    </w:p>
    <w:p w14:paraId="4AF32FDF">
      <w:pPr>
        <w:pStyle w:val="12"/>
        <w:rPr>
          <w:rFonts w:hint="eastAsia"/>
          <w:color w:val="auto"/>
          <w:highlight w:val="none"/>
        </w:rPr>
      </w:pPr>
    </w:p>
    <w:p w14:paraId="7BC57551">
      <w:pPr>
        <w:pStyle w:val="12"/>
        <w:rPr>
          <w:rFonts w:hint="eastAsia"/>
          <w:color w:val="auto"/>
          <w:highlight w:val="none"/>
        </w:rPr>
      </w:pPr>
    </w:p>
    <w:p w14:paraId="68F4128E">
      <w:pPr>
        <w:pStyle w:val="12"/>
        <w:rPr>
          <w:rFonts w:hint="eastAsia"/>
          <w:color w:val="auto"/>
          <w:highlight w:val="none"/>
        </w:rPr>
      </w:pPr>
    </w:p>
    <w:p w14:paraId="58825012">
      <w:pPr>
        <w:pStyle w:val="12"/>
        <w:rPr>
          <w:rFonts w:hint="eastAsia"/>
          <w:color w:val="auto"/>
          <w:highlight w:val="none"/>
          <w:lang w:eastAsia="zh-CN"/>
        </w:rPr>
      </w:pPr>
    </w:p>
    <w:p w14:paraId="5F11F0E9">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14:paraId="353ECD5C">
      <w:pPr>
        <w:pStyle w:val="3"/>
        <w:keepNext/>
        <w:keepLines/>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32"/>
          <w:szCs w:val="32"/>
          <w:highlight w:val="none"/>
        </w:rPr>
      </w:pPr>
      <w:bookmarkStart w:id="35" w:name="_Toc11572"/>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5"/>
    </w:p>
    <w:p w14:paraId="16007DEA">
      <w:pPr>
        <w:pStyle w:val="2"/>
        <w:keepNext/>
        <w:keepLines/>
        <w:pageBreakBefore w:val="0"/>
        <w:widowControl w:val="0"/>
        <w:tabs>
          <w:tab w:val="left" w:pos="567"/>
        </w:tabs>
        <w:kinsoku/>
        <w:wordWrap/>
        <w:overflowPunct/>
        <w:topLinePunct w:val="0"/>
        <w:autoSpaceDE/>
        <w:autoSpaceDN/>
        <w:bidi w:val="0"/>
        <w:adjustRightInd/>
        <w:snapToGrid/>
        <w:spacing w:line="240" w:lineRule="auto"/>
        <w:jc w:val="center"/>
        <w:textAlignment w:val="auto"/>
        <w:rPr>
          <w:rFonts w:hint="eastAsia"/>
          <w:color w:val="auto"/>
          <w:highlight w:val="none"/>
          <w:lang w:eastAsia="zh-CN"/>
        </w:rPr>
      </w:pPr>
      <w:bookmarkStart w:id="36" w:name="_Toc21622"/>
      <w:bookmarkStart w:id="37" w:name="_Toc13547"/>
      <w:bookmarkStart w:id="38" w:name="_Toc1585"/>
      <w:bookmarkStart w:id="39" w:name="_Toc9508"/>
      <w:bookmarkStart w:id="40" w:name="_Toc25114"/>
      <w:bookmarkStart w:id="41" w:name="_Toc25063"/>
      <w:r>
        <w:rPr>
          <w:rFonts w:hint="eastAsia" w:ascii="宋体" w:hAnsi="宋体" w:eastAsia="宋体" w:cs="宋体"/>
          <w:b/>
          <w:bCs w:val="0"/>
          <w:color w:val="auto"/>
          <w:sz w:val="24"/>
          <w:szCs w:val="24"/>
          <w:highlight w:val="none"/>
        </w:rPr>
        <w:t>供 应 商 须 知 前 附 表</w:t>
      </w:r>
      <w:bookmarkEnd w:id="36"/>
      <w:bookmarkEnd w:id="37"/>
      <w:bookmarkEnd w:id="38"/>
      <w:bookmarkEnd w:id="39"/>
      <w:bookmarkEnd w:id="40"/>
      <w:bookmarkEnd w:id="41"/>
    </w:p>
    <w:bookmarkEnd w:id="34"/>
    <w:tbl>
      <w:tblPr>
        <w:tblStyle w:val="27"/>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14:paraId="0071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14:paraId="6B0B2F0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942" w:type="dxa"/>
            <w:vAlign w:val="center"/>
          </w:tcPr>
          <w:p w14:paraId="28F8F1F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75" w:type="dxa"/>
            <w:vAlign w:val="center"/>
          </w:tcPr>
          <w:p w14:paraId="48A321F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条款名称</w:t>
            </w:r>
          </w:p>
        </w:tc>
        <w:tc>
          <w:tcPr>
            <w:tcW w:w="6912" w:type="dxa"/>
            <w:vAlign w:val="center"/>
          </w:tcPr>
          <w:p w14:paraId="39740F5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内容、要求</w:t>
            </w:r>
          </w:p>
        </w:tc>
      </w:tr>
      <w:tr w14:paraId="4EFD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3AA49A8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42" w:type="dxa"/>
            <w:vAlign w:val="center"/>
          </w:tcPr>
          <w:p w14:paraId="24F869E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75" w:type="dxa"/>
            <w:vAlign w:val="center"/>
          </w:tcPr>
          <w:p w14:paraId="708B82E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项目名称及项目编号</w:t>
            </w:r>
          </w:p>
        </w:tc>
        <w:tc>
          <w:tcPr>
            <w:tcW w:w="6912" w:type="dxa"/>
            <w:vAlign w:val="center"/>
          </w:tcPr>
          <w:p w14:paraId="127A0382">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桂林市秀峰房产管理处2025年公共租赁住房大修工程</w:t>
            </w:r>
            <w:r>
              <w:rPr>
                <w:rFonts w:hint="eastAsia" w:ascii="宋体" w:hAnsi="宋体" w:eastAsia="宋体" w:cs="宋体"/>
                <w:color w:val="auto"/>
                <w:sz w:val="21"/>
                <w:szCs w:val="21"/>
                <w:highlight w:val="none"/>
              </w:rPr>
              <w:t xml:space="preserve">  </w:t>
            </w:r>
          </w:p>
          <w:p w14:paraId="0871ADFD">
            <w:pPr>
              <w:pageBreakBefore w:val="0"/>
              <w:widowControl w:val="0"/>
              <w:kinsoku/>
              <w:wordWrap/>
              <w:overflowPunct/>
              <w:topLinePunct w:val="0"/>
              <w:autoSpaceDE/>
              <w:autoSpaceDN/>
              <w:bidi w:val="0"/>
              <w:adjustRightInd/>
              <w:spacing w:line="440" w:lineRule="exact"/>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GLZC2025-C2-990332-ZCJS</w:t>
            </w:r>
          </w:p>
        </w:tc>
      </w:tr>
      <w:tr w14:paraId="4F6F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9636BF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42" w:type="dxa"/>
            <w:vAlign w:val="center"/>
          </w:tcPr>
          <w:p w14:paraId="559951F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775" w:type="dxa"/>
            <w:vAlign w:val="center"/>
          </w:tcPr>
          <w:p w14:paraId="565C245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w:t>
            </w:r>
          </w:p>
        </w:tc>
        <w:tc>
          <w:tcPr>
            <w:tcW w:w="6912" w:type="dxa"/>
            <w:vAlign w:val="center"/>
          </w:tcPr>
          <w:p w14:paraId="4F34A1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1满足《中华人民共和国政府采购法》第二十二条规定；</w:t>
            </w:r>
          </w:p>
          <w:p w14:paraId="51AA1C2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2落实政府采购政策需满足的资格要求：</w:t>
            </w:r>
            <w:r>
              <w:rPr>
                <w:rFonts w:hint="eastAsia" w:ascii="宋体" w:hAnsi="宋体" w:cs="宋体"/>
                <w:color w:val="auto"/>
                <w:sz w:val="21"/>
                <w:szCs w:val="21"/>
                <w:highlight w:val="none"/>
                <w:lang w:val="en-US" w:eastAsia="zh-CN"/>
              </w:rPr>
              <w:t>供应商须具备建筑工程施工总承包三级及以上资质和有效的安全生产许可证，并在人员、设备、资金等方面具备相应的施工能力，拟派项目经理须具备建筑工程专业二级及以上注册建造师执业资格，具备安全生产考核合格证书（B类）。</w:t>
            </w:r>
          </w:p>
        </w:tc>
      </w:tr>
      <w:tr w14:paraId="055F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7A249BB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42" w:type="dxa"/>
            <w:vAlign w:val="center"/>
          </w:tcPr>
          <w:p w14:paraId="7805F9A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775" w:type="dxa"/>
            <w:vAlign w:val="center"/>
          </w:tcPr>
          <w:p w14:paraId="1214C7E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6912" w:type="dxa"/>
            <w:vAlign w:val="center"/>
          </w:tcPr>
          <w:p w14:paraId="39724990">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不论磋商结果如何，供应商均应自行承担所有与磋商有关的全部费用。 </w:t>
            </w:r>
          </w:p>
        </w:tc>
      </w:tr>
      <w:tr w14:paraId="6399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5614FC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42" w:type="dxa"/>
            <w:vAlign w:val="center"/>
          </w:tcPr>
          <w:p w14:paraId="694773F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13</w:t>
            </w:r>
          </w:p>
        </w:tc>
        <w:tc>
          <w:tcPr>
            <w:tcW w:w="1775" w:type="dxa"/>
            <w:vAlign w:val="center"/>
          </w:tcPr>
          <w:p w14:paraId="43FA686F">
            <w:pPr>
              <w:keepNext w:val="0"/>
              <w:keepLines w:val="0"/>
              <w:pageBreakBefore w:val="0"/>
              <w:kinsoku/>
              <w:wordWrap/>
              <w:overflowPunct/>
              <w:topLinePunct w:val="0"/>
              <w:autoSpaceDE/>
              <w:autoSpaceDN/>
              <w:bidi w:val="0"/>
              <w:adjustRightInd/>
              <w:spacing w:line="360" w:lineRule="exact"/>
              <w:ind w:left="0" w:leftChars="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vAlign w:val="center"/>
          </w:tcPr>
          <w:p w14:paraId="580C9E96">
            <w:pPr>
              <w:spacing w:line="360" w:lineRule="exact"/>
              <w:ind w:firstLine="422" w:firstLineChars="200"/>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本工程</w:t>
            </w:r>
            <w:r>
              <w:rPr>
                <w:rFonts w:hint="eastAsia" w:ascii="宋体" w:hAnsi="宋体" w:cs="宋体"/>
                <w:b/>
                <w:color w:val="auto"/>
                <w:kern w:val="0"/>
                <w:szCs w:val="21"/>
                <w:highlight w:val="none"/>
                <w:lang w:val="en-US" w:eastAsia="zh-CN"/>
              </w:rPr>
              <w:t>预算价为</w:t>
            </w:r>
            <w:r>
              <w:rPr>
                <w:rFonts w:hint="eastAsia" w:ascii="宋体" w:hAnsi="宋体" w:cs="宋体"/>
                <w:b/>
                <w:color w:val="auto"/>
                <w:kern w:val="0"/>
                <w:szCs w:val="21"/>
                <w:highlight w:val="none"/>
              </w:rPr>
              <w:t>人民币</w:t>
            </w:r>
            <w:r>
              <w:rPr>
                <w:rFonts w:hint="eastAsia" w:ascii="宋体" w:hAnsi="宋体" w:cs="宋体"/>
                <w:b/>
                <w:color w:val="auto"/>
                <w:kern w:val="0"/>
                <w:szCs w:val="21"/>
                <w:highlight w:val="none"/>
                <w:u w:val="single"/>
                <w:lang w:val="en-US" w:eastAsia="zh-CN"/>
              </w:rPr>
              <w:t>780467.18</w:t>
            </w:r>
            <w:r>
              <w:rPr>
                <w:rFonts w:hint="eastAsia" w:ascii="宋体" w:hAnsi="宋体" w:cs="宋体"/>
                <w:b/>
                <w:color w:val="auto"/>
                <w:kern w:val="0"/>
                <w:szCs w:val="21"/>
                <w:highlight w:val="none"/>
              </w:rPr>
              <w:t>元</w:t>
            </w:r>
            <w:r>
              <w:rPr>
                <w:rFonts w:hint="eastAsia" w:ascii="宋体" w:hAnsi="宋体" w:cs="宋体"/>
                <w:b/>
                <w:color w:val="auto"/>
                <w:kern w:val="0"/>
                <w:szCs w:val="21"/>
                <w:highlight w:val="none"/>
                <w:lang w:eastAsia="zh-CN"/>
              </w:rPr>
              <w:t>。</w:t>
            </w:r>
          </w:p>
          <w:p w14:paraId="5EE634AB">
            <w:pPr>
              <w:spacing w:line="360" w:lineRule="exact"/>
              <w:ind w:firstLine="422" w:firstLineChars="200"/>
              <w:rPr>
                <w:rFonts w:hint="default" w:ascii="宋体" w:hAnsi="宋体" w:eastAsia="宋体" w:cs="宋体"/>
                <w:bCs/>
                <w:color w:val="auto"/>
                <w:szCs w:val="21"/>
                <w:highlight w:val="none"/>
                <w:lang w:val="en-US" w:eastAsia="zh-CN"/>
              </w:rPr>
            </w:pPr>
            <w:r>
              <w:rPr>
                <w:rFonts w:hint="eastAsia" w:ascii="宋体" w:hAnsi="宋体" w:cs="宋体"/>
                <w:b/>
                <w:bCs/>
                <w:color w:val="auto"/>
                <w:szCs w:val="21"/>
                <w:highlight w:val="none"/>
              </w:rPr>
              <w:t>本工程</w:t>
            </w:r>
            <w:r>
              <w:rPr>
                <w:rFonts w:hint="eastAsia" w:ascii="宋体" w:hAnsi="宋体" w:eastAsia="宋体" w:cs="宋体"/>
                <w:b/>
                <w:bCs/>
                <w:color w:val="auto"/>
                <w:kern w:val="0"/>
                <w:sz w:val="21"/>
                <w:szCs w:val="21"/>
                <w:highlight w:val="none"/>
                <w:lang w:eastAsia="zh-CN"/>
              </w:rPr>
              <w:t>预算控制价（最高限价）</w:t>
            </w:r>
            <w:r>
              <w:rPr>
                <w:rFonts w:hint="eastAsia" w:ascii="宋体" w:hAnsi="宋体" w:cs="宋体"/>
                <w:b/>
                <w:bCs/>
                <w:color w:val="auto"/>
                <w:szCs w:val="21"/>
                <w:highlight w:val="none"/>
              </w:rPr>
              <w:t>为</w:t>
            </w:r>
            <w:r>
              <w:rPr>
                <w:rFonts w:hint="eastAsia" w:ascii="宋体" w:hAnsi="宋体" w:cs="宋体"/>
                <w:b/>
                <w:bCs/>
                <w:color w:val="auto"/>
                <w:szCs w:val="21"/>
                <w:highlight w:val="none"/>
                <w:u w:val="single"/>
                <w:lang w:val="en-US" w:eastAsia="zh-CN"/>
              </w:rPr>
              <w:t xml:space="preserve"> 780467.18 </w:t>
            </w:r>
            <w:r>
              <w:rPr>
                <w:rFonts w:hint="eastAsia" w:ascii="宋体" w:hAnsi="宋体" w:cs="宋体"/>
                <w:b/>
                <w:bCs/>
                <w:color w:val="auto"/>
                <w:kern w:val="0"/>
                <w:szCs w:val="21"/>
                <w:highlight w:val="none"/>
                <w:u w:val="single"/>
              </w:rPr>
              <w:t>元</w:t>
            </w:r>
            <w:r>
              <w:rPr>
                <w:rFonts w:hint="eastAsia" w:ascii="宋体" w:hAnsi="宋体" w:cs="宋体"/>
                <w:b/>
                <w:bCs/>
                <w:color w:val="auto"/>
                <w:szCs w:val="21"/>
                <w:highlight w:val="none"/>
                <w:lang w:eastAsia="zh-CN"/>
              </w:rPr>
              <w:t>。</w:t>
            </w:r>
          </w:p>
          <w:p w14:paraId="6B89DA78">
            <w:pPr>
              <w:keepNext w:val="0"/>
              <w:keepLines w:val="0"/>
              <w:pageBreakBefore w:val="0"/>
              <w:widowControl/>
              <w:kinsoku/>
              <w:wordWrap/>
              <w:overflowPunct/>
              <w:topLinePunct w:val="0"/>
              <w:autoSpaceDE/>
              <w:autoSpaceDN/>
              <w:bidi w:val="0"/>
              <w:adjustRightInd/>
              <w:snapToGrid w:val="0"/>
              <w:spacing w:line="360" w:lineRule="exact"/>
              <w:ind w:left="0" w:left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kern w:val="0"/>
                <w:sz w:val="21"/>
                <w:szCs w:val="21"/>
                <w:highlight w:val="none"/>
                <w:lang w:eastAsia="zh-CN"/>
              </w:rPr>
              <w:t>预算控制价（最高限价），否则作无效标处理；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14:paraId="02763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4B04DC8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42" w:type="dxa"/>
            <w:vAlign w:val="center"/>
          </w:tcPr>
          <w:p w14:paraId="276F8CB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14.1</w:t>
            </w:r>
          </w:p>
        </w:tc>
        <w:tc>
          <w:tcPr>
            <w:tcW w:w="1775" w:type="dxa"/>
            <w:vAlign w:val="center"/>
          </w:tcPr>
          <w:p w14:paraId="6D47FE0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响应文件有效期</w:t>
            </w:r>
          </w:p>
        </w:tc>
        <w:tc>
          <w:tcPr>
            <w:tcW w:w="6912" w:type="dxa"/>
            <w:vAlign w:val="top"/>
          </w:tcPr>
          <w:p w14:paraId="5788B670">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响应文件递交截止时间之日起90天，有效期不足的响应文件将被拒绝。</w:t>
            </w:r>
          </w:p>
        </w:tc>
      </w:tr>
      <w:tr w14:paraId="1CB70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548667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942" w:type="dxa"/>
            <w:vAlign w:val="center"/>
          </w:tcPr>
          <w:p w14:paraId="75964F1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15</w:t>
            </w:r>
          </w:p>
        </w:tc>
        <w:tc>
          <w:tcPr>
            <w:tcW w:w="1775" w:type="dxa"/>
            <w:vAlign w:val="center"/>
          </w:tcPr>
          <w:p w14:paraId="27DE92B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保证金</w:t>
            </w:r>
          </w:p>
        </w:tc>
        <w:tc>
          <w:tcPr>
            <w:tcW w:w="6912" w:type="dxa"/>
            <w:vAlign w:val="top"/>
          </w:tcPr>
          <w:p w14:paraId="18C42170">
            <w:pPr>
              <w:pageBreakBefore w:val="0"/>
              <w:widowControl w:val="0"/>
              <w:tabs>
                <w:tab w:val="left" w:pos="1305"/>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14:paraId="3C0D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3355B42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942" w:type="dxa"/>
            <w:vAlign w:val="center"/>
          </w:tcPr>
          <w:p w14:paraId="686D15F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1775" w:type="dxa"/>
            <w:vAlign w:val="center"/>
          </w:tcPr>
          <w:p w14:paraId="425A775B">
            <w:pPr>
              <w:pStyle w:val="4"/>
              <w:pageBreakBefore w:val="0"/>
              <w:widowControl w:val="0"/>
              <w:kinsoku/>
              <w:wordWrap/>
              <w:overflowPunct/>
              <w:topLinePunct w:val="0"/>
              <w:autoSpaceDE/>
              <w:autoSpaceDN/>
              <w:bidi w:val="0"/>
              <w:adjustRightInd/>
              <w:spacing w:before="0" w:after="0" w:line="440" w:lineRule="exact"/>
              <w:jc w:val="center"/>
              <w:textAlignment w:val="auto"/>
              <w:rPr>
                <w:rFonts w:hint="eastAsia" w:ascii="宋体" w:hAnsi="宋体" w:eastAsia="宋体" w:cs="宋体"/>
                <w:b w:val="0"/>
                <w:bCs/>
                <w:color w:val="auto"/>
                <w:sz w:val="21"/>
                <w:szCs w:val="21"/>
                <w:highlight w:val="none"/>
                <w:lang w:eastAsia="zh-CN"/>
              </w:rPr>
            </w:pPr>
            <w:bookmarkStart w:id="42" w:name="_Toc27452"/>
            <w:bookmarkStart w:id="43" w:name="_Toc19954"/>
            <w:bookmarkStart w:id="44" w:name="_Toc19911"/>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2"/>
            <w:bookmarkEnd w:id="43"/>
            <w:bookmarkEnd w:id="44"/>
          </w:p>
          <w:p w14:paraId="142A6A9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p>
        </w:tc>
        <w:tc>
          <w:tcPr>
            <w:tcW w:w="6912" w:type="dxa"/>
            <w:vAlign w:val="center"/>
          </w:tcPr>
          <w:p w14:paraId="2F05682C">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val="en-US" w:eastAsia="zh-CN"/>
              </w:rPr>
              <w:t>数字证书（CA认证）</w:t>
            </w:r>
            <w:r>
              <w:rPr>
                <w:rFonts w:hint="eastAsia" w:ascii="宋体" w:hAnsi="宋体" w:eastAsia="宋体" w:cs="宋体"/>
                <w:color w:val="auto"/>
                <w:szCs w:val="21"/>
                <w:highlight w:val="none"/>
              </w:rPr>
              <w:t>签章，并根据“政府采购项目电子交易管理操作指南-供应商”及本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41E15EA7">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01C77354">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cs="宋体"/>
                <w:color w:val="auto"/>
                <w:szCs w:val="21"/>
                <w:highlight w:val="none"/>
                <w:lang w:val="en-US" w:eastAsia="zh-CN"/>
              </w:rPr>
              <w:t>数字证书（CA认证）</w:t>
            </w:r>
            <w:r>
              <w:rPr>
                <w:rFonts w:hint="eastAsia" w:ascii="宋体" w:hAnsi="宋体" w:eastAsia="宋体" w:cs="宋体"/>
                <w:color w:val="auto"/>
                <w:szCs w:val="21"/>
                <w:highlight w:val="none"/>
                <w:lang w:val="en-US" w:eastAsia="zh-CN"/>
              </w:rPr>
              <w:t>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0421A0C0">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00D2594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5CE9A25D">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各供应商应在截标前应确保成为</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正式注册入库供应商，并完成</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申领。因未注册入库、未办理</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 xml:space="preserve">等原因造成无法磋商或磋商失败等后果由供应商自行承担。 </w:t>
            </w:r>
          </w:p>
          <w:p w14:paraId="0E02E446">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电子交易客户端下载、安装完成后，可通过账号密码或</w:t>
            </w:r>
            <w:r>
              <w:rPr>
                <w:rFonts w:hint="eastAsia" w:ascii="宋体" w:hAnsi="宋体" w:cs="宋体"/>
                <w:color w:val="auto"/>
                <w:szCs w:val="21"/>
                <w:highlight w:val="none"/>
                <w:lang w:eastAsia="zh-CN"/>
              </w:rPr>
              <w:t>数字证书（CA认证）</w:t>
            </w:r>
            <w:r>
              <w:rPr>
                <w:rFonts w:hint="eastAsia" w:ascii="宋体" w:hAnsi="宋体" w:eastAsia="宋体" w:cs="宋体"/>
                <w:color w:val="auto"/>
                <w:szCs w:val="21"/>
                <w:highlight w:val="none"/>
                <w:lang w:eastAsia="zh-CN"/>
              </w:rPr>
              <w:t>登录客户端进行响应文件制作。客户端请至网站下载专区查看，如有问题可拨打</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lang w:eastAsia="zh-CN"/>
              </w:rPr>
              <w:t xml:space="preserve">客户服务热线 </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lang w:eastAsia="zh-CN"/>
              </w:rPr>
              <w:t xml:space="preserve"> 进行咨询。</w:t>
            </w:r>
          </w:p>
        </w:tc>
      </w:tr>
      <w:tr w14:paraId="030F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7E3F4D95">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942" w:type="dxa"/>
            <w:vAlign w:val="center"/>
          </w:tcPr>
          <w:p w14:paraId="0FA619E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w:t>
            </w:r>
          </w:p>
        </w:tc>
        <w:tc>
          <w:tcPr>
            <w:tcW w:w="1775" w:type="dxa"/>
            <w:vAlign w:val="center"/>
          </w:tcPr>
          <w:p w14:paraId="4D4F543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响应文件递交截止时间</w:t>
            </w:r>
          </w:p>
        </w:tc>
        <w:tc>
          <w:tcPr>
            <w:tcW w:w="6912" w:type="dxa"/>
            <w:vAlign w:val="center"/>
          </w:tcPr>
          <w:p w14:paraId="6824A667">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eastAsia="zh-CN"/>
              </w:rPr>
              <w:t>于</w:t>
            </w:r>
            <w:r>
              <w:rPr>
                <w:rFonts w:hint="eastAsia" w:ascii="宋体" w:hAnsi="宋体" w:cs="宋体"/>
                <w:color w:val="auto"/>
                <w:sz w:val="21"/>
                <w:szCs w:val="21"/>
                <w:highlight w:val="none"/>
                <w:u w:val="single"/>
                <w:lang w:eastAsia="zh-CN"/>
              </w:rPr>
              <w:t>2</w:t>
            </w:r>
            <w:r>
              <w:rPr>
                <w:rFonts w:hint="eastAsia" w:ascii="宋体" w:hAnsi="宋体" w:cs="宋体"/>
                <w:color w:val="auto"/>
                <w:sz w:val="21"/>
                <w:szCs w:val="21"/>
                <w:highlight w:val="none"/>
                <w:u w:val="single"/>
                <w:lang w:eastAsia="zh-CN"/>
              </w:rPr>
              <w:t>025年</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cs="宋体"/>
                <w:color w:val="auto"/>
                <w:szCs w:val="21"/>
                <w:highlight w:val="none"/>
                <w:lang w:eastAsia="zh-CN"/>
              </w:rPr>
              <w:t>95763</w:t>
            </w:r>
            <w:r>
              <w:rPr>
                <w:rFonts w:hint="eastAsia" w:ascii="宋体" w:hAnsi="宋体" w:eastAsia="宋体" w:cs="宋体"/>
                <w:color w:val="auto"/>
                <w:szCs w:val="21"/>
                <w:highlight w:val="none"/>
              </w:rPr>
              <w:t>。</w:t>
            </w:r>
          </w:p>
        </w:tc>
      </w:tr>
      <w:tr w14:paraId="2AAA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1FA5E0A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lang w:eastAsia="zh-CN"/>
              </w:rPr>
            </w:pPr>
            <w:r>
              <w:rPr>
                <w:rFonts w:hint="eastAsia" w:ascii="宋体" w:hAnsi="宋体" w:eastAsia="宋体" w:cs="宋体"/>
                <w:color w:val="auto"/>
                <w:position w:val="-2"/>
                <w:szCs w:val="21"/>
                <w:highlight w:val="none"/>
                <w:lang w:val="en-US" w:eastAsia="zh-CN"/>
              </w:rPr>
              <w:t>9</w:t>
            </w:r>
          </w:p>
        </w:tc>
        <w:tc>
          <w:tcPr>
            <w:tcW w:w="942" w:type="dxa"/>
            <w:vAlign w:val="center"/>
          </w:tcPr>
          <w:p w14:paraId="7BBFF17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18.2</w:t>
            </w:r>
          </w:p>
        </w:tc>
        <w:tc>
          <w:tcPr>
            <w:tcW w:w="1775" w:type="dxa"/>
            <w:vAlign w:val="center"/>
          </w:tcPr>
          <w:p w14:paraId="70828EF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szCs w:val="21"/>
                <w:highlight w:val="none"/>
                <w:lang w:eastAsia="zh-CN"/>
              </w:rPr>
              <w:t>磋商响应文件解密时间</w:t>
            </w:r>
          </w:p>
        </w:tc>
        <w:tc>
          <w:tcPr>
            <w:tcW w:w="6912" w:type="dxa"/>
            <w:vAlign w:val="center"/>
          </w:tcPr>
          <w:p w14:paraId="005B0C46">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磋商响应文件解密时间</w:t>
            </w:r>
            <w:r>
              <w:rPr>
                <w:rFonts w:hint="eastAsia" w:ascii="宋体" w:hAnsi="宋体" w:eastAsia="宋体" w:cs="宋体"/>
                <w:b w:val="0"/>
                <w:bCs w:val="0"/>
                <w:color w:val="auto"/>
                <w:kern w:val="2"/>
                <w:highlight w:val="none"/>
                <w:lang w:eastAsia="zh-CN"/>
              </w:rPr>
              <w:t>：截标时间后</w:t>
            </w:r>
            <w:r>
              <w:rPr>
                <w:rFonts w:hint="eastAsia" w:ascii="宋体" w:hAnsi="宋体" w:eastAsia="宋体" w:cs="宋体"/>
                <w:b w:val="0"/>
                <w:bCs w:val="0"/>
                <w:color w:val="auto"/>
                <w:kern w:val="2"/>
                <w:highlight w:val="none"/>
                <w:u w:val="single"/>
                <w:lang w:eastAsia="zh-CN"/>
              </w:rPr>
              <w:t>30</w:t>
            </w:r>
            <w:r>
              <w:rPr>
                <w:rFonts w:hint="eastAsia" w:ascii="宋体" w:hAnsi="宋体" w:eastAsia="宋体" w:cs="宋体"/>
                <w:b w:val="0"/>
                <w:bCs w:val="0"/>
                <w:color w:val="auto"/>
                <w:kern w:val="2"/>
                <w:highlight w:val="none"/>
                <w:lang w:eastAsia="zh-CN"/>
              </w:rPr>
              <w:t>分钟内磋商供应商可以登录</w:t>
            </w:r>
            <w:r>
              <w:rPr>
                <w:rFonts w:hint="eastAsia" w:ascii="宋体" w:hAnsi="宋体" w:cs="宋体"/>
                <w:b w:val="0"/>
                <w:bCs w:val="0"/>
                <w:color w:val="auto"/>
                <w:kern w:val="2"/>
                <w:highlight w:val="none"/>
                <w:lang w:eastAsia="zh-CN"/>
              </w:rPr>
              <w:t>广西政府采购云平台</w:t>
            </w:r>
            <w:r>
              <w:rPr>
                <w:rFonts w:hint="eastAsia" w:ascii="宋体" w:hAnsi="宋体" w:eastAsia="宋体" w:cs="宋体"/>
                <w:b w:val="0"/>
                <w:bCs w:val="0"/>
                <w:color w:val="auto"/>
                <w:kern w:val="2"/>
                <w:highlight w:val="none"/>
                <w:lang w:eastAsia="zh-CN"/>
              </w:rPr>
              <w:t>，用“项目采购-开标评标”功能进行解密</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。若</w:t>
            </w:r>
            <w:r>
              <w:rPr>
                <w:rFonts w:hint="eastAsia" w:ascii="宋体" w:hAnsi="宋体" w:eastAsia="宋体" w:cs="宋体"/>
                <w:color w:val="auto"/>
                <w:highlight w:val="none"/>
                <w:lang w:eastAsia="zh-CN"/>
              </w:rPr>
              <w:t>磋商供应商</w:t>
            </w:r>
            <w:r>
              <w:rPr>
                <w:rFonts w:hint="eastAsia" w:ascii="宋体" w:hAnsi="宋体" w:eastAsia="宋体" w:cs="宋体"/>
                <w:b w:val="0"/>
                <w:bCs w:val="0"/>
                <w:color w:val="auto"/>
                <w:kern w:val="2"/>
                <w:highlight w:val="none"/>
                <w:lang w:eastAsia="zh-CN"/>
              </w:rPr>
              <w:t>在规定时间内无法解密或解密失败，可以以电子备份</w:t>
            </w:r>
            <w:r>
              <w:rPr>
                <w:rFonts w:hint="eastAsia" w:ascii="宋体" w:hAnsi="宋体" w:eastAsia="宋体" w:cs="宋体"/>
                <w:color w:val="auto"/>
                <w:highlight w:val="none"/>
                <w:lang w:eastAsia="zh-CN"/>
              </w:rPr>
              <w:t>磋商响应文件</w:t>
            </w:r>
            <w:r>
              <w:rPr>
                <w:rFonts w:hint="eastAsia" w:ascii="宋体" w:hAnsi="宋体" w:eastAsia="宋体" w:cs="宋体"/>
                <w:b w:val="0"/>
                <w:bCs w:val="0"/>
                <w:color w:val="auto"/>
                <w:kern w:val="2"/>
                <w:highlight w:val="none"/>
                <w:lang w:eastAsia="zh-CN"/>
              </w:rPr>
              <w:t>作为依据</w:t>
            </w:r>
            <w:r>
              <w:rPr>
                <w:rFonts w:hint="eastAsia" w:ascii="宋体" w:hAnsi="宋体" w:eastAsia="宋体" w:cs="宋体"/>
                <w:b/>
                <w:bCs/>
                <w:color w:val="auto"/>
                <w:kern w:val="2"/>
                <w:highlight w:val="none"/>
                <w:lang w:eastAsia="zh-CN"/>
              </w:rPr>
              <w:t>【在接到无法解密或解密失败的通知后，</w:t>
            </w:r>
            <w:r>
              <w:rPr>
                <w:rFonts w:hint="eastAsia" w:ascii="宋体" w:hAnsi="宋体" w:eastAsia="宋体" w:cs="宋体"/>
                <w:b/>
                <w:bCs/>
                <w:color w:val="auto"/>
                <w:highlight w:val="none"/>
                <w:lang w:eastAsia="zh-CN"/>
              </w:rPr>
              <w:t>磋商供应商</w:t>
            </w:r>
            <w:r>
              <w:rPr>
                <w:rFonts w:hint="eastAsia" w:ascii="宋体" w:hAnsi="宋体" w:eastAsia="宋体" w:cs="宋体"/>
                <w:b/>
                <w:bCs/>
                <w:color w:val="auto"/>
                <w:kern w:val="2"/>
                <w:highlight w:val="none"/>
                <w:lang w:eastAsia="zh-CN"/>
              </w:rPr>
              <w:t>可根据自身实际情况按通知时要求的时间到桂林市公共资源</w:t>
            </w:r>
            <w:r>
              <w:rPr>
                <w:rFonts w:hint="eastAsia" w:ascii="宋体" w:hAnsi="宋体" w:cs="宋体"/>
                <w:b/>
                <w:bCs/>
                <w:color w:val="auto"/>
                <w:kern w:val="2"/>
                <w:highlight w:val="none"/>
                <w:lang w:eastAsia="zh-CN"/>
              </w:rPr>
              <w:t>交易中心</w:t>
            </w:r>
            <w:r>
              <w:rPr>
                <w:rFonts w:hint="eastAsia" w:ascii="宋体" w:hAnsi="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val="en-US" w:eastAsia="zh-CN"/>
              </w:rPr>
              <w:t>号政</w:t>
            </w:r>
            <w:r>
              <w:rPr>
                <w:rFonts w:hint="eastAsia" w:ascii="宋体" w:hAnsi="宋体" w:eastAsia="宋体" w:cs="宋体"/>
                <w:b/>
                <w:bCs/>
                <w:color w:val="auto"/>
                <w:sz w:val="21"/>
                <w:szCs w:val="21"/>
                <w:highlight w:val="none"/>
                <w:u w:val="single"/>
                <w:lang w:val="en-US" w:eastAsia="zh-CN"/>
              </w:rPr>
              <w:t>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kern w:val="2"/>
                <w:highlight w:val="none"/>
                <w:lang w:eastAsia="zh-CN"/>
              </w:rPr>
              <w:t>现场提交或以电子邮件的形式（以通知时所告知的电子邮箱地址为准）提交电子备份</w:t>
            </w:r>
            <w:r>
              <w:rPr>
                <w:rFonts w:hint="eastAsia" w:ascii="宋体" w:hAnsi="宋体" w:eastAsia="宋体" w:cs="宋体"/>
                <w:b/>
                <w:bCs/>
                <w:color w:val="auto"/>
                <w:highlight w:val="none"/>
                <w:lang w:eastAsia="zh-CN"/>
              </w:rPr>
              <w:t>磋商响应文件</w:t>
            </w:r>
            <w:r>
              <w:rPr>
                <w:rFonts w:hint="eastAsia" w:ascii="宋体" w:hAnsi="宋体" w:eastAsia="宋体" w:cs="宋体"/>
                <w:b/>
                <w:bCs/>
                <w:color w:val="auto"/>
                <w:kern w:val="2"/>
                <w:highlight w:val="none"/>
                <w:lang w:eastAsia="zh-CN"/>
              </w:rPr>
              <w:t>】</w:t>
            </w:r>
            <w:r>
              <w:rPr>
                <w:rFonts w:hint="eastAsia" w:ascii="宋体" w:hAnsi="宋体" w:eastAsia="宋体" w:cs="宋体"/>
                <w:b w:val="0"/>
                <w:bCs w:val="0"/>
                <w:color w:val="auto"/>
                <w:kern w:val="2"/>
                <w:highlight w:val="none"/>
                <w:lang w:eastAsia="zh-CN"/>
              </w:rPr>
              <w:t>，若磋商供应商在规定时间内无法解密或解密失败且未提供电子备份磋商响应文件的(包含提供的电子备份文件无效或无法解密的情况)，视为无效响应。</w:t>
            </w:r>
          </w:p>
        </w:tc>
      </w:tr>
      <w:tr w14:paraId="25B4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4B1A5A3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942" w:type="dxa"/>
            <w:vAlign w:val="center"/>
          </w:tcPr>
          <w:p w14:paraId="03500B5B">
            <w:pPr>
              <w:pageBreakBefore w:val="0"/>
              <w:widowControl w:val="0"/>
              <w:kinsoku/>
              <w:wordWrap/>
              <w:overflowPunct/>
              <w:topLinePunct w:val="0"/>
              <w:autoSpaceDE/>
              <w:autoSpaceDN/>
              <w:bidi w:val="0"/>
              <w:adjustRightInd/>
              <w:spacing w:line="440" w:lineRule="exact"/>
              <w:ind w:firstLine="105" w:firstLineChars="50"/>
              <w:jc w:val="center"/>
              <w:textAlignment w:val="auto"/>
              <w:rPr>
                <w:rFonts w:hint="eastAsia" w:ascii="宋体" w:hAnsi="宋体" w:eastAsia="宋体" w:cs="宋体"/>
                <w:color w:val="auto"/>
                <w:position w:val="-2"/>
                <w:szCs w:val="21"/>
                <w:highlight w:val="none"/>
              </w:rPr>
            </w:pPr>
            <w:r>
              <w:rPr>
                <w:rFonts w:hint="eastAsia" w:ascii="宋体" w:hAnsi="宋体" w:eastAsia="宋体" w:cs="宋体"/>
                <w:color w:val="auto"/>
                <w:position w:val="-2"/>
                <w:szCs w:val="21"/>
                <w:highlight w:val="none"/>
              </w:rPr>
              <w:t>19.1</w:t>
            </w:r>
          </w:p>
        </w:tc>
        <w:tc>
          <w:tcPr>
            <w:tcW w:w="1775" w:type="dxa"/>
            <w:vAlign w:val="center"/>
          </w:tcPr>
          <w:p w14:paraId="477D2A51">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912" w:type="dxa"/>
            <w:vAlign w:val="center"/>
          </w:tcPr>
          <w:p w14:paraId="732E56CF">
            <w:pPr>
              <w:pageBreakBefore w:val="0"/>
              <w:widowControl w:val="0"/>
              <w:kinsoku/>
              <w:wordWrap/>
              <w:overflowPunct/>
              <w:topLinePunct w:val="0"/>
              <w:autoSpaceDE/>
              <w:autoSpaceDN/>
              <w:bidi w:val="0"/>
              <w:adjustRightInd/>
              <w:spacing w:line="440" w:lineRule="exact"/>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Cs w:val="21"/>
                <w:highlight w:val="none"/>
                <w:u w:val="single"/>
              </w:rPr>
              <w:t xml:space="preserve">3 </w:t>
            </w:r>
            <w:r>
              <w:rPr>
                <w:rFonts w:hint="eastAsia" w:ascii="宋体" w:hAnsi="宋体" w:eastAsia="宋体" w:cs="宋体"/>
                <w:color w:val="auto"/>
                <w:szCs w:val="21"/>
                <w:highlight w:val="none"/>
              </w:rPr>
              <w:t>人，其中采购人代表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1 </w:t>
            </w:r>
            <w:r>
              <w:rPr>
                <w:rFonts w:hint="eastAsia" w:ascii="宋体" w:hAnsi="宋体" w:eastAsia="宋体" w:cs="宋体"/>
                <w:color w:val="auto"/>
                <w:szCs w:val="21"/>
                <w:highlight w:val="none"/>
              </w:rPr>
              <w:t>人，专家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 </w:t>
            </w:r>
            <w:r>
              <w:rPr>
                <w:rFonts w:hint="eastAsia" w:ascii="宋体" w:hAnsi="宋体" w:eastAsia="宋体" w:cs="宋体"/>
                <w:color w:val="auto"/>
                <w:szCs w:val="21"/>
                <w:highlight w:val="none"/>
              </w:rPr>
              <w:t>人。</w:t>
            </w:r>
          </w:p>
        </w:tc>
      </w:tr>
      <w:tr w14:paraId="140B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3214438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942" w:type="dxa"/>
            <w:vAlign w:val="center"/>
          </w:tcPr>
          <w:p w14:paraId="359529E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w:t>
            </w:r>
          </w:p>
        </w:tc>
        <w:tc>
          <w:tcPr>
            <w:tcW w:w="1775" w:type="dxa"/>
            <w:vAlign w:val="center"/>
          </w:tcPr>
          <w:p w14:paraId="1ACC767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磋商时间、地点、人员</w:t>
            </w:r>
          </w:p>
        </w:tc>
        <w:tc>
          <w:tcPr>
            <w:tcW w:w="6912" w:type="dxa"/>
            <w:vAlign w:val="top"/>
          </w:tcPr>
          <w:p w14:paraId="7F128431">
            <w:pPr>
              <w:pageBreakBefore w:val="0"/>
              <w:widowControl w:val="0"/>
              <w:kinsoku/>
              <w:wordWrap/>
              <w:overflowPunct/>
              <w:topLinePunct w:val="0"/>
              <w:autoSpaceDE/>
              <w:autoSpaceDN/>
              <w:bidi w:val="0"/>
              <w:adjustRightInd/>
              <w:spacing w:line="440" w:lineRule="exact"/>
              <w:ind w:left="315" w:hanging="315" w:hangingChars="15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19.2.1磋商时间：响应文件递交截止时间后。</w:t>
            </w:r>
          </w:p>
          <w:p w14:paraId="740A4F7F">
            <w:pPr>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14:paraId="380E53C5">
            <w:pPr>
              <w:pageBreakBefore w:val="0"/>
              <w:widowControl w:val="0"/>
              <w:kinsoku/>
              <w:wordWrap/>
              <w:overflowPunct/>
              <w:topLinePunct w:val="0"/>
              <w:autoSpaceDE/>
              <w:autoSpaceDN/>
              <w:bidi w:val="0"/>
              <w:adjustRightInd/>
              <w:spacing w:line="440" w:lineRule="exact"/>
              <w:ind w:left="15" w:hanging="14" w:hangingChars="7"/>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Cs w:val="21"/>
                <w:highlight w:val="none"/>
              </w:rPr>
              <w:t>。</w:t>
            </w:r>
          </w:p>
          <w:p w14:paraId="75645BDC">
            <w:pPr>
              <w:pageBreakBefore w:val="0"/>
              <w:widowControl w:val="0"/>
              <w:tabs>
                <w:tab w:val="left" w:pos="1140"/>
              </w:tabs>
              <w:kinsoku/>
              <w:wordWrap/>
              <w:overflowPunct/>
              <w:topLinePunct w:val="0"/>
              <w:autoSpaceDE/>
              <w:autoSpaceDN/>
              <w:bidi w:val="0"/>
              <w:adjustRightInd/>
              <w:spacing w:line="440" w:lineRule="exact"/>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19.2.4响应文件递交截止时间后，由磋商小组在评标室内</w:t>
            </w:r>
            <w:r>
              <w:rPr>
                <w:rFonts w:hint="eastAsia" w:ascii="宋体" w:hAnsi="宋体" w:eastAsia="宋体" w:cs="宋体"/>
                <w:color w:val="auto"/>
                <w:szCs w:val="21"/>
                <w:highlight w:val="none"/>
                <w:lang w:eastAsia="zh-CN"/>
              </w:rPr>
              <w:t>线上</w:t>
            </w:r>
            <w:r>
              <w:rPr>
                <w:rFonts w:hint="eastAsia" w:ascii="宋体" w:hAnsi="宋体" w:eastAsia="宋体" w:cs="宋体"/>
                <w:color w:val="auto"/>
                <w:szCs w:val="21"/>
                <w:highlight w:val="none"/>
              </w:rPr>
              <w:t>开启响应文件。</w:t>
            </w:r>
          </w:p>
        </w:tc>
      </w:tr>
      <w:tr w14:paraId="2506A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2" w:type="dxa"/>
            <w:vAlign w:val="center"/>
          </w:tcPr>
          <w:p w14:paraId="52CF7C8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942" w:type="dxa"/>
            <w:vAlign w:val="center"/>
          </w:tcPr>
          <w:p w14:paraId="01E2A43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w:t>
            </w:r>
          </w:p>
        </w:tc>
        <w:tc>
          <w:tcPr>
            <w:tcW w:w="1775" w:type="dxa"/>
            <w:vAlign w:val="center"/>
          </w:tcPr>
          <w:p w14:paraId="43F5FA26">
            <w:pPr>
              <w:pStyle w:val="11"/>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评审办法</w:t>
            </w:r>
          </w:p>
        </w:tc>
        <w:tc>
          <w:tcPr>
            <w:tcW w:w="6912" w:type="dxa"/>
            <w:vAlign w:val="center"/>
          </w:tcPr>
          <w:p w14:paraId="456F342D">
            <w:pPr>
              <w:pageBreakBefore w:val="0"/>
              <w:widowControl w:val="0"/>
              <w:tabs>
                <w:tab w:val="left" w:pos="1140"/>
              </w:tabs>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具体详见第四章评审办法。</w:t>
            </w:r>
          </w:p>
        </w:tc>
      </w:tr>
      <w:tr w14:paraId="3CFE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2D203F6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942" w:type="dxa"/>
            <w:vAlign w:val="center"/>
          </w:tcPr>
          <w:p w14:paraId="22F5030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775" w:type="dxa"/>
            <w:vAlign w:val="center"/>
          </w:tcPr>
          <w:p w14:paraId="311F918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信用查询</w:t>
            </w:r>
          </w:p>
        </w:tc>
        <w:tc>
          <w:tcPr>
            <w:tcW w:w="6912" w:type="dxa"/>
            <w:vAlign w:val="center"/>
          </w:tcPr>
          <w:p w14:paraId="0B30E711">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根据《关于做好政府采购有关信用主体标识码登记及在政府采购活动中查询使用信用记录有关问题的通知》（桂财采〔2016〕37），由采购代理机构对第一成交候选人进行信用查询：</w:t>
            </w:r>
          </w:p>
          <w:p w14:paraId="3EF7B488">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⑴查询渠道：“信用中国”网站(www.creditchina.gov.cn)、中国政府采购网(www.ccgp.gov.cn)等；</w:t>
            </w:r>
          </w:p>
          <w:p w14:paraId="205A33B8">
            <w:pPr>
              <w:keepNext w:val="0"/>
              <w:keepLines w:val="0"/>
              <w:pageBreakBefore w:val="0"/>
              <w:widowControl w:val="0"/>
              <w:kinsoku/>
              <w:wordWrap/>
              <w:overflowPunct/>
              <w:topLinePunct w:val="0"/>
              <w:autoSpaceDE/>
              <w:autoSpaceDN/>
              <w:bidi w:val="0"/>
              <w:adjustRightInd/>
              <w:snapToGrid/>
              <w:spacing w:line="288" w:lineRule="auto"/>
              <w:ind w:left="315" w:hanging="315" w:hangingChars="1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⑵查询时间：成交通知书发出前；</w:t>
            </w:r>
          </w:p>
          <w:p w14:paraId="4BBEAD8B">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⑶信用信息查询记录和证据留存方式：在查询网站中直接打印查询记录，打印材料作为采购活动资料保存；</w:t>
            </w:r>
          </w:p>
          <w:p w14:paraId="5415B981">
            <w:pPr>
              <w:keepNext w:val="0"/>
              <w:keepLines w:val="0"/>
              <w:pageBreakBefore w:val="0"/>
              <w:widowControl w:val="0"/>
              <w:kinsoku/>
              <w:wordWrap/>
              <w:overflowPunct/>
              <w:topLinePunct w:val="0"/>
              <w:autoSpaceDE/>
              <w:autoSpaceDN/>
              <w:bidi w:val="0"/>
              <w:adjustRightInd/>
              <w:snapToGrid/>
              <w:spacing w:line="288" w:lineRule="auto"/>
              <w:ind w:left="15" w:hanging="14" w:hangingChars="7"/>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14:paraId="798C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2" w:type="dxa"/>
            <w:vAlign w:val="center"/>
          </w:tcPr>
          <w:p w14:paraId="28C7F13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942" w:type="dxa"/>
            <w:vAlign w:val="center"/>
          </w:tcPr>
          <w:p w14:paraId="1A381E2B">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775" w:type="dxa"/>
            <w:vAlign w:val="center"/>
          </w:tcPr>
          <w:p w14:paraId="5D7B5DA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成交结果公告</w:t>
            </w:r>
          </w:p>
          <w:p w14:paraId="592314D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及成交通知书</w:t>
            </w:r>
          </w:p>
        </w:tc>
        <w:tc>
          <w:tcPr>
            <w:tcW w:w="6912" w:type="dxa"/>
            <w:vAlign w:val="top"/>
          </w:tcPr>
          <w:p w14:paraId="1E1B41F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CE3498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27.2在发布成交公告的同时，采购代理机构向成交供应商发出成交通知书。成交供应商自接到通知之日起七个工作日内，办理成交通知书领取手续。</w:t>
            </w:r>
          </w:p>
        </w:tc>
      </w:tr>
      <w:tr w14:paraId="4E72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62" w:type="dxa"/>
            <w:vAlign w:val="center"/>
          </w:tcPr>
          <w:p w14:paraId="06827F7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942" w:type="dxa"/>
            <w:vAlign w:val="center"/>
          </w:tcPr>
          <w:p w14:paraId="2C793550">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775" w:type="dxa"/>
            <w:vAlign w:val="center"/>
          </w:tcPr>
          <w:p w14:paraId="155D10E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912" w:type="dxa"/>
            <w:vAlign w:val="center"/>
          </w:tcPr>
          <w:p w14:paraId="26B352A8">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lang w:val="en-US" w:eastAsia="zh-CN"/>
              </w:rPr>
            </w:pPr>
            <w:r>
              <w:rPr>
                <w:rFonts w:hint="eastAsia" w:hAnsi="宋体"/>
                <w:color w:val="auto"/>
                <w:szCs w:val="21"/>
                <w:highlight w:val="none"/>
                <w:lang w:eastAsia="zh-CN"/>
              </w:rPr>
              <w:t>本项目不收取履约保证金。</w:t>
            </w:r>
          </w:p>
        </w:tc>
      </w:tr>
      <w:tr w14:paraId="0DE8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630E0BF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942" w:type="dxa"/>
            <w:vAlign w:val="center"/>
          </w:tcPr>
          <w:p w14:paraId="10EC4A32">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w:t>
            </w:r>
          </w:p>
        </w:tc>
        <w:tc>
          <w:tcPr>
            <w:tcW w:w="1775" w:type="dxa"/>
            <w:vAlign w:val="center"/>
          </w:tcPr>
          <w:p w14:paraId="71B8D41A">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签订合同时间</w:t>
            </w:r>
          </w:p>
        </w:tc>
        <w:tc>
          <w:tcPr>
            <w:tcW w:w="6912" w:type="dxa"/>
            <w:vAlign w:val="top"/>
          </w:tcPr>
          <w:p w14:paraId="58F50A33">
            <w:pPr>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发出之日起</w:t>
            </w:r>
            <w:r>
              <w:rPr>
                <w:rFonts w:hint="eastAsia" w:ascii="宋体" w:hAnsi="宋体" w:cs="宋体"/>
                <w:bCs/>
                <w:color w:val="auto"/>
                <w:kern w:val="0"/>
                <w:szCs w:val="21"/>
                <w:highlight w:val="none"/>
                <w:lang w:val="en-US" w:eastAsia="zh-CN"/>
              </w:rPr>
              <w:t>8个工作日</w:t>
            </w:r>
            <w:r>
              <w:rPr>
                <w:rFonts w:hint="eastAsia" w:ascii="宋体" w:hAnsi="宋体" w:eastAsia="宋体" w:cs="宋体"/>
                <w:bCs/>
                <w:color w:val="auto"/>
                <w:kern w:val="0"/>
                <w:szCs w:val="21"/>
                <w:highlight w:val="none"/>
              </w:rPr>
              <w:t>内签订合同</w:t>
            </w:r>
            <w:r>
              <w:rPr>
                <w:rFonts w:hint="eastAsia" w:ascii="宋体" w:hAnsi="宋体" w:eastAsia="宋体" w:cs="宋体"/>
                <w:color w:val="auto"/>
                <w:highlight w:val="none"/>
              </w:rPr>
              <w:t>。</w:t>
            </w:r>
            <w:r>
              <w:rPr>
                <w:rFonts w:hint="eastAsia" w:ascii="宋体" w:hAnsi="宋体" w:eastAsia="宋体" w:cs="宋体"/>
                <w:color w:val="auto"/>
                <w:szCs w:val="21"/>
                <w:highlight w:val="none"/>
              </w:rPr>
              <w:t>成交供应商领取成交通知书后，应按规定与采购人签订合同。</w:t>
            </w:r>
          </w:p>
        </w:tc>
      </w:tr>
      <w:tr w14:paraId="3A6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592DF97E">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17</w:t>
            </w:r>
          </w:p>
        </w:tc>
        <w:tc>
          <w:tcPr>
            <w:tcW w:w="942" w:type="dxa"/>
            <w:vAlign w:val="center"/>
          </w:tcPr>
          <w:p w14:paraId="4E0F5A9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w:t>
            </w:r>
          </w:p>
        </w:tc>
        <w:tc>
          <w:tcPr>
            <w:tcW w:w="1775" w:type="dxa"/>
            <w:vAlign w:val="center"/>
          </w:tcPr>
          <w:p w14:paraId="36C03B18">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合同备案存档</w:t>
            </w:r>
          </w:p>
        </w:tc>
        <w:tc>
          <w:tcPr>
            <w:tcW w:w="6912" w:type="dxa"/>
            <w:vAlign w:val="center"/>
          </w:tcPr>
          <w:p w14:paraId="5E4AD9F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highlight w:val="none"/>
                <w:lang w:eastAsia="zh-CN"/>
              </w:rPr>
              <w:t>广西中承建设工程咨询有限公司</w:t>
            </w:r>
            <w:r>
              <w:rPr>
                <w:rFonts w:hint="eastAsia" w:ascii="宋体" w:hAnsi="宋体" w:eastAsia="宋体" w:cs="宋体"/>
                <w:color w:val="auto"/>
                <w:highlight w:val="none"/>
              </w:rPr>
              <w:t>存档。</w:t>
            </w:r>
          </w:p>
        </w:tc>
      </w:tr>
      <w:tr w14:paraId="0408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60C0413">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18</w:t>
            </w:r>
          </w:p>
        </w:tc>
        <w:tc>
          <w:tcPr>
            <w:tcW w:w="942" w:type="dxa"/>
            <w:vAlign w:val="center"/>
          </w:tcPr>
          <w:p w14:paraId="611BA70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775" w:type="dxa"/>
            <w:vAlign w:val="center"/>
          </w:tcPr>
          <w:p w14:paraId="632AE4AC">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采购代理服务费</w:t>
            </w:r>
          </w:p>
        </w:tc>
        <w:tc>
          <w:tcPr>
            <w:tcW w:w="6912" w:type="dxa"/>
            <w:vAlign w:val="top"/>
          </w:tcPr>
          <w:p w14:paraId="5906D74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cs="宋体"/>
                <w:color w:val="auto"/>
                <w:sz w:val="21"/>
                <w:szCs w:val="21"/>
                <w:highlight w:val="none"/>
                <w:lang w:eastAsia="zh-CN"/>
              </w:rPr>
              <w:t>工程</w:t>
            </w:r>
            <w:r>
              <w:rPr>
                <w:rFonts w:hint="eastAsia" w:ascii="宋体" w:hAnsi="宋体" w:eastAsia="宋体" w:cs="宋体"/>
                <w:color w:val="auto"/>
                <w:sz w:val="21"/>
                <w:szCs w:val="21"/>
                <w:highlight w:val="none"/>
                <w:lang w:eastAsia="zh-CN"/>
              </w:rPr>
              <w:t>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w:t>
            </w:r>
            <w:r>
              <w:rPr>
                <w:rFonts w:hint="eastAsia" w:ascii="宋体" w:hAnsi="宋体" w:eastAsia="宋体" w:cs="宋体"/>
                <w:color w:val="auto"/>
                <w:szCs w:val="21"/>
                <w:highlight w:val="none"/>
              </w:rPr>
              <w:t>（不足人民币</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000元的，按</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000元支付）</w:t>
            </w:r>
            <w:r>
              <w:rPr>
                <w:rFonts w:hint="eastAsia" w:ascii="宋体" w:hAnsi="宋体" w:eastAsia="宋体" w:cs="宋体"/>
                <w:color w:val="auto"/>
                <w:sz w:val="21"/>
                <w:szCs w:val="21"/>
                <w:highlight w:val="none"/>
              </w:rPr>
              <w:t>。</w:t>
            </w:r>
          </w:p>
        </w:tc>
      </w:tr>
      <w:tr w14:paraId="0009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368E839F">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19</w:t>
            </w:r>
          </w:p>
        </w:tc>
        <w:tc>
          <w:tcPr>
            <w:tcW w:w="942" w:type="dxa"/>
            <w:vAlign w:val="center"/>
          </w:tcPr>
          <w:p w14:paraId="2DC04739">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775" w:type="dxa"/>
            <w:vAlign w:val="center"/>
          </w:tcPr>
          <w:p w14:paraId="6DFF2357">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912" w:type="dxa"/>
            <w:vAlign w:val="top"/>
          </w:tcPr>
          <w:p w14:paraId="09194A4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61E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1179DFF6">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20</w:t>
            </w:r>
          </w:p>
        </w:tc>
        <w:tc>
          <w:tcPr>
            <w:tcW w:w="942" w:type="dxa"/>
            <w:vAlign w:val="center"/>
          </w:tcPr>
          <w:p w14:paraId="4839CE7D">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775" w:type="dxa"/>
            <w:vAlign w:val="center"/>
          </w:tcPr>
          <w:p w14:paraId="4B3BCF84">
            <w:pPr>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监督管理机构</w:t>
            </w:r>
          </w:p>
        </w:tc>
        <w:tc>
          <w:tcPr>
            <w:tcW w:w="6912" w:type="dxa"/>
            <w:vAlign w:val="center"/>
          </w:tcPr>
          <w:p w14:paraId="5C49E3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1"/>
                <w:highlight w:val="none"/>
              </w:rPr>
            </w:pPr>
            <w:r>
              <w:rPr>
                <w:rFonts w:hint="eastAsia" w:ascii="宋体" w:hAnsi="宋体"/>
                <w:color w:val="auto"/>
                <w:highlight w:val="none"/>
                <w:lang w:eastAsia="zh-CN"/>
              </w:rPr>
              <w:t>桂林市财政局</w:t>
            </w:r>
            <w:r>
              <w:rPr>
                <w:rFonts w:hint="eastAsia" w:ascii="宋体" w:hAnsi="宋体"/>
                <w:color w:val="auto"/>
                <w:highlight w:val="none"/>
                <w:lang w:val="en-US" w:eastAsia="zh-CN"/>
              </w:rPr>
              <w:t xml:space="preserve">      </w:t>
            </w:r>
            <w:r>
              <w:rPr>
                <w:rFonts w:hint="eastAsia" w:ascii="宋体" w:hAnsi="宋体"/>
                <w:color w:val="auto"/>
                <w:highlight w:val="none"/>
              </w:rPr>
              <w:t>联系电话：</w:t>
            </w:r>
            <w:r>
              <w:rPr>
                <w:rFonts w:hint="eastAsia" w:ascii="宋体" w:hAnsi="宋体"/>
                <w:color w:val="auto"/>
                <w:highlight w:val="none"/>
                <w:lang w:eastAsia="zh-CN"/>
              </w:rPr>
              <w:t>0773-2816067</w:t>
            </w:r>
          </w:p>
        </w:tc>
      </w:tr>
    </w:tbl>
    <w:p w14:paraId="2BF2E145">
      <w:pPr>
        <w:pStyle w:val="26"/>
        <w:ind w:left="0" w:leftChars="0" w:firstLine="0" w:firstLineChars="0"/>
        <w:rPr>
          <w:rFonts w:hint="eastAsia" w:ascii="宋体" w:hAnsi="宋体" w:eastAsia="宋体" w:cs="宋体"/>
          <w:b/>
          <w:color w:val="auto"/>
          <w:sz w:val="28"/>
          <w:szCs w:val="28"/>
          <w:highlight w:val="none"/>
        </w:rPr>
      </w:pPr>
    </w:p>
    <w:p w14:paraId="59740C8A">
      <w:pPr>
        <w:pStyle w:val="2"/>
        <w:tabs>
          <w:tab w:val="left" w:pos="567"/>
        </w:tabs>
        <w:ind w:left="0" w:leftChars="0" w:firstLine="0" w:firstLineChars="0"/>
        <w:jc w:val="both"/>
        <w:rPr>
          <w:rFonts w:hint="eastAsia" w:ascii="宋体" w:hAnsi="宋体" w:eastAsia="宋体" w:cs="宋体"/>
          <w:b/>
          <w:bCs w:val="0"/>
          <w:color w:val="auto"/>
          <w:szCs w:val="28"/>
          <w:highlight w:val="none"/>
        </w:rPr>
      </w:pPr>
    </w:p>
    <w:p w14:paraId="11DE1FEF">
      <w:pPr>
        <w:rPr>
          <w:rFonts w:hint="eastAsia" w:ascii="宋体" w:hAnsi="宋体" w:eastAsia="宋体" w:cs="宋体"/>
          <w:b/>
          <w:bCs w:val="0"/>
          <w:color w:val="auto"/>
          <w:szCs w:val="28"/>
          <w:highlight w:val="none"/>
        </w:rPr>
      </w:pPr>
    </w:p>
    <w:p w14:paraId="55D675B2">
      <w:pPr>
        <w:pStyle w:val="2"/>
        <w:tabs>
          <w:tab w:val="left" w:pos="567"/>
        </w:tabs>
        <w:rPr>
          <w:rFonts w:hint="eastAsia" w:ascii="宋体" w:hAnsi="宋体" w:eastAsia="宋体" w:cs="宋体"/>
          <w:b/>
          <w:bCs w:val="0"/>
          <w:color w:val="auto"/>
          <w:szCs w:val="28"/>
          <w:highlight w:val="none"/>
        </w:rPr>
      </w:pPr>
    </w:p>
    <w:p w14:paraId="267E941E">
      <w:pPr>
        <w:pStyle w:val="2"/>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Cs w:val="28"/>
          <w:highlight w:val="none"/>
        </w:rPr>
        <w:sectPr>
          <w:footerReference r:id="rId6" w:type="first"/>
          <w:footerReference r:id="rId5" w:type="default"/>
          <w:pgSz w:w="11906" w:h="16838"/>
          <w:pgMar w:top="1077" w:right="1115" w:bottom="1191" w:left="1131" w:header="851" w:footer="992" w:gutter="0"/>
          <w:pgNumType w:fmt="decimal"/>
          <w:cols w:space="720" w:num="1"/>
          <w:titlePg/>
          <w:docGrid w:type="lines" w:linePitch="312" w:charSpace="0"/>
        </w:sectPr>
      </w:pPr>
      <w:bookmarkStart w:id="45" w:name="_Toc22792"/>
      <w:bookmarkStart w:id="46" w:name="_Toc27120"/>
    </w:p>
    <w:p w14:paraId="373B6FA9">
      <w:pPr>
        <w:pStyle w:val="2"/>
        <w:pageBreakBefore w:val="0"/>
        <w:widowControl w:val="0"/>
        <w:tabs>
          <w:tab w:val="left" w:pos="567"/>
        </w:tabs>
        <w:kinsoku/>
        <w:wordWrap/>
        <w:overflowPunct/>
        <w:topLinePunct w:val="0"/>
        <w:autoSpaceDE/>
        <w:autoSpaceDN/>
        <w:bidi w:val="0"/>
        <w:adjustRightInd/>
        <w:snapToGrid/>
        <w:spacing w:line="288" w:lineRule="auto"/>
        <w:jc w:val="center"/>
        <w:textAlignment w:val="auto"/>
        <w:rPr>
          <w:rFonts w:hint="eastAsia" w:ascii="宋体" w:hAnsi="宋体" w:eastAsia="宋体" w:cs="宋体"/>
          <w:b/>
          <w:bCs w:val="0"/>
          <w:color w:val="auto"/>
          <w:szCs w:val="28"/>
          <w:highlight w:val="none"/>
        </w:rPr>
      </w:pPr>
      <w:bookmarkStart w:id="47" w:name="_Toc22096"/>
      <w:bookmarkStart w:id="48" w:name="_Toc16308"/>
      <w:r>
        <w:rPr>
          <w:rFonts w:hint="eastAsia" w:ascii="宋体" w:hAnsi="宋体" w:eastAsia="宋体" w:cs="宋体"/>
          <w:b/>
          <w:bCs w:val="0"/>
          <w:color w:val="auto"/>
          <w:szCs w:val="28"/>
          <w:highlight w:val="none"/>
        </w:rPr>
        <w:t>一、总则</w:t>
      </w:r>
      <w:bookmarkEnd w:id="45"/>
      <w:bookmarkEnd w:id="46"/>
      <w:bookmarkEnd w:id="47"/>
      <w:bookmarkEnd w:id="48"/>
    </w:p>
    <w:p w14:paraId="1E600737">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49" w:name="_Toc6626"/>
      <w:bookmarkStart w:id="50" w:name="_Toc3367"/>
      <w:r>
        <w:rPr>
          <w:rFonts w:hint="eastAsia" w:ascii="宋体" w:hAnsi="宋体" w:eastAsia="宋体" w:cs="宋体"/>
          <w:color w:val="auto"/>
          <w:sz w:val="21"/>
          <w:szCs w:val="21"/>
          <w:highlight w:val="none"/>
        </w:rPr>
        <w:t>1. 适应范围</w:t>
      </w:r>
      <w:bookmarkEnd w:id="49"/>
      <w:bookmarkEnd w:id="50"/>
    </w:p>
    <w:p w14:paraId="3E9FFB83">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1.1项目名称及项目编号</w:t>
      </w:r>
    </w:p>
    <w:p w14:paraId="36A91D9A">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szCs w:val="21"/>
          <w:highlight w:val="none"/>
          <w:lang w:eastAsia="zh-CN"/>
        </w:rPr>
        <w:t>桂林市秀峰房产管理处2025年公共租赁住房大修工程</w:t>
      </w:r>
      <w:r>
        <w:rPr>
          <w:rFonts w:hint="eastAsia" w:ascii="宋体" w:hAnsi="宋体" w:eastAsia="宋体" w:cs="宋体"/>
          <w:color w:val="auto"/>
          <w:szCs w:val="21"/>
          <w:highlight w:val="none"/>
        </w:rPr>
        <w:t xml:space="preserve">  </w:t>
      </w:r>
    </w:p>
    <w:p w14:paraId="6E03A52C">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GLZC2025-C2-990332-ZCJS</w:t>
      </w:r>
    </w:p>
    <w:p w14:paraId="0B70B8BE">
      <w:pPr>
        <w:pageBreakBefore w:val="0"/>
        <w:widowControl w:val="0"/>
        <w:kinsoku/>
        <w:wordWrap/>
        <w:overflowPunct/>
        <w:topLinePunct w:val="0"/>
        <w:autoSpaceDE/>
        <w:autoSpaceDN/>
        <w:bidi w:val="0"/>
        <w:adjustRightInd/>
        <w:snapToGrid/>
        <w:spacing w:line="288" w:lineRule="auto"/>
        <w:ind w:firstLine="411" w:firstLineChars="196"/>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1.2本竞争性磋商文件（以下简称磋商文件）适用于本磋商项目的磋商、评审、合同履约、验收、付款等行为（法律、法规另有规定的，从其规定）。</w:t>
      </w:r>
    </w:p>
    <w:p w14:paraId="5338E15E">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1" w:name="_Toc28336"/>
      <w:bookmarkStart w:id="52" w:name="_Toc2845"/>
      <w:r>
        <w:rPr>
          <w:rFonts w:hint="eastAsia" w:ascii="宋体" w:hAnsi="宋体" w:eastAsia="宋体" w:cs="宋体"/>
          <w:color w:val="auto"/>
          <w:sz w:val="21"/>
          <w:szCs w:val="21"/>
          <w:highlight w:val="none"/>
        </w:rPr>
        <w:t>2. 定义</w:t>
      </w:r>
      <w:bookmarkEnd w:id="51"/>
      <w:bookmarkEnd w:id="52"/>
    </w:p>
    <w:p w14:paraId="7F1E5D86">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2.1“供应商”是指符合本次采购项目的供应商资格并提交响应文件、参加磋商的供应商。如果该供应商在本次磋商中成交，即成为“成交供应商”。</w:t>
      </w:r>
    </w:p>
    <w:p w14:paraId="51CBE2F0">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2.2“货物”系指按磋商文件规定，供应商须向采购人提供的一切设备、保险、税金、备品备件、工具、手册及其它有关技术资料和材料。</w:t>
      </w:r>
    </w:p>
    <w:p w14:paraId="0139D39C">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2.3“服务”系指按磋商文件规定，供应商须承担的安装、调试、技术协助、校准、培训、技术指导以及其他类似的义务。</w:t>
      </w:r>
    </w:p>
    <w:p w14:paraId="6E5A2F00">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2.4“项目”系指供应商按磋商文件规定向采购人提供的货物和服务。</w:t>
      </w:r>
    </w:p>
    <w:p w14:paraId="7C6636B7">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2.5“书面形式”包括信函、传真、电报等。</w:t>
      </w:r>
    </w:p>
    <w:p w14:paraId="30D6D97C">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53" w:name="_Toc25441"/>
      <w:bookmarkStart w:id="54" w:name="_Toc13017"/>
      <w:r>
        <w:rPr>
          <w:rFonts w:hint="eastAsia" w:ascii="宋体" w:hAnsi="宋体" w:eastAsia="宋体" w:cs="宋体"/>
          <w:color w:val="auto"/>
          <w:sz w:val="21"/>
          <w:szCs w:val="21"/>
          <w:highlight w:val="none"/>
        </w:rPr>
        <w:t>3. 供应商资格</w:t>
      </w:r>
      <w:bookmarkEnd w:id="53"/>
      <w:bookmarkEnd w:id="54"/>
    </w:p>
    <w:p w14:paraId="03FB46C6">
      <w:pPr>
        <w:pageBreakBefore w:val="0"/>
        <w:widowControl w:val="0"/>
        <w:kinsoku/>
        <w:wordWrap/>
        <w:overflowPunct/>
        <w:topLinePunct w:val="0"/>
        <w:autoSpaceDE/>
        <w:autoSpaceDN/>
        <w:bidi w:val="0"/>
        <w:adjustRightInd/>
        <w:snapToGrid/>
        <w:spacing w:line="288" w:lineRule="auto"/>
        <w:ind w:firstLine="435"/>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Cs w:val="21"/>
          <w:highlight w:val="none"/>
        </w:rPr>
        <w:t>；</w:t>
      </w:r>
    </w:p>
    <w:p w14:paraId="15198A9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val="en-US" w:eastAsia="zh-CN"/>
        </w:rPr>
      </w:pPr>
      <w:bookmarkStart w:id="55" w:name="_Toc16496"/>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14:paraId="060285FC">
      <w:pPr>
        <w:pStyle w:val="4"/>
        <w:pageBreakBefore w:val="0"/>
        <w:widowControl w:val="0"/>
        <w:kinsoku/>
        <w:wordWrap/>
        <w:overflowPunct/>
        <w:topLinePunct w:val="0"/>
        <w:autoSpaceDE/>
        <w:autoSpaceDN/>
        <w:bidi w:val="0"/>
        <w:adjustRightInd/>
        <w:snapToGrid/>
        <w:spacing w:before="0" w:after="0" w:line="288" w:lineRule="auto"/>
        <w:ind w:firstLine="420" w:firstLineChars="200"/>
        <w:textAlignment w:val="auto"/>
        <w:rPr>
          <w:rFonts w:hint="eastAsia" w:ascii="宋体" w:hAnsi="宋体" w:cs="宋体"/>
          <w:b w:val="0"/>
          <w:bCs w:val="0"/>
          <w:color w:val="auto"/>
          <w:sz w:val="21"/>
          <w:szCs w:val="21"/>
          <w:highlight w:val="none"/>
          <w:lang w:val="en-US" w:eastAsia="zh-CN"/>
        </w:rPr>
      </w:pPr>
      <w:bookmarkStart w:id="56" w:name="_Toc3452"/>
      <w:bookmarkStart w:id="57" w:name="_Toc5736"/>
      <w:bookmarkStart w:id="58" w:name="_Toc4527"/>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End w:id="56"/>
      <w:bookmarkEnd w:id="57"/>
      <w:bookmarkEnd w:id="58"/>
      <w:bookmarkStart w:id="59" w:name="_Toc9216"/>
      <w:r>
        <w:rPr>
          <w:rFonts w:hint="eastAsia" w:ascii="宋体" w:hAnsi="宋体" w:cs="宋体"/>
          <w:b w:val="0"/>
          <w:bCs w:val="0"/>
          <w:color w:val="auto"/>
          <w:sz w:val="21"/>
          <w:szCs w:val="21"/>
          <w:highlight w:val="none"/>
          <w:lang w:val="en-US" w:eastAsia="zh-CN"/>
        </w:rPr>
        <w:t>供应商须具备建筑工程施工总承包三级及以上资质和有效的安全生产许可证，并在人员、设备、资金等方面具备相应的施工能力，拟派项目经理须具备建筑工程专业二级及以上注册建造师执业资格，具备安全生产考核合格证书（B类）。</w:t>
      </w:r>
    </w:p>
    <w:p w14:paraId="5E2B3CA2">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5"/>
      <w:bookmarkEnd w:id="59"/>
    </w:p>
    <w:p w14:paraId="3C71FD1F">
      <w:pPr>
        <w:pageBreakBefore w:val="0"/>
        <w:widowControl w:val="0"/>
        <w:tabs>
          <w:tab w:val="left" w:pos="1635"/>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不论磋商结果如何，供应商均应自行承担所有与磋商有关的全部费用。</w:t>
      </w:r>
    </w:p>
    <w:p w14:paraId="5E39E66C">
      <w:pPr>
        <w:pStyle w:val="4"/>
        <w:pageBreakBefore w:val="0"/>
        <w:widowControl w:val="0"/>
        <w:numPr>
          <w:ilvl w:val="0"/>
          <w:numId w:val="2"/>
        </w:numPr>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0" w:name="_Toc22877"/>
      <w:bookmarkStart w:id="61" w:name="_Toc31376"/>
      <w:r>
        <w:rPr>
          <w:rFonts w:hint="eastAsia" w:ascii="宋体" w:hAnsi="宋体" w:eastAsia="宋体" w:cs="宋体"/>
          <w:color w:val="auto"/>
          <w:sz w:val="21"/>
          <w:szCs w:val="21"/>
          <w:highlight w:val="none"/>
        </w:rPr>
        <w:t>联合体要求</w:t>
      </w:r>
      <w:bookmarkEnd w:id="60"/>
      <w:bookmarkEnd w:id="61"/>
    </w:p>
    <w:p w14:paraId="6B987D78">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本项目不接受联合体参与磋商</w:t>
      </w:r>
    </w:p>
    <w:p w14:paraId="647B9307">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2" w:name="_Toc4152"/>
      <w:bookmarkStart w:id="63" w:name="_Toc18940"/>
      <w:r>
        <w:rPr>
          <w:rFonts w:hint="eastAsia" w:ascii="宋体" w:hAnsi="宋体" w:eastAsia="宋体" w:cs="宋体"/>
          <w:color w:val="auto"/>
          <w:sz w:val="21"/>
          <w:szCs w:val="21"/>
          <w:highlight w:val="none"/>
        </w:rPr>
        <w:t>6. 质疑和投诉</w:t>
      </w:r>
      <w:bookmarkEnd w:id="62"/>
      <w:bookmarkEnd w:id="63"/>
      <w:r>
        <w:rPr>
          <w:rFonts w:hint="eastAsia" w:ascii="宋体" w:hAnsi="宋体" w:eastAsia="宋体" w:cs="宋体"/>
          <w:color w:val="auto"/>
          <w:sz w:val="21"/>
          <w:szCs w:val="21"/>
          <w:highlight w:val="none"/>
        </w:rPr>
        <w:tab/>
      </w:r>
    </w:p>
    <w:p w14:paraId="54577CEA">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bookmarkStart w:id="64" w:name="_Toc26087"/>
      <w:bookmarkStart w:id="65" w:name="_Toc8195"/>
      <w:r>
        <w:rPr>
          <w:rFonts w:hint="eastAsia" w:ascii="宋体" w:hAnsi="宋体" w:eastAsia="宋体" w:cs="宋体"/>
          <w:color w:val="auto"/>
          <w:szCs w:val="21"/>
          <w:highlight w:val="none"/>
          <w:u w:val="none"/>
        </w:rPr>
        <w:t>6.1供应对政府采购活动事项有疑问的，可以向采购人提出询问。</w:t>
      </w:r>
    </w:p>
    <w:p w14:paraId="2A7BED77">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采购代理机构应认真做好质疑处理工作。</w:t>
      </w:r>
    </w:p>
    <w:p w14:paraId="557AB552">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6.3供应商对采购代理机构的质疑答复不满意或者采购代理机构未在规定的时间内作出答复的，可以在答复期满后十五个工作日内向本级财政部门投诉。</w:t>
      </w:r>
    </w:p>
    <w:p w14:paraId="0D72815C">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52871FFC">
      <w:pPr>
        <w:pageBreakBefore w:val="0"/>
        <w:widowControl w:val="0"/>
        <w:tabs>
          <w:tab w:val="left" w:pos="2190"/>
        </w:tabs>
        <w:kinsoku/>
        <w:wordWrap/>
        <w:overflowPunct/>
        <w:topLinePunct w:val="0"/>
        <w:autoSpaceDE/>
        <w:autoSpaceDN/>
        <w:bidi w:val="0"/>
        <w:adjustRightInd/>
        <w:snapToGrid/>
        <w:spacing w:line="288" w:lineRule="auto"/>
        <w:ind w:firstLine="435"/>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6.5质疑联系</w:t>
      </w:r>
      <w:bookmarkEnd w:id="64"/>
      <w:bookmarkEnd w:id="65"/>
      <w:r>
        <w:rPr>
          <w:rFonts w:hint="eastAsia" w:ascii="宋体" w:hAnsi="宋体" w:eastAsia="宋体" w:cs="宋体"/>
          <w:color w:val="auto"/>
          <w:szCs w:val="21"/>
          <w:highlight w:val="none"/>
          <w:u w:val="none"/>
          <w:lang w:eastAsia="zh-CN"/>
        </w:rPr>
        <w:t>方式，详见磋商公告。</w:t>
      </w:r>
    </w:p>
    <w:p w14:paraId="5EA665CE">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6" w:name="_Toc6998"/>
      <w:bookmarkStart w:id="67" w:name="_Toc5032"/>
      <w:r>
        <w:rPr>
          <w:rFonts w:hint="eastAsia" w:ascii="宋体" w:hAnsi="宋体" w:eastAsia="宋体" w:cs="宋体"/>
          <w:color w:val="auto"/>
          <w:sz w:val="21"/>
          <w:szCs w:val="21"/>
          <w:highlight w:val="none"/>
        </w:rPr>
        <w:t>7. 转包与分包</w:t>
      </w:r>
      <w:bookmarkEnd w:id="66"/>
      <w:bookmarkEnd w:id="67"/>
    </w:p>
    <w:p w14:paraId="75729ACD">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7</w:t>
      </w:r>
      <w:r>
        <w:rPr>
          <w:rFonts w:hint="eastAsia" w:ascii="宋体" w:hAnsi="宋体" w:eastAsia="宋体" w:cs="宋体"/>
          <w:color w:val="auto"/>
          <w:kern w:val="0"/>
          <w:szCs w:val="21"/>
          <w:highlight w:val="none"/>
          <w:shd w:val="clear" w:color="auto" w:fill="FFFFFF"/>
        </w:rPr>
        <w:t>.1 本项目不允许转包。</w:t>
      </w:r>
    </w:p>
    <w:p w14:paraId="071181C9">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kern w:val="0"/>
          <w:szCs w:val="21"/>
          <w:highlight w:val="none"/>
          <w:shd w:val="clear" w:color="auto" w:fill="FFFFFF"/>
        </w:rPr>
        <w:t>7.2 本项目不可以分包。</w:t>
      </w:r>
    </w:p>
    <w:p w14:paraId="717ED65C">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7.3本项目不允许挂靠。</w:t>
      </w:r>
    </w:p>
    <w:p w14:paraId="00DA31D0">
      <w:pPr>
        <w:pageBreakBefore w:val="0"/>
        <w:widowControl w:val="0"/>
        <w:tabs>
          <w:tab w:val="left" w:pos="2190"/>
        </w:tabs>
        <w:kinsoku/>
        <w:wordWrap/>
        <w:overflowPunct/>
        <w:topLinePunct w:val="0"/>
        <w:autoSpaceDE/>
        <w:autoSpaceDN/>
        <w:bidi w:val="0"/>
        <w:adjustRightInd/>
        <w:snapToGrid/>
        <w:spacing w:line="288" w:lineRule="auto"/>
        <w:ind w:firstLine="420" w:firstLineChars="200"/>
        <w:textAlignment w:val="auto"/>
        <w:rPr>
          <w:rFonts w:hint="default" w:ascii="宋体" w:hAnsi="宋体" w:eastAsia="宋体" w:cs="宋体"/>
          <w:color w:val="auto"/>
          <w:kern w:val="0"/>
          <w:szCs w:val="21"/>
          <w:highlight w:val="none"/>
          <w:shd w:val="clear" w:color="auto" w:fill="FFFFFF"/>
          <w:lang w:val="en-US" w:eastAsia="zh-CN"/>
        </w:rPr>
      </w:pPr>
      <w:r>
        <w:rPr>
          <w:rFonts w:hint="eastAsia" w:ascii="宋体" w:hAnsi="宋体" w:eastAsia="宋体" w:cs="宋体"/>
          <w:color w:val="auto"/>
          <w:kern w:val="0"/>
          <w:szCs w:val="21"/>
          <w:highlight w:val="none"/>
          <w:shd w:val="clear" w:color="auto" w:fill="FFFFFF"/>
          <w:lang w:val="en-US" w:eastAsia="zh-CN"/>
        </w:rPr>
        <w:t>7.4如发现有以上行为，采购人有权终止合同，所有损失由成交供应商承担。</w:t>
      </w:r>
    </w:p>
    <w:p w14:paraId="2CC338D7">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68" w:name="_Toc3368"/>
      <w:bookmarkStart w:id="69" w:name="_Toc15097"/>
      <w:r>
        <w:rPr>
          <w:rFonts w:hint="eastAsia" w:ascii="宋体" w:hAnsi="宋体" w:eastAsia="宋体" w:cs="宋体"/>
          <w:color w:val="auto"/>
          <w:sz w:val="21"/>
          <w:szCs w:val="21"/>
          <w:highlight w:val="none"/>
        </w:rPr>
        <w:t>8. 特别说明</w:t>
      </w:r>
      <w:bookmarkEnd w:id="68"/>
      <w:bookmarkEnd w:id="69"/>
    </w:p>
    <w:p w14:paraId="63A46AF1">
      <w:pPr>
        <w:pageBreakBefore w:val="0"/>
        <w:widowControl w:val="0"/>
        <w:tabs>
          <w:tab w:val="left" w:pos="1635"/>
        </w:tabs>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8.1关联供应商不得参加同一合同项下政府采购活动，否则响应文件将被视为无效：</w:t>
      </w:r>
    </w:p>
    <w:p w14:paraId="436C5DD9">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（1）单位负责人为同一人或者存在直接控股、管理关系的，不得参加同一合同项下的政府采购活动。</w:t>
      </w:r>
    </w:p>
    <w:p w14:paraId="095CEE6D">
      <w:pPr>
        <w:pageBreakBefore w:val="0"/>
        <w:widowControl w:val="0"/>
        <w:tabs>
          <w:tab w:val="left" w:pos="1635"/>
        </w:tabs>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）为本采购项目提供整体设计、规范编制或者项目管理、监理、检测等服务的供应商，不得再参加本次采购活动。</w:t>
      </w:r>
    </w:p>
    <w:p w14:paraId="0F291C42">
      <w:pPr>
        <w:pStyle w:val="8"/>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5A1AD400">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0" w:name="_Toc29496"/>
      <w:bookmarkStart w:id="71" w:name="_Toc22498"/>
      <w:bookmarkStart w:id="72" w:name="_Toc2997"/>
      <w:bookmarkStart w:id="73" w:name="_Toc2062"/>
      <w:r>
        <w:rPr>
          <w:rFonts w:hint="eastAsia" w:ascii="宋体" w:hAnsi="宋体" w:eastAsia="宋体" w:cs="宋体"/>
          <w:b/>
          <w:bCs w:val="0"/>
          <w:color w:val="auto"/>
          <w:szCs w:val="28"/>
          <w:highlight w:val="none"/>
        </w:rPr>
        <w:t>二、磋商文件</w:t>
      </w:r>
      <w:bookmarkEnd w:id="70"/>
      <w:bookmarkEnd w:id="71"/>
      <w:bookmarkEnd w:id="72"/>
      <w:bookmarkEnd w:id="73"/>
    </w:p>
    <w:p w14:paraId="316C70EC">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lang w:val="pt-BR"/>
        </w:rPr>
      </w:pPr>
      <w:bookmarkStart w:id="74" w:name="_Toc18964"/>
      <w:bookmarkStart w:id="75" w:name="_Toc20057"/>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4"/>
      <w:bookmarkEnd w:id="75"/>
    </w:p>
    <w:p w14:paraId="3CC591F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14:paraId="31E1ECD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（2）供应商须知；</w:t>
      </w:r>
    </w:p>
    <w:p w14:paraId="17F0E54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（3）工程量清单</w:t>
      </w:r>
      <w:r>
        <w:rPr>
          <w:rFonts w:hint="eastAsia" w:ascii="宋体" w:hAnsi="宋体" w:eastAsia="宋体" w:cs="宋体"/>
          <w:bCs/>
          <w:color w:val="auto"/>
          <w:szCs w:val="21"/>
          <w:highlight w:val="none"/>
        </w:rPr>
        <w:t>；</w:t>
      </w:r>
    </w:p>
    <w:p w14:paraId="41E670C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（4）评审办法；</w:t>
      </w:r>
    </w:p>
    <w:p w14:paraId="2F52C124">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（5）采购合同（合同主要条款及格式）；</w:t>
      </w:r>
    </w:p>
    <w:p w14:paraId="2E42316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（6）响应文件（格式）</w:t>
      </w:r>
      <w:r>
        <w:rPr>
          <w:rFonts w:hint="eastAsia" w:ascii="宋体" w:hAnsi="宋体" w:eastAsia="宋体" w:cs="宋体"/>
          <w:color w:val="auto"/>
          <w:szCs w:val="21"/>
          <w:highlight w:val="none"/>
          <w:lang w:eastAsia="zh-CN"/>
        </w:rPr>
        <w:t>；</w:t>
      </w:r>
    </w:p>
    <w:p w14:paraId="1FB22C29">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bookmarkStart w:id="76" w:name="_Toc9103"/>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图纸。</w:t>
      </w:r>
    </w:p>
    <w:p w14:paraId="6DC15E68">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77" w:name="_Toc17932"/>
      <w:r>
        <w:rPr>
          <w:rFonts w:hint="eastAsia" w:ascii="宋体" w:hAnsi="宋体" w:eastAsia="宋体" w:cs="宋体"/>
          <w:color w:val="auto"/>
          <w:sz w:val="21"/>
          <w:szCs w:val="21"/>
          <w:highlight w:val="none"/>
        </w:rPr>
        <w:t>10. 磋商文件的澄清与修改</w:t>
      </w:r>
      <w:bookmarkEnd w:id="76"/>
      <w:bookmarkEnd w:id="77"/>
    </w:p>
    <w:p w14:paraId="7FE766A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 提交首次响应文件截止之日前，采购代理机构可以对已发出的磋商文件进行必要澄清、答复、</w:t>
      </w:r>
    </w:p>
    <w:p w14:paraId="74010FEE">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前在本项目竞争性磋商公告发布的同一媒体上发布更正公告，不足</w:t>
      </w:r>
      <w:r>
        <w:rPr>
          <w:rFonts w:hint="eastAsia" w:ascii="宋体" w:hAnsi="宋体" w:eastAsia="宋体" w:cs="宋体"/>
          <w:b/>
          <w:bCs/>
          <w:color w:val="auto"/>
          <w:szCs w:val="21"/>
          <w:highlight w:val="none"/>
        </w:rPr>
        <w:t>五日</w:t>
      </w:r>
      <w:r>
        <w:rPr>
          <w:rFonts w:hint="eastAsia" w:ascii="宋体" w:hAnsi="宋体" w:eastAsia="宋体" w:cs="宋体"/>
          <w:color w:val="auto"/>
          <w:szCs w:val="21"/>
          <w:highlight w:val="none"/>
        </w:rPr>
        <w:t>的，应当顺延首次响应文件递交截止时间。</w:t>
      </w:r>
    </w:p>
    <w:p w14:paraId="230E5F9D">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10.2</w:t>
      </w:r>
      <w:r>
        <w:rPr>
          <w:rFonts w:hint="eastAsia" w:ascii="宋体" w:hAnsi="宋体" w:eastAsia="宋体" w:cs="宋体"/>
          <w:b/>
          <w:bCs/>
          <w:color w:val="auto"/>
          <w:szCs w:val="21"/>
          <w:highlight w:val="none"/>
        </w:rPr>
        <w:t>供应商应实时关注本项目信息公告发布媒体相关网站了解澄清、修改等与项目有关的内容，</w:t>
      </w:r>
    </w:p>
    <w:p w14:paraId="4587E693">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如因供应商未及时登录相关网站了解澄清、修改等与项目有关的内容，从而导致响应文件无效的，由供应商自行承担责任。</w:t>
      </w:r>
    </w:p>
    <w:p w14:paraId="3B2F8788">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10.3澄清或者修改的内容为磋商文件的组成部分。当澄清或者修改通知就同一内容的表述不一致</w:t>
      </w:r>
    </w:p>
    <w:p w14:paraId="0962A394">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时，以最后发出的文件为准。</w:t>
      </w:r>
    </w:p>
    <w:p w14:paraId="2DC9EB96">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磋商文件的澄清或者修改都应该通过本项目采购代理机构以法定形式发布，采购人非通过本</w:t>
      </w:r>
    </w:p>
    <w:p w14:paraId="039C2720">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机构，不得擅自澄清或者修改磋商文件。</w:t>
      </w:r>
    </w:p>
    <w:p w14:paraId="5267C6C7">
      <w:pPr>
        <w:pageBreakBefore w:val="0"/>
        <w:widowControl w:val="0"/>
        <w:kinsoku/>
        <w:wordWrap/>
        <w:overflowPunct/>
        <w:topLinePunct w:val="0"/>
        <w:autoSpaceDE/>
        <w:autoSpaceDN/>
        <w:bidi w:val="0"/>
        <w:adjustRightInd/>
        <w:snapToGrid/>
        <w:spacing w:line="288" w:lineRule="auto"/>
        <w:ind w:left="420" w:left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10.5采购单位可以视采购具体情况，延长响应文件截止时间和磋商时间，在本项目竞争性磋商公</w:t>
      </w:r>
    </w:p>
    <w:p w14:paraId="006A9A20">
      <w:pPr>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告发布的同一媒体上发布变更公告。</w:t>
      </w:r>
    </w:p>
    <w:p w14:paraId="1371A9E5">
      <w:pPr>
        <w:pStyle w:val="30"/>
        <w:pageBreakBefore w:val="0"/>
        <w:widowControl w:val="0"/>
        <w:kinsoku/>
        <w:wordWrap/>
        <w:overflowPunct/>
        <w:topLinePunct w:val="0"/>
        <w:bidi w:val="0"/>
        <w:spacing w:line="440" w:lineRule="exact"/>
        <w:textAlignment w:val="auto"/>
        <w:rPr>
          <w:rFonts w:hint="eastAsia" w:ascii="宋体" w:hAnsi="宋体" w:eastAsia="宋体" w:cs="宋体"/>
          <w:color w:val="auto"/>
          <w:highlight w:val="none"/>
        </w:rPr>
      </w:pPr>
    </w:p>
    <w:p w14:paraId="041CE780">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78" w:name="_Toc11316"/>
      <w:bookmarkStart w:id="79" w:name="_Toc23267"/>
      <w:bookmarkStart w:id="80" w:name="_Toc17820"/>
      <w:bookmarkStart w:id="81" w:name="_Toc20830"/>
      <w:r>
        <w:rPr>
          <w:rFonts w:hint="eastAsia" w:ascii="宋体" w:hAnsi="宋体" w:eastAsia="宋体" w:cs="宋体"/>
          <w:b/>
          <w:bCs w:val="0"/>
          <w:color w:val="auto"/>
          <w:szCs w:val="28"/>
          <w:highlight w:val="none"/>
        </w:rPr>
        <w:t>三、竞争性磋商响应文件的编制</w:t>
      </w:r>
      <w:bookmarkEnd w:id="78"/>
      <w:bookmarkEnd w:id="79"/>
      <w:bookmarkEnd w:id="80"/>
      <w:bookmarkEnd w:id="81"/>
    </w:p>
    <w:p w14:paraId="688BBD92">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b/>
          <w:color w:val="auto"/>
          <w:sz w:val="21"/>
          <w:szCs w:val="21"/>
          <w:highlight w:val="none"/>
          <w:lang w:val="en-US" w:eastAsia="zh-CN"/>
        </w:rPr>
      </w:pPr>
      <w:bookmarkStart w:id="82" w:name="_Toc19747"/>
      <w:r>
        <w:rPr>
          <w:rFonts w:hint="eastAsia" w:ascii="宋体" w:hAnsi="宋体" w:eastAsia="宋体" w:cs="宋体"/>
          <w:b/>
          <w:color w:val="auto"/>
          <w:sz w:val="21"/>
          <w:szCs w:val="21"/>
          <w:highlight w:val="none"/>
          <w:lang w:val="en-US" w:eastAsia="zh-CN"/>
        </w:rPr>
        <w:t>11.竞争性磋商响应文件编制基本要求</w:t>
      </w:r>
      <w:bookmarkEnd w:id="82"/>
    </w:p>
    <w:p w14:paraId="6DEBB348">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11.1 本项目实行电子响应，供应商应准备电子磋商响应文件：</w:t>
      </w:r>
    </w:p>
    <w:p w14:paraId="2FA18480">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14:paraId="17E23F75">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竞争性磋商响应文件（以下简称响应文件）的组成及要求</w:t>
      </w:r>
    </w:p>
    <w:p w14:paraId="4EA01547">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2.1</w:t>
      </w:r>
      <w:r>
        <w:rPr>
          <w:rFonts w:hint="eastAsia" w:ascii="宋体" w:hAnsi="宋体" w:eastAsia="宋体" w:cs="宋体"/>
          <w:b/>
          <w:bCs/>
          <w:color w:val="auto"/>
          <w:szCs w:val="21"/>
          <w:highlight w:val="none"/>
        </w:rPr>
        <w:t>响应文件组成【格式见第六章“响应文件（格式）”】</w:t>
      </w:r>
    </w:p>
    <w:p w14:paraId="0CFBEB22">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1.1</w:t>
      </w:r>
      <w:r>
        <w:rPr>
          <w:rFonts w:hint="eastAsia" w:ascii="宋体" w:hAnsi="宋体" w:eastAsia="宋体" w:cs="宋体"/>
          <w:b/>
          <w:bCs/>
          <w:color w:val="auto"/>
          <w:szCs w:val="21"/>
          <w:highlight w:val="none"/>
        </w:rPr>
        <w:t>资格性响应证明材料：</w:t>
      </w:r>
    </w:p>
    <w:p w14:paraId="435289ED">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（1）供应商相应的法定代表人、负责人、自然人身份证正反两面复印件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2C6FA8E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（委托代理时必须提供）</w:t>
      </w:r>
      <w:r>
        <w:rPr>
          <w:rFonts w:hint="eastAsia" w:ascii="宋体" w:hAnsi="宋体" w:eastAsia="宋体" w:cs="宋体"/>
          <w:b/>
          <w:bCs/>
          <w:color w:val="auto"/>
          <w:szCs w:val="21"/>
          <w:highlight w:val="none"/>
          <w:lang w:eastAsia="zh-CN"/>
        </w:rPr>
        <w:t>。</w:t>
      </w:r>
      <w:r>
        <w:rPr>
          <w:rFonts w:hint="eastAsia" w:ascii="宋体" w:hAnsi="宋体" w:eastAsia="宋体" w:cs="宋体"/>
          <w:color w:val="auto"/>
          <w:szCs w:val="21"/>
          <w:highlight w:val="none"/>
        </w:rPr>
        <w:t>除供应商为以下三种情形的：</w:t>
      </w:r>
    </w:p>
    <w:p w14:paraId="56D4A6A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①如供应商为截标时间前60日以内成立的公司，可以提供供应商与委托代理人签订的劳动合同复印件代替社保证明复印件；</w:t>
      </w:r>
    </w:p>
    <w:p w14:paraId="2B66138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②如供应商为事业单位，可以提供事业单位机构编制管理证复印件或事业单位机构为其发放工资的工资条复印件代替社保证明复印件；</w:t>
      </w:r>
    </w:p>
    <w:p w14:paraId="0E543BD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③如委托代理人为免缴纳社保人员，提供免缴纳社保的证明材料复印件及供应商与委托代理人签订的劳动合同复印件代替社保证明复印件。</w:t>
      </w:r>
    </w:p>
    <w:p w14:paraId="3ABEBE7C">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（委托代理时必须提供）</w:t>
      </w:r>
    </w:p>
    <w:p w14:paraId="10AC3B4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（3）供应商参加政府采购活动前3年内在经营活动中没有重大违法记录及有关信用信息的书面声明</w:t>
      </w:r>
      <w:r>
        <w:rPr>
          <w:rFonts w:hint="eastAsia" w:ascii="宋体" w:hAnsi="宋体" w:eastAsia="宋体" w:cs="宋体"/>
          <w:b/>
          <w:bCs/>
          <w:color w:val="auto"/>
          <w:szCs w:val="21"/>
          <w:highlight w:val="none"/>
        </w:rPr>
        <w:t>（必须提供）；</w:t>
      </w:r>
    </w:p>
    <w:p w14:paraId="7762333F">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供应商的法人或者其他组织营业执照等证明文件复印件</w:t>
      </w:r>
      <w:r>
        <w:rPr>
          <w:rFonts w:hint="eastAsia" w:ascii="宋体" w:hAnsi="宋体" w:eastAsia="宋体" w:cs="宋体"/>
          <w:b/>
          <w:bCs/>
          <w:color w:val="auto"/>
          <w:szCs w:val="21"/>
          <w:highlight w:val="none"/>
        </w:rPr>
        <w:t>（必须提供，自然人除外）；</w:t>
      </w:r>
    </w:p>
    <w:p w14:paraId="107EB0C8">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32FD3DB7">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73937800">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Cs w:val="21"/>
          <w:highlight w:val="none"/>
          <w:lang w:val="en-US" w:eastAsia="zh-CN"/>
        </w:rPr>
        <w:t>；</w:t>
      </w:r>
    </w:p>
    <w:p w14:paraId="4859DF07">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供应商有效的安全生产许可证书复印件</w:t>
      </w:r>
      <w:r>
        <w:rPr>
          <w:rFonts w:hint="eastAsia" w:ascii="宋体" w:hAnsi="宋体" w:eastAsia="宋体" w:cs="宋体"/>
          <w:b/>
          <w:bCs w:val="0"/>
          <w:color w:val="auto"/>
          <w:kern w:val="0"/>
          <w:szCs w:val="21"/>
          <w:highlight w:val="none"/>
          <w:lang w:val="en-US" w:eastAsia="zh-CN"/>
        </w:rPr>
        <w:t>（必须提供）；</w:t>
      </w:r>
    </w:p>
    <w:p w14:paraId="49C543D7">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可</w:t>
      </w:r>
      <w:r>
        <w:rPr>
          <w:rFonts w:hint="eastAsia" w:ascii="宋体" w:hAnsi="宋体" w:eastAsia="宋体" w:cs="宋体"/>
          <w:b/>
          <w:bCs/>
          <w:color w:val="auto"/>
          <w:szCs w:val="21"/>
          <w:highlight w:val="none"/>
          <w:lang w:eastAsia="zh-CN"/>
        </w:rPr>
        <w:t>以是磋商供应商</w:t>
      </w:r>
      <w:r>
        <w:rPr>
          <w:rFonts w:hint="eastAsia" w:ascii="宋体" w:hAnsi="宋体" w:eastAsia="宋体" w:cs="宋体"/>
          <w:b/>
          <w:bCs/>
          <w:color w:val="auto"/>
          <w:szCs w:val="21"/>
          <w:highlight w:val="none"/>
        </w:rPr>
        <w:t>自行编制也可</w:t>
      </w:r>
      <w:r>
        <w:rPr>
          <w:rFonts w:hint="eastAsia" w:ascii="宋体" w:hAnsi="宋体" w:eastAsia="宋体" w:cs="宋体"/>
          <w:b/>
          <w:bCs/>
          <w:color w:val="auto"/>
          <w:szCs w:val="21"/>
          <w:highlight w:val="none"/>
          <w:lang w:eastAsia="zh-CN"/>
        </w:rPr>
        <w:t>是</w:t>
      </w:r>
      <w:r>
        <w:rPr>
          <w:rFonts w:hint="eastAsia" w:ascii="宋体" w:hAnsi="宋体" w:eastAsia="宋体" w:cs="宋体"/>
          <w:b/>
          <w:bCs/>
          <w:color w:val="auto"/>
          <w:szCs w:val="21"/>
          <w:highlight w:val="none"/>
        </w:rPr>
        <w:t>通过</w:t>
      </w:r>
      <w:r>
        <w:rPr>
          <w:rFonts w:hint="eastAsia" w:ascii="宋体" w:hAnsi="宋体" w:eastAsia="宋体" w:cs="宋体"/>
          <w:b/>
          <w:bCs/>
          <w:color w:val="auto"/>
          <w:szCs w:val="21"/>
          <w:highlight w:val="none"/>
          <w:lang w:eastAsia="zh-CN"/>
        </w:rPr>
        <w:t>第三方</w:t>
      </w:r>
      <w:r>
        <w:rPr>
          <w:rFonts w:hint="eastAsia" w:ascii="宋体" w:hAnsi="宋体" w:eastAsia="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Cs w:val="21"/>
          <w:highlight w:val="none"/>
        </w:rPr>
        <w:t>；</w:t>
      </w:r>
    </w:p>
    <w:p w14:paraId="66862AD2">
      <w:pPr>
        <w:pageBreakBefore w:val="0"/>
        <w:widowControl w:val="0"/>
        <w:numPr>
          <w:ilvl w:val="0"/>
          <w:numId w:val="3"/>
        </w:numPr>
        <w:kinsoku/>
        <w:wordWrap/>
        <w:overflowPunct/>
        <w:topLinePunct w:val="0"/>
        <w:autoSpaceDE/>
        <w:autoSpaceDN/>
        <w:bidi w:val="0"/>
        <w:adjustRightInd/>
        <w:snapToGrid/>
        <w:spacing w:line="288" w:lineRule="auto"/>
        <w:ind w:left="0" w:leftChars="0" w:firstLine="42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供应商近半年内任意一个月或任一季度依法缴纳税收的证明材料</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发票(税收完税证明)或企业所得税完税证明或税务部门出具的免税证明</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复印件</w:t>
      </w:r>
      <w:r>
        <w:rPr>
          <w:rFonts w:hint="eastAsia" w:ascii="宋体" w:hAnsi="宋体" w:eastAsia="宋体" w:cs="宋体"/>
          <w:b/>
          <w:bCs/>
          <w:color w:val="auto"/>
          <w:szCs w:val="21"/>
          <w:highlight w:val="none"/>
        </w:rPr>
        <w:t>（必须提供）。</w:t>
      </w:r>
    </w:p>
    <w:p w14:paraId="1B07EADC">
      <w:pPr>
        <w:pStyle w:val="26"/>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color w:val="auto"/>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1.2</w:t>
      </w:r>
      <w:r>
        <w:rPr>
          <w:rFonts w:hint="eastAsia" w:ascii="宋体" w:hAnsi="宋体" w:eastAsia="宋体" w:cs="宋体"/>
          <w:b/>
          <w:bCs/>
          <w:color w:val="auto"/>
          <w:szCs w:val="21"/>
          <w:highlight w:val="none"/>
        </w:rPr>
        <w:t>符合性响应证明材料：</w:t>
      </w:r>
    </w:p>
    <w:p w14:paraId="7ADB258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bookmarkStart w:id="83" w:name="_Toc16312"/>
      <w:bookmarkStart w:id="84" w:name="_Toc28932"/>
      <w:bookmarkStart w:id="85" w:name="_Toc2809"/>
      <w:r>
        <w:rPr>
          <w:rFonts w:hint="eastAsia" w:ascii="宋体" w:hAnsi="宋体" w:eastAsia="宋体" w:cs="宋体"/>
          <w:color w:val="auto"/>
          <w:szCs w:val="21"/>
          <w:highlight w:val="none"/>
          <w:lang w:val="en-US"/>
        </w:rPr>
        <w:t>（1）响应函（格式见附件）</w:t>
      </w:r>
      <w:r>
        <w:rPr>
          <w:rFonts w:hint="eastAsia" w:ascii="宋体" w:hAnsi="宋体" w:eastAsia="宋体" w:cs="宋体"/>
          <w:b/>
          <w:bCs/>
          <w:color w:val="auto"/>
          <w:szCs w:val="21"/>
          <w:highlight w:val="none"/>
          <w:lang w:val="en-US"/>
        </w:rPr>
        <w:t>（必须提供）</w:t>
      </w:r>
      <w:bookmarkEnd w:id="83"/>
      <w:r>
        <w:rPr>
          <w:rFonts w:hint="eastAsia" w:ascii="宋体" w:hAnsi="宋体" w:eastAsia="宋体" w:cs="宋体"/>
          <w:color w:val="auto"/>
          <w:szCs w:val="21"/>
          <w:highlight w:val="none"/>
          <w:lang w:val="en-US" w:eastAsia="zh-CN"/>
        </w:rPr>
        <w:t>；</w:t>
      </w:r>
      <w:bookmarkEnd w:id="84"/>
      <w:bookmarkEnd w:id="85"/>
    </w:p>
    <w:p w14:paraId="3721DE9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工程报价汇总表</w:t>
      </w:r>
      <w:r>
        <w:rPr>
          <w:rFonts w:hint="eastAsia" w:ascii="宋体" w:hAnsi="宋体" w:eastAsia="宋体" w:cs="宋体"/>
          <w:color w:val="auto"/>
          <w:szCs w:val="21"/>
          <w:highlight w:val="none"/>
        </w:rPr>
        <w:t>（格式见附件）</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74F0B6AA">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已标价工程量清单</w:t>
      </w:r>
      <w:r>
        <w:rPr>
          <w:rFonts w:hint="eastAsia" w:ascii="宋体" w:hAnsi="宋体" w:eastAsia="宋体" w:cs="宋体"/>
          <w:b/>
          <w:bCs w:val="0"/>
          <w:color w:val="auto"/>
          <w:kern w:val="0"/>
          <w:szCs w:val="21"/>
          <w:highlight w:val="none"/>
        </w:rPr>
        <w:t>（必须提供）</w:t>
      </w:r>
      <w:r>
        <w:rPr>
          <w:rFonts w:hint="eastAsia" w:ascii="宋体" w:hAnsi="宋体" w:eastAsia="宋体" w:cs="宋体"/>
          <w:b w:val="0"/>
          <w:bCs/>
          <w:color w:val="auto"/>
          <w:kern w:val="0"/>
          <w:szCs w:val="21"/>
          <w:highlight w:val="none"/>
          <w:lang w:eastAsia="zh-CN"/>
        </w:rPr>
        <w:t>；</w:t>
      </w:r>
    </w:p>
    <w:p w14:paraId="1D7D6B9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）拟投入本工程主要施工管理人员表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必须提供)</w:t>
      </w:r>
      <w:r>
        <w:rPr>
          <w:rFonts w:hint="eastAsia" w:ascii="宋体" w:hAnsi="宋体" w:eastAsia="宋体" w:cs="宋体"/>
          <w:color w:val="auto"/>
          <w:szCs w:val="21"/>
          <w:highlight w:val="none"/>
        </w:rPr>
        <w:t>；</w:t>
      </w:r>
    </w:p>
    <w:p w14:paraId="524EE7F3">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color w:val="auto"/>
          <w:szCs w:val="21"/>
          <w:highlight w:val="none"/>
        </w:rPr>
        <w:t>。</w:t>
      </w:r>
    </w:p>
    <w:p w14:paraId="1D85F81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担任本工程的项目经理简历表（应附相关证书、身份证复印件）</w:t>
      </w:r>
      <w:r>
        <w:rPr>
          <w:rFonts w:hint="eastAsia" w:ascii="宋体" w:hAnsi="宋体" w:eastAsia="宋体" w:cs="宋体"/>
          <w:b/>
          <w:bCs/>
          <w:color w:val="auto"/>
          <w:szCs w:val="21"/>
          <w:highlight w:val="none"/>
        </w:rPr>
        <w:t>（必须提供）</w:t>
      </w:r>
      <w:r>
        <w:rPr>
          <w:rFonts w:hint="eastAsia" w:ascii="宋体" w:hAnsi="宋体" w:eastAsia="宋体" w:cs="宋体"/>
          <w:b w:val="0"/>
          <w:bCs w:val="0"/>
          <w:color w:val="auto"/>
          <w:szCs w:val="21"/>
          <w:highlight w:val="none"/>
        </w:rPr>
        <w:t>；</w:t>
      </w:r>
    </w:p>
    <w:p w14:paraId="7F57B3FA">
      <w:pPr>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14:paraId="39ABDCC1">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lang w:val="en-US" w:eastAsia="zh-CN"/>
        </w:rPr>
        <w:t>工</w:t>
      </w:r>
      <w:r>
        <w:rPr>
          <w:rFonts w:hint="eastAsia" w:ascii="宋体" w:hAnsi="宋体" w:eastAsia="宋体" w:cs="宋体"/>
          <w:bCs/>
          <w:color w:val="auto"/>
          <w:kern w:val="0"/>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23F68B4E">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Cs/>
          <w:color w:val="auto"/>
          <w:kern w:val="0"/>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Cs w:val="21"/>
          <w:highlight w:val="none"/>
          <w:lang w:eastAsia="zh-CN"/>
        </w:rPr>
        <w:t>；</w:t>
      </w:r>
    </w:p>
    <w:p w14:paraId="120DD643">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9</w:t>
      </w:r>
      <w:r>
        <w:rPr>
          <w:rFonts w:hint="eastAsia" w:ascii="宋体" w:hAnsi="宋体" w:eastAsia="宋体" w:cs="宋体"/>
          <w:bCs/>
          <w:color w:val="auto"/>
          <w:kern w:val="0"/>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Cs w:val="21"/>
          <w:highlight w:val="none"/>
          <w:lang w:eastAsia="zh-CN"/>
        </w:rPr>
        <w:t>。</w:t>
      </w:r>
    </w:p>
    <w:p w14:paraId="3817036E">
      <w:pPr>
        <w:pStyle w:val="26"/>
        <w:pageBreakBefore w:val="0"/>
        <w:widowControl w:val="0"/>
        <w:kinsoku/>
        <w:wordWrap/>
        <w:overflowPunct/>
        <w:topLinePunct w:val="0"/>
        <w:autoSpaceDE/>
        <w:autoSpaceDN/>
        <w:bidi w:val="0"/>
        <w:adjustRightInd/>
        <w:snapToGrid/>
        <w:spacing w:line="288" w:lineRule="auto"/>
        <w:ind w:left="0" w:leftChars="0" w:firstLine="422"/>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11.</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1.3</w:t>
      </w:r>
      <w:r>
        <w:rPr>
          <w:rFonts w:hint="eastAsia" w:ascii="宋体" w:hAnsi="宋体" w:eastAsia="宋体" w:cs="宋体"/>
          <w:b/>
          <w:bCs/>
          <w:color w:val="auto"/>
          <w:szCs w:val="21"/>
          <w:highlight w:val="none"/>
        </w:rPr>
        <w:t>其他有效证明材料</w:t>
      </w:r>
    </w:p>
    <w:p w14:paraId="7AADAE1C">
      <w:pPr>
        <w:pageBreakBefore w:val="0"/>
        <w:widowControl w:val="0"/>
        <w:numPr>
          <w:ilvl w:val="0"/>
          <w:numId w:val="4"/>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eastAsia="zh-CN"/>
        </w:rPr>
        <w:t>年1月1日</w:t>
      </w:r>
      <w:r>
        <w:rPr>
          <w:rFonts w:hint="eastAsia" w:ascii="宋体" w:hAnsi="宋体" w:eastAsia="宋体" w:cs="宋体"/>
          <w:color w:val="auto"/>
          <w:szCs w:val="21"/>
          <w:highlight w:val="none"/>
          <w:lang w:eastAsia="zh-CN"/>
        </w:rPr>
        <w:t>以来具有类似工程业绩（无不良记录，以中标（成交）通知书、签订的合同</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eastAsia="zh-CN"/>
        </w:rPr>
        <w:t>竣工证明文件为准，并能清晰反映项目的名称、采购内容、采购金额、采购时间）</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p>
    <w:p w14:paraId="715288EF">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（2）供应商</w:t>
      </w:r>
      <w:r>
        <w:rPr>
          <w:rFonts w:hint="eastAsia" w:ascii="宋体" w:hAnsi="宋体" w:cs="宋体"/>
          <w:color w:val="auto"/>
          <w:szCs w:val="21"/>
          <w:highlight w:val="none"/>
          <w:lang w:val="en-US" w:eastAsia="zh-CN"/>
        </w:rPr>
        <w:t>2023年1月1日</w:t>
      </w:r>
      <w:r>
        <w:rPr>
          <w:rFonts w:hint="eastAsia" w:ascii="宋体" w:hAnsi="宋体" w:eastAsia="宋体" w:cs="宋体"/>
          <w:color w:val="auto"/>
          <w:szCs w:val="21"/>
          <w:highlight w:val="none"/>
          <w:lang w:val="en-US" w:eastAsia="zh-CN"/>
        </w:rPr>
        <w:t>以来获奖情况</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en-US" w:eastAsia="zh-CN"/>
        </w:rPr>
        <w:t>如有，请提供</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w:t>
      </w:r>
    </w:p>
    <w:p w14:paraId="70B22297">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供应商可结合本项目的评审办法视自身情况自行提交其它相关证明材料。</w:t>
      </w:r>
    </w:p>
    <w:p w14:paraId="4FE436D7">
      <w:pPr>
        <w:pageBreakBefore w:val="0"/>
        <w:widowControl w:val="0"/>
        <w:kinsoku/>
        <w:wordWrap/>
        <w:overflowPunct/>
        <w:topLinePunct w:val="0"/>
        <w:autoSpaceDE/>
        <w:autoSpaceDN/>
        <w:bidi w:val="0"/>
        <w:adjustRightInd/>
        <w:snapToGrid/>
        <w:spacing w:line="288" w:lineRule="auto"/>
        <w:ind w:firstLine="42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供应商</w:t>
      </w:r>
      <w:r>
        <w:rPr>
          <w:rFonts w:hint="eastAsia" w:ascii="宋体" w:hAnsi="宋体" w:eastAsia="宋体" w:cs="宋体"/>
          <w:b/>
          <w:bCs/>
          <w:color w:val="auto"/>
          <w:highlight w:val="none"/>
        </w:rPr>
        <w:t>提供的以上相关证明材料属于“必须提供”的文件应加盖</w:t>
      </w:r>
      <w:r>
        <w:rPr>
          <w:rFonts w:hint="eastAsia" w:ascii="宋体" w:hAnsi="宋体" w:eastAsia="宋体" w:cs="宋体"/>
          <w:b/>
          <w:bCs/>
          <w:color w:val="auto"/>
          <w:highlight w:val="none"/>
          <w:lang w:eastAsia="zh-CN"/>
        </w:rPr>
        <w:t>磋商供应商数字证书（CA认证）</w:t>
      </w:r>
      <w:r>
        <w:rPr>
          <w:rFonts w:hint="eastAsia" w:ascii="宋体" w:hAnsi="宋体" w:eastAsia="宋体" w:cs="宋体"/>
          <w:b/>
          <w:bCs/>
          <w:color w:val="auto"/>
          <w:highlight w:val="none"/>
        </w:rPr>
        <w:t>签章，否则</w:t>
      </w:r>
      <w:r>
        <w:rPr>
          <w:rFonts w:hint="eastAsia" w:ascii="宋体" w:hAnsi="宋体" w:eastAsia="宋体" w:cs="宋体"/>
          <w:b/>
          <w:bCs/>
          <w:color w:val="auto"/>
          <w:highlight w:val="none"/>
          <w:lang w:val="en-US" w:eastAsia="zh-CN"/>
        </w:rPr>
        <w:t>响应</w:t>
      </w:r>
      <w:r>
        <w:rPr>
          <w:rFonts w:hint="eastAsia" w:ascii="宋体" w:hAnsi="宋体" w:eastAsia="宋体" w:cs="宋体"/>
          <w:b/>
          <w:bCs/>
          <w:color w:val="auto"/>
          <w:highlight w:val="none"/>
        </w:rPr>
        <w:t>无效。</w:t>
      </w:r>
    </w:p>
    <w:p w14:paraId="56C29836">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供应商应按竞争性磋商文件第六章“响应文件（格式）”编制响应文件。</w:t>
      </w:r>
    </w:p>
    <w:p w14:paraId="5CA6C434">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特别说明：</w:t>
      </w:r>
    </w:p>
    <w:p w14:paraId="76464282">
      <w:pPr>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（1）响</w:t>
      </w:r>
      <w:r>
        <w:rPr>
          <w:rFonts w:hint="eastAsia" w:ascii="宋体" w:hAnsi="宋体" w:eastAsia="宋体" w:cs="宋体"/>
          <w:b/>
          <w:color w:val="auto"/>
          <w:szCs w:val="21"/>
          <w:highlight w:val="none"/>
        </w:rPr>
        <w:t>应文件（电子响应文件），其中电子响应文件中所须加盖公章部分均采用</w:t>
      </w:r>
      <w:r>
        <w:rPr>
          <w:rFonts w:hint="eastAsia" w:ascii="宋体" w:hAnsi="宋体" w:eastAsia="宋体" w:cs="宋体"/>
          <w:b/>
          <w:color w:val="auto"/>
          <w:szCs w:val="21"/>
          <w:highlight w:val="none"/>
          <w:lang w:eastAsia="zh-CN"/>
        </w:rPr>
        <w:t>数字证书（CA认证）</w:t>
      </w:r>
      <w:r>
        <w:rPr>
          <w:rFonts w:hint="eastAsia" w:ascii="宋体" w:hAnsi="宋体" w:eastAsia="宋体" w:cs="宋体"/>
          <w:b/>
          <w:color w:val="auto"/>
          <w:szCs w:val="21"/>
          <w:highlight w:val="none"/>
        </w:rPr>
        <w:t>签章。若磋商文件中有专门标注的某关联点，并要求供应商在电子</w:t>
      </w:r>
      <w:r>
        <w:rPr>
          <w:rFonts w:hint="eastAsia" w:ascii="宋体" w:hAnsi="宋体" w:eastAsia="宋体" w:cs="宋体"/>
          <w:b/>
          <w:color w:val="auto"/>
          <w:szCs w:val="21"/>
          <w:highlight w:val="none"/>
          <w:lang w:eastAsia="zh-CN"/>
        </w:rPr>
        <w:t>响应</w:t>
      </w:r>
      <w:r>
        <w:rPr>
          <w:rFonts w:hint="eastAsia" w:ascii="宋体" w:hAnsi="宋体" w:eastAsia="宋体" w:cs="宋体"/>
          <w:b/>
          <w:color w:val="auto"/>
          <w:szCs w:val="21"/>
          <w:highlight w:val="none"/>
        </w:rPr>
        <w:t>系统中作出磋商响应的，如供应商未对关联点进行响应或者在响应文件其它内容进行描述，造成电子评审不能查询的责任由供应商自行承担。</w:t>
      </w:r>
    </w:p>
    <w:p w14:paraId="6154B45B">
      <w:pPr>
        <w:pageBreakBefore w:val="0"/>
        <w:widowControl w:val="0"/>
        <w:numPr>
          <w:ilvl w:val="0"/>
          <w:numId w:val="5"/>
        </w:numPr>
        <w:kinsoku/>
        <w:wordWrap/>
        <w:overflowPunct/>
        <w:topLinePunct w:val="0"/>
        <w:autoSpaceDE/>
        <w:autoSpaceDN/>
        <w:bidi w:val="0"/>
        <w:adjustRightInd/>
        <w:snapToGrid/>
        <w:spacing w:line="288" w:lineRule="auto"/>
        <w:ind w:left="0" w:lef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lang w:eastAsia="zh-CN"/>
        </w:rPr>
        <w:t>磋商文件</w:t>
      </w:r>
      <w:r>
        <w:rPr>
          <w:rFonts w:hint="eastAsia" w:ascii="宋体" w:hAnsi="宋体" w:eastAsia="宋体" w:cs="宋体"/>
          <w:b/>
          <w:bCs/>
          <w:color w:val="auto"/>
          <w:szCs w:val="21"/>
          <w:highlight w:val="none"/>
        </w:rPr>
        <w:t>要求法定代表人（负责人）或委托代理人签字的部分必须签字然后扫描或者拍照做成 pdf 格式上传</w:t>
      </w:r>
      <w:r>
        <w:rPr>
          <w:rFonts w:hint="eastAsia" w:ascii="宋体" w:hAnsi="宋体" w:eastAsia="宋体" w:cs="宋体"/>
          <w:b/>
          <w:bCs/>
          <w:color w:val="auto"/>
          <w:szCs w:val="21"/>
          <w:highlight w:val="none"/>
          <w:lang w:eastAsia="zh-CN"/>
        </w:rPr>
        <w:t>（或加盖个人</w:t>
      </w:r>
      <w:r>
        <w:rPr>
          <w:rFonts w:hint="eastAsia" w:ascii="宋体" w:hAnsi="宋体" w:eastAsia="宋体" w:cs="宋体"/>
          <w:b/>
          <w:bCs/>
          <w:color w:val="auto"/>
          <w:szCs w:val="21"/>
          <w:highlight w:val="none"/>
          <w:lang w:val="en-US" w:eastAsia="zh-CN"/>
        </w:rPr>
        <w:t>数字证书（CA认证）签章</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，无签字的视为</w:t>
      </w:r>
      <w:r>
        <w:rPr>
          <w:rFonts w:hint="eastAsia" w:ascii="宋体" w:hAnsi="宋体" w:eastAsia="宋体" w:cs="宋体"/>
          <w:b/>
          <w:bCs/>
          <w:color w:val="auto"/>
          <w:szCs w:val="21"/>
          <w:highlight w:val="none"/>
          <w:lang w:val="en-US" w:eastAsia="zh-CN"/>
        </w:rPr>
        <w:t>响应</w:t>
      </w:r>
      <w:r>
        <w:rPr>
          <w:rFonts w:hint="eastAsia" w:ascii="宋体" w:hAnsi="宋体" w:eastAsia="宋体" w:cs="宋体"/>
          <w:b/>
          <w:bCs/>
          <w:color w:val="auto"/>
          <w:szCs w:val="21"/>
          <w:highlight w:val="none"/>
        </w:rPr>
        <w:t>无效。</w:t>
      </w:r>
    </w:p>
    <w:p w14:paraId="0B4BCFFB">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6" w:name="_Toc2180"/>
      <w:bookmarkStart w:id="87" w:name="_Toc13660"/>
      <w:r>
        <w:rPr>
          <w:rFonts w:hint="eastAsia" w:ascii="宋体" w:hAnsi="宋体" w:eastAsia="宋体" w:cs="宋体"/>
          <w:color w:val="auto"/>
          <w:sz w:val="21"/>
          <w:szCs w:val="21"/>
          <w:highlight w:val="none"/>
        </w:rPr>
        <w:t>12. 响应文件的语言及计量</w:t>
      </w:r>
      <w:bookmarkEnd w:id="86"/>
      <w:bookmarkEnd w:id="87"/>
    </w:p>
    <w:p w14:paraId="38C2964B">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5F32A3E0">
      <w:pPr>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 磋商计量单位，磋商文件已有明确规定的，使用磋商文件规定的计量单位；磋商文件没有规定的，应采用中华人民共和国法定计量单位（货币单位：人民币元），否则视同未响应。</w:t>
      </w:r>
    </w:p>
    <w:p w14:paraId="1964DEDA">
      <w:pPr>
        <w:pStyle w:val="4"/>
        <w:pageBreakBefore w:val="0"/>
        <w:widowControl w:val="0"/>
        <w:kinsoku/>
        <w:wordWrap/>
        <w:overflowPunct/>
        <w:topLinePunct w:val="0"/>
        <w:autoSpaceDE/>
        <w:autoSpaceDN/>
        <w:bidi w:val="0"/>
        <w:adjustRightInd/>
        <w:snapToGrid/>
        <w:spacing w:before="0" w:after="0" w:line="288" w:lineRule="auto"/>
        <w:ind w:firstLine="422" w:firstLineChars="200"/>
        <w:textAlignment w:val="auto"/>
        <w:rPr>
          <w:rFonts w:hint="eastAsia" w:ascii="宋体" w:hAnsi="宋体" w:eastAsia="宋体" w:cs="宋体"/>
          <w:color w:val="auto"/>
          <w:sz w:val="21"/>
          <w:szCs w:val="21"/>
          <w:highlight w:val="none"/>
        </w:rPr>
      </w:pPr>
      <w:bookmarkStart w:id="88" w:name="_Toc10838"/>
      <w:bookmarkStart w:id="89" w:name="_Toc3058"/>
      <w:r>
        <w:rPr>
          <w:rFonts w:hint="eastAsia" w:ascii="宋体" w:hAnsi="宋体" w:eastAsia="宋体" w:cs="宋体"/>
          <w:color w:val="auto"/>
          <w:sz w:val="21"/>
          <w:szCs w:val="21"/>
          <w:highlight w:val="none"/>
        </w:rPr>
        <w:t>13. 磋商报价及采购预算金额</w:t>
      </w:r>
      <w:bookmarkEnd w:id="88"/>
      <w:bookmarkEnd w:id="89"/>
    </w:p>
    <w:p w14:paraId="5789A398">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14:paraId="7B32A17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14:paraId="4120810D">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14:paraId="7C82D9B6">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13.4、供应商按照采购人提供的工程量清单填写本合同各工程子目的单价、合价和总额价。磋商小组将按照下述规定对磋商报价进行算术性错误修正及其他错误修正。</w:t>
      </w:r>
    </w:p>
    <w:p w14:paraId="5B11DCF5">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13.4.1磋商报价有算术错误的，磋商小组按以下原则对磋商报价进行修正，修正的价格经供应商书面确认后具有约束力。供应商不接受修正价格的，磋商小组应否决其投标。</w:t>
      </w:r>
    </w:p>
    <w:p w14:paraId="4FC6A5F3">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(1)响应文件中的大写金额与小写金额不一致的，以大写金额为准;</w:t>
      </w:r>
    </w:p>
    <w:p w14:paraId="7CA7FA54">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）总价金额与依据单价计算出的结果不一致的，以单价金额为准修正总价，但单价金额小数点有明显错误的除外;</w:t>
      </w:r>
    </w:p>
    <w:p w14:paraId="3A4D0B28">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eastAsia="zh-CN"/>
        </w:rPr>
        <w:t>）当单价与数量相乘不等于合价时，以单价计算为准，如果单价有明显的小数点位置差错，应以标出的合价为准，同时对单价予以修正;</w:t>
      </w:r>
    </w:p>
    <w:p w14:paraId="7428BB72">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(4)当各子目的合价累计不等于总价时，应以各子目合价累计数为准，修正总价。</w:t>
      </w:r>
    </w:p>
    <w:p w14:paraId="4D657307">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13.4.2工程量清单中的磋商报价有其他错误的，磋商小组按以下原则对磋商报价进行修正，修正的价格经供应商书面确认后具有约束力。供应商不接受修正价格的，磋商小组应否决其投标。</w:t>
      </w:r>
    </w:p>
    <w:p w14:paraId="259495E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在采购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335CD639">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(2)在采购人给定的工程量清单中多报了某个工程子目的单价、合价或总额价，或所报单价、合价或总额价增加了报价范围，则从磋商报价中扣除多报的工程子目报价或工程子目报价中增加了报价范围的部分报价。</w:t>
      </w:r>
    </w:p>
    <w:p w14:paraId="74853331">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(3)当单价与数量的乘积与合价(金额)虽然一致，但供应商修改了该子目的工程数量，则其合价按采购人给定的工程数量乘以供应商所报单价予以修正。</w:t>
      </w:r>
    </w:p>
    <w:p w14:paraId="3C2CC074">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14:paraId="7389B970">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14:paraId="506323DB">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14:paraId="57FEA16A">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14:paraId="473F3DC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14:paraId="1A516DCF">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14:paraId="7765071C">
      <w:pPr>
        <w:keepNext w:val="0"/>
        <w:keepLines w:val="0"/>
        <w:pageBreakBefore w:val="0"/>
        <w:widowControl w:val="0"/>
        <w:kinsoku/>
        <w:wordWrap/>
        <w:overflowPunct/>
        <w:topLinePunct w:val="0"/>
        <w:autoSpaceDE/>
        <w:autoSpaceDN/>
        <w:bidi w:val="0"/>
        <w:adjustRightInd/>
        <w:snapToGrid/>
        <w:spacing w:line="288" w:lineRule="auto"/>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14:paraId="10784B8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供应商应在规定时间内在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系统上提交最后报价，超出</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设定的最后报价时限或其最后报价超出采购预算导致已通过评审的响应文件无效的，按供应商在提交响应文件截止时间后撤回响应文件处理。</w:t>
      </w:r>
    </w:p>
    <w:p w14:paraId="471E11EA">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0" w:name="_Toc30554"/>
      <w:bookmarkStart w:id="91" w:name="_Toc26881"/>
      <w:r>
        <w:rPr>
          <w:rFonts w:hint="eastAsia" w:ascii="宋体" w:hAnsi="宋体" w:eastAsia="宋体" w:cs="宋体"/>
          <w:color w:val="auto"/>
          <w:sz w:val="21"/>
          <w:szCs w:val="21"/>
          <w:highlight w:val="none"/>
        </w:rPr>
        <w:t>14. 响应文件有效期</w:t>
      </w:r>
      <w:bookmarkEnd w:id="90"/>
      <w:bookmarkEnd w:id="91"/>
    </w:p>
    <w:p w14:paraId="7D5E044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响应文件有效期：响应文件递交截止时间之日起90天，有效期不足的响应文件将被拒绝。</w:t>
      </w:r>
    </w:p>
    <w:p w14:paraId="10EF34B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出现特殊情况下，需要延长响应文件有效期的，采购代理机构</w:t>
      </w:r>
      <w:r>
        <w:rPr>
          <w:rFonts w:hint="eastAsia" w:ascii="宋体" w:hAnsi="宋体" w:eastAsia="宋体" w:cs="宋体"/>
          <w:color w:val="auto"/>
          <w:szCs w:val="21"/>
          <w:highlight w:val="none"/>
          <w:lang w:eastAsia="zh-CN"/>
        </w:rPr>
        <w:t>书面</w:t>
      </w:r>
      <w:r>
        <w:rPr>
          <w:rFonts w:hint="eastAsia" w:ascii="宋体" w:hAnsi="宋体" w:eastAsia="宋体" w:cs="宋体"/>
          <w:color w:val="auto"/>
          <w:szCs w:val="21"/>
          <w:highlight w:val="none"/>
        </w:rPr>
        <w:t>通知供应商延长响应文件有效期。供应商同意延长的，但不能修改响应文件。供应商拒绝延长的，其响应文件无效。</w:t>
      </w:r>
    </w:p>
    <w:p w14:paraId="47CEB55E">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2" w:name="_Toc22602"/>
      <w:bookmarkStart w:id="93" w:name="_Toc20698"/>
      <w:r>
        <w:rPr>
          <w:rFonts w:hint="eastAsia" w:ascii="宋体" w:hAnsi="宋体" w:eastAsia="宋体" w:cs="宋体"/>
          <w:color w:val="auto"/>
          <w:sz w:val="21"/>
          <w:szCs w:val="21"/>
          <w:highlight w:val="none"/>
        </w:rPr>
        <w:t>15. 保证金</w:t>
      </w:r>
      <w:bookmarkEnd w:id="92"/>
      <w:bookmarkEnd w:id="93"/>
    </w:p>
    <w:p w14:paraId="50343DC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本项目无需缴纳磋商保证金。</w:t>
      </w:r>
    </w:p>
    <w:p w14:paraId="2A12A80C">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4" w:name="_Toc387"/>
      <w:bookmarkStart w:id="95"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4"/>
      <w:r>
        <w:rPr>
          <w:rFonts w:hint="eastAsia" w:ascii="宋体" w:hAnsi="宋体" w:eastAsia="宋体" w:cs="宋体"/>
          <w:color w:val="auto"/>
          <w:sz w:val="21"/>
          <w:szCs w:val="21"/>
          <w:highlight w:val="none"/>
          <w:lang w:eastAsia="zh-CN"/>
        </w:rPr>
        <w:t>制作</w:t>
      </w:r>
      <w:bookmarkEnd w:id="95"/>
    </w:p>
    <w:p w14:paraId="3A127BF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.1 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响应文件中须加盖供应商公章部分均采用</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 xml:space="preserve"> 签章，并根据“政府采购项目电子交易管理操作指南-供应商” 及本</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文件规定的格式和顺序编制电子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响应文件并进行关联定位，以便</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时，点击评分项可直接定位到该评分项内容。如对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文件的某项要求，供应商的电子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响应文件未能关联定位提供相应的内容与其对应，则</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小组在评审时如做出对供应商不利的评审由供应商自行承担。电子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响应文件如内容不完整、编排混乱导致</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响应文件被误读、 漏读，或者在按采购文件规定的部位查找不到相关内容的，由供应商自行承担。</w:t>
      </w:r>
    </w:p>
    <w:p w14:paraId="02AFEFA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16.2</w:t>
      </w:r>
      <w:r>
        <w:rPr>
          <w:rFonts w:hint="eastAsia" w:ascii="宋体" w:hAnsi="宋体" w:eastAsia="宋体" w:cs="宋体"/>
          <w:color w:val="auto"/>
          <w:szCs w:val="21"/>
          <w:highlight w:val="none"/>
        </w:rPr>
        <w:t>供应商法人（负责人）或授权代表持有个人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签章的，应在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文件中涉及到签字的位置使用个人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签章，没有办理个人</w:t>
      </w:r>
      <w:r>
        <w:rPr>
          <w:rFonts w:hint="eastAsia" w:ascii="宋体" w:hAnsi="宋体" w:eastAsia="宋体" w:cs="宋体"/>
          <w:color w:val="auto"/>
          <w:szCs w:val="21"/>
          <w:highlight w:val="none"/>
          <w:lang w:eastAsia="zh-CN"/>
        </w:rPr>
        <w:t>数字证书（CA认证）</w:t>
      </w:r>
      <w:r>
        <w:rPr>
          <w:rFonts w:hint="eastAsia" w:ascii="宋体" w:hAnsi="宋体" w:eastAsia="宋体" w:cs="宋体"/>
          <w:color w:val="auto"/>
          <w:szCs w:val="21"/>
          <w:highlight w:val="none"/>
        </w:rPr>
        <w:t>签章的可在</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文件中涉及到签字的位置手写签字后扫描或者拍照做成 PDF 的格式上传即可。</w:t>
      </w:r>
    </w:p>
    <w:p w14:paraId="68A7E3B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响应文件不得涂改，若有修改错漏处，须法定代表人（负责人）或授权委托人签字</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数字证书（CA认证）签章）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响应文件因字迹潦草或表达不清所引起的后果由供应商负责。</w:t>
      </w:r>
    </w:p>
    <w:p w14:paraId="0447338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w:t>
      </w:r>
      <w:r>
        <w:rPr>
          <w:rFonts w:hint="eastAsia" w:ascii="宋体" w:hAnsi="宋体" w:eastAsia="宋体" w:cs="宋体"/>
          <w:color w:val="auto"/>
          <w:szCs w:val="21"/>
          <w:highlight w:val="none"/>
          <w:lang w:eastAsia="zh-CN"/>
        </w:rPr>
        <w:t xml:space="preserve">磋商前准备 </w:t>
      </w:r>
    </w:p>
    <w:p w14:paraId="13FCE43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16.4.1</w:t>
      </w:r>
      <w:r>
        <w:rPr>
          <w:rFonts w:hint="eastAsia" w:ascii="宋体" w:hAnsi="宋体" w:eastAsia="宋体" w:cs="宋体"/>
          <w:color w:val="auto"/>
          <w:szCs w:val="21"/>
          <w:highlight w:val="none"/>
          <w:lang w:eastAsia="zh-CN"/>
        </w:rPr>
        <w:t xml:space="preserve">本项目实行在线磋商，采用电子磋商响应文件。若供应商参与磋商，自行承担磋商一切费用。 </w:t>
      </w:r>
    </w:p>
    <w:p w14:paraId="1D0F6C2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16.4.2</w:t>
      </w:r>
      <w:r>
        <w:rPr>
          <w:rFonts w:hint="eastAsia" w:ascii="宋体" w:hAnsi="宋体" w:eastAsia="宋体" w:cs="宋体"/>
          <w:color w:val="auto"/>
          <w:szCs w:val="21"/>
          <w:highlight w:val="none"/>
          <w:lang w:eastAsia="zh-CN"/>
        </w:rPr>
        <w:t xml:space="preserve">各供应商应在截标前应确保成为广西政府采购云平台正式注册入库供应商，并完成数字证书（CA认证） 申领。因未注册入库、未办理数字证书（CA认证）等原因造成无法磋商或磋商失败等后果由供应商自行承担。 </w:t>
      </w:r>
    </w:p>
    <w:p w14:paraId="71AE007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16.4.3</w:t>
      </w:r>
      <w:r>
        <w:rPr>
          <w:rFonts w:hint="eastAsia" w:ascii="宋体" w:hAnsi="宋体" w:eastAsia="宋体" w:cs="宋体"/>
          <w:color w:val="auto"/>
          <w:szCs w:val="21"/>
          <w:highlight w:val="none"/>
          <w:lang w:eastAsia="zh-CN"/>
        </w:rPr>
        <w:t>供应商将广西政府采购云平台电子交易客户端下载、安装完成后，可通过账号密码或数字证书（CA认证） 登录客户端进行响应文件制作。客户端请至网站下载专区查看，如有问题可拨打广西政府采购云平台客户服务热线 95763 进行咨询。</w:t>
      </w:r>
    </w:p>
    <w:p w14:paraId="0014FD04">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96" w:name="_Toc9738"/>
      <w:r>
        <w:rPr>
          <w:rFonts w:hint="eastAsia" w:ascii="宋体" w:hAnsi="宋体" w:eastAsia="宋体" w:cs="宋体"/>
          <w:color w:val="auto"/>
          <w:sz w:val="21"/>
          <w:szCs w:val="21"/>
          <w:highlight w:val="none"/>
        </w:rPr>
        <w:t>17. 响应文件的修改和撤回</w:t>
      </w:r>
      <w:bookmarkEnd w:id="96"/>
    </w:p>
    <w:p w14:paraId="6DA068A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17.1 </w:t>
      </w:r>
      <w:r>
        <w:rPr>
          <w:rFonts w:hint="eastAsia" w:ascii="宋体" w:hAnsi="宋体" w:eastAsia="宋体" w:cs="宋体"/>
          <w:color w:val="auto"/>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165187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 在响应文件递交截止时间后的响应文件有效期内，供应商不得撤回其响应文件。</w:t>
      </w:r>
    </w:p>
    <w:p w14:paraId="66032E20">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lang w:eastAsia="zh-CN"/>
        </w:rPr>
      </w:pPr>
      <w:bookmarkStart w:id="97" w:name="_Toc24690"/>
      <w:bookmarkStart w:id="98"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7"/>
      <w:bookmarkEnd w:id="98"/>
    </w:p>
    <w:p w14:paraId="3AA8302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18.1响应文件递交截止时间</w:t>
      </w:r>
      <w:r>
        <w:rPr>
          <w:rFonts w:hint="eastAsia" w:ascii="宋体" w:hAnsi="宋体" w:eastAsia="宋体" w:cs="宋体"/>
          <w:color w:val="auto"/>
          <w:szCs w:val="21"/>
          <w:highlight w:val="none"/>
          <w:lang w:eastAsia="zh-CN"/>
        </w:rPr>
        <w:t>：于</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8</w:t>
      </w:r>
      <w:r>
        <w:rPr>
          <w:rFonts w:hint="eastAsia" w:ascii="宋体" w:hAnsi="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Cs w:val="21"/>
          <w:highlight w:val="none"/>
        </w:rPr>
        <w:t>之前将电子磋商响应文件上传到</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。应按照本项目磋商文件和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的要求编制、加密传输磋商响应文件。供应商在使用系统进行</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的过程中遇到涉及平台使用的任何问题，可致电</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技术支持热线咨询，联系方式：</w:t>
      </w:r>
      <w:r>
        <w:rPr>
          <w:rFonts w:hint="eastAsia" w:ascii="宋体" w:hAnsi="宋体" w:eastAsia="宋体" w:cs="宋体"/>
          <w:color w:val="auto"/>
          <w:szCs w:val="21"/>
          <w:highlight w:val="none"/>
          <w:lang w:eastAsia="zh-CN"/>
        </w:rPr>
        <w:t>95763</w:t>
      </w:r>
      <w:r>
        <w:rPr>
          <w:rFonts w:hint="eastAsia" w:ascii="宋体" w:hAnsi="宋体" w:eastAsia="宋体" w:cs="宋体"/>
          <w:color w:val="auto"/>
          <w:szCs w:val="21"/>
          <w:highlight w:val="none"/>
        </w:rPr>
        <w:t>。</w:t>
      </w:r>
    </w:p>
    <w:p w14:paraId="4B1CC7A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18.2磋商响应文件解密时间：截标时</w:t>
      </w:r>
      <w:r>
        <w:rPr>
          <w:rFonts w:hint="eastAsia" w:ascii="宋体" w:hAnsi="宋体" w:eastAsia="宋体" w:cs="宋体"/>
          <w:color w:val="auto"/>
          <w:szCs w:val="21"/>
          <w:highlight w:val="none"/>
          <w:u w:val="none"/>
        </w:rPr>
        <w:t>间后30分钟内磋商</w:t>
      </w:r>
      <w:r>
        <w:rPr>
          <w:rFonts w:hint="eastAsia" w:ascii="宋体" w:hAnsi="宋体" w:eastAsia="宋体" w:cs="宋体"/>
          <w:color w:val="auto"/>
          <w:szCs w:val="21"/>
          <w:highlight w:val="none"/>
        </w:rPr>
        <w:t>供应商可以登录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Cs w:val="21"/>
          <w:highlight w:val="none"/>
        </w:rPr>
        <w:t>【在接到无法解密或解密失败的通知后，</w:t>
      </w:r>
      <w:r>
        <w:rPr>
          <w:rFonts w:hint="eastAsia" w:ascii="宋体" w:hAnsi="宋体" w:eastAsia="宋体" w:cs="宋体"/>
          <w:b/>
          <w:bCs/>
          <w:color w:val="auto"/>
          <w:szCs w:val="21"/>
          <w:highlight w:val="none"/>
          <w:lang w:eastAsia="zh-CN"/>
        </w:rPr>
        <w:t>磋商供应商</w:t>
      </w:r>
      <w:r>
        <w:rPr>
          <w:rFonts w:hint="eastAsia" w:ascii="宋体" w:hAnsi="宋体" w:eastAsia="宋体" w:cs="宋体"/>
          <w:b/>
          <w:bCs/>
          <w:color w:val="auto"/>
          <w:szCs w:val="21"/>
          <w:highlight w:val="none"/>
        </w:rPr>
        <w:t>可根据自身实际情况按通知时要求的时间到桂林市公共资源</w:t>
      </w:r>
      <w:r>
        <w:rPr>
          <w:rFonts w:hint="eastAsia" w:ascii="宋体" w:hAnsi="宋体" w:eastAsia="宋体" w:cs="宋体"/>
          <w:b/>
          <w:bCs/>
          <w:color w:val="auto"/>
          <w:szCs w:val="21"/>
          <w:highlight w:val="none"/>
          <w:lang w:eastAsia="zh-CN"/>
        </w:rPr>
        <w:t>交易中心</w:t>
      </w:r>
      <w:r>
        <w:rPr>
          <w:rFonts w:hint="eastAsia" w:ascii="宋体" w:hAnsi="宋体" w:cs="宋体"/>
          <w:b/>
          <w:bCs/>
          <w:color w:val="auto"/>
          <w:sz w:val="21"/>
          <w:szCs w:val="21"/>
          <w:highlight w:val="none"/>
          <w:u w:val="single"/>
          <w:lang w:val="en-US" w:eastAsia="zh-CN"/>
        </w:rPr>
        <w:t xml:space="preserve"> 3</w:t>
      </w:r>
      <w:r>
        <w:rPr>
          <w:rFonts w:hint="eastAsia" w:ascii="宋体" w:hAnsi="宋体" w:eastAsia="宋体" w:cs="宋体"/>
          <w:b/>
          <w:bCs/>
          <w:color w:val="auto"/>
          <w:sz w:val="21"/>
          <w:szCs w:val="21"/>
          <w:highlight w:val="none"/>
          <w:u w:val="single"/>
          <w:lang w:val="en-US" w:eastAsia="zh-CN"/>
        </w:rPr>
        <w:t>号政采开标仓</w:t>
      </w:r>
      <w:r>
        <w:rPr>
          <w:rFonts w:hint="eastAsia" w:ascii="宋体" w:hAnsi="宋体" w:cs="宋体"/>
          <w:b/>
          <w:bCs/>
          <w:color w:val="auto"/>
          <w:sz w:val="21"/>
          <w:szCs w:val="21"/>
          <w:highlight w:val="none"/>
          <w:u w:val="single"/>
          <w:lang w:val="en-US" w:eastAsia="zh-CN"/>
        </w:rPr>
        <w:t xml:space="preserve"> </w:t>
      </w:r>
      <w:r>
        <w:rPr>
          <w:rFonts w:hint="eastAsia" w:ascii="宋体" w:hAnsi="宋体" w:eastAsia="宋体" w:cs="宋体"/>
          <w:b/>
          <w:bCs/>
          <w:color w:val="auto"/>
          <w:szCs w:val="21"/>
          <w:highlight w:val="none"/>
        </w:rPr>
        <w:t>现场提交或以电子邮件的形式（以通知时所告知的电子邮箱地址为准）提交电子备份</w:t>
      </w:r>
      <w:r>
        <w:rPr>
          <w:rFonts w:hint="eastAsia" w:ascii="宋体" w:hAnsi="宋体" w:eastAsia="宋体" w:cs="宋体"/>
          <w:b/>
          <w:bCs/>
          <w:color w:val="auto"/>
          <w:szCs w:val="21"/>
          <w:highlight w:val="none"/>
          <w:lang w:eastAsia="zh-CN"/>
        </w:rPr>
        <w:t>磋商响应文件</w:t>
      </w:r>
      <w:r>
        <w:rPr>
          <w:rFonts w:hint="eastAsia" w:ascii="宋体" w:hAnsi="宋体" w:eastAsia="宋体" w:cs="宋体"/>
          <w:b/>
          <w:bCs/>
          <w:color w:val="auto"/>
          <w:szCs w:val="21"/>
          <w:highlight w:val="none"/>
        </w:rPr>
        <w:t>】</w:t>
      </w:r>
      <w:r>
        <w:rPr>
          <w:rFonts w:hint="eastAsia" w:ascii="宋体" w:hAnsi="宋体" w:eastAsia="宋体" w:cs="宋体"/>
          <w:color w:val="auto"/>
          <w:szCs w:val="21"/>
          <w:highlight w:val="none"/>
        </w:rPr>
        <w:t>，若磋商供应商在规定时间内无法解密或解密失败且未提供电子备份磋商响应文件的(包含提供的电子备份文件无效或无法解密的情况)，视为响应文件撤回。</w:t>
      </w:r>
    </w:p>
    <w:p w14:paraId="673E3EF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除竞争性磋商文件另有规定外，供应商所递交的响应文件不予退还。</w:t>
      </w:r>
    </w:p>
    <w:p w14:paraId="0FCE79C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18.4 </w:t>
      </w:r>
      <w:r>
        <w:rPr>
          <w:rFonts w:hint="eastAsia" w:ascii="宋体" w:hAnsi="宋体" w:eastAsia="宋体" w:cs="宋体"/>
          <w:color w:val="auto"/>
          <w:szCs w:val="21"/>
          <w:highlight w:val="none"/>
        </w:rPr>
        <w:t>电子响应文件的相关说明</w:t>
      </w:r>
    </w:p>
    <w:p w14:paraId="40BE9D2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（1）供应商进行电子</w:t>
      </w:r>
      <w:r>
        <w:rPr>
          <w:rFonts w:hint="eastAsia" w:ascii="宋体" w:hAnsi="宋体" w:eastAsia="宋体" w:cs="宋体"/>
          <w:color w:val="auto"/>
          <w:szCs w:val="21"/>
          <w:highlight w:val="none"/>
          <w:lang w:eastAsia="zh-CN"/>
        </w:rPr>
        <w:t>响应</w:t>
      </w:r>
      <w:r>
        <w:rPr>
          <w:rFonts w:hint="eastAsia" w:ascii="宋体" w:hAnsi="宋体" w:eastAsia="宋体" w:cs="宋体"/>
          <w:color w:val="auto"/>
          <w:szCs w:val="21"/>
          <w:highlight w:val="none"/>
        </w:rPr>
        <w:t>应安装客户端软件，并按照采购文件和电子交易平台的要求编制并加密</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响应文件。供应商未按规定加密的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响应文件，电子交易平台将拒收。供应商应当在</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截止时间前完成</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响应文件的传输递交，并可以补充、修改或者撤回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响应文件。补充或者修改</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响应文件的，应当先行撤回原文件，补充、修改后重新传输递交。</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截止时间前未完成传输的，视为撤回</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响应文件。</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截止时间后递交的</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 xml:space="preserve">响应文件，电子交易平台将拒收。 </w:t>
      </w:r>
    </w:p>
    <w:p w14:paraId="0D3A962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（2）如有特殊情况，采购代理机构延长截止时间和开标时间，采购代理机构和供应商的权利和义务将受到新的截止时间和开标时间的约束。</w:t>
      </w:r>
    </w:p>
    <w:p w14:paraId="6E83582A">
      <w:pPr>
        <w:rPr>
          <w:rFonts w:hint="eastAsia" w:ascii="宋体" w:hAnsi="宋体" w:eastAsia="宋体" w:cs="宋体"/>
          <w:b/>
          <w:bCs w:val="0"/>
          <w:color w:val="auto"/>
          <w:szCs w:val="28"/>
          <w:highlight w:val="none"/>
        </w:rPr>
      </w:pPr>
      <w:bookmarkStart w:id="99" w:name="_Toc16485"/>
      <w:bookmarkStart w:id="100" w:name="_Toc25701"/>
      <w:bookmarkStart w:id="101" w:name="_Toc5807"/>
      <w:bookmarkStart w:id="102" w:name="_Toc2433"/>
      <w:r>
        <w:rPr>
          <w:rFonts w:hint="eastAsia" w:ascii="宋体" w:hAnsi="宋体" w:eastAsia="宋体" w:cs="宋体"/>
          <w:b/>
          <w:bCs w:val="0"/>
          <w:color w:val="auto"/>
          <w:szCs w:val="28"/>
          <w:highlight w:val="none"/>
        </w:rPr>
        <w:br w:type="page"/>
      </w:r>
    </w:p>
    <w:p w14:paraId="545E3FAE">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四、竞争性磋商（简称磋商）与评审</w:t>
      </w:r>
      <w:bookmarkEnd w:id="99"/>
      <w:bookmarkEnd w:id="100"/>
      <w:bookmarkEnd w:id="101"/>
      <w:bookmarkEnd w:id="102"/>
    </w:p>
    <w:p w14:paraId="57B50E05">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3" w:name="_Toc31588"/>
      <w:bookmarkStart w:id="104" w:name="_Toc11021"/>
      <w:r>
        <w:rPr>
          <w:rFonts w:hint="eastAsia" w:ascii="宋体" w:hAnsi="宋体" w:eastAsia="宋体" w:cs="宋体"/>
          <w:color w:val="auto"/>
          <w:sz w:val="21"/>
          <w:szCs w:val="21"/>
          <w:highlight w:val="none"/>
        </w:rPr>
        <w:t>19. 磋商小组组成及磋商时间、地点、人员</w:t>
      </w:r>
      <w:bookmarkEnd w:id="103"/>
      <w:bookmarkEnd w:id="104"/>
    </w:p>
    <w:p w14:paraId="3F729E3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14:paraId="0217717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 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14:paraId="6CD29BF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14:paraId="51CFF49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05" w:name="_Toc9878"/>
      <w:r>
        <w:rPr>
          <w:rFonts w:hint="eastAsia" w:ascii="宋体" w:hAnsi="宋体" w:eastAsia="宋体" w:cs="宋体"/>
          <w:color w:val="auto"/>
          <w:sz w:val="21"/>
          <w:szCs w:val="21"/>
          <w:highlight w:val="none"/>
        </w:rPr>
        <w:t>19.2.1磋商时间：响应文件递交截止时间后。</w:t>
      </w:r>
      <w:bookmarkEnd w:id="105"/>
    </w:p>
    <w:p w14:paraId="48395B8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eastAsia="zh-CN"/>
        </w:rPr>
      </w:pPr>
      <w:bookmarkStart w:id="106"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6"/>
      <w:r>
        <w:rPr>
          <w:rFonts w:hint="eastAsia" w:ascii="宋体" w:hAnsi="宋体" w:eastAsia="宋体" w:cs="宋体"/>
          <w:color w:val="auto"/>
          <w:sz w:val="21"/>
          <w:szCs w:val="21"/>
          <w:highlight w:val="none"/>
        </w:rPr>
        <w:t>本项目需要磋商供应商代表在截标当天截标后，按磋商小组要求及时登陆</w:t>
      </w:r>
      <w:r>
        <w:rPr>
          <w:rFonts w:hint="eastAsia" w:ascii="宋体" w:hAnsi="宋体" w:eastAsia="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等候在线磋商</w:t>
      </w:r>
      <w:r>
        <w:rPr>
          <w:rFonts w:hint="eastAsia" w:ascii="宋体" w:hAnsi="宋体" w:eastAsia="宋体" w:cs="宋体"/>
          <w:color w:val="auto"/>
          <w:sz w:val="21"/>
          <w:szCs w:val="21"/>
          <w:highlight w:val="none"/>
          <w:lang w:eastAsia="zh-CN"/>
        </w:rPr>
        <w:t>。</w:t>
      </w:r>
    </w:p>
    <w:p w14:paraId="614A569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7"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w:t>
      </w:r>
      <w:r>
        <w:rPr>
          <w:rFonts w:hint="eastAsia" w:ascii="宋体" w:hAnsi="宋体" w:eastAsia="宋体" w:cs="宋体"/>
          <w:b w:val="0"/>
          <w:bCs/>
          <w:color w:val="auto"/>
          <w:sz w:val="21"/>
          <w:szCs w:val="21"/>
          <w:highlight w:val="none"/>
          <w:u w:val="single"/>
        </w:rPr>
        <w:t>有效身份证</w:t>
      </w:r>
      <w:r>
        <w:rPr>
          <w:rFonts w:hint="eastAsia" w:ascii="宋体" w:hAnsi="宋体" w:eastAsia="宋体" w:cs="宋体"/>
          <w:b w:val="0"/>
          <w:bCs/>
          <w:color w:val="auto"/>
          <w:sz w:val="21"/>
          <w:szCs w:val="21"/>
          <w:highlight w:val="none"/>
          <w:u w:val="single"/>
          <w:lang w:eastAsia="zh-CN"/>
        </w:rPr>
        <w:t>原件</w:t>
      </w:r>
      <w:r>
        <w:rPr>
          <w:rFonts w:hint="eastAsia" w:ascii="宋体" w:hAnsi="宋体" w:eastAsia="宋体" w:cs="宋体"/>
          <w:b w:val="0"/>
          <w:bCs/>
          <w:color w:val="auto"/>
          <w:sz w:val="21"/>
          <w:szCs w:val="21"/>
          <w:highlight w:val="none"/>
        </w:rPr>
        <w:t>和供应商</w:t>
      </w:r>
      <w:r>
        <w:rPr>
          <w:rFonts w:hint="eastAsia" w:ascii="宋体" w:hAnsi="宋体" w:eastAsia="宋体" w:cs="宋体"/>
          <w:b w:val="0"/>
          <w:bCs/>
          <w:color w:val="auto"/>
          <w:sz w:val="21"/>
          <w:szCs w:val="21"/>
          <w:highlight w:val="none"/>
          <w:u w:val="single"/>
          <w:lang w:eastAsia="zh-CN"/>
        </w:rPr>
        <w:t>广西政府采购云平台</w:t>
      </w:r>
      <w:r>
        <w:rPr>
          <w:rFonts w:hint="eastAsia" w:ascii="宋体" w:hAnsi="宋体" w:eastAsia="宋体" w:cs="宋体"/>
          <w:b w:val="0"/>
          <w:bCs/>
          <w:color w:val="auto"/>
          <w:sz w:val="21"/>
          <w:szCs w:val="21"/>
          <w:highlight w:val="none"/>
          <w:u w:val="single"/>
        </w:rPr>
        <w:t>CA数字证书</w:t>
      </w:r>
      <w:r>
        <w:rPr>
          <w:rFonts w:hint="eastAsia" w:ascii="宋体" w:hAnsi="宋体" w:eastAsia="宋体" w:cs="宋体"/>
          <w:b w:val="0"/>
          <w:bCs/>
          <w:color w:val="auto"/>
          <w:sz w:val="21"/>
          <w:szCs w:val="21"/>
          <w:highlight w:val="none"/>
        </w:rPr>
        <w:t>参加磋商。请供应商按时等候磋商。</w:t>
      </w:r>
      <w:bookmarkEnd w:id="107"/>
    </w:p>
    <w:p w14:paraId="78F4C08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color w:val="auto"/>
          <w:sz w:val="21"/>
          <w:szCs w:val="21"/>
          <w:highlight w:val="none"/>
        </w:rPr>
      </w:pPr>
      <w:bookmarkStart w:id="108"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8"/>
    </w:p>
    <w:p w14:paraId="7DD472DA">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09" w:name="_Toc25258"/>
      <w:bookmarkStart w:id="110" w:name="_Toc21088"/>
      <w:r>
        <w:rPr>
          <w:rFonts w:hint="eastAsia" w:ascii="宋体" w:hAnsi="宋体" w:eastAsia="宋体" w:cs="宋体"/>
          <w:color w:val="auto"/>
          <w:sz w:val="21"/>
          <w:szCs w:val="21"/>
          <w:highlight w:val="none"/>
        </w:rPr>
        <w:t>20. 评审原则</w:t>
      </w:r>
      <w:bookmarkEnd w:id="109"/>
      <w:bookmarkEnd w:id="110"/>
    </w:p>
    <w:p w14:paraId="4F73E13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14:paraId="186864F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14:paraId="543ACFE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14:paraId="0E8FED2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14:paraId="209B7BE2">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14:paraId="77FC5F96">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14:paraId="48C9DBE6">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14:paraId="56689E1F">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14:paraId="5E146998">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总价金额与依据单价计算出的结果不一致的，以单价金额为准修正总价，但单价金额小数点有明显错误的除外；</w:t>
      </w:r>
    </w:p>
    <w:p w14:paraId="093619A9">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当单价与数量相乘不等于合价时，以单价计算为准，如果单价有明显的小数点位置差错，应以标出的合价为准，同时对单价予以修正。</w:t>
      </w:r>
    </w:p>
    <w:p w14:paraId="14603399">
      <w:pPr>
        <w:pStyle w:val="31"/>
        <w:keepNext w:val="0"/>
        <w:keepLines w:val="0"/>
        <w:pageBreakBefore w:val="0"/>
        <w:widowControl w:val="0"/>
        <w:tabs>
          <w:tab w:val="left" w:pos="1099"/>
        </w:tabs>
        <w:kinsoku/>
        <w:wordWrap/>
        <w:overflowPunct/>
        <w:topLinePunct w:val="0"/>
        <w:autoSpaceDE/>
        <w:autoSpaceDN/>
        <w:bidi w:val="0"/>
        <w:adjustRightInd/>
        <w:snapToGrid/>
        <w:spacing w:line="44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当各子目的合价累计不等于总价时，应以各子目合价累计数为准，修正总价。</w:t>
      </w:r>
    </w:p>
    <w:p w14:paraId="1F22D85C">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45CFC8F">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1" w:name="_Toc21012"/>
      <w:bookmarkStart w:id="112" w:name="_Toc27193"/>
      <w:r>
        <w:rPr>
          <w:rFonts w:hint="eastAsia" w:ascii="宋体" w:hAnsi="宋体" w:eastAsia="宋体" w:cs="宋体"/>
          <w:color w:val="auto"/>
          <w:sz w:val="21"/>
          <w:szCs w:val="21"/>
          <w:highlight w:val="none"/>
        </w:rPr>
        <w:t>21. 评审程序及磋商要求</w:t>
      </w:r>
      <w:bookmarkEnd w:id="111"/>
      <w:bookmarkEnd w:id="112"/>
    </w:p>
    <w:p w14:paraId="751E5F2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21.1磋商小组成员的通讯工具或相关电子设备交由桂林市公共资源交易中心统一保管后到达评标室，采购代理机构核实磋商小组成员身份，告知回避要求，宣布评审工作纪律和程序，推选磋商小组组长。</w:t>
      </w:r>
    </w:p>
    <w:p w14:paraId="6D195B5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333E67B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14:paraId="67EE1079">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5A50970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14:paraId="2980EFF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14:paraId="2AF29F3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14:paraId="157BDDC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14:paraId="117499A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14:paraId="264F374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14:paraId="4D15E88A">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14:paraId="4B3B3E0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个人数字证书（CA认证）签章)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w:t>
      </w:r>
    </w:p>
    <w:p w14:paraId="5EB25FF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14:paraId="220644F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14:paraId="051638E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14:paraId="73E4A2F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14:paraId="132904B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14:paraId="054112C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2B8CC6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05F5D4D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通过广西政府采购云平台同时</w:t>
      </w:r>
      <w:r>
        <w:rPr>
          <w:rFonts w:hint="eastAsia" w:ascii="宋体" w:hAnsi="宋体" w:eastAsia="宋体" w:cs="宋体"/>
          <w:color w:val="auto"/>
          <w:sz w:val="21"/>
          <w:szCs w:val="21"/>
          <w:highlight w:val="none"/>
        </w:rPr>
        <w:t xml:space="preserve">通知所有参加磋商的供应商。 </w:t>
      </w:r>
    </w:p>
    <w:p w14:paraId="1BB8CA4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rPr>
        <w:t xml:space="preserve">。逾时不交的，视同放弃磋商。 </w:t>
      </w:r>
    </w:p>
    <w:p w14:paraId="4F0D1F0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14:paraId="6B67145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7F0C205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14:paraId="3140956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374E11D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14:paraId="5D54609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14:paraId="3957DF4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14:paraId="7F8C946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14:paraId="6D2DB77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供应商做最终报价时，如供应商维持磋商报价不变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auto"/>
          <w:spacing w:val="-4"/>
          <w:sz w:val="21"/>
          <w:szCs w:val="21"/>
          <w:highlight w:val="none"/>
          <w:lang w:eastAsia="zh-CN"/>
        </w:rPr>
        <w:t>电子</w:t>
      </w:r>
      <w:r>
        <w:rPr>
          <w:rFonts w:hint="eastAsia" w:ascii="宋体" w:hAnsi="宋体" w:eastAsia="宋体" w:cs="宋体"/>
          <w:b/>
          <w:color w:val="auto"/>
          <w:spacing w:val="-4"/>
          <w:sz w:val="21"/>
          <w:szCs w:val="21"/>
          <w:highlight w:val="none"/>
        </w:rPr>
        <w:t>版的，其报价不予认可，视供应商维持原磋商报价不变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数字证书（CA认证）签章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14:paraId="37892BF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14:paraId="5987C00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14:paraId="2006AAA0">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14:paraId="20D25A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14:paraId="05CEDC2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14:paraId="5576C8F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14:paraId="39BA0AA1">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48CEB1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14:paraId="3A9C16D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14:paraId="3FE79002">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3" w:name="_Toc32470"/>
      <w:bookmarkStart w:id="114" w:name="_Toc18722"/>
      <w:r>
        <w:rPr>
          <w:rFonts w:hint="eastAsia" w:ascii="宋体" w:hAnsi="宋体" w:eastAsia="宋体" w:cs="宋体"/>
          <w:color w:val="auto"/>
          <w:sz w:val="21"/>
          <w:szCs w:val="21"/>
          <w:highlight w:val="none"/>
        </w:rPr>
        <w:t>22. 确定成交供应商</w:t>
      </w:r>
      <w:bookmarkEnd w:id="113"/>
      <w:bookmarkEnd w:id="114"/>
    </w:p>
    <w:p w14:paraId="2AE23E9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14:paraId="07F0F307">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14:paraId="735066B2">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14:paraId="0A392DA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14:paraId="698A205F">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5" w:name="_Toc15332"/>
      <w:bookmarkStart w:id="116" w:name="_Toc21715"/>
      <w:r>
        <w:rPr>
          <w:rFonts w:hint="eastAsia" w:ascii="宋体" w:hAnsi="宋体" w:eastAsia="宋体" w:cs="宋体"/>
          <w:color w:val="auto"/>
          <w:sz w:val="21"/>
          <w:szCs w:val="21"/>
          <w:highlight w:val="none"/>
        </w:rPr>
        <w:t>23. 属于下列情况之一者，响应文件无效</w:t>
      </w:r>
      <w:bookmarkEnd w:id="115"/>
      <w:bookmarkEnd w:id="116"/>
    </w:p>
    <w:p w14:paraId="4755C9B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14:paraId="21E2901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14:paraId="1435731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4E01ABB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14:paraId="4731109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14:paraId="7C7556D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）未在磋商小组规定的时间内提交响应文件(包括最后报价)的；</w:t>
      </w:r>
    </w:p>
    <w:p w14:paraId="4A35154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）超越了按照法律法规规定必须获得行政许可或者行政审批的经营范围的；</w:t>
      </w:r>
    </w:p>
    <w:p w14:paraId="615A008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）未满足磋商文件实质性要求的或者响应文件有采购人不能接受的附加条件的；</w:t>
      </w:r>
    </w:p>
    <w:p w14:paraId="0F04C1A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）响应文件实质性要求未做变动，供应商最后报价高于第一次报价的；</w:t>
      </w:r>
    </w:p>
    <w:p w14:paraId="1D1A058A">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）不符合法律、法规和磋商文件规定的其他实质性要求和条件的。</w:t>
      </w:r>
    </w:p>
    <w:p w14:paraId="06CA886F">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14:paraId="2A92819E">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14:paraId="1922E258">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14:paraId="0CA9A4C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14:paraId="4CABDDC9">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14:paraId="67A9163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14:paraId="2FBD0DD6">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7" w:name="_Toc27786"/>
      <w:bookmarkStart w:id="118"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7"/>
      <w:bookmarkEnd w:id="118"/>
    </w:p>
    <w:p w14:paraId="3B28846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14:paraId="43DEA334">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14:paraId="2BF3D4EF">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14:paraId="7709B72B">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19" w:name="_Toc19910"/>
      <w:bookmarkStart w:id="120" w:name="_Toc19105"/>
      <w:r>
        <w:rPr>
          <w:rFonts w:hint="eastAsia" w:ascii="宋体" w:hAnsi="宋体" w:eastAsia="宋体" w:cs="宋体"/>
          <w:color w:val="auto"/>
          <w:sz w:val="21"/>
          <w:szCs w:val="21"/>
          <w:highlight w:val="none"/>
        </w:rPr>
        <w:t>25. 磋商过程的监控</w:t>
      </w:r>
      <w:bookmarkEnd w:id="119"/>
      <w:bookmarkEnd w:id="120"/>
    </w:p>
    <w:p w14:paraId="2BE3552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14:paraId="493C7F6D">
      <w:pPr>
        <w:pStyle w:val="4"/>
        <w:pageBreakBefore w:val="0"/>
        <w:widowControl w:val="0"/>
        <w:numPr>
          <w:ilvl w:val="0"/>
          <w:numId w:val="6"/>
        </w:numPr>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1" w:name="_Toc14787"/>
      <w:bookmarkStart w:id="122" w:name="_Toc26291"/>
      <w:r>
        <w:rPr>
          <w:rFonts w:hint="eastAsia" w:ascii="宋体" w:hAnsi="宋体" w:eastAsia="宋体" w:cs="宋体"/>
          <w:color w:val="auto"/>
          <w:sz w:val="21"/>
          <w:szCs w:val="21"/>
          <w:highlight w:val="none"/>
        </w:rPr>
        <w:t>信用查询</w:t>
      </w:r>
      <w:bookmarkEnd w:id="121"/>
      <w:bookmarkEnd w:id="122"/>
    </w:p>
    <w:p w14:paraId="31D7484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14:paraId="42F361A8">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14:paraId="3A0D4BBB">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14:paraId="4A4747C6">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14:paraId="5EB83693">
      <w:pPr>
        <w:pageBreakBefore w:val="0"/>
        <w:widowControl w:val="0"/>
        <w:kinsoku/>
        <w:wordWrap/>
        <w:overflowPunct/>
        <w:topLinePunct w:val="0"/>
        <w:bidi w:val="0"/>
        <w:spacing w:line="44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44ED0BDD">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3" w:name="_Toc25468"/>
      <w:bookmarkStart w:id="124" w:name="_Toc9438"/>
      <w:r>
        <w:rPr>
          <w:rFonts w:hint="eastAsia" w:ascii="宋体" w:hAnsi="宋体" w:eastAsia="宋体" w:cs="宋体"/>
          <w:color w:val="auto"/>
          <w:sz w:val="21"/>
          <w:szCs w:val="21"/>
          <w:highlight w:val="none"/>
        </w:rPr>
        <w:t>27. 成交结果公告及成交通知书</w:t>
      </w:r>
      <w:bookmarkEnd w:id="123"/>
      <w:bookmarkEnd w:id="124"/>
    </w:p>
    <w:p w14:paraId="1D4AFF2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54E8A3BC">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14:paraId="552EE15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14:paraId="6892CD17">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pPr>
      <w:bookmarkStart w:id="125" w:name="_Toc25593"/>
    </w:p>
    <w:p w14:paraId="6075D38A">
      <w:pPr>
        <w:rPr>
          <w:rFonts w:hint="eastAsia" w:ascii="宋体" w:hAnsi="宋体" w:eastAsia="宋体" w:cs="宋体"/>
          <w:b/>
          <w:bCs w:val="0"/>
          <w:color w:val="auto"/>
          <w:szCs w:val="28"/>
          <w:highlight w:val="none"/>
        </w:rPr>
      </w:pPr>
      <w:bookmarkStart w:id="126" w:name="_Toc24102"/>
      <w:bookmarkStart w:id="127" w:name="_Toc29518"/>
      <w:bookmarkStart w:id="128" w:name="_Toc14642"/>
      <w:r>
        <w:rPr>
          <w:rFonts w:hint="eastAsia" w:ascii="宋体" w:hAnsi="宋体" w:eastAsia="宋体" w:cs="宋体"/>
          <w:b/>
          <w:bCs w:val="0"/>
          <w:color w:val="auto"/>
          <w:szCs w:val="28"/>
          <w:highlight w:val="none"/>
        </w:rPr>
        <w:br w:type="page"/>
      </w:r>
    </w:p>
    <w:p w14:paraId="55EAD46B">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r>
        <w:rPr>
          <w:rFonts w:hint="eastAsia" w:ascii="宋体" w:hAnsi="宋体" w:eastAsia="宋体" w:cs="宋体"/>
          <w:b/>
          <w:bCs w:val="0"/>
          <w:color w:val="auto"/>
          <w:szCs w:val="28"/>
          <w:highlight w:val="none"/>
        </w:rPr>
        <w:t>五、签订合同</w:t>
      </w:r>
      <w:bookmarkEnd w:id="125"/>
      <w:bookmarkEnd w:id="126"/>
      <w:bookmarkEnd w:id="127"/>
      <w:bookmarkEnd w:id="128"/>
    </w:p>
    <w:p w14:paraId="5085E4AC">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29" w:name="_Toc26520"/>
      <w:bookmarkStart w:id="130" w:name="_Toc1032"/>
      <w:r>
        <w:rPr>
          <w:rFonts w:hint="eastAsia" w:ascii="宋体" w:hAnsi="宋体" w:eastAsia="宋体" w:cs="宋体"/>
          <w:color w:val="auto"/>
          <w:sz w:val="21"/>
          <w:szCs w:val="21"/>
          <w:highlight w:val="none"/>
        </w:rPr>
        <w:t>28. 履约保证金</w:t>
      </w:r>
      <w:bookmarkEnd w:id="129"/>
      <w:bookmarkEnd w:id="130"/>
    </w:p>
    <w:p w14:paraId="09874665">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bookmarkStart w:id="131" w:name="_Toc4956"/>
      <w:bookmarkStart w:id="132" w:name="_Toc22004"/>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14:paraId="06D573D9">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31"/>
      <w:bookmarkEnd w:id="132"/>
    </w:p>
    <w:p w14:paraId="2600B2D6">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发出之日起8个工作日内签订合同。成交供应商领取成交通知书后，应按规定与采购人签订合同。</w:t>
      </w:r>
    </w:p>
    <w:p w14:paraId="276B62CD">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0D6BD44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14:paraId="2DDC67F3">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14:paraId="5498722B">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14:paraId="37698906">
      <w:pPr>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存档。</w:t>
      </w:r>
    </w:p>
    <w:p w14:paraId="35E88525">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 w:val="21"/>
          <w:szCs w:val="21"/>
          <w:highlight w:val="none"/>
        </w:rPr>
        <w:sectPr>
          <w:pgSz w:w="11906" w:h="16838"/>
          <w:pgMar w:top="1418" w:right="1115" w:bottom="1418" w:left="1131" w:header="851" w:footer="992" w:gutter="0"/>
          <w:pgNumType w:fmt="decimal"/>
          <w:cols w:space="720" w:num="1"/>
          <w:titlePg/>
          <w:docGrid w:type="lines" w:linePitch="312" w:charSpace="0"/>
        </w:sectPr>
      </w:pPr>
      <w:bookmarkStart w:id="133" w:name="_Toc16348"/>
      <w:bookmarkStart w:id="134" w:name="_Toc17898"/>
    </w:p>
    <w:p w14:paraId="02602935">
      <w:pPr>
        <w:pStyle w:val="2"/>
        <w:pageBreakBefore w:val="0"/>
        <w:widowControl w:val="0"/>
        <w:tabs>
          <w:tab w:val="left" w:pos="567"/>
        </w:tabs>
        <w:kinsoku/>
        <w:wordWrap/>
        <w:overflowPunct/>
        <w:topLinePunct w:val="0"/>
        <w:bidi w:val="0"/>
        <w:spacing w:line="440" w:lineRule="exact"/>
        <w:jc w:val="center"/>
        <w:textAlignment w:val="auto"/>
        <w:rPr>
          <w:rFonts w:hint="eastAsia" w:ascii="宋体" w:hAnsi="宋体" w:eastAsia="宋体" w:cs="宋体"/>
          <w:b/>
          <w:bCs w:val="0"/>
          <w:color w:val="auto"/>
          <w:szCs w:val="28"/>
          <w:highlight w:val="none"/>
        </w:rPr>
      </w:pPr>
      <w:bookmarkStart w:id="135" w:name="_Toc30713"/>
      <w:bookmarkStart w:id="136" w:name="_Toc9050"/>
      <w:r>
        <w:rPr>
          <w:rFonts w:hint="eastAsia" w:ascii="宋体" w:hAnsi="宋体" w:eastAsia="宋体" w:cs="宋体"/>
          <w:b/>
          <w:bCs w:val="0"/>
          <w:color w:val="auto"/>
          <w:szCs w:val="28"/>
          <w:highlight w:val="none"/>
        </w:rPr>
        <w:t>六、其他事项</w:t>
      </w:r>
      <w:bookmarkEnd w:id="133"/>
      <w:bookmarkEnd w:id="134"/>
      <w:bookmarkEnd w:id="135"/>
      <w:bookmarkEnd w:id="136"/>
    </w:p>
    <w:p w14:paraId="784425A8">
      <w:pPr>
        <w:pStyle w:val="4"/>
        <w:pageBreakBefore w:val="0"/>
        <w:widowControl w:val="0"/>
        <w:kinsoku/>
        <w:wordWrap/>
        <w:overflowPunct/>
        <w:topLinePunct w:val="0"/>
        <w:bidi w:val="0"/>
        <w:spacing w:before="0" w:after="0" w:line="440" w:lineRule="exact"/>
        <w:ind w:firstLine="422" w:firstLineChars="200"/>
        <w:textAlignment w:val="auto"/>
        <w:rPr>
          <w:rFonts w:hint="eastAsia" w:ascii="宋体" w:hAnsi="宋体" w:eastAsia="宋体" w:cs="宋体"/>
          <w:color w:val="auto"/>
          <w:sz w:val="21"/>
          <w:szCs w:val="21"/>
          <w:highlight w:val="none"/>
        </w:rPr>
      </w:pPr>
      <w:bookmarkStart w:id="137" w:name="_Toc28647"/>
      <w:bookmarkStart w:id="138" w:name="_Toc29572"/>
      <w:r>
        <w:rPr>
          <w:rFonts w:hint="eastAsia" w:ascii="宋体" w:hAnsi="宋体" w:eastAsia="宋体" w:cs="宋体"/>
          <w:color w:val="auto"/>
          <w:sz w:val="21"/>
          <w:szCs w:val="21"/>
          <w:highlight w:val="none"/>
        </w:rPr>
        <w:t>30. 采购代理服务费</w:t>
      </w:r>
      <w:bookmarkEnd w:id="137"/>
      <w:bookmarkEnd w:id="138"/>
    </w:p>
    <w:p w14:paraId="3FC3DF60">
      <w:pPr>
        <w:spacing w:line="400" w:lineRule="exact"/>
        <w:ind w:firstLine="420"/>
        <w:rPr>
          <w:rFonts w:hint="eastAsia" w:ascii="宋体" w:hAnsi="宋体" w:eastAsia="宋体" w:cs="宋体"/>
          <w:color w:val="auto"/>
          <w:sz w:val="21"/>
          <w:szCs w:val="21"/>
          <w:highlight w:val="none"/>
        </w:rPr>
      </w:pPr>
      <w:bookmarkStart w:id="139"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eastAsia="zh-CN"/>
        </w:rPr>
        <w:t>广西中承建设工程咨询有限公司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27"/>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4D6C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14:paraId="320726C4">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14:paraId="4AD33B8B">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14:paraId="552FFD19">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14:paraId="47A5870B">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14:paraId="6C91127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14:paraId="33E027BF">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4AC0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14:paraId="3709B186">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14:paraId="137C35E4">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14:paraId="648A7894">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14:paraId="2388C1A6">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22C1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14:paraId="6D0E311D">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14:paraId="33442C22">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14:paraId="67BEE02C">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14:paraId="25B07DA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0253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2556CE18">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14:paraId="3F9EE520">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14:paraId="5567E879">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14:paraId="00CEBBEF">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14:paraId="2F1E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1B65A007">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14:paraId="6A2D2A35">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14:paraId="6B74E9C3">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14:paraId="661E6BF2">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14:paraId="5A34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14:paraId="744A2D2C">
            <w:pPr>
              <w:spacing w:before="0" w:after="0" w:line="400" w:lineRule="exact"/>
              <w:ind w:left="23"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14:paraId="78C56AC7">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14:paraId="5A1B9A5F">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14:paraId="182CC2EB">
            <w:pPr>
              <w:spacing w:before="0" w:after="0" w:line="400" w:lineRule="exact"/>
              <w:ind w:left="23"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14:paraId="3FEA7A27">
      <w:pPr>
        <w:spacing w:before="0" w:after="0" w:line="400" w:lineRule="exact"/>
        <w:ind w:left="25"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14:paraId="4E3E7E6B">
      <w:pPr>
        <w:spacing w:before="0" w:after="0" w:line="400" w:lineRule="exact"/>
        <w:ind w:firstLine="422"/>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14:paraId="2A3AA77E">
      <w:pPr>
        <w:pageBreakBefore w:val="0"/>
        <w:widowControl w:val="0"/>
        <w:kinsoku/>
        <w:wordWrap/>
        <w:overflowPunct/>
        <w:topLinePunct w:val="0"/>
        <w:bidi w:val="0"/>
        <w:spacing w:line="440" w:lineRule="exact"/>
        <w:ind w:firstLine="420" w:firstLineChars="200"/>
        <w:textAlignment w:val="auto"/>
        <w:rPr>
          <w:rStyle w:val="32"/>
          <w:rFonts w:hint="eastAsia" w:ascii="宋体" w:hAnsi="宋体" w:eastAsia="宋体" w:cs="宋体"/>
          <w:b w:val="0"/>
          <w:bCs w:val="0"/>
          <w:color w:val="auto"/>
          <w:sz w:val="21"/>
          <w:szCs w:val="21"/>
          <w:highlight w:val="none"/>
        </w:rPr>
      </w:pPr>
      <w:bookmarkStart w:id="140" w:name="_Toc9779"/>
      <w:r>
        <w:rPr>
          <w:rStyle w:val="32"/>
          <w:rFonts w:hint="eastAsia" w:ascii="宋体" w:hAnsi="宋体" w:eastAsia="宋体" w:cs="宋体"/>
          <w:b w:val="0"/>
          <w:bCs w:val="0"/>
          <w:color w:val="auto"/>
          <w:sz w:val="21"/>
          <w:szCs w:val="21"/>
          <w:highlight w:val="none"/>
        </w:rPr>
        <w:t>账户名称：</w:t>
      </w:r>
      <w:r>
        <w:rPr>
          <w:rStyle w:val="32"/>
          <w:rFonts w:hint="eastAsia" w:ascii="宋体" w:hAnsi="宋体" w:eastAsia="宋体" w:cs="宋体"/>
          <w:b w:val="0"/>
          <w:bCs w:val="0"/>
          <w:color w:val="auto"/>
          <w:sz w:val="21"/>
          <w:szCs w:val="21"/>
          <w:highlight w:val="none"/>
          <w:lang w:val="en-US" w:eastAsia="zh-CN"/>
        </w:rPr>
        <w:t>广西中承建设工程咨询有限公司第一分公司</w:t>
      </w:r>
    </w:p>
    <w:p w14:paraId="159F0C42">
      <w:pPr>
        <w:pageBreakBefore w:val="0"/>
        <w:widowControl w:val="0"/>
        <w:kinsoku/>
        <w:wordWrap/>
        <w:overflowPunct/>
        <w:topLinePunct w:val="0"/>
        <w:bidi w:val="0"/>
        <w:spacing w:line="440" w:lineRule="exact"/>
        <w:ind w:firstLine="420" w:firstLineChars="200"/>
        <w:textAlignment w:val="auto"/>
        <w:rPr>
          <w:rStyle w:val="32"/>
          <w:rFonts w:hint="eastAsia" w:ascii="宋体" w:hAnsi="宋体" w:eastAsia="宋体" w:cs="宋体"/>
          <w:b w:val="0"/>
          <w:bCs w:val="0"/>
          <w:color w:val="auto"/>
          <w:sz w:val="21"/>
          <w:szCs w:val="21"/>
          <w:highlight w:val="none"/>
        </w:rPr>
      </w:pPr>
      <w:r>
        <w:rPr>
          <w:rStyle w:val="32"/>
          <w:rFonts w:hint="eastAsia" w:ascii="宋体" w:hAnsi="宋体" w:eastAsia="宋体" w:cs="宋体"/>
          <w:b w:val="0"/>
          <w:bCs w:val="0"/>
          <w:color w:val="auto"/>
          <w:sz w:val="21"/>
          <w:szCs w:val="21"/>
          <w:highlight w:val="none"/>
        </w:rPr>
        <w:t xml:space="preserve">开户银行：中国建设银行股份有限公司桂林西山路支行 </w:t>
      </w:r>
    </w:p>
    <w:p w14:paraId="3E53E097">
      <w:pPr>
        <w:pageBreakBefore w:val="0"/>
        <w:widowControl w:val="0"/>
        <w:kinsoku/>
        <w:wordWrap/>
        <w:overflowPunct/>
        <w:topLinePunct w:val="0"/>
        <w:bidi w:val="0"/>
        <w:spacing w:line="440" w:lineRule="exact"/>
        <w:ind w:firstLine="420" w:firstLineChars="200"/>
        <w:textAlignment w:val="auto"/>
        <w:rPr>
          <w:rStyle w:val="32"/>
          <w:rFonts w:hint="eastAsia" w:ascii="宋体" w:hAnsi="宋体" w:eastAsia="宋体" w:cs="宋体"/>
          <w:b w:val="0"/>
          <w:bCs w:val="0"/>
          <w:color w:val="auto"/>
          <w:sz w:val="21"/>
          <w:szCs w:val="21"/>
          <w:highlight w:val="none"/>
          <w:lang w:val="en-US" w:eastAsia="zh-CN"/>
        </w:rPr>
      </w:pPr>
      <w:r>
        <w:rPr>
          <w:rStyle w:val="32"/>
          <w:rFonts w:hint="eastAsia" w:ascii="宋体" w:hAnsi="宋体" w:eastAsia="宋体" w:cs="宋体"/>
          <w:b w:val="0"/>
          <w:bCs w:val="0"/>
          <w:color w:val="auto"/>
          <w:sz w:val="21"/>
          <w:szCs w:val="21"/>
          <w:highlight w:val="none"/>
        </w:rPr>
        <w:t>银行账号：</w:t>
      </w:r>
      <w:r>
        <w:rPr>
          <w:rStyle w:val="32"/>
          <w:rFonts w:hint="eastAsia" w:ascii="宋体" w:hAnsi="宋体" w:eastAsia="宋体" w:cs="宋体"/>
          <w:b w:val="0"/>
          <w:bCs w:val="0"/>
          <w:color w:val="auto"/>
          <w:sz w:val="21"/>
          <w:szCs w:val="21"/>
          <w:highlight w:val="none"/>
          <w:lang w:val="en-US" w:eastAsia="zh-CN"/>
        </w:rPr>
        <w:t>45050163510700000194</w:t>
      </w:r>
    </w:p>
    <w:p w14:paraId="5EF04B41">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highlight w:val="none"/>
        </w:rPr>
      </w:pPr>
      <w:r>
        <w:rPr>
          <w:rStyle w:val="32"/>
          <w:rFonts w:hint="eastAsia" w:ascii="宋体" w:hAnsi="宋体" w:eastAsia="宋体" w:cs="宋体"/>
          <w:color w:val="auto"/>
          <w:sz w:val="21"/>
          <w:szCs w:val="21"/>
          <w:highlight w:val="none"/>
        </w:rPr>
        <w:t>31. 解释权</w:t>
      </w:r>
      <w:bookmarkEnd w:id="139"/>
      <w:bookmarkEnd w:id="140"/>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5635E3C0">
      <w:pPr>
        <w:spacing w:line="360" w:lineRule="exact"/>
        <w:ind w:left="315"/>
        <w:rPr>
          <w:rFonts w:ascii="宋体" w:hAnsi="宋体"/>
          <w:color w:val="auto"/>
          <w:sz w:val="21"/>
          <w:szCs w:val="21"/>
          <w:highlight w:val="none"/>
        </w:rPr>
      </w:pPr>
      <w:bookmarkStart w:id="141" w:name="_Toc32738"/>
      <w:r>
        <w:rPr>
          <w:rStyle w:val="32"/>
          <w:rFonts w:hint="eastAsia" w:ascii="宋体" w:hAnsi="宋体" w:eastAsia="宋体" w:cs="宋体"/>
          <w:color w:val="auto"/>
          <w:sz w:val="21"/>
          <w:szCs w:val="21"/>
          <w:highlight w:val="none"/>
        </w:rPr>
        <w:t>32. 监督管理机构</w:t>
      </w:r>
      <w:bookmarkEnd w:id="141"/>
      <w:r>
        <w:rPr>
          <w:rFonts w:hint="eastAsia" w:ascii="宋体" w:hAnsi="宋体" w:eastAsia="宋体" w:cs="宋体"/>
          <w:color w:val="auto"/>
          <w:sz w:val="21"/>
          <w:szCs w:val="21"/>
          <w:highlight w:val="none"/>
        </w:rPr>
        <w:t>：</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桂林市财政局</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0773-2816067</w:t>
      </w:r>
    </w:p>
    <w:p w14:paraId="6ED735E3">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14:paraId="32FF2127">
      <w:pPr>
        <w:pageBreakBefore w:val="0"/>
        <w:widowControl w:val="0"/>
        <w:kinsoku/>
        <w:wordWrap/>
        <w:overflowPunct/>
        <w:topLinePunct w:val="0"/>
        <w:bidi w:val="0"/>
        <w:spacing w:line="440" w:lineRule="exact"/>
        <w:textAlignment w:val="auto"/>
        <w:rPr>
          <w:rFonts w:hint="eastAsia"/>
          <w:color w:val="auto"/>
          <w:sz w:val="21"/>
          <w:szCs w:val="21"/>
          <w:highlight w:val="none"/>
          <w:lang w:eastAsia="zh-CN"/>
        </w:rPr>
      </w:pPr>
    </w:p>
    <w:p w14:paraId="60C33F18">
      <w:pPr>
        <w:pStyle w:val="10"/>
        <w:rPr>
          <w:rFonts w:hint="eastAsia"/>
          <w:color w:val="auto"/>
          <w:highlight w:val="none"/>
          <w:lang w:eastAsia="zh-CN"/>
        </w:rPr>
      </w:pPr>
    </w:p>
    <w:p w14:paraId="45B328DA">
      <w:pPr>
        <w:pStyle w:val="10"/>
        <w:rPr>
          <w:rFonts w:hint="eastAsia"/>
          <w:color w:val="auto"/>
          <w:highlight w:val="none"/>
          <w:lang w:eastAsia="zh-CN"/>
        </w:rPr>
      </w:pPr>
    </w:p>
    <w:p w14:paraId="5ED5B972">
      <w:pPr>
        <w:pStyle w:val="10"/>
        <w:rPr>
          <w:rFonts w:hint="eastAsia"/>
          <w:color w:val="auto"/>
          <w:highlight w:val="none"/>
          <w:lang w:eastAsia="zh-CN"/>
        </w:rPr>
      </w:pPr>
    </w:p>
    <w:p w14:paraId="0B82D747">
      <w:pPr>
        <w:snapToGrid w:val="0"/>
        <w:rPr>
          <w:rFonts w:hint="eastAsia"/>
          <w:b/>
          <w:color w:val="auto"/>
          <w:kern w:val="0"/>
          <w:sz w:val="24"/>
          <w:highlight w:val="none"/>
        </w:rPr>
      </w:pPr>
    </w:p>
    <w:p w14:paraId="43C95564">
      <w:pPr>
        <w:snapToGrid w:val="0"/>
        <w:rPr>
          <w:rFonts w:hint="eastAsia"/>
          <w:b/>
          <w:color w:val="auto"/>
          <w:kern w:val="0"/>
          <w:sz w:val="24"/>
          <w:highlight w:val="none"/>
        </w:rPr>
      </w:pPr>
    </w:p>
    <w:p w14:paraId="5B95832D">
      <w:pPr>
        <w:snapToGrid w:val="0"/>
        <w:rPr>
          <w:rFonts w:hint="eastAsia"/>
          <w:b/>
          <w:color w:val="auto"/>
          <w:kern w:val="0"/>
          <w:sz w:val="24"/>
          <w:highlight w:val="none"/>
        </w:rPr>
        <w:sectPr>
          <w:pgSz w:w="11906" w:h="16838"/>
          <w:pgMar w:top="1418" w:right="1115" w:bottom="1418" w:left="1131" w:header="851" w:footer="992" w:gutter="0"/>
          <w:pgNumType w:fmt="decimal"/>
          <w:cols w:space="720" w:num="1"/>
          <w:titlePg/>
          <w:docGrid w:type="lines" w:linePitch="312" w:charSpace="0"/>
        </w:sectPr>
      </w:pPr>
    </w:p>
    <w:p w14:paraId="1C0C5B4E">
      <w:pPr>
        <w:snapToGrid w:val="0"/>
        <w:rPr>
          <w:rFonts w:hint="eastAsia"/>
          <w:b/>
          <w:color w:val="auto"/>
          <w:kern w:val="0"/>
          <w:sz w:val="24"/>
          <w:highlight w:val="none"/>
        </w:rPr>
      </w:pPr>
    </w:p>
    <w:p w14:paraId="363292D2">
      <w:pPr>
        <w:snapToGrid w:val="0"/>
        <w:rPr>
          <w:rFonts w:hAnsi="宋体"/>
          <w:b/>
          <w:color w:val="auto"/>
          <w:kern w:val="0"/>
          <w:sz w:val="24"/>
          <w:highlight w:val="none"/>
        </w:rPr>
      </w:pPr>
      <w:r>
        <w:rPr>
          <w:rFonts w:hint="eastAsia"/>
          <w:b/>
          <w:color w:val="auto"/>
          <w:kern w:val="0"/>
          <w:sz w:val="24"/>
          <w:highlight w:val="none"/>
        </w:rPr>
        <w:t>附表1：</w:t>
      </w:r>
    </w:p>
    <w:p w14:paraId="127E1D59">
      <w:pPr>
        <w:spacing w:line="460" w:lineRule="exact"/>
        <w:jc w:val="center"/>
        <w:rPr>
          <w:rFonts w:eastAsia="隶书"/>
          <w:color w:val="auto"/>
          <w:kern w:val="0"/>
          <w:sz w:val="44"/>
          <w:highlight w:val="none"/>
        </w:rPr>
      </w:pPr>
      <w:r>
        <w:rPr>
          <w:rFonts w:hint="eastAsia" w:eastAsia="隶书"/>
          <w:color w:val="auto"/>
          <w:kern w:val="0"/>
          <w:sz w:val="44"/>
          <w:highlight w:val="none"/>
        </w:rPr>
        <w:t>质疑函（格式）</w:t>
      </w:r>
    </w:p>
    <w:p w14:paraId="3380DB95">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一、质疑供应商基本信息：</w:t>
      </w:r>
    </w:p>
    <w:p w14:paraId="16262A23">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质疑供应商：</w:t>
      </w:r>
    </w:p>
    <w:p w14:paraId="04893C14">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41B8E0FB">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4C3A101F">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授权代表：</w:t>
      </w:r>
    </w:p>
    <w:p w14:paraId="6030AF1B">
      <w:pPr>
        <w:snapToGrid w:val="0"/>
        <w:spacing w:line="36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联系电话：</w:t>
      </w:r>
    </w:p>
    <w:p w14:paraId="36E0A572">
      <w:pPr>
        <w:snapToGrid w:val="0"/>
        <w:spacing w:line="36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566BEEED">
      <w:pPr>
        <w:snapToGrid w:val="0"/>
        <w:spacing w:line="36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二、质疑项目基本情况：</w:t>
      </w:r>
    </w:p>
    <w:p w14:paraId="489BDAB3">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项目的名称：</w:t>
      </w:r>
    </w:p>
    <w:p w14:paraId="535874D5">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质疑</w:t>
      </w:r>
      <w:r>
        <w:rPr>
          <w:rFonts w:hint="eastAsia" w:ascii="宋体" w:hAnsi="宋体" w:eastAsia="宋体" w:cs="宋体"/>
          <w:color w:val="auto"/>
          <w:kern w:val="0"/>
          <w:szCs w:val="21"/>
          <w:highlight w:val="none"/>
        </w:rPr>
        <w:t>项目的编号：</w:t>
      </w:r>
    </w:p>
    <w:p w14:paraId="1FA33B26">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采购人名称：</w:t>
      </w:r>
    </w:p>
    <w:p w14:paraId="533FF3B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w:t>
      </w:r>
    </w:p>
    <w:p w14:paraId="0A348A6A">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采购文件   采购文件获取日期：</w:t>
      </w:r>
    </w:p>
    <w:p w14:paraId="196B7A6A">
      <w:pPr>
        <w:spacing w:line="360" w:lineRule="exact"/>
        <w:ind w:left="25" w:leftChars="12" w:firstLine="441" w:firstLineChars="147"/>
        <w:rPr>
          <w:rFonts w:hint="eastAsia" w:ascii="宋体" w:hAnsi="宋体" w:eastAsia="宋体" w:cs="宋体"/>
          <w:color w:val="auto"/>
          <w:kern w:val="0"/>
          <w:szCs w:val="21"/>
          <w:highlight w:val="non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采购过程   </w:t>
      </w:r>
    </w:p>
    <w:p w14:paraId="032073D6">
      <w:pPr>
        <w:spacing w:line="360" w:lineRule="exact"/>
        <w:ind w:left="25" w:leftChars="12" w:firstLine="441" w:firstLineChars="147"/>
        <w:rPr>
          <w:rFonts w:hint="eastAsia" w:ascii="宋体" w:hAnsi="宋体" w:eastAsia="宋体" w:cs="宋体"/>
          <w:bCs/>
          <w:color w:val="auto"/>
          <w:kern w:val="0"/>
          <w:highlight w:val="none"/>
          <w:u w:val="single"/>
        </w:rPr>
      </w:pPr>
      <w:r>
        <w:rPr>
          <w:rFonts w:hint="eastAsia" w:ascii="宋体" w:hAnsi="宋体" w:eastAsia="宋体" w:cs="宋体"/>
          <w:color w:val="auto"/>
          <w:kern w:val="0"/>
          <w:sz w:val="30"/>
          <w:szCs w:val="30"/>
          <w:highlight w:val="none"/>
        </w:rPr>
        <w:t>□</w:t>
      </w:r>
      <w:r>
        <w:rPr>
          <w:rFonts w:hint="eastAsia" w:ascii="宋体" w:hAnsi="宋体" w:eastAsia="宋体" w:cs="宋体"/>
          <w:color w:val="auto"/>
          <w:kern w:val="0"/>
          <w:szCs w:val="21"/>
          <w:highlight w:val="none"/>
        </w:rPr>
        <w:t xml:space="preserve">成交结果   </w:t>
      </w:r>
    </w:p>
    <w:p w14:paraId="6366DC8F">
      <w:pPr>
        <w:spacing w:line="36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三、质疑事项具体内容</w:t>
      </w:r>
    </w:p>
    <w:p w14:paraId="1CAF9D7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质疑事项1：</w:t>
      </w:r>
    </w:p>
    <w:p w14:paraId="6E051E2A">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事实依据：</w:t>
      </w:r>
    </w:p>
    <w:p w14:paraId="42CA6DA7">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法律依据：</w:t>
      </w:r>
    </w:p>
    <w:p w14:paraId="4CC60E1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质疑事项2</w:t>
      </w:r>
    </w:p>
    <w:p w14:paraId="57BEE8BC">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p w14:paraId="47E2B80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四、与质疑事项相关的质疑请求：</w:t>
      </w:r>
    </w:p>
    <w:p w14:paraId="261D31A8">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6296C3E8">
      <w:pPr>
        <w:spacing w:line="360" w:lineRule="exact"/>
        <w:ind w:left="25" w:leftChars="12" w:firstLine="308" w:firstLineChars="147"/>
        <w:rPr>
          <w:rFonts w:hint="eastAsia" w:ascii="宋体" w:hAnsi="宋体" w:eastAsia="宋体" w:cs="宋体"/>
          <w:color w:val="auto"/>
          <w:kern w:val="0"/>
          <w:szCs w:val="21"/>
          <w:highlight w:val="none"/>
        </w:rPr>
      </w:pPr>
    </w:p>
    <w:p w14:paraId="4CE5492D">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211B1D2F">
      <w:pPr>
        <w:spacing w:line="360" w:lineRule="exact"/>
        <w:ind w:left="25" w:leftChars="12" w:firstLine="308" w:firstLineChars="147"/>
        <w:rPr>
          <w:rFonts w:hint="eastAsia" w:ascii="宋体" w:hAnsi="宋体" w:eastAsia="宋体" w:cs="宋体"/>
          <w:color w:val="auto"/>
          <w:kern w:val="0"/>
          <w:szCs w:val="21"/>
          <w:highlight w:val="none"/>
        </w:rPr>
      </w:pPr>
    </w:p>
    <w:p w14:paraId="570B4AA2">
      <w:pPr>
        <w:spacing w:line="36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53A0FE1E">
      <w:pPr>
        <w:snapToGrid w:val="0"/>
        <w:spacing w:line="340" w:lineRule="exact"/>
        <w:rPr>
          <w:rFonts w:hint="eastAsia" w:ascii="宋体" w:hAnsi="宋体" w:eastAsia="宋体" w:cs="宋体"/>
          <w:b/>
          <w:color w:val="auto"/>
          <w:kern w:val="0"/>
          <w:szCs w:val="21"/>
          <w:highlight w:val="none"/>
        </w:rPr>
      </w:pPr>
    </w:p>
    <w:p w14:paraId="3E9242A3">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3AFDCD8F">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1.供应商提出质疑时，应提交质疑函和必要的证明材料</w:t>
      </w:r>
      <w:r>
        <w:rPr>
          <w:rFonts w:hint="eastAsia" w:ascii="宋体" w:hAnsi="宋体" w:eastAsia="宋体" w:cs="宋体"/>
          <w:b/>
          <w:bCs/>
          <w:color w:val="auto"/>
          <w:kern w:val="0"/>
          <w:highlight w:val="none"/>
        </w:rPr>
        <w:t>。</w:t>
      </w:r>
    </w:p>
    <w:p w14:paraId="21D4462A">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4FC05B1">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3.质疑函的质疑事项应具体、明确，并有必要的事实依据和法律依据。</w:t>
      </w:r>
    </w:p>
    <w:p w14:paraId="6183BBD9">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4.质疑函的质疑请求应与质疑事项相关。</w:t>
      </w:r>
    </w:p>
    <w:p w14:paraId="3A1A6882">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6.质疑供应商为法人或者其他组织的，质疑函应由法定代表人、主要负责人，或者其授权代表签字或者盖章，并加盖公章。</w:t>
      </w:r>
    </w:p>
    <w:p w14:paraId="7968FB45">
      <w:pPr>
        <w:snapToGrid w:val="0"/>
        <w:rPr>
          <w:rFonts w:hAnsi="宋体"/>
          <w:b/>
          <w:color w:val="auto"/>
          <w:kern w:val="0"/>
          <w:sz w:val="24"/>
          <w:highlight w:val="none"/>
        </w:rPr>
      </w:pPr>
      <w:r>
        <w:rPr>
          <w:rFonts w:hint="eastAsia"/>
          <w:b/>
          <w:color w:val="auto"/>
          <w:kern w:val="0"/>
          <w:sz w:val="24"/>
          <w:highlight w:val="none"/>
        </w:rPr>
        <w:t>附表2：</w:t>
      </w:r>
    </w:p>
    <w:p w14:paraId="3AE03068">
      <w:pPr>
        <w:spacing w:line="460" w:lineRule="exact"/>
        <w:jc w:val="center"/>
        <w:rPr>
          <w:rFonts w:eastAsia="隶书"/>
          <w:color w:val="auto"/>
          <w:kern w:val="0"/>
          <w:sz w:val="44"/>
          <w:highlight w:val="none"/>
        </w:rPr>
      </w:pPr>
    </w:p>
    <w:p w14:paraId="70E04F59">
      <w:pPr>
        <w:spacing w:line="460" w:lineRule="exact"/>
        <w:jc w:val="center"/>
        <w:rPr>
          <w:rFonts w:eastAsia="隶书"/>
          <w:color w:val="auto"/>
          <w:kern w:val="0"/>
          <w:sz w:val="44"/>
          <w:highlight w:val="none"/>
        </w:rPr>
      </w:pPr>
      <w:r>
        <w:rPr>
          <w:rFonts w:hint="eastAsia" w:eastAsia="隶书"/>
          <w:color w:val="auto"/>
          <w:kern w:val="0"/>
          <w:sz w:val="44"/>
          <w:highlight w:val="none"/>
        </w:rPr>
        <w:t>投诉书（格式）</w:t>
      </w:r>
    </w:p>
    <w:p w14:paraId="7CF54765">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一、投诉相关主体基本情况：</w:t>
      </w:r>
    </w:p>
    <w:p w14:paraId="50EF113B">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供应商：</w:t>
      </w:r>
    </w:p>
    <w:p w14:paraId="0FE50BCB">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2A8582FF">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法定代表人/主要负责人：</w:t>
      </w:r>
    </w:p>
    <w:p w14:paraId="3ADB0B7F">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联系电话：</w:t>
      </w:r>
    </w:p>
    <w:p w14:paraId="3DF1BE7C">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授权代表：联系电话：</w:t>
      </w:r>
    </w:p>
    <w:p w14:paraId="7A1811CE">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72CEA8F5">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被投诉人1：</w:t>
      </w:r>
    </w:p>
    <w:p w14:paraId="04F04855">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地址：邮编：</w:t>
      </w:r>
    </w:p>
    <w:p w14:paraId="6F55077C">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联系人：联系电话：</w:t>
      </w:r>
    </w:p>
    <w:p w14:paraId="194D3804">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被投诉人2：</w:t>
      </w:r>
    </w:p>
    <w:p w14:paraId="1AB2560F">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0B69A555">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相关供应商：</w:t>
      </w:r>
    </w:p>
    <w:p w14:paraId="53581121">
      <w:pPr>
        <w:snapToGrid w:val="0"/>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地址：邮编：</w:t>
      </w:r>
    </w:p>
    <w:p w14:paraId="7666ADEA">
      <w:pPr>
        <w:snapToGrid w:val="0"/>
        <w:spacing w:line="400" w:lineRule="exact"/>
        <w:ind w:firstLine="420" w:firstLineChars="200"/>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联系人：联系电话：</w:t>
      </w:r>
    </w:p>
    <w:p w14:paraId="4F5EF0A5">
      <w:pPr>
        <w:snapToGrid w:val="0"/>
        <w:spacing w:line="400" w:lineRule="exact"/>
        <w:ind w:firstLine="422" w:firstLineChars="200"/>
        <w:rPr>
          <w:rFonts w:hint="eastAsia" w:ascii="宋体" w:hAnsi="宋体" w:eastAsia="宋体" w:cs="宋体"/>
          <w:b/>
          <w:bCs/>
          <w:color w:val="auto"/>
          <w:kern w:val="0"/>
          <w:highlight w:val="none"/>
        </w:rPr>
      </w:pPr>
      <w:r>
        <w:rPr>
          <w:rFonts w:hint="eastAsia" w:ascii="宋体" w:hAnsi="宋体" w:eastAsia="宋体" w:cs="宋体"/>
          <w:b/>
          <w:bCs/>
          <w:color w:val="auto"/>
          <w:kern w:val="0"/>
          <w:highlight w:val="none"/>
        </w:rPr>
        <w:t>二、投诉项目基本情况：</w:t>
      </w:r>
    </w:p>
    <w:p w14:paraId="215497E3">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项目的名称：</w:t>
      </w:r>
    </w:p>
    <w:p w14:paraId="3A74BE7B">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rPr>
        <w:t>采购</w:t>
      </w:r>
      <w:r>
        <w:rPr>
          <w:rFonts w:hint="eastAsia" w:ascii="宋体" w:hAnsi="宋体" w:eastAsia="宋体" w:cs="宋体"/>
          <w:color w:val="auto"/>
          <w:kern w:val="0"/>
          <w:szCs w:val="21"/>
          <w:highlight w:val="none"/>
        </w:rPr>
        <w:t>项目的编号：</w:t>
      </w:r>
    </w:p>
    <w:p w14:paraId="362F190A">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采购人名称：</w:t>
      </w:r>
    </w:p>
    <w:p w14:paraId="7E1669CF">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代理机构名称：</w:t>
      </w:r>
    </w:p>
    <w:p w14:paraId="56BDC71F">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采购文件公告：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7FD9DFA6">
      <w:pPr>
        <w:spacing w:line="400" w:lineRule="exact"/>
        <w:ind w:left="25" w:leftChars="12" w:firstLine="413" w:firstLineChars="197"/>
        <w:rPr>
          <w:rFonts w:hint="eastAsia" w:ascii="宋体" w:hAnsi="宋体" w:eastAsia="宋体" w:cs="宋体"/>
          <w:b/>
          <w:color w:val="auto"/>
          <w:kern w:val="0"/>
          <w:szCs w:val="21"/>
          <w:highlight w:val="none"/>
        </w:rPr>
      </w:pPr>
      <w:r>
        <w:rPr>
          <w:rFonts w:hint="eastAsia" w:ascii="宋体" w:hAnsi="宋体" w:eastAsia="宋体" w:cs="宋体"/>
          <w:bCs/>
          <w:color w:val="auto"/>
          <w:kern w:val="0"/>
          <w:highlight w:val="none"/>
        </w:rPr>
        <w:t>采购结果公告：</w:t>
      </w:r>
      <w:r>
        <w:rPr>
          <w:rFonts w:hint="eastAsia" w:ascii="宋体" w:hAnsi="宋体" w:eastAsia="宋体" w:cs="宋体"/>
          <w:bCs/>
          <w:color w:val="auto"/>
          <w:kern w:val="0"/>
          <w:highlight w:val="none"/>
          <w:u w:val="single"/>
        </w:rPr>
        <w:t>是/否</w:t>
      </w:r>
      <w:r>
        <w:rPr>
          <w:rFonts w:hint="eastAsia" w:ascii="宋体" w:hAnsi="宋体" w:eastAsia="宋体" w:cs="宋体"/>
          <w:bCs/>
          <w:color w:val="auto"/>
          <w:kern w:val="0"/>
          <w:highlight w:val="none"/>
        </w:rPr>
        <w:t>公告期限：</w:t>
      </w:r>
    </w:p>
    <w:p w14:paraId="70445CA0">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三、质疑基本情况</w:t>
      </w:r>
    </w:p>
    <w:p w14:paraId="121E0E93">
      <w:pPr>
        <w:spacing w:line="400" w:lineRule="exact"/>
        <w:ind w:left="25" w:leftChars="12" w:firstLine="833" w:firstLineChars="3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投诉人于年月日，向提出质疑，质疑事项为：</w:t>
      </w:r>
    </w:p>
    <w:p w14:paraId="5ED1662B">
      <w:pPr>
        <w:spacing w:line="400" w:lineRule="exact"/>
        <w:rPr>
          <w:rFonts w:hint="eastAsia" w:ascii="宋体" w:hAnsi="宋体" w:eastAsia="宋体" w:cs="宋体"/>
          <w:bCs/>
          <w:color w:val="auto"/>
          <w:kern w:val="0"/>
          <w:highlight w:val="none"/>
          <w:u w:val="single"/>
        </w:rPr>
      </w:pPr>
    </w:p>
    <w:p w14:paraId="33525B26">
      <w:pPr>
        <w:spacing w:line="400" w:lineRule="exact"/>
        <w:rPr>
          <w:rFonts w:hint="eastAsia" w:ascii="宋体" w:hAnsi="宋体" w:eastAsia="宋体" w:cs="宋体"/>
          <w:bCs/>
          <w:color w:val="auto"/>
          <w:kern w:val="0"/>
          <w:highlight w:val="none"/>
          <w:u w:val="single"/>
        </w:rPr>
      </w:pPr>
    </w:p>
    <w:p w14:paraId="1999FE92">
      <w:pPr>
        <w:spacing w:line="400" w:lineRule="exact"/>
        <w:rPr>
          <w:rFonts w:hint="eastAsia" w:ascii="宋体" w:hAnsi="宋体" w:eastAsia="宋体" w:cs="宋体"/>
          <w:color w:val="auto"/>
          <w:kern w:val="0"/>
          <w:szCs w:val="21"/>
          <w:highlight w:val="none"/>
        </w:rPr>
      </w:pPr>
      <w:r>
        <w:rPr>
          <w:rFonts w:hint="eastAsia" w:ascii="宋体" w:hAnsi="宋体" w:eastAsia="宋体" w:cs="宋体"/>
          <w:bCs/>
          <w:color w:val="auto"/>
          <w:kern w:val="0"/>
          <w:highlight w:val="none"/>
          <w:u w:val="single"/>
        </w:rPr>
        <w:t>采购人/代理机构</w:t>
      </w:r>
      <w:r>
        <w:rPr>
          <w:rFonts w:hint="eastAsia" w:ascii="宋体" w:hAnsi="宋体" w:eastAsia="宋体" w:cs="宋体"/>
          <w:bCs/>
          <w:color w:val="auto"/>
          <w:kern w:val="0"/>
          <w:highlight w:val="none"/>
        </w:rPr>
        <w:t>于</w:t>
      </w:r>
      <w:r>
        <w:rPr>
          <w:rFonts w:hint="eastAsia" w:ascii="宋体" w:hAnsi="宋体" w:eastAsia="宋体" w:cs="宋体"/>
          <w:color w:val="auto"/>
          <w:kern w:val="0"/>
          <w:szCs w:val="21"/>
          <w:highlight w:val="none"/>
        </w:rPr>
        <w:t>年月日，</w:t>
      </w:r>
      <w:r>
        <w:rPr>
          <w:rFonts w:hint="eastAsia" w:ascii="宋体" w:hAnsi="宋体" w:eastAsia="宋体" w:cs="宋体"/>
          <w:bCs/>
          <w:color w:val="auto"/>
          <w:kern w:val="0"/>
          <w:highlight w:val="none"/>
        </w:rPr>
        <w:t xml:space="preserve">就质疑事项作出了答复/没有在法定期限内作出答复。                                                                                             </w:t>
      </w:r>
    </w:p>
    <w:p w14:paraId="5C79F9A5">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四、投诉事项具体内容</w:t>
      </w:r>
    </w:p>
    <w:p w14:paraId="57D64C7D">
      <w:pPr>
        <w:spacing w:line="400" w:lineRule="exact"/>
        <w:ind w:left="25" w:leftChars="12" w:firstLine="413" w:firstLineChars="197"/>
        <w:rPr>
          <w:rFonts w:hint="eastAsia" w:ascii="宋体" w:hAnsi="宋体" w:eastAsia="宋体" w:cs="宋体"/>
          <w:bCs/>
          <w:color w:val="auto"/>
          <w:kern w:val="0"/>
          <w:highlight w:val="none"/>
          <w:u w:val="single"/>
        </w:rPr>
      </w:pPr>
      <w:r>
        <w:rPr>
          <w:rFonts w:hint="eastAsia" w:ascii="宋体" w:hAnsi="宋体" w:eastAsia="宋体" w:cs="宋体"/>
          <w:color w:val="auto"/>
          <w:kern w:val="0"/>
          <w:szCs w:val="21"/>
          <w:highlight w:val="none"/>
        </w:rPr>
        <w:t>投诉事项1：</w:t>
      </w:r>
    </w:p>
    <w:p w14:paraId="665F8B94">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事实依据：</w:t>
      </w:r>
    </w:p>
    <w:p w14:paraId="24F41CF9">
      <w:pPr>
        <w:spacing w:line="400" w:lineRule="exact"/>
        <w:ind w:left="25" w:leftChars="12" w:firstLine="413" w:firstLineChars="197"/>
        <w:rPr>
          <w:rFonts w:hint="eastAsia" w:ascii="宋体" w:hAnsi="宋体" w:eastAsia="宋体" w:cs="宋体"/>
          <w:color w:val="auto"/>
          <w:kern w:val="0"/>
          <w:szCs w:val="21"/>
          <w:highlight w:val="none"/>
        </w:rPr>
      </w:pPr>
    </w:p>
    <w:p w14:paraId="6CDF4F1C">
      <w:pPr>
        <w:spacing w:line="400" w:lineRule="exact"/>
        <w:ind w:firstLine="420" w:firstLineChars="200"/>
        <w:rPr>
          <w:rFonts w:hint="eastAsia" w:ascii="宋体" w:hAnsi="宋体" w:eastAsia="宋体" w:cs="宋体"/>
          <w:bCs/>
          <w:color w:val="auto"/>
          <w:kern w:val="0"/>
          <w:highlight w:val="none"/>
          <w:u w:val="single"/>
        </w:rPr>
      </w:pPr>
      <w:r>
        <w:rPr>
          <w:rFonts w:hint="eastAsia" w:ascii="宋体" w:hAnsi="宋体" w:eastAsia="宋体" w:cs="宋体"/>
          <w:bCs/>
          <w:color w:val="auto"/>
          <w:kern w:val="0"/>
          <w:highlight w:val="none"/>
        </w:rPr>
        <w:t>法律依据：</w:t>
      </w:r>
    </w:p>
    <w:p w14:paraId="696F6176">
      <w:pPr>
        <w:spacing w:line="400" w:lineRule="exact"/>
        <w:ind w:left="25" w:leftChars="12" w:firstLine="308" w:firstLineChars="147"/>
        <w:rPr>
          <w:rFonts w:hint="eastAsia" w:ascii="宋体" w:hAnsi="宋体" w:eastAsia="宋体" w:cs="宋体"/>
          <w:bCs/>
          <w:color w:val="auto"/>
          <w:kern w:val="0"/>
          <w:highlight w:val="none"/>
          <w:u w:val="single"/>
        </w:rPr>
      </w:pPr>
    </w:p>
    <w:p w14:paraId="612E6206">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color w:val="auto"/>
          <w:kern w:val="0"/>
          <w:szCs w:val="21"/>
          <w:highlight w:val="none"/>
        </w:rPr>
        <w:t xml:space="preserve">投诉事项2  </w:t>
      </w:r>
    </w:p>
    <w:p w14:paraId="218D0C74">
      <w:pPr>
        <w:spacing w:line="400" w:lineRule="exact"/>
        <w:ind w:left="25" w:leftChars="12" w:firstLine="413" w:firstLineChars="197"/>
        <w:rPr>
          <w:rFonts w:hint="eastAsia" w:ascii="宋体" w:hAnsi="宋体" w:eastAsia="宋体" w:cs="宋体"/>
          <w:bCs/>
          <w:color w:val="auto"/>
          <w:kern w:val="0"/>
          <w:highlight w:val="none"/>
        </w:rPr>
      </w:pPr>
      <w:r>
        <w:rPr>
          <w:rFonts w:hint="eastAsia" w:ascii="宋体" w:hAnsi="宋体" w:eastAsia="宋体" w:cs="宋体"/>
          <w:bCs/>
          <w:color w:val="auto"/>
          <w:kern w:val="0"/>
          <w:highlight w:val="none"/>
        </w:rPr>
        <w:t>……</w:t>
      </w:r>
    </w:p>
    <w:p w14:paraId="6EEDA7EB">
      <w:pPr>
        <w:spacing w:line="400" w:lineRule="exact"/>
        <w:ind w:left="25" w:leftChars="12" w:firstLine="413" w:firstLineChars="196"/>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五、与投诉事项相关的投诉请求：</w:t>
      </w:r>
    </w:p>
    <w:p w14:paraId="7929FE3F">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请求：</w:t>
      </w:r>
    </w:p>
    <w:p w14:paraId="24471FF2">
      <w:pPr>
        <w:spacing w:line="400" w:lineRule="exact"/>
        <w:ind w:left="25" w:leftChars="12" w:firstLine="308" w:firstLineChars="147"/>
        <w:rPr>
          <w:rFonts w:hint="eastAsia" w:ascii="宋体" w:hAnsi="宋体" w:eastAsia="宋体" w:cs="宋体"/>
          <w:color w:val="auto"/>
          <w:kern w:val="0"/>
          <w:szCs w:val="21"/>
          <w:highlight w:val="none"/>
        </w:rPr>
      </w:pPr>
    </w:p>
    <w:p w14:paraId="67CE7C44">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签字（签章）：                                       公章：</w:t>
      </w:r>
    </w:p>
    <w:p w14:paraId="0D46940C">
      <w:pPr>
        <w:spacing w:line="400" w:lineRule="exact"/>
        <w:ind w:left="25" w:leftChars="12" w:firstLine="308" w:firstLineChars="147"/>
        <w:rPr>
          <w:rFonts w:hint="eastAsia" w:ascii="宋体" w:hAnsi="宋体" w:eastAsia="宋体" w:cs="宋体"/>
          <w:color w:val="auto"/>
          <w:kern w:val="0"/>
          <w:szCs w:val="21"/>
          <w:highlight w:val="none"/>
        </w:rPr>
      </w:pPr>
    </w:p>
    <w:p w14:paraId="1EC90502">
      <w:pPr>
        <w:spacing w:line="400" w:lineRule="exact"/>
        <w:ind w:left="25" w:leftChars="12" w:firstLine="413" w:firstLineChars="197"/>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p>
    <w:p w14:paraId="53AB0392">
      <w:pPr>
        <w:spacing w:line="360" w:lineRule="exact"/>
        <w:ind w:left="25" w:leftChars="12" w:firstLine="413" w:firstLineChars="197"/>
        <w:rPr>
          <w:rFonts w:hint="eastAsia" w:ascii="宋体" w:hAnsi="宋体" w:eastAsia="宋体" w:cs="宋体"/>
          <w:color w:val="auto"/>
          <w:kern w:val="0"/>
          <w:szCs w:val="21"/>
          <w:highlight w:val="none"/>
        </w:rPr>
      </w:pPr>
    </w:p>
    <w:p w14:paraId="12131812">
      <w:pPr>
        <w:snapToGrid w:val="0"/>
        <w:spacing w:line="340" w:lineRule="exact"/>
        <w:rPr>
          <w:rFonts w:hint="eastAsia" w:ascii="宋体" w:hAnsi="宋体" w:eastAsia="宋体" w:cs="宋体"/>
          <w:b/>
          <w:color w:val="auto"/>
          <w:kern w:val="0"/>
          <w:szCs w:val="21"/>
          <w:highlight w:val="none"/>
        </w:rPr>
      </w:pPr>
    </w:p>
    <w:p w14:paraId="734A8922">
      <w:pPr>
        <w:snapToGrid w:val="0"/>
        <w:spacing w:line="340" w:lineRule="exac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说明：</w:t>
      </w:r>
    </w:p>
    <w:p w14:paraId="7113CFE3">
      <w:pPr>
        <w:spacing w:line="340" w:lineRule="exact"/>
        <w:ind w:left="25" w:leftChars="12" w:firstLine="310" w:firstLineChars="147"/>
        <w:rPr>
          <w:rFonts w:hint="eastAsia" w:ascii="宋体" w:hAnsi="宋体" w:eastAsia="宋体" w:cs="宋体"/>
          <w:b/>
          <w:bCs/>
          <w:color w:val="auto"/>
          <w:kern w:val="0"/>
          <w:highlight w:val="none"/>
        </w:rPr>
      </w:pPr>
      <w:r>
        <w:rPr>
          <w:rFonts w:hint="eastAsia" w:ascii="宋体" w:hAnsi="宋体" w:eastAsia="宋体" w:cs="宋体"/>
          <w:b/>
          <w:color w:val="auto"/>
          <w:kern w:val="0"/>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highlight w:val="none"/>
        </w:rPr>
        <w:t>。</w:t>
      </w:r>
    </w:p>
    <w:p w14:paraId="6E13C40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F418670">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3.投诉书应简要列明质疑事项，质疑函、质疑答复等作为附件材料提供。</w:t>
      </w:r>
    </w:p>
    <w:p w14:paraId="4428758C">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4.投诉书的投诉事项应具体、明确，并有必要的事实依据和法律依据。</w:t>
      </w:r>
    </w:p>
    <w:p w14:paraId="36511501">
      <w:pPr>
        <w:spacing w:line="340" w:lineRule="exact"/>
        <w:ind w:left="25" w:leftChars="12" w:firstLine="310" w:firstLineChars="147"/>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5.投诉书的投诉请求应与投诉事项相关。</w:t>
      </w:r>
    </w:p>
    <w:p w14:paraId="03804703">
      <w:pPr>
        <w:spacing w:line="340" w:lineRule="exact"/>
        <w:ind w:left="25" w:leftChars="12" w:firstLine="310" w:firstLineChars="147"/>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投诉人为法人或者其他组织的，投诉书应由法定代表人、主要负责人，或者其授权代表签字或者盖章，并加盖公章。</w:t>
      </w:r>
    </w:p>
    <w:p w14:paraId="4EBA576D">
      <w:pPr>
        <w:spacing w:line="340" w:lineRule="exact"/>
        <w:ind w:left="25" w:leftChars="12" w:firstLine="310" w:firstLineChars="147"/>
        <w:rPr>
          <w:rFonts w:hAnsi="宋体"/>
          <w:b/>
          <w:color w:val="auto"/>
          <w:kern w:val="0"/>
          <w:szCs w:val="21"/>
          <w:highlight w:val="none"/>
        </w:rPr>
      </w:pPr>
    </w:p>
    <w:p w14:paraId="3947898F">
      <w:pPr>
        <w:pStyle w:val="2"/>
        <w:rPr>
          <w:rFonts w:hint="eastAsia"/>
          <w:color w:val="auto"/>
          <w:highlight w:val="none"/>
          <w:lang w:eastAsia="zh-CN"/>
        </w:rPr>
      </w:pPr>
    </w:p>
    <w:p w14:paraId="00DF0FF1">
      <w:pPr>
        <w:rPr>
          <w:rFonts w:hint="eastAsia"/>
          <w:color w:val="auto"/>
          <w:highlight w:val="none"/>
          <w:lang w:eastAsia="zh-CN"/>
        </w:rPr>
      </w:pPr>
    </w:p>
    <w:p w14:paraId="563548CB">
      <w:pPr>
        <w:pStyle w:val="2"/>
        <w:rPr>
          <w:rFonts w:hint="eastAsia"/>
          <w:color w:val="auto"/>
          <w:highlight w:val="none"/>
          <w:lang w:eastAsia="zh-CN"/>
        </w:rPr>
      </w:pPr>
    </w:p>
    <w:p w14:paraId="2B955777">
      <w:pPr>
        <w:rPr>
          <w:rFonts w:hint="eastAsia"/>
          <w:color w:val="auto"/>
          <w:highlight w:val="none"/>
          <w:lang w:eastAsia="zh-CN"/>
        </w:rPr>
      </w:pPr>
    </w:p>
    <w:p w14:paraId="6A340D99">
      <w:pPr>
        <w:pStyle w:val="2"/>
        <w:rPr>
          <w:rFonts w:hint="eastAsia"/>
          <w:color w:val="auto"/>
          <w:highlight w:val="none"/>
          <w:lang w:eastAsia="zh-CN"/>
        </w:rPr>
      </w:pPr>
    </w:p>
    <w:p w14:paraId="45BB5468">
      <w:pPr>
        <w:rPr>
          <w:rFonts w:hint="eastAsia"/>
          <w:color w:val="auto"/>
          <w:highlight w:val="none"/>
          <w:lang w:eastAsia="zh-CN"/>
        </w:rPr>
      </w:pPr>
    </w:p>
    <w:p w14:paraId="417337A0">
      <w:pPr>
        <w:pStyle w:val="2"/>
        <w:rPr>
          <w:rFonts w:hint="eastAsia"/>
          <w:color w:val="auto"/>
          <w:highlight w:val="none"/>
          <w:lang w:eastAsia="zh-CN"/>
        </w:rPr>
      </w:pPr>
    </w:p>
    <w:p w14:paraId="34E029B5">
      <w:pPr>
        <w:rPr>
          <w:rFonts w:hint="eastAsia"/>
          <w:color w:val="auto"/>
          <w:highlight w:val="none"/>
          <w:lang w:eastAsia="zh-CN"/>
        </w:rPr>
      </w:pPr>
    </w:p>
    <w:p w14:paraId="350A138E">
      <w:pPr>
        <w:rPr>
          <w:rFonts w:hint="eastAsia"/>
          <w:color w:val="auto"/>
          <w:highlight w:val="none"/>
          <w:lang w:eastAsia="zh-CN"/>
        </w:rPr>
      </w:pPr>
    </w:p>
    <w:p w14:paraId="0105868C">
      <w:pPr>
        <w:pStyle w:val="33"/>
        <w:rPr>
          <w:rFonts w:hint="eastAsia"/>
          <w:color w:val="auto"/>
          <w:highlight w:val="none"/>
          <w:lang w:eastAsia="zh-CN"/>
        </w:rPr>
      </w:pPr>
    </w:p>
    <w:p w14:paraId="0B431D8D">
      <w:pPr>
        <w:rPr>
          <w:rFonts w:hint="eastAsia"/>
          <w:color w:val="auto"/>
          <w:highlight w:val="none"/>
          <w:lang w:eastAsia="zh-CN"/>
        </w:rPr>
      </w:pPr>
    </w:p>
    <w:p w14:paraId="3641F713">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32"/>
          <w:szCs w:val="32"/>
          <w:highlight w:val="none"/>
          <w:lang w:eastAsia="zh-CN"/>
        </w:rPr>
      </w:pPr>
      <w:bookmarkStart w:id="142" w:name="_Toc18727"/>
      <w:bookmarkStart w:id="143" w:name="_Toc28939"/>
      <w:bookmarkStart w:id="144" w:name="_Toc2989"/>
      <w:r>
        <w:rPr>
          <w:rFonts w:hint="eastAsia"/>
          <w:color w:val="auto"/>
          <w:sz w:val="32"/>
          <w:szCs w:val="32"/>
          <w:highlight w:val="none"/>
        </w:rPr>
        <w:t xml:space="preserve">第三章  </w:t>
      </w:r>
      <w:r>
        <w:rPr>
          <w:rFonts w:hint="eastAsia"/>
          <w:color w:val="auto"/>
          <w:sz w:val="32"/>
          <w:szCs w:val="32"/>
          <w:highlight w:val="none"/>
          <w:lang w:eastAsia="zh-CN"/>
        </w:rPr>
        <w:t>工程量清单</w:t>
      </w:r>
      <w:bookmarkEnd w:id="142"/>
      <w:bookmarkEnd w:id="143"/>
    </w:p>
    <w:bookmarkEnd w:id="144"/>
    <w:p w14:paraId="11B8DDFA">
      <w:pPr>
        <w:widowControl/>
        <w:adjustRightInd w:val="0"/>
        <w:snapToGrid w:val="0"/>
        <w:spacing w:line="360" w:lineRule="auto"/>
        <w:ind w:firstLine="422" w:firstLineChars="200"/>
        <w:jc w:val="left"/>
        <w:rPr>
          <w:rFonts w:hint="eastAsia" w:ascii="宋体" w:hAnsi="宋体" w:eastAsia="宋体" w:cs="宋体"/>
          <w:b w:val="0"/>
          <w:bCs w:val="0"/>
          <w:color w:val="auto"/>
          <w:spacing w:val="0"/>
          <w:kern w:val="0"/>
          <w:szCs w:val="24"/>
          <w:highlight w:val="none"/>
        </w:rPr>
      </w:pPr>
      <w:r>
        <w:rPr>
          <w:rFonts w:hint="eastAsia" w:ascii="宋体" w:hAnsi="宋体" w:eastAsia="宋体" w:cs="宋体"/>
          <w:b/>
          <w:bCs/>
          <w:color w:val="auto"/>
          <w:kern w:val="0"/>
          <w:szCs w:val="24"/>
          <w:highlight w:val="none"/>
        </w:rPr>
        <w:t>一</w:t>
      </w:r>
      <w:r>
        <w:rPr>
          <w:rFonts w:hint="eastAsia" w:ascii="宋体" w:hAnsi="宋体" w:eastAsia="宋体" w:cs="宋体"/>
          <w:b/>
          <w:bCs/>
          <w:color w:val="auto"/>
          <w:spacing w:val="0"/>
          <w:kern w:val="0"/>
          <w:szCs w:val="24"/>
          <w:highlight w:val="none"/>
        </w:rPr>
        <w:t>、本项目采购标</w:t>
      </w:r>
      <w:r>
        <w:rPr>
          <w:rFonts w:hint="eastAsia" w:ascii="宋体" w:hAnsi="宋体" w:eastAsia="宋体" w:cs="宋体"/>
          <w:b/>
          <w:bCs/>
          <w:color w:val="auto"/>
          <w:spacing w:val="0"/>
          <w:kern w:val="0"/>
          <w:szCs w:val="24"/>
          <w:highlight w:val="none"/>
          <w:lang w:eastAsia="zh-CN"/>
        </w:rPr>
        <w:t>的</w:t>
      </w:r>
      <w:r>
        <w:rPr>
          <w:rFonts w:hint="eastAsia" w:ascii="宋体" w:hAnsi="宋体" w:eastAsia="宋体" w:cs="宋体"/>
          <w:b w:val="0"/>
          <w:bCs w:val="0"/>
          <w:color w:val="auto"/>
          <w:spacing w:val="0"/>
          <w:kern w:val="0"/>
          <w:szCs w:val="24"/>
          <w:highlight w:val="none"/>
          <w:lang w:eastAsia="zh-CN"/>
        </w:rPr>
        <w:t>：</w:t>
      </w:r>
    </w:p>
    <w:p w14:paraId="37C06AA2">
      <w:pPr>
        <w:spacing w:line="360" w:lineRule="auto"/>
        <w:ind w:firstLine="420" w:firstLineChars="200"/>
        <w:rPr>
          <w:rFonts w:hint="eastAsia" w:ascii="宋体" w:hAnsi="宋体" w:cs="宋体"/>
          <w:color w:val="auto"/>
          <w:highlight w:val="none"/>
        </w:rPr>
      </w:pPr>
      <w:r>
        <w:rPr>
          <w:rFonts w:hint="eastAsia" w:ascii="宋体" w:hAnsi="宋体" w:cs="宋体"/>
          <w:color w:val="auto"/>
          <w:szCs w:val="21"/>
          <w:highlight w:val="none"/>
        </w:rPr>
        <w:t>1.项目名称：</w:t>
      </w:r>
      <w:r>
        <w:rPr>
          <w:rFonts w:hint="eastAsia" w:ascii="宋体" w:hAnsi="宋体" w:cs="宋体"/>
          <w:b w:val="0"/>
          <w:bCs w:val="0"/>
          <w:color w:val="auto"/>
          <w:spacing w:val="0"/>
          <w:kern w:val="0"/>
          <w:szCs w:val="24"/>
          <w:highlight w:val="none"/>
          <w:lang w:eastAsia="zh-CN"/>
        </w:rPr>
        <w:t>桂林市秀峰房产管理处2025年公共租赁住房大修工程</w:t>
      </w:r>
    </w:p>
    <w:p w14:paraId="210B5E4B">
      <w:pPr>
        <w:spacing w:line="360" w:lineRule="auto"/>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2.建设地点：</w:t>
      </w:r>
      <w:r>
        <w:rPr>
          <w:rFonts w:hint="eastAsia" w:ascii="宋体" w:hAnsi="宋体" w:cs="宋体"/>
          <w:color w:val="auto"/>
          <w:szCs w:val="21"/>
          <w:highlight w:val="none"/>
          <w:lang w:val="en-US" w:eastAsia="zh-CN"/>
        </w:rPr>
        <w:t>桂林市秀峰区</w:t>
      </w:r>
    </w:p>
    <w:p w14:paraId="43ADB27F">
      <w:pPr>
        <w:adjustRightInd w:val="0"/>
        <w:snapToGrid w:val="0"/>
        <w:spacing w:line="360" w:lineRule="auto"/>
        <w:ind w:firstLine="420" w:firstLineChars="200"/>
        <w:rPr>
          <w:rFonts w:hint="eastAsia" w:ascii="宋体" w:hAnsi="宋体" w:cs="宋体"/>
          <w:b/>
          <w:bCs/>
          <w:color w:val="auto"/>
          <w:kern w:val="0"/>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.建设规模</w:t>
      </w:r>
      <w:r>
        <w:rPr>
          <w:rFonts w:hint="eastAsia" w:ascii="宋体" w:hAnsi="宋体" w:eastAsia="宋体" w:cs="宋体"/>
          <w:color w:val="auto"/>
          <w:szCs w:val="24"/>
          <w:highlight w:val="none"/>
        </w:rPr>
        <w:t>：</w:t>
      </w:r>
      <w:r>
        <w:rPr>
          <w:rFonts w:hint="eastAsia" w:ascii="宋体" w:hAnsi="宋体" w:cs="宋体"/>
          <w:color w:val="auto"/>
          <w:highlight w:val="none"/>
        </w:rPr>
        <w:t>本项目为</w:t>
      </w:r>
      <w:r>
        <w:rPr>
          <w:rFonts w:hint="eastAsia" w:ascii="宋体" w:hAnsi="宋体" w:cs="宋体"/>
          <w:color w:val="auto"/>
          <w:highlight w:val="none"/>
          <w:lang w:eastAsia="zh-CN"/>
        </w:rPr>
        <w:t>桂林市秀峰房产管理处2025年公共租赁住房大修工程</w:t>
      </w:r>
      <w:r>
        <w:rPr>
          <w:rFonts w:hint="eastAsia" w:ascii="宋体" w:hAnsi="宋体" w:cs="宋体"/>
          <w:color w:val="auto"/>
          <w:highlight w:val="none"/>
        </w:rPr>
        <w:t>，主要建设内容：屋面防水，外墙装饰装修，管道、电气安装等等</w:t>
      </w:r>
      <w:r>
        <w:rPr>
          <w:rFonts w:hint="eastAsia" w:ascii="宋体" w:hAnsi="宋体" w:cs="宋体"/>
          <w:color w:val="auto"/>
          <w:szCs w:val="21"/>
          <w:highlight w:val="none"/>
          <w:lang w:val="en-US" w:eastAsia="zh-CN"/>
        </w:rPr>
        <w:t>。</w:t>
      </w:r>
    </w:p>
    <w:p w14:paraId="3DFBAD12">
      <w:pPr>
        <w:adjustRightInd w:val="0"/>
        <w:snapToGrid w:val="0"/>
        <w:spacing w:line="360" w:lineRule="auto"/>
        <w:ind w:firstLine="422" w:firstLineChars="200"/>
        <w:rPr>
          <w:rFonts w:hint="eastAsia" w:ascii="宋体" w:hAnsi="宋体" w:cs="宋体"/>
          <w:b/>
          <w:bCs/>
          <w:color w:val="auto"/>
          <w:kern w:val="0"/>
          <w:highlight w:val="none"/>
        </w:rPr>
      </w:pPr>
      <w:r>
        <w:rPr>
          <w:rFonts w:hint="eastAsia" w:ascii="宋体" w:hAnsi="宋体" w:cs="宋体"/>
          <w:b/>
          <w:bCs/>
          <w:color w:val="auto"/>
          <w:kern w:val="0"/>
          <w:highlight w:val="none"/>
        </w:rPr>
        <w:t>二、工程量清单编制说明</w:t>
      </w:r>
    </w:p>
    <w:p w14:paraId="6D283CDD">
      <w:pPr>
        <w:adjustRightInd w:val="0"/>
        <w:snapToGrid w:val="0"/>
        <w:spacing w:line="360" w:lineRule="auto"/>
        <w:ind w:firstLine="422" w:firstLineChars="200"/>
        <w:rPr>
          <w:rFonts w:hint="eastAsia" w:ascii="宋体" w:hAnsi="宋体" w:cs="宋体"/>
          <w:b/>
          <w:bCs/>
          <w:color w:val="auto"/>
          <w:kern w:val="0"/>
          <w:highlight w:val="none"/>
        </w:rPr>
      </w:pPr>
      <w:bookmarkStart w:id="145" w:name="_Toc454196569"/>
      <w:bookmarkStart w:id="146" w:name="_Toc439792838"/>
      <w:bookmarkStart w:id="147" w:name="_Toc454197593"/>
      <w:bookmarkStart w:id="148" w:name="_Toc12832"/>
      <w:bookmarkStart w:id="149" w:name="_Toc11828"/>
      <w:bookmarkStart w:id="150" w:name="_Toc529260341"/>
      <w:r>
        <w:rPr>
          <w:rFonts w:hint="eastAsia" w:ascii="宋体" w:hAnsi="宋体" w:cs="宋体"/>
          <w:b/>
          <w:bCs/>
          <w:color w:val="auto"/>
          <w:kern w:val="0"/>
          <w:highlight w:val="none"/>
        </w:rPr>
        <w:t>1.编制工程量清单的参考说明</w:t>
      </w:r>
      <w:bookmarkEnd w:id="145"/>
      <w:bookmarkEnd w:id="146"/>
      <w:bookmarkEnd w:id="147"/>
      <w:bookmarkEnd w:id="148"/>
      <w:bookmarkEnd w:id="149"/>
      <w:bookmarkEnd w:id="150"/>
    </w:p>
    <w:p w14:paraId="7B54FD91">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1.1 本工程采用工程量清单计价。</w:t>
      </w:r>
    </w:p>
    <w:p w14:paraId="32A0090B">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计价和工程量计算规则按我区现行《建设工程工程量清单计价规范》及计价定额等有关规定执行。</w:t>
      </w:r>
    </w:p>
    <w:p w14:paraId="209FFD0E">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1.2 工程量清单应与供应商须知、合同协议条款、合同的通用条款、合同专用条款、技术规范及图纸等文件一起结合使用。</w:t>
      </w:r>
    </w:p>
    <w:p w14:paraId="0071AF32">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1.3 工程量清单中所列工程量是按照现有图纸及有关资料依据建设行政主管部门所颁布的计量规则计算的，它是采购文件的组成部分，作为竞标总报价的共同基础。中标后结算支付，以经审图公司审定的设计图纸和设计变更实际工程量为依据，按中标单位投标所报的工程量清单的单价支付费用。</w:t>
      </w:r>
    </w:p>
    <w:p w14:paraId="4B93366B">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1.4 对工程和材料的一般指示或说明已写于合同文件、图纸和技术规范内。给工程量清单各细目标价前，须参阅合同文件和技术规范的有关部分。</w:t>
      </w:r>
    </w:p>
    <w:p w14:paraId="30398EBC">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1.5 所有报价应以人民币表示。</w:t>
      </w:r>
    </w:p>
    <w:p w14:paraId="7BC7D258">
      <w:pPr>
        <w:adjustRightInd w:val="0"/>
        <w:snapToGrid w:val="0"/>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1.6工程量清单另册发放。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w:t>
      </w:r>
    </w:p>
    <w:p w14:paraId="4991B7CA">
      <w:pPr>
        <w:adjustRightInd w:val="0"/>
        <w:snapToGrid w:val="0"/>
        <w:spacing w:line="360" w:lineRule="auto"/>
        <w:ind w:firstLine="422" w:firstLineChars="200"/>
        <w:rPr>
          <w:rFonts w:hint="eastAsia" w:ascii="宋体" w:hAnsi="宋体" w:cs="宋体"/>
          <w:b/>
          <w:bCs/>
          <w:color w:val="auto"/>
          <w:kern w:val="0"/>
          <w:highlight w:val="none"/>
        </w:rPr>
      </w:pPr>
      <w:bookmarkStart w:id="151" w:name="_Toc22027"/>
      <w:bookmarkStart w:id="152" w:name="_Toc529260342"/>
      <w:bookmarkStart w:id="153" w:name="_Toc8440"/>
      <w:bookmarkStart w:id="154" w:name="_Toc454197594"/>
      <w:bookmarkStart w:id="155" w:name="_Toc454196570"/>
      <w:r>
        <w:rPr>
          <w:rFonts w:hint="eastAsia" w:ascii="宋体" w:hAnsi="宋体" w:cs="宋体"/>
          <w:b/>
          <w:bCs/>
          <w:color w:val="auto"/>
          <w:kern w:val="0"/>
          <w:highlight w:val="none"/>
        </w:rPr>
        <w:t>2.招标控制价（最高投标限价）计算说明</w:t>
      </w:r>
      <w:bookmarkEnd w:id="151"/>
      <w:bookmarkEnd w:id="152"/>
      <w:bookmarkEnd w:id="153"/>
      <w:bookmarkEnd w:id="154"/>
      <w:bookmarkEnd w:id="155"/>
    </w:p>
    <w:p w14:paraId="39FD570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（1）计价依据：</w:t>
      </w:r>
    </w:p>
    <w:p w14:paraId="5A694AAB">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设计图纸文本及其它有关文件。</w:t>
      </w:r>
    </w:p>
    <w:p w14:paraId="60195275">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《建设工程工程量清单计价规范》广西壮族自治区实施细则（GB50500-2013)；</w:t>
      </w:r>
    </w:p>
    <w:p w14:paraId="7A14FA7D">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《建设工程工程量计算规范广西壮族自治区实施细则》（修订本）（GB50854~50862-2013)；</w:t>
      </w:r>
    </w:p>
    <w:p w14:paraId="78A851DC">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2024年《广西壮族自治区建筑工程拆除消耗量定额》及相配套费用定额；</w:t>
      </w:r>
    </w:p>
    <w:p w14:paraId="104C183E">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5</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2024年《广西壮族自治区建筑装饰装修工程消耗量定额》及相配套费用定额；</w:t>
      </w:r>
    </w:p>
    <w:p w14:paraId="1ED68472">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6</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2023年《广西壮族自治区安装工程消耗量定额》及相配套费用定额；</w:t>
      </w:r>
    </w:p>
    <w:p w14:paraId="44B21A0D">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7</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2022年《广西壮族自治区市政工程消耗量定额》及相配套费用定额</w:t>
      </w:r>
    </w:p>
    <w:p w14:paraId="28DB3481">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8</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自治区住房城乡建设厅关于调整建设工程计价增值税税率的通知(桂建标[2019]12号)调整；</w:t>
      </w:r>
    </w:p>
    <w:p w14:paraId="17469843">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9</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自治区住房城乡建设厅关于颁布2016年《广西壮族自治区建设工程费用定额》的通知(桂建标[2016]16号)；</w:t>
      </w:r>
    </w:p>
    <w:p w14:paraId="6246A924">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10</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自治区住房城乡建设厅关于调整建设工程计价增值税税率的通知(桂建标[2019]12号)调整；</w:t>
      </w:r>
    </w:p>
    <w:p w14:paraId="67654EBD">
      <w:pPr>
        <w:adjustRightInd/>
        <w:snapToGrid/>
        <w:spacing w:line="360" w:lineRule="auto"/>
        <w:ind w:firstLine="420" w:firstLineChars="200"/>
        <w:rPr>
          <w:rFonts w:hint="eastAsia"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11</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自治区住房城乡建设厅《关于调整建设工程定额人工费及有关费率的通知》（桂建标[2023]7号）；</w:t>
      </w:r>
    </w:p>
    <w:p w14:paraId="52B2A8D5">
      <w:pPr>
        <w:spacing w:line="360" w:lineRule="auto"/>
        <w:ind w:left="0" w:right="0" w:firstLine="420" w:firstLineChars="200"/>
        <w:rPr>
          <w:rFonts w:hint="eastAsia" w:ascii="宋体" w:hAnsi="宋体" w:eastAsia="宋体" w:cs="宋体"/>
          <w:b w:val="0"/>
          <w:color w:val="auto"/>
          <w:szCs w:val="24"/>
          <w:highlight w:val="none"/>
        </w:rPr>
      </w:pPr>
      <w:r>
        <w:rPr>
          <w:rFonts w:hint="eastAsia" w:ascii="宋体" w:hAnsi="宋体" w:eastAsia="宋体" w:cs="宋体"/>
          <w:color w:val="auto"/>
          <w:kern w:val="2"/>
          <w:highlight w:val="none"/>
          <w:lang w:val="en-US" w:eastAsia="zh-CN"/>
        </w:rPr>
        <w:t>12</w:t>
      </w:r>
      <w:r>
        <w:rPr>
          <w:rFonts w:hint="eastAsia" w:ascii="宋体" w:hAnsi="宋体" w:eastAsia="宋体" w:cs="宋体"/>
          <w:color w:val="auto"/>
          <w:highlight w:val="none"/>
          <w:lang w:val="en-US" w:eastAsia="zh-CN"/>
        </w:rPr>
        <w:t>）</w:t>
      </w:r>
      <w:r>
        <w:rPr>
          <w:rFonts w:hint="eastAsia" w:ascii="宋体" w:hAnsi="宋体" w:eastAsia="宋体" w:cs="宋体"/>
          <w:color w:val="auto"/>
          <w:kern w:val="2"/>
          <w:highlight w:val="none"/>
          <w:lang w:val="en-US" w:eastAsia="zh-CN"/>
        </w:rPr>
        <w:t>材料价格按《桂林市建设工程造价信息》202</w:t>
      </w:r>
      <w:r>
        <w:rPr>
          <w:rFonts w:hint="eastAsia" w:ascii="宋体" w:hAnsi="宋体" w:cs="宋体"/>
          <w:color w:val="auto"/>
          <w:kern w:val="2"/>
          <w:highlight w:val="none"/>
          <w:lang w:val="en-US" w:eastAsia="zh-CN"/>
        </w:rPr>
        <w:t>5</w:t>
      </w:r>
      <w:r>
        <w:rPr>
          <w:rFonts w:hint="eastAsia" w:ascii="宋体" w:hAnsi="宋体" w:eastAsia="宋体" w:cs="宋体"/>
          <w:color w:val="auto"/>
          <w:kern w:val="2"/>
          <w:highlight w:val="none"/>
          <w:lang w:val="en-US" w:eastAsia="zh-CN"/>
        </w:rPr>
        <w:t>年第</w:t>
      </w:r>
      <w:r>
        <w:rPr>
          <w:rFonts w:hint="eastAsia" w:ascii="宋体" w:hAnsi="宋体" w:cs="宋体"/>
          <w:color w:val="auto"/>
          <w:kern w:val="2"/>
          <w:highlight w:val="none"/>
          <w:lang w:val="en-US" w:eastAsia="zh-CN"/>
        </w:rPr>
        <w:t>5</w:t>
      </w:r>
      <w:r>
        <w:rPr>
          <w:rFonts w:hint="eastAsia" w:ascii="宋体" w:hAnsi="宋体" w:eastAsia="宋体" w:cs="宋体"/>
          <w:color w:val="auto"/>
          <w:kern w:val="2"/>
          <w:highlight w:val="none"/>
          <w:lang w:val="en-US" w:eastAsia="zh-CN"/>
        </w:rPr>
        <w:t>期桂林信息价计算。</w:t>
      </w:r>
    </w:p>
    <w:p w14:paraId="6DF3ABF0">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（2）本工程采购文件及工程量清单； </w:t>
      </w:r>
    </w:p>
    <w:p w14:paraId="105A837E">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（3）与建设项目相关的标准、规范、技术资料； </w:t>
      </w:r>
    </w:p>
    <w:p w14:paraId="67C51AEB">
      <w:pPr>
        <w:keepNext w:val="0"/>
        <w:keepLines w:val="0"/>
        <w:pageBreakBefore w:val="0"/>
        <w:widowControl/>
        <w:suppressLineNumbers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（4）施工现场情况、工程特点及常规施工方案； </w:t>
      </w:r>
    </w:p>
    <w:p w14:paraId="13B83D20">
      <w:pPr>
        <w:adjustRightInd w:val="0"/>
        <w:snapToGrid w:val="0"/>
        <w:spacing w:line="360" w:lineRule="auto"/>
        <w:ind w:firstLine="422" w:firstLineChars="200"/>
        <w:rPr>
          <w:rFonts w:hint="eastAsia" w:ascii="宋体" w:hAnsi="宋体" w:eastAsia="宋体" w:cs="宋体"/>
          <w:b/>
          <w:bCs/>
          <w:color w:val="auto"/>
          <w:kern w:val="0"/>
          <w:highlight w:val="none"/>
          <w:lang w:bidi="ar"/>
        </w:rPr>
      </w:pPr>
      <w:bookmarkStart w:id="156" w:name="_Toc256000133"/>
      <w:bookmarkStart w:id="157" w:name="_Toc83895644"/>
      <w:bookmarkStart w:id="158" w:name="_Toc407135286"/>
      <w:r>
        <w:rPr>
          <w:rFonts w:hint="eastAsia" w:ascii="宋体" w:hAnsi="宋体" w:eastAsia="宋体" w:cs="宋体"/>
          <w:b/>
          <w:bCs/>
          <w:color w:val="auto"/>
          <w:kern w:val="0"/>
          <w:highlight w:val="none"/>
          <w:lang w:bidi="ar"/>
        </w:rPr>
        <w:t>3 投标报价（已标价工程量清单）编制说明</w:t>
      </w:r>
      <w:bookmarkEnd w:id="156"/>
      <w:bookmarkEnd w:id="157"/>
      <w:bookmarkEnd w:id="158"/>
    </w:p>
    <w:p w14:paraId="2303DD2A">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3.1 </w:t>
      </w: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color w:val="auto"/>
          <w:kern w:val="0"/>
          <w:szCs w:val="21"/>
          <w:highlight w:val="none"/>
          <w:lang w:bidi="ar"/>
        </w:rPr>
        <w:t>应依据</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color w:val="auto"/>
          <w:kern w:val="0"/>
          <w:szCs w:val="21"/>
          <w:highlight w:val="none"/>
          <w:lang w:bidi="ar"/>
        </w:rPr>
        <w:t>文件、招标工程量清单以及《计价规范》、《计算规范》自主报价，自主报价不得违反计价规范强制性条文规定。</w:t>
      </w:r>
      <w:r>
        <w:rPr>
          <w:rFonts w:hint="eastAsia" w:ascii="宋体" w:hAnsi="宋体" w:eastAsia="宋体" w:cs="宋体"/>
          <w:color w:val="auto"/>
          <w:kern w:val="0"/>
          <w:szCs w:val="21"/>
          <w:highlight w:val="none"/>
          <w:lang w:val="en-US" w:eastAsia="zh-CN" w:bidi="ar"/>
        </w:rPr>
        <w:t>供应商</w:t>
      </w:r>
      <w:r>
        <w:rPr>
          <w:rFonts w:hint="eastAsia" w:ascii="宋体" w:hAnsi="宋体" w:eastAsia="宋体" w:cs="宋体"/>
          <w:color w:val="auto"/>
          <w:kern w:val="0"/>
          <w:szCs w:val="21"/>
          <w:highlight w:val="none"/>
          <w:lang w:bidi="ar"/>
        </w:rPr>
        <w:t>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8D02EB3">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3.2 </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应按招标工程量清单填报价格。项目编码、项目名称、项目特征、计量单位、工程量必须与招标工程量清单一致，</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不得对招标工程量清单项目进行增减调整。</w:t>
      </w:r>
    </w:p>
    <w:p w14:paraId="5C90E98F">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3.3 综合单价中应包含</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color w:val="auto"/>
          <w:kern w:val="0"/>
          <w:szCs w:val="21"/>
          <w:highlight w:val="none"/>
          <w:lang w:bidi="ar"/>
        </w:rPr>
        <w:t>文件中划分的应由</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承担的风险范围及其费用。</w:t>
      </w:r>
    </w:p>
    <w:p w14:paraId="7D2E57F1">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3.4 分部分项工程项目和单价措施项目，应根据</w:t>
      </w:r>
      <w:r>
        <w:rPr>
          <w:rFonts w:hint="eastAsia" w:ascii="宋体" w:hAnsi="宋体" w:eastAsia="宋体" w:cs="宋体"/>
          <w:color w:val="auto"/>
          <w:kern w:val="0"/>
          <w:szCs w:val="21"/>
          <w:highlight w:val="none"/>
          <w:lang w:eastAsia="zh-CN" w:bidi="ar"/>
        </w:rPr>
        <w:t>采购文件</w:t>
      </w:r>
      <w:r>
        <w:rPr>
          <w:rFonts w:hint="eastAsia" w:ascii="宋体" w:hAnsi="宋体" w:eastAsia="宋体" w:cs="宋体"/>
          <w:color w:val="auto"/>
          <w:kern w:val="0"/>
          <w:szCs w:val="21"/>
          <w:highlight w:val="none"/>
          <w:lang w:bidi="ar"/>
        </w:rPr>
        <w:t>和招标工程量清单项目中的特征描述确定综合单价计算。如出现招标工程量清单特征描述与设计图纸不符时，</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应以招标工程量清单的项目特征描述为准，确定投标报价的综合单价。</w:t>
      </w:r>
    </w:p>
    <w:p w14:paraId="3CCCF253">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3.5 总价措施项目的金额应根据</w:t>
      </w:r>
      <w:r>
        <w:rPr>
          <w:rFonts w:hint="eastAsia" w:ascii="宋体" w:hAnsi="宋体" w:eastAsia="宋体" w:cs="宋体"/>
          <w:color w:val="auto"/>
          <w:kern w:val="0"/>
          <w:szCs w:val="21"/>
          <w:highlight w:val="none"/>
          <w:lang w:val="en-US" w:eastAsia="zh-CN" w:bidi="ar"/>
        </w:rPr>
        <w:t>采购</w:t>
      </w:r>
      <w:r>
        <w:rPr>
          <w:rFonts w:hint="eastAsia" w:ascii="宋体" w:hAnsi="宋体" w:eastAsia="宋体" w:cs="宋体"/>
          <w:color w:val="auto"/>
          <w:kern w:val="0"/>
          <w:szCs w:val="21"/>
          <w:highlight w:val="none"/>
          <w:lang w:bidi="ar"/>
        </w:rPr>
        <w:t>文件及投标时拟定的施工组织设计或施工方案，按计价规范的规定自主确定。但安全文明施工费按国家、省级或行业建设主管部门的有关规定执行，作为不竞争费用单列。</w:t>
      </w:r>
    </w:p>
    <w:p w14:paraId="552BD22B">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3.6 其他项目费应按下列规定报价：</w:t>
      </w:r>
    </w:p>
    <w:p w14:paraId="1AC5D143">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（1）暂列金额应按招标工程量清单中列出的金额填写；</w:t>
      </w:r>
    </w:p>
    <w:p w14:paraId="70BD8069">
      <w:pPr>
        <w:widowControl/>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（2）材料、工程设备暂估价应按招标工程量清单中列出的单价计入综合单价；</w:t>
      </w:r>
    </w:p>
    <w:p w14:paraId="12833AFC">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（3）专业工程暂估价应按招标工程量清单中列出的金额填写；</w:t>
      </w:r>
    </w:p>
    <w:p w14:paraId="6072DDC9">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（4）计日工应按招标工程量清单中列出的项目和估算数量，自主确定综合单价并计算计日工总额；计日工单价均不含规费和税金；</w:t>
      </w:r>
    </w:p>
    <w:p w14:paraId="5532A5AF">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（5）总承包服务费应根据招标工程量清单中列出的内容和供应材料、设备情况，按照招标人提出的协调、配合与服务要求和施工现场管理需要自主确定。</w:t>
      </w:r>
    </w:p>
    <w:p w14:paraId="72FEBA48">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（6）对建设单位创建优质工程的，鼓励在招标控制价和预算中按我区工程建设定额规定计列工程优质费，并明确工程优质费不可竞争。</w:t>
      </w:r>
    </w:p>
    <w:p w14:paraId="4B462729">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3.7 规费和增值税应按规定确定，作为不可竞争费用。</w:t>
      </w:r>
    </w:p>
    <w:p w14:paraId="38D2DD0C">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3.8 招标工程量清单与计价表中列明的所有需要填写的单价和合价的项目，</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均应填写且只允许有一个报价。未填写单价和合价的项目，视为此项费用已包含在已标价工程量清单中其他项目的单价和合价之中。竣工结算时，此项目不得重新组价予以调整。</w:t>
      </w:r>
    </w:p>
    <w:p w14:paraId="23A336EE">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3.9 投标总价应当与分部分项工程费、措施项目费、其他项目费和规费、增值税的合计金额一致。</w:t>
      </w:r>
    </w:p>
    <w:p w14:paraId="546D6EF7">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3.10 </w:t>
      </w:r>
      <w:r>
        <w:rPr>
          <w:rFonts w:hint="eastAsia" w:ascii="宋体" w:hAnsi="宋体" w:eastAsia="宋体" w:cs="宋体"/>
          <w:color w:val="auto"/>
          <w:kern w:val="0"/>
          <w:szCs w:val="21"/>
          <w:highlight w:val="none"/>
          <w:lang w:eastAsia="zh-CN" w:bidi="ar"/>
        </w:rPr>
        <w:t>供应商</w:t>
      </w:r>
      <w:r>
        <w:rPr>
          <w:rFonts w:hint="eastAsia" w:ascii="宋体" w:hAnsi="宋体" w:eastAsia="宋体" w:cs="宋体"/>
          <w:color w:val="auto"/>
          <w:kern w:val="0"/>
          <w:szCs w:val="21"/>
          <w:highlight w:val="none"/>
          <w:lang w:bidi="ar"/>
        </w:rPr>
        <w:t>应按《允许调整主要材料和工程设备一览表》的内容填报，不得擅自调整材料和设备名称型号规格、单位、风险系数、基准单价。</w:t>
      </w:r>
    </w:p>
    <w:p w14:paraId="288A9A4B">
      <w:pPr>
        <w:widowControl/>
        <w:spacing w:line="360" w:lineRule="auto"/>
        <w:ind w:firstLine="420" w:firstLineChars="20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3.11投标报价表格按本工程工程量清单表格要求填写，并应按</w:t>
      </w:r>
      <w:r>
        <w:rPr>
          <w:rFonts w:hint="eastAsia" w:ascii="宋体" w:hAnsi="宋体" w:eastAsia="宋体" w:cs="宋体"/>
          <w:color w:val="auto"/>
          <w:kern w:val="0"/>
          <w:szCs w:val="21"/>
          <w:highlight w:val="none"/>
          <w:lang w:eastAsia="zh-CN" w:bidi="ar"/>
        </w:rPr>
        <w:t>采购文件</w:t>
      </w:r>
      <w:r>
        <w:rPr>
          <w:rFonts w:hint="eastAsia" w:ascii="宋体" w:hAnsi="宋体" w:eastAsia="宋体" w:cs="宋体"/>
          <w:color w:val="auto"/>
          <w:kern w:val="0"/>
          <w:szCs w:val="21"/>
          <w:highlight w:val="none"/>
          <w:lang w:bidi="ar"/>
        </w:rPr>
        <w:t>的要求，附上《工程量清单综合单价分析表》（表-09）和《主要清单项目工料机分析表》（表-10）。</w:t>
      </w:r>
    </w:p>
    <w:p w14:paraId="7FB21861">
      <w:pPr>
        <w:widowControl/>
        <w:spacing w:line="360" w:lineRule="auto"/>
        <w:ind w:left="0" w:right="0"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lang w:bidi="ar"/>
        </w:rPr>
        <w:t>未尽事</w:t>
      </w:r>
      <w:r>
        <w:rPr>
          <w:rFonts w:hint="eastAsia" w:ascii="宋体" w:hAnsi="宋体" w:eastAsia="宋体" w:cs="宋体"/>
          <w:color w:val="auto"/>
          <w:highlight w:val="none"/>
        </w:rPr>
        <w:t>宜详见本工程招标工程量清单、预算编制说明以及现行国家相关规定执行。</w:t>
      </w:r>
    </w:p>
    <w:p w14:paraId="17876F5F">
      <w:pPr>
        <w:numPr>
          <w:ilvl w:val="0"/>
          <w:numId w:val="0"/>
        </w:numPr>
        <w:adjustRightInd/>
        <w:snapToGrid/>
        <w:spacing w:line="360" w:lineRule="auto"/>
        <w:ind w:right="210" w:firstLine="422" w:firstLineChars="200"/>
        <w:rPr>
          <w:rFonts w:hint="eastAsia" w:ascii="宋体" w:hAnsi="宋体" w:eastAsia="宋体" w:cs="宋体"/>
          <w:b/>
          <w:bCs w:val="0"/>
          <w:color w:val="auto"/>
          <w:kern w:val="2"/>
          <w:szCs w:val="21"/>
          <w:highlight w:val="none"/>
          <w:lang w:val="en-US" w:eastAsia="zh-CN"/>
        </w:rPr>
      </w:pPr>
      <w:r>
        <w:rPr>
          <w:rFonts w:hint="eastAsia" w:ascii="宋体" w:hAnsi="宋体" w:eastAsia="宋体" w:cs="宋体"/>
          <w:b/>
          <w:bCs w:val="0"/>
          <w:color w:val="auto"/>
          <w:kern w:val="2"/>
          <w:szCs w:val="21"/>
          <w:highlight w:val="none"/>
          <w:lang w:val="en-US" w:eastAsia="zh-CN"/>
        </w:rPr>
        <w:t>三、 本工程总造价为人民币</w:t>
      </w:r>
      <w:r>
        <w:rPr>
          <w:rFonts w:hint="eastAsia" w:ascii="宋体" w:hAnsi="宋体" w:cs="宋体"/>
          <w:b/>
          <w:bCs w:val="0"/>
          <w:color w:val="auto"/>
          <w:kern w:val="2"/>
          <w:szCs w:val="21"/>
          <w:highlight w:val="none"/>
          <w:lang w:val="en-US" w:eastAsia="zh-CN"/>
        </w:rPr>
        <w:t>柒拾捌万零肆佰陆拾柒元壹角捌分</w:t>
      </w:r>
      <w:r>
        <w:rPr>
          <w:rFonts w:hint="eastAsia" w:ascii="宋体" w:hAnsi="宋体" w:eastAsia="宋体" w:cs="宋体"/>
          <w:b/>
          <w:bCs w:val="0"/>
          <w:color w:val="auto"/>
          <w:kern w:val="2"/>
          <w:szCs w:val="21"/>
          <w:highlight w:val="none"/>
          <w:lang w:val="en-US" w:eastAsia="zh-CN"/>
        </w:rPr>
        <w:t>（￥</w:t>
      </w:r>
      <w:r>
        <w:rPr>
          <w:rFonts w:hint="eastAsia" w:ascii="宋体" w:hAnsi="宋体" w:cs="宋体"/>
          <w:b/>
          <w:bCs w:val="0"/>
          <w:color w:val="auto"/>
          <w:kern w:val="2"/>
          <w:szCs w:val="21"/>
          <w:highlight w:val="none"/>
          <w:lang w:val="en-US" w:eastAsia="zh-CN"/>
        </w:rPr>
        <w:t>780467.18</w:t>
      </w:r>
      <w:r>
        <w:rPr>
          <w:rFonts w:hint="eastAsia" w:ascii="宋体" w:hAnsi="宋体" w:eastAsia="宋体" w:cs="宋体"/>
          <w:b/>
          <w:bCs w:val="0"/>
          <w:color w:val="auto"/>
          <w:kern w:val="2"/>
          <w:szCs w:val="21"/>
          <w:highlight w:val="none"/>
          <w:lang w:val="en-US" w:eastAsia="zh-CN"/>
        </w:rPr>
        <w:t>）。</w:t>
      </w:r>
    </w:p>
    <w:p w14:paraId="7A3F5293">
      <w:pPr>
        <w:numPr>
          <w:ilvl w:val="0"/>
          <w:numId w:val="0"/>
        </w:numPr>
        <w:adjustRightInd/>
        <w:snapToGrid/>
        <w:spacing w:line="360" w:lineRule="auto"/>
        <w:ind w:right="210" w:firstLine="422" w:firstLineChars="200"/>
        <w:rPr>
          <w:rFonts w:hint="eastAsia" w:ascii="宋体" w:hAnsi="宋体" w:eastAsia="宋体" w:cs="宋体"/>
          <w:b/>
          <w:bCs w:val="0"/>
          <w:color w:val="auto"/>
          <w:kern w:val="2"/>
          <w:szCs w:val="21"/>
          <w:highlight w:val="none"/>
          <w:lang w:val="en-US" w:eastAsia="zh-CN"/>
        </w:rPr>
      </w:pPr>
      <w:r>
        <w:rPr>
          <w:rFonts w:hint="eastAsia" w:ascii="宋体" w:hAnsi="宋体" w:eastAsia="宋体" w:cs="宋体"/>
          <w:b/>
          <w:bCs w:val="0"/>
          <w:color w:val="auto"/>
          <w:kern w:val="2"/>
          <w:szCs w:val="21"/>
          <w:highlight w:val="none"/>
        </w:rPr>
        <w:t>本项目政府采购</w:t>
      </w:r>
      <w:r>
        <w:rPr>
          <w:rFonts w:hint="eastAsia" w:ascii="宋体" w:hAnsi="宋体" w:eastAsia="宋体" w:cs="宋体"/>
          <w:b/>
          <w:bCs w:val="0"/>
          <w:color w:val="auto"/>
          <w:kern w:val="2"/>
          <w:szCs w:val="21"/>
          <w:highlight w:val="none"/>
          <w:lang w:val="en-US" w:eastAsia="zh-CN"/>
        </w:rPr>
        <w:t>最高磋商限价</w:t>
      </w:r>
      <w:r>
        <w:rPr>
          <w:rFonts w:hint="eastAsia" w:ascii="宋体" w:hAnsi="宋体" w:eastAsia="宋体" w:cs="宋体"/>
          <w:b/>
          <w:bCs w:val="0"/>
          <w:color w:val="auto"/>
          <w:kern w:val="2"/>
          <w:szCs w:val="21"/>
          <w:highlight w:val="none"/>
        </w:rPr>
        <w:t>为（人民币）</w:t>
      </w:r>
      <w:r>
        <w:rPr>
          <w:rFonts w:hint="eastAsia" w:ascii="宋体" w:hAnsi="宋体" w:eastAsia="宋体" w:cs="宋体"/>
          <w:b/>
          <w:color w:val="auto"/>
          <w:kern w:val="2"/>
          <w:szCs w:val="21"/>
          <w:highlight w:val="none"/>
        </w:rPr>
        <w:t>：</w:t>
      </w:r>
      <w:r>
        <w:rPr>
          <w:rFonts w:hint="eastAsia" w:ascii="宋体" w:hAnsi="宋体" w:cs="宋体"/>
          <w:b/>
          <w:bCs w:val="0"/>
          <w:color w:val="auto"/>
          <w:kern w:val="2"/>
          <w:szCs w:val="21"/>
          <w:highlight w:val="none"/>
          <w:lang w:val="en-US" w:eastAsia="zh-CN"/>
        </w:rPr>
        <w:t>柒拾捌万零肆佰陆拾柒元壹角捌分</w:t>
      </w:r>
      <w:r>
        <w:rPr>
          <w:rFonts w:hint="eastAsia" w:ascii="宋体" w:hAnsi="宋体" w:eastAsia="宋体" w:cs="宋体"/>
          <w:b/>
          <w:bCs w:val="0"/>
          <w:color w:val="auto"/>
          <w:kern w:val="2"/>
          <w:szCs w:val="21"/>
          <w:highlight w:val="none"/>
          <w:lang w:val="en-US" w:eastAsia="zh-CN"/>
        </w:rPr>
        <w:t>（￥</w:t>
      </w:r>
      <w:r>
        <w:rPr>
          <w:rFonts w:hint="eastAsia" w:ascii="宋体" w:hAnsi="宋体" w:cs="宋体"/>
          <w:b/>
          <w:bCs w:val="0"/>
          <w:color w:val="auto"/>
          <w:kern w:val="2"/>
          <w:szCs w:val="21"/>
          <w:highlight w:val="none"/>
          <w:lang w:val="en-US" w:eastAsia="zh-CN"/>
        </w:rPr>
        <w:t>780467.18</w:t>
      </w:r>
      <w:r>
        <w:rPr>
          <w:rFonts w:hint="eastAsia" w:ascii="宋体" w:hAnsi="宋体" w:eastAsia="宋体" w:cs="宋体"/>
          <w:b/>
          <w:bCs w:val="0"/>
          <w:color w:val="auto"/>
          <w:kern w:val="2"/>
          <w:szCs w:val="21"/>
          <w:highlight w:val="none"/>
          <w:lang w:val="en-US" w:eastAsia="zh-CN"/>
        </w:rPr>
        <w:t>）</w:t>
      </w:r>
      <w:r>
        <w:rPr>
          <w:rFonts w:hint="eastAsia" w:ascii="宋体" w:hAnsi="宋体" w:eastAsia="宋体" w:cs="宋体"/>
          <w:b/>
          <w:color w:val="auto"/>
          <w:szCs w:val="21"/>
          <w:highlight w:val="none"/>
          <w:lang w:val="en-US" w:eastAsia="zh-CN"/>
        </w:rPr>
        <w:t>，</w:t>
      </w:r>
    </w:p>
    <w:p w14:paraId="597A2CAC">
      <w:pPr>
        <w:numPr>
          <w:ilvl w:val="0"/>
          <w:numId w:val="0"/>
        </w:numPr>
        <w:spacing w:line="360" w:lineRule="auto"/>
        <w:ind w:right="21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供应商的第二次磋商</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报价不得高于该供应商第一次磋商</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报价，否则做无效标处理。如供应商维持</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报价不变，以原磋商</w:t>
      </w:r>
      <w:r>
        <w:rPr>
          <w:rFonts w:hint="eastAsia" w:ascii="宋体" w:hAnsi="宋体" w:eastAsia="宋体" w:cs="宋体"/>
          <w:b/>
          <w:color w:val="auto"/>
          <w:szCs w:val="21"/>
          <w:highlight w:val="none"/>
          <w:lang w:val="en-US" w:eastAsia="zh-CN"/>
        </w:rPr>
        <w:t>总</w:t>
      </w:r>
      <w:r>
        <w:rPr>
          <w:rFonts w:hint="eastAsia" w:ascii="宋体" w:hAnsi="宋体" w:eastAsia="宋体" w:cs="宋体"/>
          <w:b/>
          <w:color w:val="auto"/>
          <w:szCs w:val="21"/>
          <w:highlight w:val="none"/>
        </w:rPr>
        <w:t>报价作为供应商最后报价</w:t>
      </w:r>
      <w:r>
        <w:rPr>
          <w:rFonts w:hint="eastAsia" w:ascii="宋体" w:hAnsi="宋体" w:eastAsia="宋体" w:cs="宋体"/>
          <w:b/>
          <w:bCs w:val="0"/>
          <w:color w:val="auto"/>
          <w:szCs w:val="21"/>
          <w:highlight w:val="none"/>
        </w:rPr>
        <w:t>；如供应商需要改变原磋商</w:t>
      </w:r>
      <w:r>
        <w:rPr>
          <w:rFonts w:hint="eastAsia" w:ascii="宋体" w:hAnsi="宋体" w:eastAsia="宋体" w:cs="宋体"/>
          <w:b/>
          <w:color w:val="auto"/>
          <w:szCs w:val="21"/>
          <w:highlight w:val="none"/>
          <w:lang w:val="en-US" w:eastAsia="zh-CN"/>
        </w:rPr>
        <w:t>总</w:t>
      </w:r>
      <w:r>
        <w:rPr>
          <w:rFonts w:hint="eastAsia" w:ascii="宋体" w:hAnsi="宋体" w:eastAsia="宋体" w:cs="宋体"/>
          <w:b/>
          <w:bCs w:val="0"/>
          <w:color w:val="auto"/>
          <w:szCs w:val="21"/>
          <w:highlight w:val="none"/>
        </w:rPr>
        <w:t>报价时，</w:t>
      </w:r>
      <w:r>
        <w:rPr>
          <w:rFonts w:hint="eastAsia" w:ascii="宋体" w:hAnsi="宋体" w:eastAsia="宋体" w:cs="宋体"/>
          <w:b/>
          <w:color w:val="auto"/>
          <w:szCs w:val="21"/>
          <w:highlight w:val="none"/>
        </w:rPr>
        <w:t>供应商应预先准备好调整后的</w:t>
      </w:r>
      <w:r>
        <w:rPr>
          <w:rFonts w:hint="eastAsia" w:ascii="宋体" w:hAnsi="宋体" w:eastAsia="宋体" w:cs="宋体"/>
          <w:b/>
          <w:color w:val="auto"/>
          <w:szCs w:val="21"/>
          <w:highlight w:val="none"/>
          <w:lang w:eastAsia="zh-CN"/>
        </w:rPr>
        <w:t>已标价的工程量清单</w:t>
      </w:r>
      <w:r>
        <w:rPr>
          <w:rFonts w:hint="eastAsia" w:ascii="宋体" w:hAnsi="宋体" w:eastAsia="宋体" w:cs="宋体"/>
          <w:b/>
          <w:color w:val="auto"/>
          <w:szCs w:val="21"/>
          <w:highlight w:val="none"/>
          <w:lang w:val="en-US" w:eastAsia="zh-CN"/>
        </w:rPr>
        <w:t>电子版在最终报价时上传广西政府采购云平台系统提交</w:t>
      </w:r>
      <w:r>
        <w:rPr>
          <w:rFonts w:hint="eastAsia" w:ascii="宋体" w:hAnsi="宋体" w:eastAsia="宋体" w:cs="宋体"/>
          <w:b/>
          <w:color w:val="auto"/>
          <w:szCs w:val="21"/>
          <w:highlight w:val="none"/>
        </w:rPr>
        <w:t>。如供应商在磋商过程中，改变原报价且未按竞争性磋商采购文件要求提供调整后的</w:t>
      </w:r>
      <w:r>
        <w:rPr>
          <w:rFonts w:hint="eastAsia" w:ascii="宋体" w:hAnsi="宋体" w:eastAsia="宋体" w:cs="宋体"/>
          <w:b/>
          <w:color w:val="auto"/>
          <w:szCs w:val="21"/>
          <w:highlight w:val="none"/>
          <w:lang w:eastAsia="zh-CN"/>
        </w:rPr>
        <w:t>磋商报价</w:t>
      </w:r>
      <w:r>
        <w:rPr>
          <w:rFonts w:hint="eastAsia" w:ascii="宋体" w:hAnsi="宋体" w:eastAsia="宋体" w:cs="宋体"/>
          <w:b/>
          <w:color w:val="auto"/>
          <w:szCs w:val="21"/>
          <w:highlight w:val="none"/>
          <w:lang w:val="en-US" w:eastAsia="zh-CN"/>
        </w:rPr>
        <w:t>电子版</w:t>
      </w:r>
      <w:r>
        <w:rPr>
          <w:rFonts w:hint="eastAsia" w:ascii="宋体" w:hAnsi="宋体" w:eastAsia="宋体" w:cs="宋体"/>
          <w:b/>
          <w:color w:val="auto"/>
          <w:szCs w:val="21"/>
          <w:highlight w:val="none"/>
        </w:rPr>
        <w:t>的，其报价不予认可，视供应商维持原磋商报价不变。</w:t>
      </w:r>
    </w:p>
    <w:p w14:paraId="556AA91E">
      <w:pPr>
        <w:numPr>
          <w:ilvl w:val="0"/>
          <w:numId w:val="0"/>
        </w:numPr>
        <w:spacing w:line="360" w:lineRule="auto"/>
        <w:ind w:right="210" w:firstLine="422" w:firstLineChars="200"/>
        <w:rPr>
          <w:rFonts w:hint="eastAsia"/>
          <w:color w:val="auto"/>
          <w:highlight w:val="none"/>
        </w:rPr>
      </w:pPr>
      <w:r>
        <w:rPr>
          <w:rFonts w:hint="eastAsia" w:ascii="宋体" w:hAnsi="宋体" w:eastAsia="宋体" w:cs="宋体"/>
          <w:b/>
          <w:color w:val="auto"/>
          <w:szCs w:val="21"/>
          <w:highlight w:val="none"/>
          <w:lang w:val="en-US" w:eastAsia="zh-CN"/>
        </w:rPr>
        <w:t>供应商的磋商工程总报价</w:t>
      </w:r>
      <w:r>
        <w:rPr>
          <w:rFonts w:hint="eastAsia" w:ascii="宋体" w:hAnsi="宋体" w:eastAsia="宋体" w:cs="宋体"/>
          <w:b/>
          <w:color w:val="auto"/>
          <w:sz w:val="21"/>
          <w:szCs w:val="21"/>
          <w:highlight w:val="none"/>
          <w:lang w:val="en-US" w:eastAsia="zh-CN"/>
        </w:rPr>
        <w:t>不能</w:t>
      </w:r>
      <w:r>
        <w:rPr>
          <w:rFonts w:hint="eastAsia" w:ascii="宋体" w:hAnsi="宋体" w:eastAsia="宋体" w:cs="宋体"/>
          <w:b/>
          <w:color w:val="auto"/>
          <w:szCs w:val="21"/>
          <w:highlight w:val="none"/>
          <w:lang w:val="en-US" w:eastAsia="zh-CN"/>
        </w:rPr>
        <w:t>高于本项目</w:t>
      </w:r>
      <w:r>
        <w:rPr>
          <w:rFonts w:hint="eastAsia" w:ascii="宋体" w:hAnsi="宋体" w:eastAsia="宋体" w:cs="宋体"/>
          <w:b/>
          <w:bCs w:val="0"/>
          <w:color w:val="auto"/>
          <w:kern w:val="2"/>
          <w:szCs w:val="21"/>
          <w:highlight w:val="none"/>
          <w:lang w:val="en-US" w:eastAsia="zh-CN"/>
        </w:rPr>
        <w:t>最高磋商限价</w:t>
      </w:r>
      <w:r>
        <w:rPr>
          <w:rFonts w:hint="eastAsia" w:ascii="宋体" w:hAnsi="宋体" w:eastAsia="宋体" w:cs="宋体"/>
          <w:b/>
          <w:color w:val="auto"/>
          <w:sz w:val="21"/>
          <w:szCs w:val="21"/>
          <w:highlight w:val="none"/>
          <w:lang w:val="en-US" w:eastAsia="zh-CN"/>
        </w:rPr>
        <w:t>，否则作无效标处理。</w:t>
      </w:r>
    </w:p>
    <w:p w14:paraId="4412BE89">
      <w:pPr>
        <w:numPr>
          <w:ilvl w:val="0"/>
          <w:numId w:val="0"/>
        </w:numPr>
        <w:adjustRightInd/>
        <w:snapToGrid/>
        <w:spacing w:line="360" w:lineRule="auto"/>
        <w:ind w:right="210" w:firstLine="422" w:firstLineChars="200"/>
        <w:rPr>
          <w:rFonts w:hint="eastAsia" w:ascii="宋体" w:hAnsi="宋体" w:eastAsia="宋体" w:cs="宋体"/>
          <w:b/>
          <w:bCs w:val="0"/>
          <w:color w:val="auto"/>
          <w:kern w:val="2"/>
          <w:szCs w:val="21"/>
          <w:highlight w:val="none"/>
        </w:rPr>
      </w:pPr>
      <w:r>
        <w:rPr>
          <w:rFonts w:hint="eastAsia" w:ascii="宋体" w:hAnsi="宋体" w:eastAsia="宋体" w:cs="宋体"/>
          <w:b/>
          <w:bCs w:val="0"/>
          <w:color w:val="auto"/>
          <w:kern w:val="2"/>
          <w:szCs w:val="21"/>
          <w:highlight w:val="none"/>
          <w:lang w:val="en-US" w:eastAsia="zh-CN"/>
        </w:rPr>
        <w:t>四、</w:t>
      </w:r>
      <w:r>
        <w:rPr>
          <w:rFonts w:hint="eastAsia" w:ascii="宋体" w:hAnsi="宋体" w:eastAsia="宋体" w:cs="宋体"/>
          <w:b/>
          <w:bCs w:val="0"/>
          <w:color w:val="auto"/>
          <w:kern w:val="2"/>
          <w:szCs w:val="21"/>
          <w:highlight w:val="none"/>
        </w:rPr>
        <w:t>其他要求：</w:t>
      </w:r>
    </w:p>
    <w:p w14:paraId="233B8B11">
      <w:pPr>
        <w:numPr>
          <w:ilvl w:val="0"/>
          <w:numId w:val="0"/>
        </w:numPr>
        <w:spacing w:line="360" w:lineRule="auto"/>
        <w:ind w:left="0" w:leftChars="0" w:right="21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rPr>
        <w:t>质量要求：合格</w:t>
      </w:r>
    </w:p>
    <w:p w14:paraId="67A578D1">
      <w:pPr>
        <w:numPr>
          <w:ilvl w:val="0"/>
          <w:numId w:val="0"/>
        </w:numPr>
        <w:spacing w:line="360" w:lineRule="auto"/>
        <w:ind w:right="21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工期要求：</w:t>
      </w:r>
      <w:r>
        <w:rPr>
          <w:rFonts w:hint="eastAsia" w:ascii="宋体" w:hAnsi="宋体" w:cs="宋体"/>
          <w:b/>
          <w:color w:val="auto"/>
          <w:szCs w:val="21"/>
          <w:highlight w:val="none"/>
          <w:lang w:val="en-US" w:eastAsia="zh-CN"/>
        </w:rPr>
        <w:t>90</w:t>
      </w:r>
      <w:r>
        <w:rPr>
          <w:rFonts w:hint="eastAsia" w:ascii="宋体" w:hAnsi="宋体" w:eastAsia="宋体" w:cs="宋体"/>
          <w:b/>
          <w:color w:val="auto"/>
          <w:szCs w:val="21"/>
          <w:highlight w:val="none"/>
        </w:rPr>
        <w:t>日历天</w:t>
      </w:r>
    </w:p>
    <w:p w14:paraId="067F8144">
      <w:pPr>
        <w:numPr>
          <w:ilvl w:val="0"/>
          <w:numId w:val="0"/>
        </w:numPr>
        <w:spacing w:line="360" w:lineRule="auto"/>
        <w:ind w:right="21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拟投入项目管理机构配备：</w:t>
      </w:r>
    </w:p>
    <w:p w14:paraId="5CDCB46A">
      <w:pPr>
        <w:spacing w:line="360" w:lineRule="auto"/>
        <w:ind w:firstLine="420" w:firstLineChars="200"/>
        <w:rPr>
          <w:rFonts w:hint="eastAsia"/>
          <w:color w:val="auto"/>
          <w:highlight w:val="none"/>
        </w:rPr>
      </w:pPr>
      <w:r>
        <w:rPr>
          <w:rFonts w:hint="eastAsia" w:ascii="宋体" w:hAnsi="宋体" w:cs="宋体"/>
          <w:color w:val="auto"/>
          <w:kern w:val="0"/>
          <w:highlight w:val="none"/>
        </w:rPr>
        <w:t>项目经理1人；</w:t>
      </w:r>
    </w:p>
    <w:p w14:paraId="2DF005F7">
      <w:pPr>
        <w:pStyle w:val="46"/>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技术负责人1人；</w:t>
      </w:r>
    </w:p>
    <w:p w14:paraId="306115F2">
      <w:pPr>
        <w:pStyle w:val="4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施工员1人；</w:t>
      </w:r>
    </w:p>
    <w:p w14:paraId="05D503EB">
      <w:pPr>
        <w:pStyle w:val="4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质检员1人；</w:t>
      </w:r>
    </w:p>
    <w:p w14:paraId="1E231EEF">
      <w:pPr>
        <w:pStyle w:val="46"/>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材料员1人；</w:t>
      </w:r>
    </w:p>
    <w:p w14:paraId="3AAE9D38">
      <w:pPr>
        <w:pStyle w:val="46"/>
        <w:spacing w:line="360" w:lineRule="auto"/>
        <w:ind w:firstLine="420" w:firstLineChars="200"/>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资料员1人；</w:t>
      </w:r>
    </w:p>
    <w:p w14:paraId="2EAF8261">
      <w:pPr>
        <w:pStyle w:val="46"/>
        <w:spacing w:line="360" w:lineRule="auto"/>
        <w:ind w:firstLine="420" w:firstLineChars="200"/>
        <w:rPr>
          <w:rFonts w:hint="default" w:ascii="宋体" w:hAnsi="宋体" w:cs="宋体"/>
          <w:color w:val="auto"/>
          <w:kern w:val="0"/>
          <w:highlight w:val="none"/>
          <w:lang w:val="en-US" w:eastAsia="zh-CN"/>
        </w:rPr>
      </w:pPr>
      <w:r>
        <w:rPr>
          <w:rFonts w:hint="eastAsia" w:ascii="宋体" w:hAnsi="宋体" w:cs="宋体"/>
          <w:color w:val="auto"/>
          <w:kern w:val="0"/>
          <w:highlight w:val="none"/>
          <w:lang w:val="en-US" w:eastAsia="zh-CN"/>
        </w:rPr>
        <w:t>造价员1人。</w:t>
      </w:r>
    </w:p>
    <w:p w14:paraId="09DA9C2B">
      <w:pPr>
        <w:pStyle w:val="46"/>
        <w:spacing w:line="360" w:lineRule="auto"/>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专职安全生产管理人员1人，具备有效的建筑施工企业三类人员C证。</w:t>
      </w:r>
    </w:p>
    <w:p w14:paraId="5ADDAFB6">
      <w:pPr>
        <w:pStyle w:val="46"/>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4、本项目不接受有在建工程的</w:t>
      </w:r>
      <w:r>
        <w:rPr>
          <w:rFonts w:hint="eastAsia" w:ascii="宋体" w:hAnsi="宋体" w:cs="宋体"/>
          <w:color w:val="auto"/>
          <w:kern w:val="0"/>
          <w:highlight w:val="none"/>
        </w:rPr>
        <w:t>项目经理</w:t>
      </w:r>
      <w:r>
        <w:rPr>
          <w:rFonts w:hint="eastAsia" w:ascii="宋体" w:hAnsi="宋体" w:cs="宋体"/>
          <w:color w:val="auto"/>
          <w:kern w:val="0"/>
          <w:highlight w:val="none"/>
          <w:lang w:val="en-US" w:eastAsia="zh-CN"/>
        </w:rPr>
        <w:t>及</w:t>
      </w:r>
      <w:r>
        <w:rPr>
          <w:rFonts w:hint="eastAsia" w:ascii="宋体" w:hAnsi="宋体" w:eastAsia="宋体" w:cs="宋体"/>
          <w:color w:val="auto"/>
          <w:kern w:val="0"/>
          <w:highlight w:val="none"/>
        </w:rPr>
        <w:t>专职安全生产管理人员</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lang w:val="en-US" w:eastAsia="zh-CN"/>
        </w:rPr>
        <w:t>供应商在响应文件中需承诺拟投入本项目</w:t>
      </w:r>
      <w:r>
        <w:rPr>
          <w:rFonts w:hint="eastAsia" w:ascii="宋体" w:hAnsi="宋体" w:cs="宋体"/>
          <w:color w:val="auto"/>
          <w:kern w:val="0"/>
          <w:highlight w:val="none"/>
        </w:rPr>
        <w:t>项目经理</w:t>
      </w:r>
      <w:r>
        <w:rPr>
          <w:rFonts w:hint="eastAsia" w:ascii="宋体" w:hAnsi="宋体" w:cs="宋体"/>
          <w:color w:val="auto"/>
          <w:kern w:val="0"/>
          <w:highlight w:val="none"/>
          <w:lang w:val="en-US" w:eastAsia="zh-CN"/>
        </w:rPr>
        <w:t>及</w:t>
      </w:r>
      <w:r>
        <w:rPr>
          <w:rFonts w:hint="eastAsia" w:ascii="宋体" w:hAnsi="宋体" w:eastAsia="宋体" w:cs="宋体"/>
          <w:color w:val="auto"/>
          <w:kern w:val="0"/>
          <w:highlight w:val="none"/>
        </w:rPr>
        <w:t>专职安全生产管理人员</w:t>
      </w:r>
      <w:r>
        <w:rPr>
          <w:rFonts w:hint="eastAsia" w:ascii="宋体" w:hAnsi="宋体" w:eastAsia="宋体" w:cs="宋体"/>
          <w:color w:val="auto"/>
          <w:kern w:val="0"/>
          <w:highlight w:val="none"/>
          <w:lang w:val="en-US" w:eastAsia="zh-CN"/>
        </w:rPr>
        <w:t>均无在建项目，否则按无效标处理。</w:t>
      </w:r>
    </w:p>
    <w:p w14:paraId="60FE5867">
      <w:pPr>
        <w:pStyle w:val="46"/>
        <w:spacing w:line="360" w:lineRule="auto"/>
        <w:ind w:firstLine="420" w:firstLineChars="200"/>
        <w:rPr>
          <w:rFonts w:hint="eastAsia" w:ascii="宋体" w:hAnsi="宋体" w:eastAsia="宋体" w:cs="宋体"/>
          <w:b w:val="0"/>
          <w:bCs w:val="0"/>
          <w:color w:val="auto"/>
          <w:spacing w:val="0"/>
          <w:kern w:val="0"/>
          <w:szCs w:val="21"/>
          <w:highlight w:val="none"/>
        </w:rPr>
      </w:pPr>
      <w:r>
        <w:rPr>
          <w:rFonts w:hint="eastAsia" w:ascii="宋体" w:hAnsi="宋体" w:cs="宋体"/>
          <w:b w:val="0"/>
          <w:bCs w:val="0"/>
          <w:color w:val="auto"/>
          <w:spacing w:val="0"/>
          <w:kern w:val="0"/>
          <w:szCs w:val="21"/>
          <w:highlight w:val="none"/>
          <w:lang w:val="en-US" w:eastAsia="zh-CN"/>
        </w:rPr>
        <w:t>5</w:t>
      </w:r>
      <w:r>
        <w:rPr>
          <w:rFonts w:hint="eastAsia" w:ascii="宋体" w:hAnsi="宋体" w:eastAsia="宋体" w:cs="宋体"/>
          <w:b w:val="0"/>
          <w:bCs w:val="0"/>
          <w:color w:val="auto"/>
          <w:spacing w:val="0"/>
          <w:kern w:val="0"/>
          <w:szCs w:val="21"/>
          <w:highlight w:val="none"/>
          <w:lang w:val="en-US" w:eastAsia="zh-CN"/>
        </w:rPr>
        <w:t>、</w:t>
      </w:r>
      <w:r>
        <w:rPr>
          <w:rFonts w:hint="eastAsia" w:ascii="宋体" w:hAnsi="宋体" w:eastAsia="宋体" w:cs="宋体"/>
          <w:b w:val="0"/>
          <w:bCs w:val="0"/>
          <w:color w:val="auto"/>
          <w:spacing w:val="0"/>
          <w:kern w:val="0"/>
          <w:szCs w:val="21"/>
          <w:highlight w:val="none"/>
        </w:rPr>
        <w:t>本项目采购标的所属行业：建筑业。</w:t>
      </w:r>
    </w:p>
    <w:p w14:paraId="6627B11F">
      <w:pPr>
        <w:rPr>
          <w:rFonts w:hint="eastAsia"/>
          <w:color w:val="auto"/>
          <w:highlight w:val="none"/>
          <w:lang w:eastAsia="zh-CN"/>
        </w:rPr>
      </w:pPr>
    </w:p>
    <w:p w14:paraId="1783DA04">
      <w:pPr>
        <w:pStyle w:val="2"/>
        <w:rPr>
          <w:rFonts w:hint="eastAsia"/>
          <w:color w:val="auto"/>
          <w:highlight w:val="none"/>
          <w:lang w:eastAsia="zh-CN"/>
        </w:rPr>
      </w:pPr>
    </w:p>
    <w:p w14:paraId="0FAB3B28">
      <w:pPr>
        <w:rPr>
          <w:rFonts w:hint="eastAsia"/>
          <w:color w:val="auto"/>
          <w:highlight w:val="none"/>
          <w:lang w:eastAsia="zh-CN"/>
        </w:rPr>
      </w:pPr>
    </w:p>
    <w:p w14:paraId="4371FA84">
      <w:pPr>
        <w:pStyle w:val="2"/>
        <w:rPr>
          <w:rFonts w:hint="eastAsia"/>
          <w:color w:val="auto"/>
          <w:highlight w:val="none"/>
          <w:lang w:eastAsia="zh-CN"/>
        </w:rPr>
      </w:pPr>
    </w:p>
    <w:p w14:paraId="30666D9D">
      <w:pPr>
        <w:rPr>
          <w:rFonts w:hint="eastAsia"/>
          <w:color w:val="auto"/>
          <w:highlight w:val="none"/>
          <w:lang w:eastAsia="zh-CN"/>
        </w:rPr>
      </w:pPr>
    </w:p>
    <w:p w14:paraId="2B367157">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color w:val="auto"/>
          <w:sz w:val="32"/>
          <w:szCs w:val="32"/>
          <w:highlight w:val="none"/>
          <w:lang w:eastAsia="zh-CN"/>
        </w:rPr>
      </w:pPr>
      <w:bookmarkStart w:id="159" w:name="_Toc4390"/>
    </w:p>
    <w:p w14:paraId="1337848C">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highlight w:val="none"/>
        </w:rPr>
      </w:pPr>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bookmarkEnd w:id="159"/>
    </w:p>
    <w:p w14:paraId="50996163">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一、评审依据及方式</w:t>
      </w:r>
    </w:p>
    <w:p w14:paraId="52A6169E">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1.评审依据：磋商小组以竞争性磋商文件和响应文件为评审依据，</w:t>
      </w:r>
      <w:r>
        <w:rPr>
          <w:rFonts w:hint="eastAsia" w:ascii="宋体" w:hAnsi="宋体" w:eastAsia="宋体" w:cs="宋体"/>
          <w:color w:val="auto"/>
          <w:highlight w:val="none"/>
          <w:lang w:val="en-US" w:eastAsia="zh-CN"/>
        </w:rPr>
        <w:t>对磋商供应商的响应文件按百分制打分</w:t>
      </w:r>
      <w:r>
        <w:rPr>
          <w:rFonts w:hint="eastAsia" w:ascii="宋体" w:hAnsi="宋体" w:eastAsia="宋体" w:cs="宋体"/>
          <w:color w:val="auto"/>
          <w:highlight w:val="none"/>
        </w:rPr>
        <w:t>。</w:t>
      </w:r>
    </w:p>
    <w:p w14:paraId="022A3C7C">
      <w:pPr>
        <w:pStyle w:val="11"/>
        <w:pageBreakBefore w:val="0"/>
        <w:widowControl w:val="0"/>
        <w:kinsoku/>
        <w:wordWrap/>
        <w:overflowPunct/>
        <w:topLinePunct w:val="0"/>
        <w:bidi w:val="0"/>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2.评审方式：以封闭方式进行评审。</w:t>
      </w:r>
    </w:p>
    <w:p w14:paraId="004F4000">
      <w:pPr>
        <w:pStyle w:val="11"/>
        <w:pageBreakBefore w:val="0"/>
        <w:widowControl w:val="0"/>
        <w:kinsoku/>
        <w:wordWrap/>
        <w:overflowPunct/>
        <w:topLinePunct w:val="0"/>
        <w:bidi w:val="0"/>
        <w:snapToGrid/>
        <w:spacing w:line="440" w:lineRule="exact"/>
        <w:ind w:left="210" w:leftChars="100"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3.根据财库〔2012〕69号文规定，采购人和采购代理机构，磋商小组成员要严格遵守政府采购相关法律制度，依法履行各自职责，公正、客观、审慎地组织和参与评审工作。</w:t>
      </w:r>
    </w:p>
    <w:p w14:paraId="0A97639B">
      <w:pPr>
        <w:pStyle w:val="11"/>
        <w:pageBreakBefore w:val="0"/>
        <w:widowControl w:val="0"/>
        <w:kinsoku/>
        <w:wordWrap/>
        <w:overflowPunct/>
        <w:topLinePunct w:val="0"/>
        <w:bidi w:val="0"/>
        <w:snapToGrid/>
        <w:spacing w:line="440" w:lineRule="exact"/>
        <w:ind w:firstLine="42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二、评审办法</w:t>
      </w:r>
    </w:p>
    <w:p w14:paraId="7DEA6E14">
      <w:pPr>
        <w:pStyle w:val="11"/>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（一）本次评标采用综合评分法。</w:t>
      </w:r>
      <w:r>
        <w:rPr>
          <w:rFonts w:hint="eastAsia" w:hAnsi="宋体" w:eastAsia="宋体" w:cs="宋体"/>
          <w:bCs/>
          <w:color w:val="auto"/>
          <w:highlight w:val="none"/>
          <w:lang w:eastAsia="zh-CN"/>
        </w:rPr>
        <w:t>磋商小组</w:t>
      </w:r>
      <w:r>
        <w:rPr>
          <w:rFonts w:hint="eastAsia" w:ascii="宋体" w:hAnsi="宋体" w:eastAsia="宋体" w:cs="宋体"/>
          <w:bCs/>
          <w:color w:val="auto"/>
          <w:highlight w:val="none"/>
        </w:rPr>
        <w:t>会首先对</w:t>
      </w:r>
      <w:r>
        <w:rPr>
          <w:rFonts w:hint="eastAsia" w:hAnsi="宋体" w:eastAsia="宋体" w:cs="宋体"/>
          <w:bCs/>
          <w:color w:val="auto"/>
          <w:highlight w:val="none"/>
          <w:lang w:eastAsia="zh-CN"/>
        </w:rPr>
        <w:t>磋商供应商</w:t>
      </w:r>
      <w:r>
        <w:rPr>
          <w:rFonts w:hint="eastAsia" w:ascii="宋体" w:hAnsi="宋体" w:eastAsia="宋体" w:cs="宋体"/>
          <w:bCs/>
          <w:color w:val="auto"/>
          <w:highlight w:val="none"/>
        </w:rPr>
        <w:t>提交的响应文件进行资格性审查和符合性审查，只有通过了资格性审查和符合性审查才能进入详评。</w:t>
      </w:r>
    </w:p>
    <w:p w14:paraId="0F0D09B2">
      <w:pPr>
        <w:pageBreakBefore w:val="0"/>
        <w:wordWrap/>
        <w:overflowPunct/>
        <w:topLinePunct w:val="0"/>
        <w:bidi w:val="0"/>
        <w:spacing w:line="500" w:lineRule="exact"/>
        <w:jc w:val="left"/>
        <w:rPr>
          <w:rFonts w:hint="eastAsia" w:ascii="宋体" w:hAnsi="宋体" w:eastAsia="宋体" w:cs="宋体"/>
          <w:b/>
          <w:color w:val="auto"/>
          <w:w w:val="99"/>
          <w:kern w:val="0"/>
          <w:sz w:val="24"/>
          <w:szCs w:val="24"/>
          <w:highlight w:val="none"/>
          <w:lang w:val="en-US" w:eastAsia="zh-CN"/>
        </w:rPr>
      </w:pPr>
      <w:r>
        <w:rPr>
          <w:rFonts w:hint="eastAsia" w:ascii="宋体" w:hAnsi="宋体" w:eastAsia="宋体" w:cs="宋体"/>
          <w:b/>
          <w:color w:val="auto"/>
          <w:w w:val="99"/>
          <w:kern w:val="0"/>
          <w:sz w:val="24"/>
          <w:szCs w:val="24"/>
          <w:highlight w:val="none"/>
          <w:lang w:val="en-US" w:eastAsia="zh-CN"/>
        </w:rPr>
        <w:t>初步评审：</w:t>
      </w:r>
    </w:p>
    <w:tbl>
      <w:tblPr>
        <w:tblStyle w:val="27"/>
        <w:tblW w:w="9948" w:type="dxa"/>
        <w:jc w:val="center"/>
        <w:tblLayout w:type="fixed"/>
        <w:tblCellMar>
          <w:top w:w="0" w:type="dxa"/>
          <w:left w:w="108" w:type="dxa"/>
          <w:bottom w:w="0" w:type="dxa"/>
          <w:right w:w="108" w:type="dxa"/>
        </w:tblCellMar>
      </w:tblPr>
      <w:tblGrid>
        <w:gridCol w:w="944"/>
        <w:gridCol w:w="1460"/>
        <w:gridCol w:w="2344"/>
        <w:gridCol w:w="5200"/>
      </w:tblGrid>
      <w:tr w14:paraId="3AC13B7D">
        <w:tblPrEx>
          <w:tblCellMar>
            <w:top w:w="0" w:type="dxa"/>
            <w:left w:w="108" w:type="dxa"/>
            <w:bottom w:w="0" w:type="dxa"/>
            <w:right w:w="108" w:type="dxa"/>
          </w:tblCellMar>
        </w:tblPrEx>
        <w:trPr>
          <w:trHeight w:val="542" w:hRule="atLeast"/>
          <w:jc w:val="center"/>
        </w:trPr>
        <w:tc>
          <w:tcPr>
            <w:tcW w:w="944" w:type="dxa"/>
            <w:tcBorders>
              <w:top w:val="single" w:color="auto" w:sz="4" w:space="0"/>
              <w:left w:val="single" w:color="auto" w:sz="4" w:space="0"/>
              <w:bottom w:val="single" w:color="auto" w:sz="4" w:space="0"/>
              <w:right w:val="single" w:color="auto" w:sz="4" w:space="0"/>
            </w:tcBorders>
            <w:vAlign w:val="center"/>
          </w:tcPr>
          <w:p w14:paraId="4D76227D">
            <w:pPr>
              <w:pStyle w:val="34"/>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条款号</w:t>
            </w:r>
          </w:p>
        </w:tc>
        <w:tc>
          <w:tcPr>
            <w:tcW w:w="9004" w:type="dxa"/>
            <w:gridSpan w:val="3"/>
            <w:tcBorders>
              <w:top w:val="single" w:color="auto" w:sz="4" w:space="0"/>
              <w:left w:val="single" w:color="auto" w:sz="4" w:space="0"/>
              <w:bottom w:val="single" w:color="auto" w:sz="4" w:space="0"/>
              <w:right w:val="single" w:color="auto" w:sz="4" w:space="0"/>
            </w:tcBorders>
            <w:vAlign w:val="center"/>
          </w:tcPr>
          <w:p w14:paraId="5FB5AE4E">
            <w:pPr>
              <w:pStyle w:val="34"/>
              <w:pageBreakBefore w:val="0"/>
              <w:kinsoku/>
              <w:wordWrap/>
              <w:overflowPunct/>
              <w:topLinePunct w:val="0"/>
              <w:bidi w:val="0"/>
              <w:snapToGrid w:val="0"/>
              <w:spacing w:line="500" w:lineRule="exact"/>
              <w:jc w:val="center"/>
              <w:rPr>
                <w:rFonts w:hint="eastAsia" w:ascii="宋体" w:hAnsi="宋体" w:cs="宋体"/>
                <w:b w:val="0"/>
                <w:bCs w:val="0"/>
                <w:color w:val="auto"/>
                <w:highlight w:val="none"/>
              </w:rPr>
            </w:pPr>
            <w:r>
              <w:rPr>
                <w:rFonts w:hint="eastAsia" w:ascii="宋体" w:hAnsi="宋体" w:cs="宋体"/>
                <w:b w:val="0"/>
                <w:bCs w:val="0"/>
                <w:color w:val="auto"/>
                <w:highlight w:val="none"/>
              </w:rPr>
              <w:t>评审标准</w:t>
            </w:r>
          </w:p>
        </w:tc>
      </w:tr>
      <w:tr w14:paraId="119495F2">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04B0D348">
            <w:pPr>
              <w:pageBreakBefore w:val="0"/>
              <w:widowControl/>
              <w:kinsoku/>
              <w:wordWrap/>
              <w:overflowPunct/>
              <w:topLinePunct w:val="0"/>
              <w:bidi w:val="0"/>
              <w:spacing w:line="500" w:lineRule="exact"/>
              <w:jc w:val="center"/>
              <w:rPr>
                <w:rFonts w:hint="eastAsia" w:ascii="宋体" w:hAnsi="宋体" w:cs="宋体"/>
                <w:color w:val="auto"/>
                <w:highlight w:val="none"/>
              </w:rPr>
            </w:pPr>
            <w:r>
              <w:rPr>
                <w:rFonts w:hint="eastAsia" w:ascii="宋体" w:hAnsi="宋体" w:cs="宋体"/>
                <w:color w:val="auto"/>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14:paraId="2D40F3F4">
            <w:pPr>
              <w:pStyle w:val="34"/>
              <w:pageBreakBefore w:val="0"/>
              <w:kinsoku/>
              <w:wordWrap/>
              <w:overflowPunct/>
              <w:topLinePunct w:val="0"/>
              <w:bidi w:val="0"/>
              <w:snapToGrid w:val="0"/>
              <w:spacing w:line="500" w:lineRule="exact"/>
              <w:jc w:val="center"/>
              <w:rPr>
                <w:rFonts w:hint="eastAsia" w:ascii="宋体" w:hAnsi="宋体" w:eastAsia="宋体" w:cs="宋体"/>
                <w:color w:val="auto"/>
                <w:spacing w:val="-6"/>
                <w:highlight w:val="none"/>
                <w:lang w:eastAsia="zh-CN"/>
              </w:rPr>
            </w:pPr>
            <w:r>
              <w:rPr>
                <w:rFonts w:hint="eastAsia" w:ascii="宋体" w:hAnsi="宋体" w:cs="宋体"/>
                <w:color w:val="auto"/>
                <w:highlight w:val="none"/>
              </w:rPr>
              <w:t>资格</w:t>
            </w:r>
            <w:r>
              <w:rPr>
                <w:rFonts w:hint="eastAsia" w:ascii="宋体" w:hAnsi="宋体" w:cs="宋体"/>
                <w:color w:val="auto"/>
                <w:highlight w:val="none"/>
                <w:lang w:eastAsia="zh-CN"/>
              </w:rPr>
              <w:t>评审</w:t>
            </w:r>
          </w:p>
          <w:p w14:paraId="60B23214">
            <w:pPr>
              <w:pStyle w:val="15"/>
              <w:pageBreakBefore w:val="0"/>
              <w:kinsoku/>
              <w:wordWrap/>
              <w:overflowPunct/>
              <w:topLinePunct w:val="0"/>
              <w:bidi w:val="0"/>
              <w:snapToGrid w:val="0"/>
              <w:spacing w:line="500" w:lineRule="exact"/>
              <w:jc w:val="center"/>
              <w:rPr>
                <w:rFonts w:hint="eastAsia" w:ascii="宋体" w:hAnsi="宋体" w:cs="宋体"/>
                <w:color w:val="auto"/>
                <w:spacing w:val="-6"/>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19DDAA4E">
            <w:pPr>
              <w:pStyle w:val="34"/>
              <w:pageBreakBefore w:val="0"/>
              <w:kinsoku/>
              <w:wordWrap/>
              <w:overflowPunct/>
              <w:topLinePunct w:val="0"/>
              <w:bidi w:val="0"/>
              <w:snapToGrid w:val="0"/>
              <w:spacing w:line="500" w:lineRule="exact"/>
              <w:jc w:val="center"/>
              <w:rPr>
                <w:rFonts w:hint="eastAsia" w:ascii="宋体" w:hAnsi="宋体" w:cs="宋体"/>
                <w:b/>
                <w:color w:val="auto"/>
                <w:highlight w:val="none"/>
              </w:rPr>
            </w:pPr>
            <w:r>
              <w:rPr>
                <w:rFonts w:hint="eastAsia" w:ascii="宋体" w:hAnsi="宋体" w:cs="宋体"/>
                <w:b/>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5EF56572">
            <w:pPr>
              <w:pStyle w:val="34"/>
              <w:keepNext w:val="0"/>
              <w:keepLines w:val="0"/>
              <w:pageBreakBefore w:val="0"/>
              <w:kinsoku/>
              <w:wordWrap/>
              <w:overflowPunct/>
              <w:topLinePunct w:val="0"/>
              <w:autoSpaceDE/>
              <w:autoSpaceDN/>
              <w:bidi w:val="0"/>
              <w:adjustRightInd/>
              <w:snapToGrid w:val="0"/>
              <w:spacing w:line="288" w:lineRule="auto"/>
              <w:jc w:val="left"/>
              <w:textAlignment w:val="auto"/>
              <w:rPr>
                <w:rFonts w:hint="eastAsia" w:ascii="宋体" w:hAnsi="宋体" w:cs="宋体"/>
                <w:b/>
                <w:color w:val="auto"/>
                <w:highlight w:val="none"/>
              </w:rPr>
            </w:pPr>
            <w:r>
              <w:rPr>
                <w:rFonts w:hint="eastAsia" w:ascii="宋体" w:hAnsi="宋体" w:cs="宋体"/>
                <w:b/>
                <w:color w:val="auto"/>
                <w:highlight w:val="none"/>
              </w:rPr>
              <w:t>评审标准</w:t>
            </w:r>
            <w:r>
              <w:rPr>
                <w:rFonts w:hint="eastAsia" w:ascii="宋体" w:hAnsi="宋体" w:cs="宋体"/>
                <w:b/>
                <w:bCs/>
                <w:color w:val="auto"/>
                <w:highlight w:val="none"/>
              </w:rPr>
              <w:t>（合格标准：缺少任何一项或有任何一项不合格者，其资格</w:t>
            </w:r>
            <w:r>
              <w:rPr>
                <w:rFonts w:hint="eastAsia" w:ascii="宋体" w:hAnsi="宋体" w:cs="宋体"/>
                <w:b/>
                <w:bCs/>
                <w:color w:val="auto"/>
                <w:highlight w:val="none"/>
                <w:lang w:eastAsia="zh-CN"/>
              </w:rPr>
              <w:t>评审</w:t>
            </w:r>
            <w:r>
              <w:rPr>
                <w:rFonts w:hint="eastAsia" w:ascii="宋体" w:hAnsi="宋体" w:cs="宋体"/>
                <w:b/>
                <w:bCs/>
                <w:color w:val="auto"/>
                <w:highlight w:val="none"/>
              </w:rPr>
              <w:t>视为不合格）</w:t>
            </w:r>
          </w:p>
        </w:tc>
      </w:tr>
      <w:tr w14:paraId="46B2A48E">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0F36F6F0">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60FB14FE">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163606BD">
            <w:pPr>
              <w:bidi w:val="0"/>
              <w:rPr>
                <w:rFonts w:hint="eastAsia"/>
                <w:color w:val="auto"/>
                <w:highlight w:val="none"/>
                <w:lang w:eastAsia="zh-CN"/>
              </w:rPr>
            </w:pPr>
            <w:r>
              <w:rPr>
                <w:rFonts w:hint="eastAsia"/>
                <w:color w:val="auto"/>
                <w:highlight w:val="none"/>
              </w:rPr>
              <w:t>法定代表人</w:t>
            </w:r>
            <w:r>
              <w:rPr>
                <w:rFonts w:hint="eastAsia"/>
                <w:color w:val="auto"/>
                <w:highlight w:val="none"/>
                <w:lang w:eastAsia="zh-CN"/>
              </w:rPr>
              <w:t>、委托代理人身份证明</w:t>
            </w:r>
          </w:p>
        </w:tc>
        <w:tc>
          <w:tcPr>
            <w:tcW w:w="5200" w:type="dxa"/>
            <w:tcBorders>
              <w:top w:val="single" w:color="auto" w:sz="4" w:space="0"/>
              <w:left w:val="single" w:color="auto" w:sz="4" w:space="0"/>
              <w:bottom w:val="single" w:color="auto" w:sz="4" w:space="0"/>
              <w:right w:val="single" w:color="auto" w:sz="4" w:space="0"/>
            </w:tcBorders>
            <w:vAlign w:val="center"/>
          </w:tcPr>
          <w:p w14:paraId="2F0E494F">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rPr>
              <w:t>有效的法定代表人身份</w:t>
            </w:r>
            <w:r>
              <w:rPr>
                <w:rFonts w:hint="eastAsia" w:ascii="宋体" w:hAnsi="宋体" w:cs="宋体"/>
                <w:color w:val="auto"/>
                <w:highlight w:val="none"/>
                <w:lang w:eastAsia="zh-CN"/>
              </w:rPr>
              <w:t>证</w:t>
            </w:r>
            <w:r>
              <w:rPr>
                <w:rFonts w:hint="eastAsia" w:ascii="宋体" w:hAnsi="宋体" w:cs="宋体"/>
                <w:color w:val="auto"/>
                <w:highlight w:val="none"/>
              </w:rPr>
              <w:t>复印件</w:t>
            </w:r>
            <w:r>
              <w:rPr>
                <w:rFonts w:hint="eastAsia" w:ascii="宋体" w:hAnsi="宋体" w:cs="宋体"/>
                <w:color w:val="auto"/>
                <w:highlight w:val="none"/>
                <w:lang w:eastAsia="zh-CN"/>
              </w:rPr>
              <w:t>、</w:t>
            </w:r>
            <w:r>
              <w:rPr>
                <w:rFonts w:hint="eastAsia" w:ascii="宋体" w:hAnsi="宋体" w:cs="宋体"/>
                <w:color w:val="auto"/>
                <w:highlight w:val="none"/>
              </w:rPr>
              <w:t>法人授权委托书（附身份证复印件，</w:t>
            </w:r>
            <w:r>
              <w:rPr>
                <w:rFonts w:hint="eastAsia" w:ascii="宋体" w:hAnsi="宋体" w:cs="宋体"/>
                <w:color w:val="auto"/>
                <w:highlight w:val="none"/>
                <w:lang w:eastAsia="zh-CN"/>
              </w:rPr>
              <w:t>社会保险缴纳证明材料</w:t>
            </w:r>
            <w:r>
              <w:rPr>
                <w:rFonts w:hint="eastAsia" w:ascii="宋体" w:hAnsi="宋体" w:cs="宋体"/>
                <w:color w:val="auto"/>
                <w:highlight w:val="none"/>
              </w:rPr>
              <w:t>授权代理时提供）</w:t>
            </w:r>
          </w:p>
        </w:tc>
      </w:tr>
      <w:tr w14:paraId="70ED75F9">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34EBB11">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1FFF92C3">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45C02667">
            <w:pPr>
              <w:bidi w:val="0"/>
              <w:rPr>
                <w:rFonts w:hint="eastAsia"/>
                <w:color w:val="auto"/>
                <w:highlight w:val="none"/>
                <w:lang w:val="en-US" w:eastAsia="zh-CN"/>
              </w:rPr>
            </w:pPr>
            <w:r>
              <w:rPr>
                <w:rFonts w:hint="eastAsia"/>
                <w:color w:val="auto"/>
                <w:highlight w:val="none"/>
                <w:lang w:eastAsia="zh-CN"/>
              </w:rPr>
              <w:t>无</w:t>
            </w:r>
            <w:r>
              <w:rPr>
                <w:rFonts w:hint="eastAsia"/>
                <w:color w:val="auto"/>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vAlign w:val="center"/>
          </w:tcPr>
          <w:p w14:paraId="35D00EFD">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参加政府采购活动前3年内在经营活动中没有重大违法记录的书面声明</w:t>
            </w:r>
          </w:p>
        </w:tc>
      </w:tr>
      <w:tr w14:paraId="1976124C">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51AA694">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4DF38211">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59F3F9C6">
            <w:pPr>
              <w:bidi w:val="0"/>
              <w:rPr>
                <w:rFonts w:hint="eastAsia"/>
                <w:color w:val="auto"/>
                <w:highlight w:val="none"/>
              </w:rPr>
            </w:pPr>
            <w:r>
              <w:rPr>
                <w:rFonts w:hint="eastAsia"/>
                <w:color w:val="auto"/>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14:paraId="59B5D180">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bCs/>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有效的营业执照</w:t>
            </w:r>
            <w:r>
              <w:rPr>
                <w:rFonts w:hint="eastAsia" w:ascii="宋体" w:hAnsi="宋体" w:cs="宋体"/>
                <w:color w:val="auto"/>
                <w:highlight w:val="none"/>
                <w:lang w:eastAsia="zh-CN"/>
              </w:rPr>
              <w:t>复印件</w:t>
            </w:r>
          </w:p>
        </w:tc>
      </w:tr>
      <w:tr w14:paraId="157DD4A4">
        <w:tblPrEx>
          <w:tblCellMar>
            <w:top w:w="0" w:type="dxa"/>
            <w:left w:w="108" w:type="dxa"/>
            <w:bottom w:w="0" w:type="dxa"/>
            <w:right w:w="108" w:type="dxa"/>
          </w:tblCellMar>
        </w:tblPrEx>
        <w:trPr>
          <w:trHeight w:val="526"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76D835B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259F3C8C">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6E2F3269">
            <w:pPr>
              <w:bidi w:val="0"/>
              <w:rPr>
                <w:rFonts w:hint="eastAsia"/>
                <w:color w:val="auto"/>
                <w:highlight w:val="none"/>
                <w:lang w:val="en-US" w:eastAsia="zh-CN"/>
              </w:rPr>
            </w:pPr>
            <w:r>
              <w:rPr>
                <w:rFonts w:hint="eastAsia"/>
                <w:color w:val="auto"/>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14:paraId="78DCF22C">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rPr>
              <w:t>符合</w:t>
            </w:r>
            <w:r>
              <w:rPr>
                <w:rFonts w:hint="eastAsia" w:ascii="宋体" w:hAnsi="宋体" w:cs="宋体"/>
                <w:color w:val="auto"/>
                <w:highlight w:val="none"/>
                <w:lang w:eastAsia="zh-CN"/>
              </w:rPr>
              <w:t>采购文件要求。</w:t>
            </w:r>
          </w:p>
        </w:tc>
      </w:tr>
      <w:tr w14:paraId="4F644C0E">
        <w:tblPrEx>
          <w:tblCellMar>
            <w:top w:w="0" w:type="dxa"/>
            <w:left w:w="108" w:type="dxa"/>
            <w:bottom w:w="0" w:type="dxa"/>
            <w:right w:w="108" w:type="dxa"/>
          </w:tblCellMar>
        </w:tblPrEx>
        <w:trPr>
          <w:trHeight w:val="622"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6F0A735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72478902">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6584454A">
            <w:pPr>
              <w:bidi w:val="0"/>
              <w:rPr>
                <w:rFonts w:hint="eastAsia"/>
                <w:color w:val="auto"/>
                <w:highlight w:val="none"/>
                <w:lang w:eastAsia="zh-CN"/>
              </w:rPr>
            </w:pPr>
            <w:r>
              <w:rPr>
                <w:rFonts w:hint="eastAsia"/>
                <w:color w:val="auto"/>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vAlign w:val="center"/>
          </w:tcPr>
          <w:p w14:paraId="56981AEF">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14:paraId="5128C78B">
        <w:tblPrEx>
          <w:tblCellMar>
            <w:top w:w="0" w:type="dxa"/>
            <w:left w:w="108" w:type="dxa"/>
            <w:bottom w:w="0" w:type="dxa"/>
            <w:right w:w="108" w:type="dxa"/>
          </w:tblCellMar>
        </w:tblPrEx>
        <w:trPr>
          <w:trHeight w:val="497"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16CCAA7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2A1A8CD2">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25174F86">
            <w:pPr>
              <w:bidi w:val="0"/>
              <w:rPr>
                <w:rFonts w:hint="eastAsia"/>
                <w:color w:val="auto"/>
                <w:highlight w:val="none"/>
              </w:rPr>
            </w:pPr>
            <w:r>
              <w:rPr>
                <w:rFonts w:hint="eastAsia"/>
                <w:color w:val="auto"/>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vAlign w:val="center"/>
          </w:tcPr>
          <w:p w14:paraId="68C0B768">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提供</w:t>
            </w:r>
            <w:r>
              <w:rPr>
                <w:rFonts w:hint="eastAsia" w:ascii="宋体" w:hAnsi="宋体" w:cs="宋体"/>
                <w:color w:val="auto"/>
                <w:highlight w:val="none"/>
              </w:rPr>
              <w:t>有效的安全生产许可证</w:t>
            </w:r>
            <w:r>
              <w:rPr>
                <w:rFonts w:hint="eastAsia" w:ascii="宋体" w:hAnsi="宋体" w:cs="宋体"/>
                <w:color w:val="auto"/>
                <w:highlight w:val="none"/>
                <w:lang w:eastAsia="zh-CN"/>
              </w:rPr>
              <w:t>复印件取得“三证合一”的除外。</w:t>
            </w:r>
          </w:p>
        </w:tc>
      </w:tr>
      <w:tr w14:paraId="5B6A9955">
        <w:tblPrEx>
          <w:tblCellMar>
            <w:top w:w="0" w:type="dxa"/>
            <w:left w:w="108" w:type="dxa"/>
            <w:bottom w:w="0" w:type="dxa"/>
            <w:right w:w="108" w:type="dxa"/>
          </w:tblCellMar>
        </w:tblPrEx>
        <w:trPr>
          <w:trHeight w:val="450"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C98BF3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78E3F1A7">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3A3BE47A">
            <w:pPr>
              <w:bidi w:val="0"/>
              <w:rPr>
                <w:rFonts w:hint="eastAsia"/>
                <w:color w:val="auto"/>
                <w:highlight w:val="none"/>
                <w:lang w:eastAsia="zh-CN"/>
              </w:rPr>
            </w:pPr>
            <w:r>
              <w:rPr>
                <w:rFonts w:hint="eastAsia"/>
                <w:color w:val="auto"/>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vAlign w:val="center"/>
          </w:tcPr>
          <w:p w14:paraId="021B10AC">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highlight w:val="none"/>
              </w:rPr>
            </w:pPr>
            <w:r>
              <w:rPr>
                <w:rFonts w:hint="eastAsia" w:ascii="宋体" w:hAnsi="宋体" w:cs="宋体"/>
                <w:color w:val="auto"/>
                <w:highlight w:val="none"/>
                <w:lang w:eastAsia="zh-CN"/>
              </w:rPr>
              <w:t>按采购文件要求提供。</w:t>
            </w:r>
          </w:p>
        </w:tc>
      </w:tr>
      <w:tr w14:paraId="448E4802">
        <w:tblPrEx>
          <w:tblCellMar>
            <w:top w:w="0" w:type="dxa"/>
            <w:left w:w="108" w:type="dxa"/>
            <w:bottom w:w="0" w:type="dxa"/>
            <w:right w:w="108" w:type="dxa"/>
          </w:tblCellMar>
        </w:tblPrEx>
        <w:trPr>
          <w:trHeight w:val="443"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14:paraId="32916974">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auto" w:sz="4" w:space="0"/>
              <w:bottom w:val="single" w:color="auto" w:sz="4" w:space="0"/>
              <w:right w:val="single" w:color="auto" w:sz="4" w:space="0"/>
            </w:tcBorders>
            <w:vAlign w:val="center"/>
          </w:tcPr>
          <w:p w14:paraId="1ADDBA75">
            <w:pPr>
              <w:pageBreakBefore w:val="0"/>
              <w:widowControl/>
              <w:kinsoku/>
              <w:wordWrap/>
              <w:overflowPunct/>
              <w:topLinePunct w:val="0"/>
              <w:bidi w:val="0"/>
              <w:spacing w:line="500" w:lineRule="exact"/>
              <w:jc w:val="left"/>
              <w:rPr>
                <w:rFonts w:hint="eastAsia" w:ascii="宋体" w:hAnsi="宋体" w:cs="宋体"/>
                <w:color w:val="auto"/>
                <w:kern w:val="0"/>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14:paraId="097E23D8">
            <w:pPr>
              <w:bidi w:val="0"/>
              <w:rPr>
                <w:rFonts w:hint="eastAsia"/>
                <w:color w:val="auto"/>
                <w:highlight w:val="none"/>
                <w:lang w:val="en-US" w:eastAsia="zh-CN"/>
              </w:rPr>
            </w:pPr>
            <w:r>
              <w:rPr>
                <w:rFonts w:hint="eastAsia"/>
                <w:color w:val="auto"/>
                <w:highlight w:val="none"/>
                <w:lang w:eastAsia="zh-CN"/>
              </w:rPr>
              <w:t>依法纳税证明材料</w:t>
            </w:r>
          </w:p>
        </w:tc>
        <w:tc>
          <w:tcPr>
            <w:tcW w:w="5200" w:type="dxa"/>
            <w:tcBorders>
              <w:top w:val="single" w:color="auto" w:sz="4" w:space="0"/>
              <w:left w:val="single" w:color="auto" w:sz="4" w:space="0"/>
              <w:right w:val="single" w:color="auto" w:sz="4" w:space="0"/>
            </w:tcBorders>
            <w:vAlign w:val="center"/>
          </w:tcPr>
          <w:p w14:paraId="02790ADC">
            <w:pPr>
              <w:pStyle w:val="34"/>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highlight w:val="none"/>
                <w:lang w:eastAsia="zh-CN"/>
              </w:rPr>
              <w:t>按采购文件要求提供。</w:t>
            </w:r>
          </w:p>
        </w:tc>
      </w:tr>
      <w:tr w14:paraId="4C6B9A93">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14:paraId="3C7A6022">
            <w:pPr>
              <w:pageBreakBefore w:val="0"/>
              <w:kinsoku/>
              <w:wordWrap/>
              <w:overflowPunct/>
              <w:topLinePunct w:val="0"/>
              <w:bidi w:val="0"/>
              <w:spacing w:line="500" w:lineRule="exact"/>
              <w:jc w:val="center"/>
              <w:rPr>
                <w:rFonts w:hint="eastAsia" w:ascii="宋体" w:hAnsi="宋体" w:cs="宋体"/>
                <w:b/>
                <w:color w:val="auto"/>
                <w:highlight w:val="none"/>
              </w:rPr>
            </w:pPr>
            <w:r>
              <w:rPr>
                <w:rFonts w:hint="eastAsia" w:ascii="宋体" w:hAnsi="宋体" w:cs="宋体"/>
                <w:bCs/>
                <w:color w:val="auto"/>
                <w:highlight w:val="none"/>
              </w:rPr>
              <w:t>2.1.2</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14:paraId="0F63B801">
            <w:pPr>
              <w:pageBreakBefore w:val="0"/>
              <w:kinsoku/>
              <w:wordWrap/>
              <w:overflowPunct/>
              <w:topLinePunct w:val="0"/>
              <w:bidi w:val="0"/>
              <w:spacing w:line="500" w:lineRule="exact"/>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符合性评审</w:t>
            </w:r>
          </w:p>
        </w:tc>
        <w:tc>
          <w:tcPr>
            <w:tcW w:w="2344" w:type="dxa"/>
            <w:tcBorders>
              <w:top w:val="single" w:color="auto" w:sz="4" w:space="0"/>
              <w:left w:val="single" w:color="auto" w:sz="4" w:space="0"/>
              <w:bottom w:val="single" w:color="auto" w:sz="4" w:space="0"/>
              <w:right w:val="single" w:color="auto" w:sz="4" w:space="0"/>
            </w:tcBorders>
            <w:vAlign w:val="center"/>
          </w:tcPr>
          <w:p w14:paraId="144B0287">
            <w:pPr>
              <w:bidi w:val="0"/>
              <w:rPr>
                <w:rFonts w:hint="eastAsia"/>
                <w:color w:val="auto"/>
                <w:highlight w:val="none"/>
              </w:rPr>
            </w:pPr>
            <w:r>
              <w:rPr>
                <w:rFonts w:hint="eastAsia"/>
                <w:color w:val="auto"/>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14:paraId="69525FE4">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
                <w:bCs/>
                <w:color w:val="auto"/>
                <w:highlight w:val="none"/>
              </w:rPr>
            </w:pPr>
            <w:r>
              <w:rPr>
                <w:rFonts w:hint="eastAsia" w:ascii="宋体" w:hAnsi="宋体" w:cs="宋体"/>
                <w:b/>
                <w:bCs/>
                <w:color w:val="auto"/>
                <w:highlight w:val="none"/>
              </w:rPr>
              <w:t>评审标准（合格标准：缺少任何一项或有任何一项不合格者，其</w:t>
            </w:r>
            <w:r>
              <w:rPr>
                <w:rFonts w:hint="eastAsia" w:ascii="宋体" w:hAnsi="宋体" w:cs="宋体"/>
                <w:b/>
                <w:bCs/>
                <w:color w:val="auto"/>
                <w:highlight w:val="none"/>
                <w:lang w:eastAsia="zh-CN"/>
              </w:rPr>
              <w:t>符合性评审</w:t>
            </w:r>
            <w:r>
              <w:rPr>
                <w:rFonts w:hint="eastAsia" w:ascii="宋体" w:hAnsi="宋体" w:cs="宋体"/>
                <w:b/>
                <w:bCs/>
                <w:color w:val="auto"/>
                <w:highlight w:val="none"/>
              </w:rPr>
              <w:t>视为不合格）</w:t>
            </w:r>
          </w:p>
        </w:tc>
      </w:tr>
      <w:tr w14:paraId="41F72228">
        <w:tblPrEx>
          <w:tblCellMar>
            <w:top w:w="0" w:type="dxa"/>
            <w:left w:w="108" w:type="dxa"/>
            <w:bottom w:w="0" w:type="dxa"/>
            <w:right w:w="108" w:type="dxa"/>
          </w:tblCellMar>
        </w:tblPrEx>
        <w:trPr>
          <w:trHeight w:val="3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4AA79823">
            <w:pPr>
              <w:pageBreakBefore w:val="0"/>
              <w:kinsoku/>
              <w:wordWrap/>
              <w:overflowPunct/>
              <w:topLinePunct w:val="0"/>
              <w:bidi w:val="0"/>
              <w:spacing w:line="500" w:lineRule="exac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0A60CBD8">
            <w:pPr>
              <w:pageBreakBefore w:val="0"/>
              <w:kinsoku/>
              <w:wordWrap/>
              <w:overflowPunct/>
              <w:topLinePunct w:val="0"/>
              <w:bidi w:val="0"/>
              <w:spacing w:line="500" w:lineRule="exact"/>
              <w:rPr>
                <w:rFonts w:hint="eastAsia" w:ascii="宋体" w:hAnsi="宋体" w:cs="宋体"/>
                <w:color w:val="auto"/>
                <w:highlight w:val="none"/>
              </w:rPr>
            </w:pPr>
          </w:p>
        </w:tc>
        <w:tc>
          <w:tcPr>
            <w:tcW w:w="2344" w:type="dxa"/>
            <w:tcBorders>
              <w:top w:val="single" w:color="auto" w:sz="4" w:space="0"/>
              <w:left w:val="single" w:color="000000" w:sz="4" w:space="0"/>
              <w:bottom w:val="single" w:color="000000" w:sz="4" w:space="0"/>
              <w:right w:val="single" w:color="000000" w:sz="4" w:space="0"/>
            </w:tcBorders>
            <w:vAlign w:val="center"/>
          </w:tcPr>
          <w:p w14:paraId="276BEC99">
            <w:pPr>
              <w:bidi w:val="0"/>
              <w:rPr>
                <w:rFonts w:hint="eastAsia"/>
                <w:color w:val="auto"/>
                <w:highlight w:val="none"/>
              </w:rPr>
            </w:pPr>
            <w:r>
              <w:rPr>
                <w:rFonts w:hint="eastAsia"/>
                <w:color w:val="auto"/>
                <w:highlight w:val="none"/>
                <w:lang w:eastAsia="zh-CN"/>
              </w:rPr>
              <w:t>响应函</w:t>
            </w:r>
          </w:p>
        </w:tc>
        <w:tc>
          <w:tcPr>
            <w:tcW w:w="5200" w:type="dxa"/>
            <w:tcBorders>
              <w:top w:val="single" w:color="auto" w:sz="4" w:space="0"/>
              <w:left w:val="single" w:color="000000" w:sz="4" w:space="0"/>
              <w:bottom w:val="single" w:color="000000" w:sz="4" w:space="0"/>
              <w:right w:val="single" w:color="000000" w:sz="4" w:space="0"/>
            </w:tcBorders>
            <w:vAlign w:val="center"/>
          </w:tcPr>
          <w:p w14:paraId="100E5CD6">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3577D350">
        <w:tblPrEx>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646EAFE6">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08B6407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14:paraId="73DB1C6B">
            <w:pPr>
              <w:bidi w:val="0"/>
              <w:rPr>
                <w:rFonts w:hint="eastAsia"/>
                <w:color w:val="auto"/>
                <w:highlight w:val="none"/>
                <w:lang w:eastAsia="zh-CN"/>
              </w:rPr>
            </w:pPr>
            <w:r>
              <w:rPr>
                <w:rFonts w:hint="eastAsia"/>
                <w:color w:val="auto"/>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vAlign w:val="center"/>
          </w:tcPr>
          <w:p w14:paraId="1BB620E5">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092E2C21">
        <w:tblPrEx>
          <w:tblCellMar>
            <w:top w:w="0" w:type="dxa"/>
            <w:left w:w="108" w:type="dxa"/>
            <w:bottom w:w="0" w:type="dxa"/>
            <w:right w:w="108" w:type="dxa"/>
          </w:tblCellMar>
        </w:tblPrEx>
        <w:trPr>
          <w:trHeight w:val="5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54D4A3BC">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359AAAC9">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14:paraId="4E7E9C1B">
            <w:pPr>
              <w:bidi w:val="0"/>
              <w:rPr>
                <w:rFonts w:hint="eastAsia"/>
                <w:color w:val="auto"/>
                <w:highlight w:val="none"/>
                <w:lang w:eastAsia="zh-CN"/>
              </w:rPr>
            </w:pPr>
            <w:r>
              <w:rPr>
                <w:rFonts w:hint="eastAsia"/>
                <w:color w:val="auto"/>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vAlign w:val="center"/>
          </w:tcPr>
          <w:p w14:paraId="79833019">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103258D0">
        <w:tblPrEx>
          <w:tblCellMar>
            <w:top w:w="0" w:type="dxa"/>
            <w:left w:w="108" w:type="dxa"/>
            <w:bottom w:w="0" w:type="dxa"/>
            <w:right w:w="108" w:type="dxa"/>
          </w:tblCellMar>
        </w:tblPrEx>
        <w:trPr>
          <w:trHeight w:val="638"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15527C54">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1AD6C1E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auto" w:sz="4" w:space="0"/>
              <w:left w:val="single" w:color="000000" w:sz="4" w:space="0"/>
              <w:bottom w:val="single" w:color="auto" w:sz="4" w:space="0"/>
              <w:right w:val="single" w:color="000000" w:sz="4" w:space="0"/>
            </w:tcBorders>
            <w:vAlign w:val="center"/>
          </w:tcPr>
          <w:p w14:paraId="411ABF40">
            <w:pPr>
              <w:bidi w:val="0"/>
              <w:rPr>
                <w:rFonts w:hint="eastAsia"/>
                <w:color w:val="auto"/>
                <w:highlight w:val="none"/>
                <w:lang w:eastAsia="zh-CN"/>
              </w:rPr>
            </w:pPr>
            <w:r>
              <w:rPr>
                <w:rFonts w:hint="eastAsia"/>
                <w:color w:val="auto"/>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vAlign w:val="center"/>
          </w:tcPr>
          <w:p w14:paraId="0E516A5F">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符合采购文件要求</w:t>
            </w:r>
          </w:p>
        </w:tc>
      </w:tr>
      <w:tr w14:paraId="36BE1E97">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3AEC7E88">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64577345">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14:paraId="6AE39CE8">
            <w:pPr>
              <w:bidi w:val="0"/>
              <w:rPr>
                <w:rFonts w:hint="default"/>
                <w:color w:val="auto"/>
                <w:highlight w:val="none"/>
                <w:lang w:val="en-US" w:eastAsia="zh-CN"/>
              </w:rPr>
            </w:pPr>
            <w:r>
              <w:rPr>
                <w:rFonts w:hint="eastAsia"/>
                <w:color w:val="auto"/>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vAlign w:val="center"/>
          </w:tcPr>
          <w:p w14:paraId="18BE61B2">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符合采购文件要求</w:t>
            </w:r>
          </w:p>
        </w:tc>
      </w:tr>
      <w:tr w14:paraId="20D52E96">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24B6EF33">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7B571D1A">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14:paraId="03C6AFAF">
            <w:pPr>
              <w:bidi w:val="0"/>
              <w:rPr>
                <w:rFonts w:hint="eastAsia"/>
                <w:color w:val="auto"/>
                <w:highlight w:val="none"/>
                <w:lang w:eastAsia="zh-CN"/>
              </w:rPr>
            </w:pPr>
            <w:r>
              <w:rPr>
                <w:rFonts w:hint="eastAsia"/>
                <w:color w:val="auto"/>
                <w:highlight w:val="none"/>
                <w:lang w:eastAsia="zh-CN"/>
              </w:rPr>
              <w:t>施工组织设计方案</w:t>
            </w:r>
          </w:p>
        </w:tc>
        <w:tc>
          <w:tcPr>
            <w:tcW w:w="5200" w:type="dxa"/>
            <w:tcBorders>
              <w:top w:val="single" w:color="000000" w:sz="4" w:space="0"/>
              <w:left w:val="single" w:color="000000" w:sz="4" w:space="0"/>
              <w:bottom w:val="single" w:color="000000" w:sz="4" w:space="0"/>
              <w:right w:val="single" w:color="auto" w:sz="4" w:space="0"/>
            </w:tcBorders>
            <w:vAlign w:val="center"/>
          </w:tcPr>
          <w:p w14:paraId="2AB7BE80">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eastAsia="宋体" w:cs="宋体"/>
                <w:color w:val="auto"/>
                <w:highlight w:val="none"/>
                <w:lang w:eastAsia="zh-CN"/>
              </w:rPr>
            </w:pPr>
            <w:r>
              <w:rPr>
                <w:rFonts w:hint="eastAsia" w:ascii="宋体" w:hAnsi="宋体" w:cs="宋体"/>
                <w:color w:val="auto"/>
                <w:kern w:val="0"/>
                <w:highlight w:val="none"/>
                <w:lang w:eastAsia="zh-CN"/>
              </w:rPr>
              <w:t>必须提供</w:t>
            </w:r>
          </w:p>
        </w:tc>
      </w:tr>
      <w:tr w14:paraId="08E3F0F4">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435130A3">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61CF6735">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14:paraId="2A5E8CE3">
            <w:pPr>
              <w:bidi w:val="0"/>
              <w:rPr>
                <w:rFonts w:hint="eastAsia"/>
                <w:color w:val="auto"/>
                <w:highlight w:val="none"/>
                <w:lang w:eastAsia="zh-CN"/>
              </w:rPr>
            </w:pPr>
            <w:r>
              <w:rPr>
                <w:rFonts w:hint="eastAsia"/>
                <w:color w:val="auto"/>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vAlign w:val="center"/>
          </w:tcPr>
          <w:p w14:paraId="7E9049FB">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color w:val="auto"/>
                <w:highlight w:val="none"/>
              </w:rPr>
            </w:pPr>
            <w:r>
              <w:rPr>
                <w:rFonts w:hint="eastAsia" w:ascii="宋体" w:hAnsi="宋体" w:cs="宋体"/>
                <w:color w:val="auto"/>
                <w:kern w:val="0"/>
                <w:highlight w:val="none"/>
                <w:lang w:eastAsia="zh-CN"/>
              </w:rPr>
              <w:t>必须提供</w:t>
            </w:r>
          </w:p>
        </w:tc>
      </w:tr>
      <w:tr w14:paraId="45B6F42F">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5C399FEB">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72C35CFE">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14:paraId="19B144A1">
            <w:pPr>
              <w:bidi w:val="0"/>
              <w:rPr>
                <w:rFonts w:hint="eastAsia"/>
                <w:color w:val="auto"/>
                <w:highlight w:val="none"/>
                <w:lang w:eastAsia="zh-CN"/>
              </w:rPr>
            </w:pPr>
            <w:r>
              <w:rPr>
                <w:rFonts w:hint="eastAsia"/>
                <w:color w:val="auto"/>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vAlign w:val="center"/>
          </w:tcPr>
          <w:p w14:paraId="76C29AC9">
            <w:pPr>
              <w:keepNext w:val="0"/>
              <w:keepLines w:val="0"/>
              <w:pageBreakBefore w:val="0"/>
              <w:kinsoku/>
              <w:wordWrap/>
              <w:overflowPunct/>
              <w:topLinePunct w:val="0"/>
              <w:autoSpaceDE/>
              <w:autoSpaceDN/>
              <w:bidi w:val="0"/>
              <w:adjustRightInd/>
              <w:spacing w:line="288" w:lineRule="auto"/>
              <w:textAlignment w:val="auto"/>
              <w:rPr>
                <w:rFonts w:hint="eastAsia" w:ascii="宋体" w:hAnsi="宋体" w:cs="宋体"/>
                <w:bCs/>
                <w:color w:val="auto"/>
                <w:highlight w:val="none"/>
              </w:rPr>
            </w:pPr>
            <w:r>
              <w:rPr>
                <w:rFonts w:hint="eastAsia" w:ascii="宋体" w:hAnsi="宋体" w:cs="宋体"/>
                <w:color w:val="auto"/>
                <w:kern w:val="0"/>
                <w:highlight w:val="none"/>
                <w:lang w:eastAsia="zh-CN"/>
              </w:rPr>
              <w:t>必须提供</w:t>
            </w:r>
          </w:p>
        </w:tc>
      </w:tr>
      <w:tr w14:paraId="53529426">
        <w:tblPrEx>
          <w:tblCellMar>
            <w:top w:w="0" w:type="dxa"/>
            <w:left w:w="108" w:type="dxa"/>
            <w:bottom w:w="0" w:type="dxa"/>
            <w:right w:w="108" w:type="dxa"/>
          </w:tblCellMar>
        </w:tblPrEx>
        <w:trPr>
          <w:trHeight w:val="743" w:hRule="exact"/>
          <w:jc w:val="center"/>
        </w:trPr>
        <w:tc>
          <w:tcPr>
            <w:tcW w:w="944" w:type="dxa"/>
            <w:vMerge w:val="continue"/>
            <w:tcBorders>
              <w:top w:val="single" w:color="auto" w:sz="4" w:space="0"/>
              <w:left w:val="single" w:color="auto" w:sz="4" w:space="0"/>
              <w:bottom w:val="single" w:color="auto" w:sz="4" w:space="0"/>
              <w:right w:val="single" w:color="000000" w:sz="4" w:space="0"/>
            </w:tcBorders>
            <w:vAlign w:val="center"/>
          </w:tcPr>
          <w:p w14:paraId="66907CCD">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14:paraId="500352C3">
            <w:pPr>
              <w:pageBreakBefore w:val="0"/>
              <w:widowControl/>
              <w:kinsoku/>
              <w:wordWrap/>
              <w:overflowPunct/>
              <w:topLinePunct w:val="0"/>
              <w:bidi w:val="0"/>
              <w:spacing w:line="500" w:lineRule="exact"/>
              <w:jc w:val="left"/>
              <w:rPr>
                <w:rFonts w:hint="eastAsia" w:ascii="宋体" w:hAnsi="宋体" w:cs="宋体"/>
                <w:color w:val="auto"/>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14:paraId="2CABEB1C">
            <w:pPr>
              <w:bidi w:val="0"/>
              <w:rPr>
                <w:rFonts w:hint="eastAsia"/>
                <w:color w:val="auto"/>
                <w:highlight w:val="none"/>
                <w:lang w:eastAsia="zh-CN"/>
              </w:rPr>
            </w:pPr>
            <w:r>
              <w:rPr>
                <w:rFonts w:hint="eastAsia"/>
                <w:color w:val="auto"/>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vAlign w:val="center"/>
          </w:tcPr>
          <w:p w14:paraId="78AA0D7C">
            <w:pPr>
              <w:keepNext w:val="0"/>
              <w:keepLines w:val="0"/>
              <w:pageBreakBefore w:val="0"/>
              <w:kinsoku/>
              <w:wordWrap/>
              <w:overflowPunct/>
              <w:topLinePunct w:val="0"/>
              <w:autoSpaceDE/>
              <w:autoSpaceDN/>
              <w:bidi w:val="0"/>
              <w:adjustRightInd/>
              <w:snapToGrid w:val="0"/>
              <w:spacing w:line="288" w:lineRule="auto"/>
              <w:textAlignment w:val="auto"/>
              <w:rPr>
                <w:rFonts w:hint="eastAsia" w:ascii="宋体" w:hAnsi="宋体" w:cs="宋体"/>
                <w:color w:val="auto"/>
                <w:kern w:val="0"/>
                <w:highlight w:val="none"/>
              </w:rPr>
            </w:pPr>
            <w:r>
              <w:rPr>
                <w:rFonts w:hint="eastAsia" w:ascii="宋体" w:hAnsi="宋体" w:cs="宋体"/>
                <w:color w:val="auto"/>
                <w:kern w:val="0"/>
                <w:highlight w:val="none"/>
                <w:lang w:eastAsia="zh-CN"/>
              </w:rPr>
              <w:t>必须提供</w:t>
            </w:r>
          </w:p>
        </w:tc>
      </w:tr>
    </w:tbl>
    <w:p w14:paraId="4C450ECB">
      <w:pPr>
        <w:pStyle w:val="11"/>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highlight w:val="none"/>
        </w:rPr>
      </w:pPr>
      <w:r>
        <w:rPr>
          <w:rFonts w:hint="eastAsia" w:hAnsi="宋体" w:eastAsia="宋体" w:cs="宋体"/>
          <w:b/>
          <w:bCs w:val="0"/>
          <w:color w:val="auto"/>
          <w:sz w:val="24"/>
          <w:szCs w:val="24"/>
          <w:highlight w:val="none"/>
          <w:lang w:eastAsia="zh-CN"/>
        </w:rPr>
        <w:t>详细评审：</w:t>
      </w:r>
    </w:p>
    <w:p w14:paraId="19DD9F6A">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1、价格分…………………………………………………………………………………</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w:t>
      </w:r>
      <w:r>
        <w:rPr>
          <w:rFonts w:hint="eastAsia" w:ascii="宋体" w:hAnsi="宋体" w:cs="宋体"/>
          <w:b/>
          <w:color w:val="auto"/>
          <w:highlight w:val="none"/>
          <w:lang w:val="en-US" w:eastAsia="zh-CN"/>
        </w:rPr>
        <w:t>2</w:t>
      </w:r>
      <w:r>
        <w:rPr>
          <w:rFonts w:hint="eastAsia" w:ascii="宋体" w:hAnsi="宋体" w:eastAsia="宋体" w:cs="宋体"/>
          <w:b/>
          <w:color w:val="auto"/>
          <w:highlight w:val="none"/>
          <w:lang w:val="en-US" w:eastAsia="zh-CN"/>
        </w:rPr>
        <w:t>0</w:t>
      </w:r>
      <w:r>
        <w:rPr>
          <w:rFonts w:hint="eastAsia" w:ascii="宋体" w:hAnsi="宋体" w:eastAsia="宋体" w:cs="宋体"/>
          <w:b/>
          <w:color w:val="auto"/>
          <w:highlight w:val="none"/>
        </w:rPr>
        <w:t>分</w:t>
      </w:r>
    </w:p>
    <w:p w14:paraId="149541F8">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（1）本项目为专门面向中小微企业采购的项目（供应商应为中小微企业、监狱企业、残疾人福利性单位)，不再执行价格评审优惠的扶持政策。即评标价=最终报价。</w:t>
      </w:r>
    </w:p>
    <w:p w14:paraId="7B49C9F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624BDD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人为残疾人福利性单位的，随</w:t>
      </w:r>
      <w:r>
        <w:rPr>
          <w:rFonts w:hint="eastAsia" w:ascii="宋体" w:hAnsi="宋体" w:eastAsia="宋体" w:cs="宋体"/>
          <w:b w:val="0"/>
          <w:bCs/>
          <w:color w:val="auto"/>
          <w:highlight w:val="none"/>
          <w:lang w:eastAsia="zh-CN"/>
        </w:rPr>
        <w:t>成交</w:t>
      </w:r>
      <w:r>
        <w:rPr>
          <w:rFonts w:hint="eastAsia" w:ascii="宋体" w:hAnsi="宋体" w:eastAsia="宋体" w:cs="宋体"/>
          <w:b w:val="0"/>
          <w:bCs/>
          <w:color w:val="auto"/>
          <w:highlight w:val="none"/>
        </w:rPr>
        <w:t>结果公告其《残疾人福利性单位声明函》，接受社会监督。</w:t>
      </w:r>
    </w:p>
    <w:p w14:paraId="14A266C2">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（2）以进入评审的最低的评标价为</w:t>
      </w: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lang w:val="en-US" w:eastAsia="zh-CN"/>
        </w:rPr>
        <w:t>0</w:t>
      </w:r>
      <w:r>
        <w:rPr>
          <w:rFonts w:hint="eastAsia" w:ascii="宋体" w:hAnsi="宋体" w:eastAsia="宋体" w:cs="宋体"/>
          <w:b w:val="0"/>
          <w:bCs/>
          <w:color w:val="auto"/>
          <w:highlight w:val="none"/>
        </w:rPr>
        <w:t>分。</w:t>
      </w:r>
    </w:p>
    <w:p w14:paraId="1AE4B515">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（3）某供应商价格分 = 供应商最低评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报价（金额）/某供应商评</w:t>
      </w:r>
      <w:r>
        <w:rPr>
          <w:rFonts w:hint="eastAsia" w:ascii="宋体" w:hAnsi="宋体" w:eastAsia="宋体" w:cs="宋体"/>
          <w:b w:val="0"/>
          <w:bCs/>
          <w:color w:val="auto"/>
          <w:highlight w:val="none"/>
          <w:lang w:eastAsia="zh-CN"/>
        </w:rPr>
        <w:t>审</w:t>
      </w:r>
      <w:r>
        <w:rPr>
          <w:rFonts w:hint="eastAsia" w:ascii="宋体" w:hAnsi="宋体" w:eastAsia="宋体" w:cs="宋体"/>
          <w:b w:val="0"/>
          <w:bCs/>
          <w:color w:val="auto"/>
          <w:highlight w:val="none"/>
        </w:rPr>
        <w:t>报价（金额）×</w:t>
      </w:r>
      <w:r>
        <w:rPr>
          <w:rFonts w:hint="eastAsia" w:ascii="宋体" w:hAnsi="宋体" w:cs="宋体"/>
          <w:b w:val="0"/>
          <w:bCs/>
          <w:color w:val="auto"/>
          <w:highlight w:val="none"/>
          <w:lang w:val="en-US" w:eastAsia="zh-CN"/>
        </w:rPr>
        <w:t>2</w:t>
      </w:r>
      <w:r>
        <w:rPr>
          <w:rFonts w:hint="eastAsia" w:ascii="宋体" w:hAnsi="宋体" w:eastAsia="宋体" w:cs="宋体"/>
          <w:b w:val="0"/>
          <w:bCs/>
          <w:color w:val="auto"/>
          <w:highlight w:val="none"/>
          <w:lang w:val="en-US" w:eastAsia="zh-CN"/>
        </w:rPr>
        <w:t>0</w:t>
      </w:r>
      <w:r>
        <w:rPr>
          <w:rFonts w:hint="eastAsia" w:ascii="宋体" w:hAnsi="宋体" w:eastAsia="宋体" w:cs="宋体"/>
          <w:b w:val="0"/>
          <w:bCs/>
          <w:color w:val="auto"/>
          <w:highlight w:val="none"/>
        </w:rPr>
        <w:t>分。</w:t>
      </w:r>
    </w:p>
    <w:p w14:paraId="51A5EF4F">
      <w:pPr>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val="en-US" w:eastAsia="zh-CN"/>
        </w:rPr>
        <w:t>技术分</w:t>
      </w:r>
      <w:r>
        <w:rPr>
          <w:rFonts w:hint="eastAsia" w:ascii="宋体" w:hAnsi="宋体" w:eastAsia="宋体" w:cs="宋体"/>
          <w:b/>
          <w:color w:val="auto"/>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满分</w:t>
      </w:r>
      <w:r>
        <w:rPr>
          <w:rFonts w:hint="eastAsia" w:ascii="宋体" w:hAnsi="宋体" w:cs="宋体"/>
          <w:b/>
          <w:color w:val="auto"/>
          <w:highlight w:val="none"/>
          <w:lang w:val="en-US" w:eastAsia="zh-CN"/>
        </w:rPr>
        <w:t>70</w:t>
      </w:r>
      <w:r>
        <w:rPr>
          <w:rFonts w:hint="eastAsia" w:ascii="宋体" w:hAnsi="宋体" w:eastAsia="宋体" w:cs="宋体"/>
          <w:b/>
          <w:color w:val="auto"/>
          <w:highlight w:val="none"/>
        </w:rPr>
        <w:t>分</w:t>
      </w:r>
    </w:p>
    <w:p w14:paraId="06CC923B">
      <w:pPr>
        <w:pStyle w:val="11"/>
        <w:pageBreakBefore w:val="0"/>
        <w:widowControl w:val="0"/>
        <w:tabs>
          <w:tab w:val="left" w:leader="middleDot" w:pos="8820"/>
        </w:tabs>
        <w:kinsoku/>
        <w:wordWrap/>
        <w:overflowPunct/>
        <w:topLinePunct w:val="0"/>
        <w:bidi w:val="0"/>
        <w:snapToGrid/>
        <w:spacing w:line="440" w:lineRule="exact"/>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highlight w:val="none"/>
        </w:rPr>
        <w:t>（1）</w:t>
      </w:r>
      <w:r>
        <w:rPr>
          <w:rFonts w:hint="eastAsia" w:ascii="宋体" w:hAnsi="宋体" w:eastAsia="宋体" w:cs="宋体"/>
          <w:b/>
          <w:bCs w:val="0"/>
          <w:color w:val="auto"/>
          <w:szCs w:val="21"/>
          <w:highlight w:val="none"/>
        </w:rPr>
        <w:t>总体概述</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10</w:t>
      </w:r>
      <w:r>
        <w:rPr>
          <w:rFonts w:hint="eastAsia" w:ascii="宋体" w:hAnsi="宋体" w:eastAsia="宋体" w:cs="宋体"/>
          <w:b/>
          <w:bCs w:val="0"/>
          <w:color w:val="auto"/>
          <w:szCs w:val="21"/>
          <w:highlight w:val="none"/>
        </w:rPr>
        <w:t>分</w:t>
      </w:r>
    </w:p>
    <w:p w14:paraId="01647650">
      <w:pPr>
        <w:tabs>
          <w:tab w:val="left" w:pos="1050"/>
        </w:tabs>
        <w:snapToGrid w:val="0"/>
        <w:spacing w:line="360" w:lineRule="auto"/>
        <w:ind w:firstLine="420" w:firstLineChars="200"/>
        <w:rPr>
          <w:rFonts w:hint="eastAsia" w:ascii="Times New Roman" w:hAnsi="Times New Roman" w:eastAsia="宋体" w:cs="Times New Roman"/>
          <w:color w:val="auto"/>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分）</w:t>
      </w:r>
      <w:r>
        <w:rPr>
          <w:rFonts w:hint="eastAsia"/>
          <w:color w:val="auto"/>
          <w:highlight w:val="none"/>
        </w:rPr>
        <w:t>：对项目总体有深刻认识，表达清晰、完整、严谨、合理，措施先进、具体、有效、成熟；施工段划分清晰、合理，符合</w:t>
      </w:r>
      <w:r>
        <w:rPr>
          <w:rFonts w:hint="eastAsia" w:ascii="Times New Roman" w:hAnsi="Times New Roman" w:eastAsia="宋体" w:cs="Times New Roman"/>
          <w:color w:val="auto"/>
          <w:highlight w:val="none"/>
        </w:rPr>
        <w:t>规范要求，能全面反映项目的具体情况，描述详细。</w:t>
      </w:r>
    </w:p>
    <w:p w14:paraId="22AC66C3">
      <w:pPr>
        <w:tabs>
          <w:tab w:val="left" w:pos="1050"/>
        </w:tabs>
        <w:snapToGrid w:val="0"/>
        <w:spacing w:line="360" w:lineRule="auto"/>
        <w:ind w:firstLine="42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二档（8分）</w:t>
      </w:r>
      <w:r>
        <w:rPr>
          <w:rFonts w:hint="eastAsia" w:ascii="Times New Roman" w:hAnsi="Times New Roman" w:eastAsia="宋体" w:cs="Times New Roman"/>
          <w:color w:val="auto"/>
          <w:highlight w:val="none"/>
        </w:rPr>
        <w:t>：对项目总体有一定认识，表达清晰、完整，措施具体有效；施工段划分清晰，符合规范要求，能反映项目具体情况，描述较详细。</w:t>
      </w:r>
    </w:p>
    <w:p w14:paraId="57E3F6C7">
      <w:pPr>
        <w:tabs>
          <w:tab w:val="left" w:pos="1050"/>
        </w:tabs>
        <w:snapToGrid w:val="0"/>
        <w:spacing w:line="360" w:lineRule="auto"/>
        <w:ind w:firstLine="420" w:firstLineChars="200"/>
        <w:rPr>
          <w:rFonts w:hint="eastAsia" w:ascii="Times New Roman" w:hAnsi="Times New Roman" w:eastAsia="宋体" w:cs="Times New Roman"/>
          <w:color w:val="auto"/>
          <w:highlight w:val="none"/>
        </w:rPr>
      </w:pPr>
      <w:r>
        <w:rPr>
          <w:rFonts w:hint="eastAsia" w:cs="Times New Roman"/>
          <w:color w:val="auto"/>
          <w:highlight w:val="none"/>
          <w:lang w:val="en-US" w:eastAsia="zh-CN"/>
        </w:rPr>
        <w:t>三档（6分）</w:t>
      </w:r>
      <w:r>
        <w:rPr>
          <w:rFonts w:hint="eastAsia" w:ascii="Times New Roman" w:hAnsi="Times New Roman" w:eastAsia="宋体" w:cs="Times New Roman"/>
          <w:color w:val="auto"/>
          <w:highlight w:val="none"/>
        </w:rPr>
        <w:t>：对项目总体有认识，有一定的措施但部分不具体；施工段划分较合理，符合规范要求，能反映项目情况，描述简单。</w:t>
      </w:r>
    </w:p>
    <w:p w14:paraId="53B6837C">
      <w:pPr>
        <w:tabs>
          <w:tab w:val="left" w:pos="1050"/>
        </w:tabs>
        <w:snapToGrid w:val="0"/>
        <w:ind w:firstLine="420"/>
        <w:rPr>
          <w:rFonts w:hint="eastAsia" w:ascii="Times New Roman" w:hAnsi="Times New Roman" w:eastAsia="宋体" w:cs="Times New Roman"/>
          <w:color w:val="auto"/>
          <w:highlight w:val="none"/>
        </w:rPr>
      </w:pPr>
      <w:r>
        <w:rPr>
          <w:rFonts w:hint="eastAsia" w:cs="Times New Roman"/>
          <w:color w:val="auto"/>
          <w:highlight w:val="none"/>
          <w:lang w:val="en-US" w:eastAsia="zh-CN"/>
        </w:rPr>
        <w:t>四档（4分）</w:t>
      </w:r>
      <w:r>
        <w:rPr>
          <w:rFonts w:hint="eastAsia" w:ascii="Times New Roman" w:hAnsi="Times New Roman" w:eastAsia="宋体" w:cs="Times New Roman"/>
          <w:color w:val="auto"/>
          <w:highlight w:val="none"/>
        </w:rPr>
        <w:t>：对项目认识不足，表达不清晰，措施不具体；施工段划分不合理，未能反映项目情况。</w:t>
      </w:r>
    </w:p>
    <w:p w14:paraId="6332B4F4">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kern w:val="0"/>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086C2D63">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highlight w:val="none"/>
        </w:rPr>
        <w:t>（2）主要施工方法…………</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10</w:t>
      </w:r>
      <w:r>
        <w:rPr>
          <w:rFonts w:hint="eastAsia" w:ascii="宋体" w:hAnsi="宋体" w:eastAsia="宋体" w:cs="宋体"/>
          <w:b/>
          <w:bCs w:val="0"/>
          <w:color w:val="auto"/>
          <w:szCs w:val="21"/>
          <w:highlight w:val="none"/>
        </w:rPr>
        <w:t>分</w:t>
      </w:r>
    </w:p>
    <w:p w14:paraId="150FD8C3">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分）</w:t>
      </w:r>
      <w:r>
        <w:rPr>
          <w:rFonts w:hint="eastAsia" w:ascii="宋体" w:hAnsi="宋体" w:cs="宋体"/>
          <w:bCs/>
          <w:color w:val="auto"/>
          <w:kern w:val="0"/>
          <w:highlight w:val="none"/>
        </w:rPr>
        <w:t>：各主要分部施工方法符合项目实际，有详尽的施工技术方案，工艺先进、方法科学合理、可行，能指导具体施工并确保安全</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28BC3B80">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二档（8分）</w:t>
      </w:r>
      <w:r>
        <w:rPr>
          <w:rFonts w:hint="eastAsia" w:ascii="宋体" w:hAnsi="宋体" w:cs="宋体"/>
          <w:bCs/>
          <w:color w:val="auto"/>
          <w:kern w:val="0"/>
          <w:highlight w:val="none"/>
        </w:rPr>
        <w:t>：各主要分部施工方法符合项目实际，有较详尽的施工技术方案，工艺较好、方法科学合理、可行，能指导具体施工并确保安全</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5EC41D20">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三档（6分）</w:t>
      </w:r>
      <w:r>
        <w:rPr>
          <w:rFonts w:hint="eastAsia" w:ascii="宋体" w:hAnsi="宋体" w:cs="宋体"/>
          <w:bCs/>
          <w:color w:val="auto"/>
          <w:kern w:val="0"/>
          <w:highlight w:val="none"/>
        </w:rPr>
        <w:t>：各主要分部施工方法能满足项目需求，有施工技术方案，能指导具体施工并确保安全</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一定针对性，有一定实际操作性</w:t>
      </w:r>
      <w:r>
        <w:rPr>
          <w:rFonts w:hint="eastAsia" w:ascii="宋体" w:hAnsi="宋体" w:cs="宋体"/>
          <w:bCs/>
          <w:color w:val="auto"/>
          <w:kern w:val="0"/>
          <w:highlight w:val="none"/>
        </w:rPr>
        <w:t>；</w:t>
      </w:r>
    </w:p>
    <w:p w14:paraId="42582CDE">
      <w:pPr>
        <w:widowControl/>
        <w:spacing w:line="360" w:lineRule="auto"/>
        <w:ind w:firstLine="420" w:firstLineChars="0"/>
        <w:rPr>
          <w:rFonts w:hint="eastAsia" w:ascii="宋体" w:hAnsi="宋体" w:cs="宋体"/>
          <w:bCs/>
          <w:color w:val="auto"/>
          <w:kern w:val="0"/>
          <w:highlight w:val="none"/>
        </w:rPr>
      </w:pPr>
      <w:r>
        <w:rPr>
          <w:rFonts w:hint="eastAsia" w:cs="Times New Roman"/>
          <w:color w:val="auto"/>
          <w:highlight w:val="none"/>
          <w:lang w:val="en-US" w:eastAsia="zh-CN"/>
        </w:rPr>
        <w:t>四档（4分）</w:t>
      </w:r>
      <w:r>
        <w:rPr>
          <w:rFonts w:hint="eastAsia" w:ascii="宋体" w:hAnsi="宋体" w:cs="宋体"/>
          <w:bCs/>
          <w:color w:val="auto"/>
          <w:kern w:val="0"/>
          <w:highlight w:val="none"/>
        </w:rPr>
        <w:t>：各主要分部施工方法不能满足项目需求，没有施工技术方案，不能指导具体施工并确保安全；</w:t>
      </w:r>
    </w:p>
    <w:p w14:paraId="3A2F0082">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4D6972CC">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（3）施工进度计划和各阶段进度的保证措施</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8</w:t>
      </w:r>
      <w:r>
        <w:rPr>
          <w:rFonts w:hint="eastAsia" w:ascii="宋体" w:hAnsi="宋体" w:eastAsia="宋体" w:cs="宋体"/>
          <w:b/>
          <w:bCs w:val="0"/>
          <w:color w:val="auto"/>
          <w:szCs w:val="21"/>
          <w:highlight w:val="none"/>
        </w:rPr>
        <w:t>分</w:t>
      </w:r>
    </w:p>
    <w:p w14:paraId="30B735E9">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分）</w:t>
      </w: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施工进度、</w:t>
      </w:r>
      <w:r>
        <w:rPr>
          <w:rFonts w:hint="eastAsia" w:ascii="宋体" w:hAnsi="宋体" w:cs="宋体"/>
          <w:bCs/>
          <w:color w:val="auto"/>
          <w:kern w:val="0"/>
          <w:highlight w:val="none"/>
        </w:rPr>
        <w:t>关键线路清晰、准确、完整，计划编制合理、可行，关键节点的控制措施有力、合理、可行</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5033B7F2">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二档（6分）</w:t>
      </w: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施工进度、</w:t>
      </w:r>
      <w:r>
        <w:rPr>
          <w:rFonts w:hint="eastAsia" w:ascii="宋体" w:hAnsi="宋体" w:cs="宋体"/>
          <w:bCs/>
          <w:color w:val="auto"/>
          <w:kern w:val="0"/>
          <w:highlight w:val="none"/>
        </w:rPr>
        <w:t>关键线路清晰、准确、完整，计划编制可行，关键节点的控制措施合理、可行</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650638BE">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三档（4分）</w:t>
      </w: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施工进度、</w:t>
      </w:r>
      <w:r>
        <w:rPr>
          <w:rFonts w:hint="eastAsia" w:ascii="宋体" w:hAnsi="宋体" w:cs="宋体"/>
          <w:bCs/>
          <w:color w:val="auto"/>
          <w:kern w:val="0"/>
          <w:highlight w:val="none"/>
        </w:rPr>
        <w:t>关键线路基本准确，计划编制合理，关键节点的控制措施基本可行</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有</w:t>
      </w:r>
      <w:r>
        <w:rPr>
          <w:rFonts w:hint="eastAsia" w:ascii="宋体" w:hAnsi="宋体" w:cs="宋体"/>
          <w:bCs/>
          <w:color w:val="auto"/>
          <w:kern w:val="0"/>
          <w:highlight w:val="none"/>
          <w:lang w:eastAsia="zh-CN"/>
        </w:rPr>
        <w:t>一定针对性，有一定实际可操作性</w:t>
      </w:r>
      <w:r>
        <w:rPr>
          <w:rFonts w:hint="eastAsia" w:ascii="宋体" w:hAnsi="宋体" w:cs="宋体"/>
          <w:bCs/>
          <w:color w:val="auto"/>
          <w:kern w:val="0"/>
          <w:highlight w:val="none"/>
        </w:rPr>
        <w:t>。</w:t>
      </w:r>
    </w:p>
    <w:p w14:paraId="5705FF45">
      <w:pPr>
        <w:widowControl/>
        <w:spacing w:line="360" w:lineRule="auto"/>
        <w:ind w:firstLine="420" w:firstLineChars="0"/>
        <w:rPr>
          <w:rFonts w:hint="eastAsia" w:ascii="宋体" w:hAnsi="宋体" w:cs="宋体"/>
          <w:bCs/>
          <w:color w:val="auto"/>
          <w:kern w:val="0"/>
          <w:highlight w:val="none"/>
        </w:rPr>
      </w:pPr>
      <w:r>
        <w:rPr>
          <w:rFonts w:hint="eastAsia" w:cs="Times New Roman"/>
          <w:color w:val="auto"/>
          <w:highlight w:val="none"/>
          <w:lang w:val="en-US" w:eastAsia="zh-CN"/>
        </w:rPr>
        <w:t>四档（2分）</w:t>
      </w:r>
      <w:r>
        <w:rPr>
          <w:rFonts w:hint="eastAsia" w:ascii="宋体" w:hAnsi="宋体" w:cs="宋体"/>
          <w:bCs/>
          <w:color w:val="auto"/>
          <w:kern w:val="0"/>
          <w:highlight w:val="none"/>
        </w:rPr>
        <w:t>：</w:t>
      </w:r>
      <w:r>
        <w:rPr>
          <w:rFonts w:hint="eastAsia" w:ascii="宋体" w:hAnsi="宋体" w:cs="宋体"/>
          <w:bCs/>
          <w:color w:val="auto"/>
          <w:kern w:val="0"/>
          <w:highlight w:val="none"/>
          <w:lang w:val="en-US" w:eastAsia="zh-CN"/>
        </w:rPr>
        <w:t>施工进度、</w:t>
      </w:r>
      <w:r>
        <w:rPr>
          <w:rFonts w:hint="eastAsia" w:ascii="宋体" w:hAnsi="宋体" w:cs="宋体"/>
          <w:bCs/>
          <w:color w:val="auto"/>
          <w:kern w:val="0"/>
          <w:highlight w:val="none"/>
        </w:rPr>
        <w:t>关键线路不准确，计划编制不合理，关键节点的控制不可行。</w:t>
      </w:r>
    </w:p>
    <w:p w14:paraId="4B0125A4">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18D36A96">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highlight w:val="none"/>
        </w:rPr>
      </w:pPr>
      <w:r>
        <w:rPr>
          <w:rFonts w:hint="eastAsia" w:ascii="宋体" w:hAnsi="宋体" w:eastAsia="宋体" w:cs="宋体"/>
          <w:b/>
          <w:bCs w:val="0"/>
          <w:color w:val="auto"/>
          <w:szCs w:val="21"/>
          <w:highlight w:val="none"/>
        </w:rPr>
        <w:t>（4）劳动力和材料投入计划及其保证措施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color w:val="auto"/>
          <w:highlight w:val="none"/>
        </w:rPr>
        <w:t>……</w:t>
      </w:r>
      <w:r>
        <w:rPr>
          <w:rFonts w:hint="eastAsia" w:hAnsi="宋体" w:cs="宋体"/>
          <w:b/>
          <w:color w:val="auto"/>
          <w:highlight w:val="none"/>
          <w:lang w:val="en-US" w:eastAsia="zh-CN"/>
        </w:rPr>
        <w:t>6</w:t>
      </w:r>
      <w:r>
        <w:rPr>
          <w:rFonts w:hint="eastAsia" w:ascii="宋体" w:hAnsi="宋体" w:eastAsia="宋体" w:cs="宋体"/>
          <w:b/>
          <w:bCs w:val="0"/>
          <w:color w:val="auto"/>
          <w:szCs w:val="21"/>
          <w:highlight w:val="none"/>
        </w:rPr>
        <w:t>分</w:t>
      </w:r>
    </w:p>
    <w:p w14:paraId="1F7FE6B3">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分）</w:t>
      </w:r>
      <w:r>
        <w:rPr>
          <w:rFonts w:hint="eastAsia" w:ascii="宋体" w:hAnsi="宋体" w:cs="宋体"/>
          <w:bCs/>
          <w:color w:val="auto"/>
          <w:kern w:val="0"/>
          <w:highlight w:val="none"/>
        </w:rPr>
        <w:t>：投入计划与进度计划呼应，较好满足施工需要，调配投入计划合理、准确</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4C821649">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二档（4分）</w:t>
      </w:r>
      <w:r>
        <w:rPr>
          <w:rFonts w:hint="eastAsia" w:ascii="宋体" w:hAnsi="宋体" w:cs="宋体"/>
          <w:bCs/>
          <w:color w:val="auto"/>
          <w:kern w:val="0"/>
          <w:highlight w:val="none"/>
        </w:rPr>
        <w:t>：投入计划与进度计划呼应，基本满足施工需要，调配投入计划基本合理、准确</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4FD1A480">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三档（2分）</w:t>
      </w:r>
      <w:r>
        <w:rPr>
          <w:rFonts w:hint="eastAsia" w:ascii="宋体" w:hAnsi="宋体" w:cs="宋体"/>
          <w:bCs/>
          <w:color w:val="auto"/>
          <w:kern w:val="0"/>
          <w:highlight w:val="none"/>
        </w:rPr>
        <w:t>：投入计划与进度计划呼应，基本满足施工需要，调配投入计划基本合理</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有</w:t>
      </w:r>
      <w:r>
        <w:rPr>
          <w:rFonts w:hint="eastAsia" w:ascii="宋体" w:hAnsi="宋体" w:cs="宋体"/>
          <w:bCs/>
          <w:color w:val="auto"/>
          <w:kern w:val="0"/>
          <w:highlight w:val="none"/>
          <w:lang w:eastAsia="zh-CN"/>
        </w:rPr>
        <w:t>一定针对性，有一定实际可操作性</w:t>
      </w:r>
      <w:r>
        <w:rPr>
          <w:rFonts w:hint="eastAsia" w:ascii="宋体" w:hAnsi="宋体" w:cs="宋体"/>
          <w:bCs/>
          <w:color w:val="auto"/>
          <w:kern w:val="0"/>
          <w:highlight w:val="none"/>
        </w:rPr>
        <w:t>。</w:t>
      </w:r>
    </w:p>
    <w:p w14:paraId="78ECFA8F">
      <w:pPr>
        <w:widowControl/>
        <w:spacing w:line="360" w:lineRule="auto"/>
        <w:ind w:left="399" w:leftChars="190" w:firstLine="0" w:firstLineChars="0"/>
        <w:rPr>
          <w:rFonts w:hint="eastAsia" w:ascii="宋体" w:hAnsi="宋体" w:cs="宋体"/>
          <w:bCs/>
          <w:color w:val="auto"/>
          <w:kern w:val="0"/>
          <w:highlight w:val="none"/>
        </w:rPr>
      </w:pPr>
      <w:r>
        <w:rPr>
          <w:rFonts w:hint="eastAsia" w:cs="Times New Roman"/>
          <w:color w:val="auto"/>
          <w:highlight w:val="none"/>
          <w:lang w:val="en-US" w:eastAsia="zh-CN"/>
        </w:rPr>
        <w:t>四档（1分）</w:t>
      </w:r>
      <w:r>
        <w:rPr>
          <w:rFonts w:hint="eastAsia" w:ascii="宋体" w:hAnsi="宋体" w:cs="宋体"/>
          <w:bCs/>
          <w:color w:val="auto"/>
          <w:kern w:val="0"/>
          <w:highlight w:val="none"/>
        </w:rPr>
        <w:t>：投入计划与进度计划不呼应，不能满足施工需要。</w:t>
      </w:r>
    </w:p>
    <w:p w14:paraId="279E6651">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775094C5">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（5）</w:t>
      </w:r>
      <w:r>
        <w:rPr>
          <w:rFonts w:hint="eastAsia" w:ascii="宋体" w:hAnsi="宋体" w:eastAsia="宋体" w:cs="宋体"/>
          <w:b/>
          <w:bCs w:val="0"/>
          <w:color w:val="auto"/>
          <w:szCs w:val="21"/>
          <w:highlight w:val="none"/>
          <w:lang w:val="en-US" w:eastAsia="zh-CN"/>
        </w:rPr>
        <w:t>质量保证与承诺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6</w:t>
      </w:r>
      <w:r>
        <w:rPr>
          <w:rFonts w:hint="eastAsia" w:ascii="宋体" w:hAnsi="宋体" w:eastAsia="宋体" w:cs="宋体"/>
          <w:b/>
          <w:bCs w:val="0"/>
          <w:color w:val="auto"/>
          <w:szCs w:val="21"/>
          <w:highlight w:val="none"/>
        </w:rPr>
        <w:t>分</w:t>
      </w:r>
    </w:p>
    <w:p w14:paraId="17D8BD38">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分）</w:t>
      </w:r>
      <w:r>
        <w:rPr>
          <w:rFonts w:hint="eastAsia" w:ascii="宋体" w:hAnsi="宋体" w:cs="宋体"/>
          <w:bCs/>
          <w:color w:val="auto"/>
          <w:kern w:val="0"/>
          <w:highlight w:val="none"/>
        </w:rPr>
        <w:t>：针对项目实际提出先进、可行、具体的保证措施，超过</w:t>
      </w:r>
      <w:r>
        <w:rPr>
          <w:rFonts w:hint="eastAsia" w:ascii="宋体" w:hAnsi="宋体" w:cs="宋体"/>
          <w:bCs/>
          <w:color w:val="auto"/>
          <w:kern w:val="0"/>
          <w:highlight w:val="none"/>
          <w:lang w:eastAsia="zh-CN"/>
        </w:rPr>
        <w:t>采购文件</w:t>
      </w:r>
      <w:r>
        <w:rPr>
          <w:rFonts w:hint="eastAsia" w:ascii="宋体" w:hAnsi="宋体" w:cs="宋体"/>
          <w:bCs/>
          <w:color w:val="auto"/>
          <w:kern w:val="0"/>
          <w:highlight w:val="none"/>
        </w:rPr>
        <w:t>的质量要求及施工验收规范要求</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092B20A2">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二档（4分）</w:t>
      </w:r>
      <w:r>
        <w:rPr>
          <w:rFonts w:hint="eastAsia" w:ascii="宋体" w:hAnsi="宋体" w:cs="宋体"/>
          <w:bCs/>
          <w:color w:val="auto"/>
          <w:kern w:val="0"/>
          <w:highlight w:val="none"/>
        </w:rPr>
        <w:t>：针对项目实际提出先进、可行、具体的保证措施，满足</w:t>
      </w:r>
      <w:r>
        <w:rPr>
          <w:rFonts w:hint="eastAsia" w:ascii="宋体" w:hAnsi="宋体" w:cs="宋体"/>
          <w:bCs/>
          <w:color w:val="auto"/>
          <w:kern w:val="0"/>
          <w:highlight w:val="none"/>
          <w:lang w:eastAsia="zh-CN"/>
        </w:rPr>
        <w:t>采购文件</w:t>
      </w:r>
      <w:r>
        <w:rPr>
          <w:rFonts w:hint="eastAsia" w:ascii="宋体" w:hAnsi="宋体" w:cs="宋体"/>
          <w:bCs/>
          <w:color w:val="auto"/>
          <w:kern w:val="0"/>
          <w:highlight w:val="none"/>
        </w:rPr>
        <w:t>的质量要求</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5EE1BE6B">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三档（2分）</w:t>
      </w:r>
      <w:r>
        <w:rPr>
          <w:rFonts w:hint="eastAsia" w:ascii="宋体" w:hAnsi="宋体" w:cs="宋体"/>
          <w:bCs/>
          <w:color w:val="auto"/>
          <w:kern w:val="0"/>
          <w:highlight w:val="none"/>
        </w:rPr>
        <w:t>：具体措施可行，满足</w:t>
      </w:r>
      <w:r>
        <w:rPr>
          <w:rFonts w:hint="eastAsia" w:ascii="宋体" w:hAnsi="宋体" w:cs="宋体"/>
          <w:bCs/>
          <w:color w:val="auto"/>
          <w:kern w:val="0"/>
          <w:highlight w:val="none"/>
          <w:lang w:eastAsia="zh-CN"/>
        </w:rPr>
        <w:t>采购文件</w:t>
      </w:r>
      <w:r>
        <w:rPr>
          <w:rFonts w:hint="eastAsia" w:ascii="宋体" w:hAnsi="宋体" w:cs="宋体"/>
          <w:bCs/>
          <w:color w:val="auto"/>
          <w:kern w:val="0"/>
          <w:highlight w:val="none"/>
        </w:rPr>
        <w:t>的质量要求</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有</w:t>
      </w:r>
      <w:r>
        <w:rPr>
          <w:rFonts w:hint="eastAsia" w:ascii="宋体" w:hAnsi="宋体" w:cs="宋体"/>
          <w:bCs/>
          <w:color w:val="auto"/>
          <w:kern w:val="0"/>
          <w:highlight w:val="none"/>
          <w:lang w:eastAsia="zh-CN"/>
        </w:rPr>
        <w:t>一定针对性，有一定实际可操作性</w:t>
      </w:r>
      <w:r>
        <w:rPr>
          <w:rFonts w:hint="eastAsia" w:ascii="宋体" w:hAnsi="宋体" w:cs="宋体"/>
          <w:bCs/>
          <w:color w:val="auto"/>
          <w:kern w:val="0"/>
          <w:highlight w:val="none"/>
        </w:rPr>
        <w:t>。</w:t>
      </w:r>
    </w:p>
    <w:p w14:paraId="1E425D72">
      <w:pPr>
        <w:widowControl/>
        <w:spacing w:line="360" w:lineRule="auto"/>
        <w:ind w:firstLine="420" w:firstLineChars="0"/>
        <w:rPr>
          <w:rFonts w:hint="eastAsia" w:ascii="宋体" w:hAnsi="宋体" w:cs="宋体"/>
          <w:bCs/>
          <w:color w:val="auto"/>
          <w:kern w:val="0"/>
          <w:highlight w:val="none"/>
        </w:rPr>
      </w:pPr>
      <w:r>
        <w:rPr>
          <w:rFonts w:hint="eastAsia" w:cs="Times New Roman"/>
          <w:color w:val="auto"/>
          <w:highlight w:val="none"/>
          <w:lang w:val="en-US" w:eastAsia="zh-CN"/>
        </w:rPr>
        <w:t>四档（1分）</w:t>
      </w:r>
      <w:r>
        <w:rPr>
          <w:rFonts w:hint="eastAsia" w:ascii="宋体" w:hAnsi="宋体" w:cs="宋体"/>
          <w:bCs/>
          <w:color w:val="auto"/>
          <w:kern w:val="0"/>
          <w:highlight w:val="none"/>
        </w:rPr>
        <w:t>：措施不可行</w:t>
      </w:r>
      <w:r>
        <w:rPr>
          <w:rFonts w:hint="eastAsia" w:ascii="宋体" w:hAnsi="宋体" w:cs="宋体"/>
          <w:bCs/>
          <w:color w:val="auto"/>
          <w:kern w:val="0"/>
          <w:highlight w:val="none"/>
          <w:lang w:eastAsia="zh-CN"/>
        </w:rPr>
        <w:t>，</w:t>
      </w:r>
      <w:r>
        <w:rPr>
          <w:rFonts w:hint="eastAsia" w:ascii="宋体" w:hAnsi="宋体" w:cs="宋体"/>
          <w:bCs/>
          <w:color w:val="auto"/>
          <w:kern w:val="0"/>
          <w:highlight w:val="none"/>
        </w:rPr>
        <w:t>不能满足施工需要。</w:t>
      </w:r>
    </w:p>
    <w:p w14:paraId="7517A9E2">
      <w:pPr>
        <w:pStyle w:val="6"/>
        <w:ind w:left="0" w:leftChars="0" w:firstLine="422" w:firstLineChars="200"/>
        <w:rPr>
          <w:rFonts w:hint="eastAsia"/>
          <w:color w:val="auto"/>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06C49EE1">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（6）关键施工技术、工艺及工程实施的重点、难点和解决方案</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8</w:t>
      </w:r>
      <w:r>
        <w:rPr>
          <w:rFonts w:hint="eastAsia" w:ascii="宋体" w:hAnsi="宋体" w:eastAsia="宋体" w:cs="宋体"/>
          <w:b/>
          <w:bCs w:val="0"/>
          <w:color w:val="auto"/>
          <w:szCs w:val="21"/>
          <w:highlight w:val="none"/>
        </w:rPr>
        <w:t>分</w:t>
      </w:r>
    </w:p>
    <w:p w14:paraId="59D5A36C">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分）</w:t>
      </w:r>
      <w:r>
        <w:rPr>
          <w:rFonts w:hint="eastAsia" w:ascii="宋体" w:hAnsi="宋体" w:cs="宋体"/>
          <w:bCs/>
          <w:color w:val="auto"/>
          <w:kern w:val="0"/>
          <w:highlight w:val="none"/>
        </w:rPr>
        <w:t>：对项目关键技术、工艺有深入的表达，对重点、难点有先进合理的施工措施并有可行的安全措施，解决方案完整、经济、安全、切实可行，措施得力</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01D4B2A2">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二档（6分）</w:t>
      </w:r>
      <w:r>
        <w:rPr>
          <w:rFonts w:hint="eastAsia" w:ascii="宋体" w:hAnsi="宋体" w:cs="宋体"/>
          <w:bCs/>
          <w:color w:val="auto"/>
          <w:kern w:val="0"/>
          <w:highlight w:val="none"/>
        </w:rPr>
        <w:t>：对项目关键技术、工艺有深入的表达，对重点、难点有合理的建议，解决方案经济、安全、基本可行</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091B9779">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三档（4分）</w:t>
      </w:r>
      <w:r>
        <w:rPr>
          <w:rFonts w:hint="eastAsia" w:ascii="宋体" w:hAnsi="宋体" w:cs="宋体"/>
          <w:bCs/>
          <w:color w:val="auto"/>
          <w:kern w:val="0"/>
          <w:highlight w:val="none"/>
        </w:rPr>
        <w:t>：对项目关键技术有一定了解，对重点、难点有建议，解决方案基本可行</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有</w:t>
      </w:r>
      <w:r>
        <w:rPr>
          <w:rFonts w:hint="eastAsia" w:ascii="宋体" w:hAnsi="宋体" w:cs="宋体"/>
          <w:bCs/>
          <w:color w:val="auto"/>
          <w:kern w:val="0"/>
          <w:highlight w:val="none"/>
          <w:lang w:eastAsia="zh-CN"/>
        </w:rPr>
        <w:t>一定针对性，有一定实际可操作性</w:t>
      </w:r>
      <w:r>
        <w:rPr>
          <w:rFonts w:hint="eastAsia" w:ascii="宋体" w:hAnsi="宋体" w:cs="宋体"/>
          <w:bCs/>
          <w:color w:val="auto"/>
          <w:kern w:val="0"/>
          <w:highlight w:val="none"/>
        </w:rPr>
        <w:t>。</w:t>
      </w:r>
    </w:p>
    <w:p w14:paraId="10EBE47D">
      <w:pPr>
        <w:widowControl/>
        <w:spacing w:line="360" w:lineRule="auto"/>
        <w:ind w:firstLine="315" w:firstLineChars="0"/>
        <w:rPr>
          <w:rFonts w:hint="eastAsia" w:ascii="宋体" w:hAnsi="宋体" w:cs="宋体"/>
          <w:bCs/>
          <w:color w:val="auto"/>
          <w:kern w:val="0"/>
          <w:highlight w:val="none"/>
        </w:rPr>
      </w:pPr>
      <w:r>
        <w:rPr>
          <w:rFonts w:hint="eastAsia" w:cs="Times New Roman"/>
          <w:color w:val="auto"/>
          <w:highlight w:val="none"/>
          <w:lang w:val="en-US" w:eastAsia="zh-CN"/>
        </w:rPr>
        <w:t>四档（2分）</w:t>
      </w:r>
      <w:r>
        <w:rPr>
          <w:rFonts w:hint="eastAsia" w:ascii="宋体" w:hAnsi="宋体" w:cs="宋体"/>
          <w:bCs/>
          <w:color w:val="auto"/>
          <w:kern w:val="0"/>
          <w:highlight w:val="none"/>
        </w:rPr>
        <w:t>：对项目关键技术有表述，对重点、难点有建议，解决方案不可行。</w:t>
      </w:r>
    </w:p>
    <w:p w14:paraId="291B702C">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kern w:val="0"/>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3A91C6E2">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kern w:val="0"/>
          <w:szCs w:val="21"/>
          <w:highlight w:val="none"/>
        </w:rPr>
        <w:t>（7）安全文明施工措施</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szCs w:val="21"/>
          <w:highlight w:val="none"/>
          <w:lang w:val="en-US" w:eastAsia="zh-CN"/>
        </w:rPr>
        <w:t>8</w:t>
      </w:r>
      <w:r>
        <w:rPr>
          <w:rFonts w:hint="eastAsia" w:ascii="宋体" w:hAnsi="宋体" w:eastAsia="宋体" w:cs="宋体"/>
          <w:b/>
          <w:bCs w:val="0"/>
          <w:color w:val="auto"/>
          <w:szCs w:val="21"/>
          <w:highlight w:val="none"/>
        </w:rPr>
        <w:t>分</w:t>
      </w:r>
    </w:p>
    <w:p w14:paraId="7460FC4A">
      <w:pPr>
        <w:widowControl/>
        <w:spacing w:line="360" w:lineRule="auto"/>
        <w:ind w:firstLine="420"/>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分）</w:t>
      </w:r>
      <w:r>
        <w:rPr>
          <w:rFonts w:hint="eastAsia" w:ascii="宋体" w:hAnsi="宋体" w:cs="宋体"/>
          <w:bCs/>
          <w:color w:val="auto"/>
          <w:kern w:val="0"/>
          <w:highlight w:val="none"/>
        </w:rPr>
        <w:t>：针对项目实际情况，有先进、具体、完整、可行的实施措施，采用规范正确、清晰</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39A682A3">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二档（6分）</w:t>
      </w:r>
      <w:r>
        <w:rPr>
          <w:rFonts w:hint="eastAsia" w:ascii="宋体" w:hAnsi="宋体" w:cs="宋体"/>
          <w:bCs/>
          <w:color w:val="auto"/>
          <w:kern w:val="0"/>
          <w:highlight w:val="none"/>
        </w:rPr>
        <w:t>：针对项目实际情况，有合理的措施且具体、完整，采用规范正确</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0DC13D76">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三档（4分）</w:t>
      </w:r>
      <w:r>
        <w:rPr>
          <w:rFonts w:hint="eastAsia" w:ascii="宋体" w:hAnsi="宋体" w:cs="宋体"/>
          <w:bCs/>
          <w:color w:val="auto"/>
          <w:kern w:val="0"/>
          <w:highlight w:val="none"/>
        </w:rPr>
        <w:t>：有基本合理的措施，采用规范正确</w:t>
      </w:r>
      <w:r>
        <w:rPr>
          <w:rFonts w:hint="eastAsia" w:ascii="宋体" w:hAnsi="宋体" w:cs="宋体"/>
          <w:bCs/>
          <w:color w:val="auto"/>
          <w:kern w:val="0"/>
          <w:highlight w:val="none"/>
          <w:lang w:eastAsia="zh-CN"/>
        </w:rPr>
        <w:t>，</w:t>
      </w:r>
      <w:r>
        <w:rPr>
          <w:rFonts w:hint="eastAsia" w:ascii="宋体" w:hAnsi="宋体" w:cs="宋体"/>
          <w:bCs/>
          <w:color w:val="auto"/>
          <w:kern w:val="0"/>
          <w:highlight w:val="none"/>
          <w:lang w:val="en-US" w:eastAsia="zh-CN"/>
        </w:rPr>
        <w:t>有</w:t>
      </w:r>
      <w:r>
        <w:rPr>
          <w:rFonts w:hint="eastAsia" w:ascii="宋体" w:hAnsi="宋体" w:cs="宋体"/>
          <w:bCs/>
          <w:color w:val="auto"/>
          <w:kern w:val="0"/>
          <w:highlight w:val="none"/>
          <w:lang w:eastAsia="zh-CN"/>
        </w:rPr>
        <w:t>一定针对性，有一定实际可操作性</w:t>
      </w:r>
      <w:r>
        <w:rPr>
          <w:rFonts w:hint="eastAsia" w:ascii="宋体" w:hAnsi="宋体" w:cs="宋体"/>
          <w:bCs/>
          <w:color w:val="auto"/>
          <w:kern w:val="0"/>
          <w:highlight w:val="none"/>
        </w:rPr>
        <w:t>。</w:t>
      </w:r>
    </w:p>
    <w:p w14:paraId="30B09AEE">
      <w:pPr>
        <w:widowControl/>
        <w:spacing w:line="360" w:lineRule="auto"/>
        <w:ind w:firstLine="420" w:firstLineChars="0"/>
        <w:rPr>
          <w:rFonts w:hint="eastAsia" w:ascii="宋体" w:hAnsi="宋体" w:cs="宋体"/>
          <w:bCs/>
          <w:color w:val="auto"/>
          <w:kern w:val="0"/>
          <w:highlight w:val="none"/>
        </w:rPr>
      </w:pPr>
      <w:r>
        <w:rPr>
          <w:rFonts w:hint="eastAsia" w:cs="Times New Roman"/>
          <w:color w:val="auto"/>
          <w:highlight w:val="none"/>
          <w:lang w:val="en-US" w:eastAsia="zh-CN"/>
        </w:rPr>
        <w:t>四档（2分）</w:t>
      </w:r>
      <w:r>
        <w:rPr>
          <w:rFonts w:hint="eastAsia" w:ascii="宋体" w:hAnsi="宋体" w:cs="宋体"/>
          <w:bCs/>
          <w:color w:val="auto"/>
          <w:kern w:val="0"/>
          <w:highlight w:val="none"/>
        </w:rPr>
        <w:t>：安全文明措施不得力，采用规范不正确。</w:t>
      </w:r>
    </w:p>
    <w:p w14:paraId="4C5F9997">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7083C44C">
      <w:pPr>
        <w:pStyle w:val="11"/>
        <w:keepNext w:val="0"/>
        <w:keepLines w:val="0"/>
        <w:pageBreakBefore w:val="0"/>
        <w:widowControl w:val="0"/>
        <w:kinsoku/>
        <w:wordWrap/>
        <w:overflowPunct/>
        <w:topLinePunct w:val="0"/>
        <w:autoSpaceDE/>
        <w:autoSpaceDN/>
        <w:bidi w:val="0"/>
        <w:adjustRightInd/>
        <w:snapToGrid/>
        <w:spacing w:line="288" w:lineRule="auto"/>
        <w:ind w:firstLine="211" w:firstLineChars="100"/>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（8）</w:t>
      </w:r>
      <w:r>
        <w:rPr>
          <w:rFonts w:hint="eastAsia" w:hAnsi="宋体" w:cs="宋体"/>
          <w:b/>
          <w:bCs w:val="0"/>
          <w:color w:val="auto"/>
          <w:szCs w:val="21"/>
          <w:highlight w:val="none"/>
          <w:lang w:val="en-US" w:eastAsia="zh-CN"/>
        </w:rPr>
        <w:t>服务</w:t>
      </w:r>
      <w:r>
        <w:rPr>
          <w:rFonts w:hint="eastAsia" w:ascii="宋体" w:hAnsi="宋体" w:eastAsia="宋体" w:cs="宋体"/>
          <w:b/>
          <w:bCs w:val="0"/>
          <w:color w:val="auto"/>
          <w:szCs w:val="21"/>
          <w:highlight w:val="none"/>
        </w:rPr>
        <w:t>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10</w:t>
      </w:r>
      <w:r>
        <w:rPr>
          <w:rFonts w:hint="eastAsia" w:ascii="宋体" w:hAnsi="宋体" w:eastAsia="宋体" w:cs="宋体"/>
          <w:b/>
          <w:bCs w:val="0"/>
          <w:color w:val="auto"/>
          <w:szCs w:val="21"/>
          <w:highlight w:val="none"/>
        </w:rPr>
        <w:t>分</w:t>
      </w:r>
    </w:p>
    <w:p w14:paraId="5250AF86">
      <w:pPr>
        <w:widowControl/>
        <w:spacing w:line="360" w:lineRule="auto"/>
        <w:ind w:firstLine="420" w:firstLineChars="0"/>
        <w:rPr>
          <w:rFonts w:hint="eastAsia" w:ascii="宋体" w:hAnsi="宋体" w:eastAsia="宋体" w:cs="宋体"/>
          <w:color w:val="auto"/>
          <w:szCs w:val="21"/>
          <w:highlight w:val="none"/>
          <w:lang w:val="en-US" w:eastAsia="zh-CN"/>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10</w:t>
      </w:r>
      <w:r>
        <w:rPr>
          <w:rFonts w:hint="eastAsia"/>
          <w:color w:val="auto"/>
          <w:highlight w:val="none"/>
          <w:lang w:eastAsia="zh-CN"/>
        </w:rPr>
        <w:t>分）</w:t>
      </w:r>
      <w:r>
        <w:rPr>
          <w:rFonts w:hint="eastAsia" w:ascii="宋体" w:hAnsi="宋体" w:eastAsia="宋体" w:cs="宋体"/>
          <w:color w:val="auto"/>
          <w:szCs w:val="21"/>
          <w:highlight w:val="none"/>
          <w:lang w:val="en-US" w:eastAsia="zh-CN"/>
        </w:rPr>
        <w:t>:在合同履约期（缺陷责任期）、定期回访、检测、24小时热线电话服务支持、出现问题30分钟内到达现场等方面服务承诺，服务承诺的科学性、合理性优良，服务承诺实质性意义强。</w:t>
      </w:r>
    </w:p>
    <w:p w14:paraId="72C33B1C">
      <w:pPr>
        <w:widowControl/>
        <w:spacing w:line="360" w:lineRule="auto"/>
        <w:ind w:firstLine="420" w:firstLineChars="0"/>
        <w:rPr>
          <w:rFonts w:hint="eastAsia" w:ascii="宋体" w:hAnsi="宋体" w:eastAsia="宋体" w:cs="宋体"/>
          <w:color w:val="auto"/>
          <w:szCs w:val="21"/>
          <w:highlight w:val="none"/>
          <w:lang w:val="en-US" w:eastAsia="zh-CN"/>
        </w:rPr>
      </w:pPr>
      <w:r>
        <w:rPr>
          <w:rFonts w:hint="eastAsia" w:cs="Times New Roman"/>
          <w:color w:val="auto"/>
          <w:highlight w:val="none"/>
          <w:lang w:val="en-US" w:eastAsia="zh-CN"/>
        </w:rPr>
        <w:t>二档（8分）</w:t>
      </w:r>
      <w:r>
        <w:rPr>
          <w:rFonts w:hint="eastAsia" w:ascii="宋体" w:hAnsi="宋体" w:eastAsia="宋体" w:cs="宋体"/>
          <w:color w:val="auto"/>
          <w:szCs w:val="21"/>
          <w:highlight w:val="none"/>
          <w:lang w:val="en-US" w:eastAsia="zh-CN"/>
        </w:rPr>
        <w:t>:在合同履约期（缺陷责任期）、定期回访、检测、24小时热线电话服务支持、出现问题1小时内到达现场等方面的服务承诺，服务承诺的合理性较好，服务承诺实质性意义较强。</w:t>
      </w:r>
    </w:p>
    <w:p w14:paraId="165E7FAA">
      <w:pPr>
        <w:widowControl/>
        <w:spacing w:line="360" w:lineRule="auto"/>
        <w:ind w:firstLine="420" w:firstLineChars="0"/>
        <w:rPr>
          <w:rFonts w:hint="eastAsia" w:ascii="宋体" w:hAnsi="宋体" w:eastAsia="宋体" w:cs="宋体"/>
          <w:color w:val="auto"/>
          <w:szCs w:val="21"/>
          <w:highlight w:val="none"/>
          <w:lang w:val="en-US" w:eastAsia="zh-CN"/>
        </w:rPr>
      </w:pPr>
      <w:r>
        <w:rPr>
          <w:rFonts w:hint="eastAsia" w:cs="Times New Roman"/>
          <w:color w:val="auto"/>
          <w:highlight w:val="none"/>
          <w:lang w:val="en-US" w:eastAsia="zh-CN"/>
        </w:rPr>
        <w:t>三档（6分）</w:t>
      </w:r>
      <w:r>
        <w:rPr>
          <w:rFonts w:hint="eastAsia" w:ascii="宋体" w:hAnsi="宋体" w:eastAsia="宋体" w:cs="宋体"/>
          <w:color w:val="auto"/>
          <w:szCs w:val="21"/>
          <w:highlight w:val="none"/>
          <w:lang w:val="en-US" w:eastAsia="zh-CN"/>
        </w:rPr>
        <w:t>:在合同履约期（缺陷责任期）、定期回访、检测、出现问题2小时内到达现场等方面的服务承诺，服务承诺的能满足项目要求，不够完整、详细，服务承诺实质性意义不强。</w:t>
      </w:r>
    </w:p>
    <w:p w14:paraId="11471F37">
      <w:pPr>
        <w:widowControl/>
        <w:spacing w:line="360" w:lineRule="auto"/>
        <w:ind w:firstLine="420"/>
        <w:rPr>
          <w:rFonts w:hint="eastAsia" w:ascii="宋体" w:hAnsi="宋体" w:eastAsia="宋体" w:cs="宋体"/>
          <w:color w:val="auto"/>
          <w:szCs w:val="21"/>
          <w:highlight w:val="none"/>
          <w:lang w:val="en-US" w:eastAsia="zh-CN"/>
        </w:rPr>
      </w:pPr>
      <w:r>
        <w:rPr>
          <w:rFonts w:hint="eastAsia" w:cs="Times New Roman"/>
          <w:color w:val="auto"/>
          <w:highlight w:val="none"/>
          <w:lang w:val="en-US" w:eastAsia="zh-CN"/>
        </w:rPr>
        <w:t>四档（4分）</w:t>
      </w:r>
      <w:r>
        <w:rPr>
          <w:rFonts w:hint="eastAsia" w:ascii="宋体" w:hAnsi="宋体" w:eastAsia="宋体" w:cs="宋体"/>
          <w:color w:val="auto"/>
          <w:szCs w:val="21"/>
          <w:highlight w:val="none"/>
          <w:lang w:val="en-US" w:eastAsia="zh-CN"/>
        </w:rPr>
        <w:t>：在合同履约期（缺陷责任期）服务承诺的不能满足项目要求，不完整、详细，不可行。</w:t>
      </w:r>
    </w:p>
    <w:p w14:paraId="23B2EA51">
      <w:pPr>
        <w:pStyle w:val="11"/>
        <w:keepNext w:val="0"/>
        <w:keepLines w:val="0"/>
        <w:pageBreakBefore w:val="0"/>
        <w:widowControl w:val="0"/>
        <w:kinsoku/>
        <w:wordWrap/>
        <w:overflowPunct/>
        <w:topLinePunct w:val="0"/>
        <w:autoSpaceDE/>
        <w:autoSpaceDN/>
        <w:bidi w:val="0"/>
        <w:adjustRightInd/>
        <w:snapToGrid/>
        <w:spacing w:line="288" w:lineRule="auto"/>
        <w:ind w:firstLine="538" w:firstLineChars="255"/>
        <w:textAlignment w:val="auto"/>
        <w:rPr>
          <w:rFonts w:hint="eastAsia" w:ascii="宋体" w:hAnsi="宋体" w:eastAsia="宋体" w:cs="宋体"/>
          <w:b w:val="0"/>
          <w:bCs/>
          <w:color w:val="auto"/>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1B55C396">
      <w:pPr>
        <w:widowControl/>
        <w:numPr>
          <w:ilvl w:val="0"/>
          <w:numId w:val="0"/>
        </w:numPr>
        <w:spacing w:line="360" w:lineRule="auto"/>
        <w:ind w:left="55" w:leftChars="26" w:firstLine="0" w:firstLineChars="0"/>
        <w:jc w:val="both"/>
        <w:rPr>
          <w:rFonts w:hint="eastAsia" w:ascii="宋体" w:hAnsi="宋体" w:cs="宋体"/>
          <w:bCs/>
          <w:color w:val="auto"/>
          <w:kern w:val="0"/>
          <w:highlight w:val="none"/>
        </w:rPr>
      </w:pPr>
      <w:r>
        <w:rPr>
          <w:rFonts w:hint="eastAsia" w:ascii="宋体" w:hAnsi="宋体" w:cs="宋体"/>
          <w:b/>
          <w:bCs w:val="0"/>
          <w:color w:val="auto"/>
          <w:kern w:val="0"/>
          <w:highlight w:val="none"/>
          <w:lang w:eastAsia="zh-CN"/>
        </w:rPr>
        <w:t>（</w:t>
      </w:r>
      <w:r>
        <w:rPr>
          <w:rFonts w:hint="eastAsia" w:ascii="宋体" w:hAnsi="宋体" w:cs="宋体"/>
          <w:b/>
          <w:bCs w:val="0"/>
          <w:color w:val="auto"/>
          <w:kern w:val="0"/>
          <w:highlight w:val="none"/>
          <w:lang w:val="en-US" w:eastAsia="zh-CN"/>
        </w:rPr>
        <w:t>9</w:t>
      </w:r>
      <w:r>
        <w:rPr>
          <w:rFonts w:hint="eastAsia" w:ascii="宋体" w:hAnsi="宋体" w:cs="宋体"/>
          <w:b/>
          <w:bCs w:val="0"/>
          <w:color w:val="auto"/>
          <w:kern w:val="0"/>
          <w:highlight w:val="none"/>
          <w:lang w:eastAsia="zh-CN"/>
        </w:rPr>
        <w:t>）</w:t>
      </w:r>
      <w:r>
        <w:rPr>
          <w:rFonts w:hint="eastAsia" w:ascii="宋体" w:hAnsi="宋体" w:cs="宋体"/>
          <w:b/>
          <w:bCs w:val="0"/>
          <w:color w:val="auto"/>
          <w:kern w:val="0"/>
          <w:highlight w:val="none"/>
        </w:rPr>
        <w:t>新技术应用与承诺</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highlight w:val="none"/>
        </w:rPr>
        <w:t>………</w:t>
      </w:r>
      <w:r>
        <w:rPr>
          <w:rFonts w:hint="eastAsia" w:hAnsi="宋体" w:cs="宋体"/>
          <w:b/>
          <w:bCs w:val="0"/>
          <w:color w:val="auto"/>
          <w:highlight w:val="none"/>
          <w:lang w:val="en-US" w:eastAsia="zh-CN"/>
        </w:rPr>
        <w:t>4</w:t>
      </w:r>
      <w:r>
        <w:rPr>
          <w:rFonts w:hint="eastAsia" w:ascii="宋体" w:hAnsi="宋体" w:eastAsia="宋体" w:cs="宋体"/>
          <w:b/>
          <w:bCs w:val="0"/>
          <w:color w:val="auto"/>
          <w:szCs w:val="21"/>
          <w:highlight w:val="none"/>
        </w:rPr>
        <w:t>分</w:t>
      </w:r>
    </w:p>
    <w:p w14:paraId="2B0D1021">
      <w:pPr>
        <w:widowControl/>
        <w:spacing w:line="360" w:lineRule="auto"/>
        <w:ind w:firstLine="420"/>
        <w:jc w:val="both"/>
        <w:rPr>
          <w:rFonts w:hint="eastAsia" w:ascii="宋体" w:hAnsi="宋体" w:cs="宋体"/>
          <w:bCs/>
          <w:color w:val="auto"/>
          <w:kern w:val="0"/>
          <w:highlight w:val="none"/>
        </w:rPr>
      </w:pPr>
      <w:r>
        <w:rPr>
          <w:rFonts w:hint="eastAsia"/>
          <w:color w:val="auto"/>
          <w:highlight w:val="none"/>
          <w:lang w:val="en-US" w:eastAsia="zh-CN"/>
        </w:rPr>
        <w:t>一档</w:t>
      </w: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分）</w:t>
      </w:r>
      <w:r>
        <w:rPr>
          <w:rFonts w:hint="eastAsia" w:ascii="宋体" w:hAnsi="宋体" w:cs="宋体"/>
          <w:bCs/>
          <w:color w:val="auto"/>
          <w:kern w:val="0"/>
          <w:highlight w:val="none"/>
        </w:rPr>
        <w:t>：针对项目实际，提出采用新技术的具体措施。新技术的验证材料可靠，对节约投资和工期的保证措施得力、具体、严谨。对采用新技术可能产生的风险预见充分，对新技术的实施有安全生产的可靠方案</w:t>
      </w:r>
      <w:r>
        <w:rPr>
          <w:rFonts w:hint="eastAsia" w:ascii="宋体" w:hAnsi="宋体" w:eastAsia="宋体" w:cs="宋体"/>
          <w:color w:val="auto"/>
          <w:szCs w:val="21"/>
          <w:highlight w:val="none"/>
          <w:lang w:eastAsia="zh-CN"/>
        </w:rPr>
        <w:t>，</w:t>
      </w:r>
      <w:r>
        <w:rPr>
          <w:rFonts w:hint="eastAsia" w:ascii="宋体" w:hAnsi="宋体" w:cs="宋体"/>
          <w:bCs/>
          <w:color w:val="auto"/>
          <w:kern w:val="0"/>
          <w:highlight w:val="none"/>
          <w:lang w:eastAsia="zh-CN"/>
        </w:rPr>
        <w:t>针对性强，实际可操作性强</w:t>
      </w:r>
      <w:r>
        <w:rPr>
          <w:rFonts w:hint="eastAsia" w:ascii="宋体" w:hAnsi="宋体" w:cs="宋体"/>
          <w:bCs/>
          <w:color w:val="auto"/>
          <w:kern w:val="0"/>
          <w:highlight w:val="none"/>
        </w:rPr>
        <w:t>。</w:t>
      </w:r>
    </w:p>
    <w:p w14:paraId="6EB40AE2">
      <w:pPr>
        <w:widowControl/>
        <w:spacing w:line="360" w:lineRule="auto"/>
        <w:ind w:firstLine="420"/>
        <w:jc w:val="both"/>
        <w:rPr>
          <w:rFonts w:hint="eastAsia" w:ascii="宋体" w:hAnsi="宋体" w:cs="宋体"/>
          <w:bCs/>
          <w:color w:val="auto"/>
          <w:kern w:val="0"/>
          <w:highlight w:val="none"/>
        </w:rPr>
      </w:pPr>
      <w:r>
        <w:rPr>
          <w:rFonts w:hint="eastAsia" w:cs="Times New Roman"/>
          <w:color w:val="auto"/>
          <w:highlight w:val="none"/>
          <w:lang w:val="en-US" w:eastAsia="zh-CN"/>
        </w:rPr>
        <w:t>二档（3分）</w:t>
      </w:r>
      <w:r>
        <w:rPr>
          <w:rFonts w:hint="eastAsia" w:ascii="宋体" w:hAnsi="宋体" w:cs="宋体"/>
          <w:bCs/>
          <w:color w:val="auto"/>
          <w:kern w:val="0"/>
          <w:highlight w:val="none"/>
        </w:rPr>
        <w:t>：针对项目实际，提出采用新技术的具体措施。新技术的验证材料可靠，对节约投资和工期有保证措施。对采用新技术可能产生的风险有一定的预见</w:t>
      </w:r>
      <w:r>
        <w:rPr>
          <w:rFonts w:hint="eastAsia" w:ascii="宋体" w:hAnsi="宋体" w:cs="宋体"/>
          <w:bCs/>
          <w:color w:val="auto"/>
          <w:kern w:val="0"/>
          <w:highlight w:val="none"/>
          <w:lang w:eastAsia="zh-CN"/>
        </w:rPr>
        <w:t>，针对性</w:t>
      </w:r>
      <w:r>
        <w:rPr>
          <w:rFonts w:hint="eastAsia" w:ascii="宋体" w:hAnsi="宋体" w:cs="宋体"/>
          <w:bCs/>
          <w:color w:val="auto"/>
          <w:kern w:val="0"/>
          <w:highlight w:val="none"/>
          <w:lang w:val="en-US" w:eastAsia="zh-CN"/>
        </w:rPr>
        <w:t>较强</w:t>
      </w:r>
      <w:r>
        <w:rPr>
          <w:rFonts w:hint="eastAsia" w:ascii="宋体" w:hAnsi="宋体" w:cs="宋体"/>
          <w:bCs/>
          <w:color w:val="auto"/>
          <w:kern w:val="0"/>
          <w:highlight w:val="none"/>
          <w:lang w:eastAsia="zh-CN"/>
        </w:rPr>
        <w:t>，实际可操作性</w:t>
      </w:r>
      <w:r>
        <w:rPr>
          <w:rFonts w:hint="eastAsia" w:ascii="宋体" w:hAnsi="宋体" w:cs="宋体"/>
          <w:bCs/>
          <w:color w:val="auto"/>
          <w:kern w:val="0"/>
          <w:highlight w:val="none"/>
          <w:lang w:val="en-US" w:eastAsia="zh-CN"/>
        </w:rPr>
        <w:t>较强。</w:t>
      </w:r>
    </w:p>
    <w:p w14:paraId="53726CC6">
      <w:pPr>
        <w:widowControl/>
        <w:spacing w:line="360" w:lineRule="auto"/>
        <w:ind w:firstLine="420"/>
        <w:jc w:val="both"/>
        <w:rPr>
          <w:rFonts w:hint="eastAsia" w:ascii="宋体" w:hAnsi="宋体" w:cs="宋体"/>
          <w:bCs/>
          <w:color w:val="auto"/>
          <w:kern w:val="0"/>
          <w:highlight w:val="none"/>
        </w:rPr>
      </w:pPr>
      <w:r>
        <w:rPr>
          <w:rFonts w:hint="eastAsia" w:cs="Times New Roman"/>
          <w:color w:val="auto"/>
          <w:highlight w:val="none"/>
          <w:lang w:val="en-US" w:eastAsia="zh-CN"/>
        </w:rPr>
        <w:t>三档（2分）</w:t>
      </w:r>
      <w:r>
        <w:rPr>
          <w:rFonts w:hint="eastAsia" w:ascii="宋体" w:hAnsi="宋体" w:cs="宋体"/>
          <w:bCs/>
          <w:color w:val="auto"/>
          <w:kern w:val="0"/>
          <w:highlight w:val="none"/>
        </w:rPr>
        <w:t>：有新技术措施，但验证材料不充分，对节约投资和工期可能有一定收益，对采用新技术可能产生的风险预见不足</w:t>
      </w:r>
      <w:r>
        <w:rPr>
          <w:rFonts w:hint="eastAsia" w:ascii="宋体" w:hAnsi="宋体" w:cs="宋体"/>
          <w:bCs/>
          <w:color w:val="auto"/>
          <w:kern w:val="0"/>
          <w:highlight w:val="none"/>
          <w:lang w:eastAsia="zh-CN"/>
        </w:rPr>
        <w:t>，有一定针对性，有一定实际可操作性</w:t>
      </w:r>
      <w:r>
        <w:rPr>
          <w:rFonts w:hint="eastAsia" w:ascii="宋体" w:hAnsi="宋体" w:cs="宋体"/>
          <w:bCs/>
          <w:color w:val="auto"/>
          <w:kern w:val="0"/>
          <w:highlight w:val="none"/>
        </w:rPr>
        <w:t>。</w:t>
      </w:r>
    </w:p>
    <w:p w14:paraId="073C0B61">
      <w:pPr>
        <w:widowControl/>
        <w:spacing w:line="360" w:lineRule="auto"/>
        <w:ind w:firstLine="420"/>
        <w:rPr>
          <w:rFonts w:hint="eastAsia" w:ascii="宋体" w:hAnsi="宋体" w:cs="宋体"/>
          <w:bCs/>
          <w:color w:val="auto"/>
          <w:kern w:val="0"/>
          <w:highlight w:val="none"/>
        </w:rPr>
      </w:pPr>
      <w:r>
        <w:rPr>
          <w:rFonts w:hint="eastAsia" w:cs="Times New Roman"/>
          <w:color w:val="auto"/>
          <w:highlight w:val="none"/>
          <w:lang w:val="en-US" w:eastAsia="zh-CN"/>
        </w:rPr>
        <w:t>四档（1分）</w:t>
      </w:r>
      <w:r>
        <w:rPr>
          <w:rFonts w:hint="eastAsia" w:ascii="宋体" w:hAnsi="宋体" w:cs="宋体"/>
          <w:bCs/>
          <w:color w:val="auto"/>
          <w:kern w:val="0"/>
          <w:highlight w:val="none"/>
        </w:rPr>
        <w:t>：采用的新技术针对性不强或验证材料不可靠，对节约投资和工期没有具体收益。</w:t>
      </w:r>
    </w:p>
    <w:p w14:paraId="33BD1B74">
      <w:pPr>
        <w:keepNext w:val="0"/>
        <w:keepLines w:val="0"/>
        <w:pageBreakBefore w:val="0"/>
        <w:widowControl w:val="0"/>
        <w:kinsoku/>
        <w:wordWrap/>
        <w:overflowPunct/>
        <w:topLinePunct w:val="0"/>
        <w:autoSpaceDE/>
        <w:autoSpaceDN/>
        <w:bidi w:val="0"/>
        <w:adjustRightInd/>
        <w:snapToGrid/>
        <w:spacing w:line="276" w:lineRule="auto"/>
        <w:ind w:firstLine="316" w:firstLineChars="150"/>
        <w:textAlignment w:val="auto"/>
        <w:outlineLvl w:val="0"/>
        <w:rPr>
          <w:rFonts w:hint="eastAsia" w:ascii="宋体" w:hAnsi="宋体" w:eastAsia="宋体" w:cs="宋体"/>
          <w:b/>
          <w:bCs/>
          <w:color w:val="auto"/>
          <w:kern w:val="0"/>
          <w:sz w:val="21"/>
          <w:szCs w:val="21"/>
          <w:highlight w:val="none"/>
        </w:rPr>
      </w:pPr>
      <w:r>
        <w:rPr>
          <w:rFonts w:hint="eastAsia" w:ascii="Times New Roman" w:hAnsi="宋体" w:eastAsia="宋体" w:cs="Courier New"/>
          <w:b/>
          <w:bCs/>
          <w:color w:val="auto"/>
          <w:kern w:val="2"/>
          <w:sz w:val="21"/>
          <w:szCs w:val="24"/>
          <w:highlight w:val="none"/>
          <w:lang w:val="en-US" w:eastAsia="zh-CN" w:bidi="ar-SA"/>
        </w:rPr>
        <w:t>注：供应商未提供的不得分</w:t>
      </w:r>
    </w:p>
    <w:p w14:paraId="298A2659">
      <w:pPr>
        <w:keepNext w:val="0"/>
        <w:keepLines w:val="0"/>
        <w:pageBreakBefore w:val="0"/>
        <w:widowControl w:val="0"/>
        <w:tabs>
          <w:tab w:val="left" w:pos="1305"/>
        </w:tabs>
        <w:kinsoku/>
        <w:wordWrap/>
        <w:overflowPunct/>
        <w:topLinePunct w:val="0"/>
        <w:autoSpaceDE/>
        <w:autoSpaceDN/>
        <w:bidi w:val="0"/>
        <w:adjustRightInd/>
        <w:snapToGrid/>
        <w:spacing w:line="276" w:lineRule="auto"/>
        <w:ind w:firstLine="211" w:firstLineChars="100"/>
        <w:textAlignment w:val="auto"/>
        <w:rPr>
          <w:rFonts w:hint="default"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cs="宋体"/>
          <w:b/>
          <w:bCs w:val="0"/>
          <w:color w:val="auto"/>
          <w:kern w:val="2"/>
          <w:sz w:val="21"/>
          <w:szCs w:val="21"/>
          <w:highlight w:val="none"/>
          <w:lang w:val="en-US" w:eastAsia="zh-CN" w:bidi="ar-SA"/>
        </w:rPr>
        <w:t>5</w:t>
      </w:r>
      <w:r>
        <w:rPr>
          <w:rFonts w:hint="eastAsia" w:ascii="宋体" w:hAnsi="宋体" w:eastAsia="宋体" w:cs="宋体"/>
          <w:b/>
          <w:bCs/>
          <w:color w:val="auto"/>
          <w:kern w:val="0"/>
          <w:sz w:val="21"/>
          <w:szCs w:val="21"/>
          <w:highlight w:val="none"/>
          <w:lang w:val="en-US" w:eastAsia="zh-CN" w:bidi="ar-SA"/>
        </w:rPr>
        <w:t>分</w:t>
      </w:r>
    </w:p>
    <w:p w14:paraId="014C4008">
      <w:pPr>
        <w:keepNext w:val="0"/>
        <w:keepLines w:val="0"/>
        <w:pageBreakBefore w:val="0"/>
        <w:kinsoku/>
        <w:wordWrap/>
        <w:overflowPunct/>
        <w:topLinePunct w:val="0"/>
        <w:autoSpaceDE/>
        <w:autoSpaceDN/>
        <w:bidi w:val="0"/>
        <w:adjustRightInd/>
        <w:spacing w:line="276"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（1）拟投入项目</w:t>
      </w:r>
      <w:r>
        <w:rPr>
          <w:rFonts w:hint="eastAsia" w:ascii="宋体" w:hAnsi="宋体" w:eastAsia="宋体" w:cs="宋体"/>
          <w:color w:val="auto"/>
          <w:sz w:val="21"/>
          <w:szCs w:val="21"/>
          <w:highlight w:val="none"/>
          <w:lang w:val="en-US" w:eastAsia="zh-CN"/>
        </w:rPr>
        <w:t>管理</w:t>
      </w:r>
      <w:r>
        <w:rPr>
          <w:rFonts w:hint="eastAsia" w:ascii="宋体" w:hAnsi="宋体" w:eastAsia="宋体" w:cs="宋体"/>
          <w:b w:val="0"/>
          <w:bCs w:val="0"/>
          <w:color w:val="auto"/>
          <w:sz w:val="21"/>
          <w:szCs w:val="21"/>
          <w:highlight w:val="none"/>
          <w:lang w:val="en-US" w:eastAsia="zh-CN"/>
        </w:rPr>
        <w:t>人员（满分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拟投入项目管理人员中（除技术负责人外）每有1人具有中级及以上职称的，得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6C29CF5B">
      <w:pPr>
        <w:keepNext w:val="0"/>
        <w:keepLines w:val="0"/>
        <w:pageBreakBefore w:val="0"/>
        <w:kinsoku/>
        <w:wordWrap/>
        <w:overflowPunct/>
        <w:topLinePunct w:val="0"/>
        <w:autoSpaceDE/>
        <w:autoSpaceDN/>
        <w:bidi w:val="0"/>
        <w:adjustRightInd/>
        <w:spacing w:line="276"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（2）拟投入技术负责人（满分</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拟投入技术负责人如具备高级工程师职称的得</w:t>
      </w:r>
      <w:r>
        <w:rPr>
          <w:rFonts w:hint="eastAsia" w:ascii="宋体" w:hAnsi="宋体" w:cs="宋体"/>
          <w:color w:val="auto"/>
          <w:sz w:val="21"/>
          <w:szCs w:val="21"/>
          <w:highlight w:val="none"/>
          <w:lang w:val="en-US" w:eastAsia="zh-CN"/>
        </w:rPr>
        <w:t>3分</w:t>
      </w:r>
      <w:r>
        <w:rPr>
          <w:rFonts w:hint="eastAsia" w:ascii="宋体" w:hAnsi="宋体" w:eastAsia="宋体" w:cs="宋体"/>
          <w:color w:val="auto"/>
          <w:sz w:val="21"/>
          <w:szCs w:val="21"/>
          <w:highlight w:val="none"/>
          <w:lang w:val="en-US" w:eastAsia="zh-CN"/>
        </w:rPr>
        <w:t>，具备工程师的得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分，其余不得分。</w:t>
      </w:r>
    </w:p>
    <w:p w14:paraId="138D2456">
      <w:pPr>
        <w:keepNext w:val="0"/>
        <w:keepLines w:val="0"/>
        <w:pageBreakBefore w:val="0"/>
        <w:kinsoku/>
        <w:wordWrap/>
        <w:overflowPunct/>
        <w:topLinePunct w:val="0"/>
        <w:autoSpaceDE/>
        <w:autoSpaceDN/>
        <w:bidi w:val="0"/>
        <w:adjustRightInd/>
        <w:spacing w:line="276" w:lineRule="auto"/>
        <w:ind w:firstLine="422" w:firstLineChars="200"/>
        <w:rPr>
          <w:rFonts w:hint="eastAsia"/>
          <w:b/>
          <w:bCs/>
          <w:color w:val="auto"/>
          <w:highlight w:val="none"/>
          <w:lang w:val="en-US" w:eastAsia="zh-CN"/>
        </w:rPr>
      </w:pPr>
      <w:r>
        <w:rPr>
          <w:rFonts w:hint="eastAsia"/>
          <w:b/>
          <w:bCs/>
          <w:color w:val="auto"/>
          <w:highlight w:val="none"/>
          <w:lang w:val="en-US" w:eastAsia="zh-CN"/>
        </w:rPr>
        <w:t>注：以上人员须提供由县级以上（含县级）社会养老保险经办机构出具的供应商为委托代理人交纳的响应文件递交截止时间前半年内任意连续三个月社保证明复印件</w:t>
      </w:r>
    </w:p>
    <w:p w14:paraId="6A784699">
      <w:pPr>
        <w:keepNext w:val="0"/>
        <w:keepLines w:val="0"/>
        <w:pageBreakBefore w:val="0"/>
        <w:widowControl w:val="0"/>
        <w:numPr>
          <w:ilvl w:val="0"/>
          <w:numId w:val="7"/>
        </w:numPr>
        <w:tabs>
          <w:tab w:val="left" w:pos="1305"/>
        </w:tabs>
        <w:kinsoku/>
        <w:wordWrap/>
        <w:overflowPunct/>
        <w:topLinePunct w:val="0"/>
        <w:autoSpaceDE/>
        <w:autoSpaceDN/>
        <w:bidi w:val="0"/>
        <w:adjustRightInd/>
        <w:snapToGrid/>
        <w:spacing w:line="276" w:lineRule="auto"/>
        <w:ind w:left="-1" w:leftChars="0" w:firstLine="211" w:firstLineChars="0"/>
        <w:textAlignment w:val="auto"/>
        <w:rPr>
          <w:rFonts w:hint="eastAsia" w:ascii="宋体" w:hAnsi="宋体" w:eastAsia="宋体" w:cs="宋体"/>
          <w:b/>
          <w:bCs/>
          <w:color w:val="auto"/>
          <w:szCs w:val="21"/>
          <w:highlight w:val="none"/>
        </w:rPr>
      </w:pPr>
      <w:r>
        <w:rPr>
          <w:rFonts w:hint="eastAsia" w:ascii="宋体" w:hAnsi="宋体" w:cs="宋体"/>
          <w:b/>
          <w:bCs/>
          <w:color w:val="auto"/>
          <w:highlight w:val="none"/>
          <w:lang w:val="en-US" w:eastAsia="zh-CN"/>
        </w:rPr>
        <w:t>信誉业绩分</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eastAsia="宋体" w:cs="宋体"/>
          <w:b/>
          <w:bCs/>
          <w:color w:val="auto"/>
          <w:szCs w:val="21"/>
          <w:highlight w:val="none"/>
        </w:rPr>
        <w:t>…</w:t>
      </w:r>
      <w:r>
        <w:rPr>
          <w:rFonts w:hint="eastAsia" w:ascii="宋体" w:hAnsi="宋体" w:eastAsia="宋体" w:cs="宋体"/>
          <w:b/>
          <w:bCs/>
          <w:color w:val="auto"/>
          <w:highlight w:val="none"/>
        </w:rPr>
        <w:t>…</w:t>
      </w:r>
      <w:r>
        <w:rPr>
          <w:rFonts w:hint="eastAsia" w:ascii="宋体" w:hAnsi="宋体" w:cs="宋体"/>
          <w:b/>
          <w:bCs/>
          <w:color w:val="auto"/>
          <w:highlight w:val="none"/>
          <w:lang w:eastAsia="zh-CN"/>
        </w:rPr>
        <w:t>5</w:t>
      </w:r>
      <w:r>
        <w:rPr>
          <w:rFonts w:hint="eastAsia" w:ascii="宋体" w:hAnsi="宋体" w:eastAsia="宋体" w:cs="宋体"/>
          <w:b/>
          <w:bCs/>
          <w:color w:val="auto"/>
          <w:szCs w:val="21"/>
          <w:highlight w:val="none"/>
        </w:rPr>
        <w:t>分</w:t>
      </w:r>
    </w:p>
    <w:p w14:paraId="4827BBA5">
      <w:pPr>
        <w:keepNext w:val="0"/>
        <w:keepLines w:val="0"/>
        <w:pageBreakBefore w:val="0"/>
        <w:widowControl/>
        <w:kinsoku/>
        <w:wordWrap/>
        <w:overflowPunct/>
        <w:topLinePunct w:val="0"/>
        <w:autoSpaceDE/>
        <w:autoSpaceDN/>
        <w:bidi w:val="0"/>
        <w:adjustRightInd/>
        <w:snapToGrid/>
        <w:spacing w:line="276" w:lineRule="auto"/>
        <w:ind w:firstLine="210" w:firstLineChars="100"/>
        <w:jc w:val="left"/>
        <w:textAlignment w:val="center"/>
        <w:rPr>
          <w:rFonts w:hint="eastAsia" w:ascii="宋体" w:hAnsi="宋体" w:cs="宋体"/>
          <w:color w:val="auto"/>
          <w:kern w:val="0"/>
          <w:highlight w:val="none"/>
          <w:lang w:bidi="ar"/>
        </w:rPr>
      </w:pPr>
      <w:r>
        <w:rPr>
          <w:rFonts w:hint="eastAsia" w:ascii="宋体" w:hAnsi="宋体" w:cs="宋体"/>
          <w:color w:val="auto"/>
          <w:sz w:val="21"/>
          <w:szCs w:val="21"/>
          <w:highlight w:val="none"/>
          <w:lang w:val="en-US" w:eastAsia="zh-CN"/>
        </w:rPr>
        <w:t>2020年1月1日以来</w:t>
      </w:r>
      <w:r>
        <w:rPr>
          <w:rFonts w:hint="eastAsia" w:ascii="宋体" w:hAnsi="宋体" w:eastAsia="宋体" w:cs="宋体"/>
          <w:color w:val="auto"/>
          <w:sz w:val="21"/>
          <w:szCs w:val="21"/>
          <w:highlight w:val="none"/>
        </w:rPr>
        <w:t>供应商具有一个类似项目业绩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类似工程指房屋建筑类工程</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eastAsia="zh-CN"/>
        </w:rPr>
        <w:t>2.5</w:t>
      </w:r>
      <w:r>
        <w:rPr>
          <w:rFonts w:hint="eastAsia" w:ascii="宋体" w:hAnsi="宋体" w:eastAsia="宋体" w:cs="宋体"/>
          <w:color w:val="auto"/>
          <w:sz w:val="21"/>
          <w:szCs w:val="21"/>
          <w:highlight w:val="none"/>
          <w:lang w:val="en-US"/>
        </w:rPr>
        <w:t>分</w:t>
      </w:r>
      <w:r>
        <w:rPr>
          <w:rFonts w:hint="eastAsia" w:ascii="宋体" w:hAnsi="宋体" w:eastAsia="宋体" w:cs="宋体"/>
          <w:color w:val="auto"/>
          <w:sz w:val="21"/>
          <w:szCs w:val="21"/>
          <w:highlight w:val="none"/>
          <w:lang w:val="en-US" w:eastAsia="zh-CN"/>
        </w:rPr>
        <w:t>，本项最多得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业绩证明材料：</w:t>
      </w:r>
      <w:r>
        <w:rPr>
          <w:rFonts w:hint="eastAsia" w:ascii="宋体" w:hAnsi="宋体" w:eastAsia="宋体" w:cs="宋体"/>
          <w:color w:val="auto"/>
          <w:sz w:val="21"/>
          <w:szCs w:val="21"/>
          <w:highlight w:val="none"/>
        </w:rPr>
        <w:t>提供中标（成交）通知书</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合同）</w:t>
      </w:r>
      <w:r>
        <w:rPr>
          <w:rFonts w:hint="eastAsia" w:ascii="宋体" w:hAnsi="宋体" w:cs="宋体"/>
          <w:color w:val="auto"/>
          <w:kern w:val="0"/>
          <w:highlight w:val="none"/>
          <w:lang w:val="en-US" w:eastAsia="zh-CN" w:bidi="ar"/>
        </w:rPr>
        <w:t>。</w:t>
      </w:r>
    </w:p>
    <w:p w14:paraId="0ACD6EA9">
      <w:pPr>
        <w:pStyle w:val="35"/>
        <w:keepNext w:val="0"/>
        <w:keepLines w:val="0"/>
        <w:pageBreakBefore w:val="0"/>
        <w:kinsoku/>
        <w:wordWrap/>
        <w:overflowPunct/>
        <w:topLinePunct w:val="0"/>
        <w:autoSpaceDE/>
        <w:autoSpaceDN/>
        <w:bidi w:val="0"/>
        <w:adjustRightInd/>
        <w:snapToGrid/>
        <w:spacing w:line="276" w:lineRule="auto"/>
        <w:ind w:left="0" w:leftChars="0" w:firstLine="0" w:firstLineChars="0"/>
        <w:rPr>
          <w:rFonts w:hint="default" w:ascii="宋体" w:hAnsi="宋体" w:eastAsia="宋体" w:cs="宋体"/>
          <w:b/>
          <w:color w:val="auto"/>
          <w:szCs w:val="21"/>
          <w:highlight w:val="none"/>
          <w:lang w:val="en-US" w:eastAsia="zh-CN"/>
        </w:rPr>
      </w:pPr>
      <w:r>
        <w:rPr>
          <w:rFonts w:hint="eastAsia" w:eastAsia="宋体" w:cs="宋体"/>
          <w:b/>
          <w:color w:val="auto"/>
          <w:szCs w:val="21"/>
          <w:highlight w:val="none"/>
          <w:lang w:val="en-US" w:eastAsia="zh-CN"/>
        </w:rPr>
        <w:t xml:space="preserve">  5、</w:t>
      </w:r>
      <w:r>
        <w:rPr>
          <w:rFonts w:hint="eastAsia" w:ascii="宋体" w:hAnsi="宋体" w:eastAsia="宋体" w:cs="宋体"/>
          <w:b/>
          <w:color w:val="auto"/>
          <w:szCs w:val="21"/>
          <w:highlight w:val="none"/>
          <w:lang w:val="en-US" w:eastAsia="zh-CN"/>
        </w:rPr>
        <w:t>综合得分＝1+2</w:t>
      </w:r>
      <w:r>
        <w:rPr>
          <w:rFonts w:hint="eastAsia" w:eastAsia="宋体" w:cs="宋体"/>
          <w:b/>
          <w:color w:val="auto"/>
          <w:szCs w:val="21"/>
          <w:highlight w:val="none"/>
          <w:lang w:val="en-US" w:eastAsia="zh-CN"/>
        </w:rPr>
        <w:t>+3+4</w:t>
      </w:r>
    </w:p>
    <w:p w14:paraId="5D6FA392">
      <w:pPr>
        <w:keepNext w:val="0"/>
        <w:keepLines w:val="0"/>
        <w:pageBreakBefore w:val="0"/>
        <w:widowControl w:val="0"/>
        <w:tabs>
          <w:tab w:val="left" w:pos="1305"/>
        </w:tabs>
        <w:kinsoku/>
        <w:wordWrap/>
        <w:overflowPunct/>
        <w:topLinePunct w:val="0"/>
        <w:autoSpaceDE/>
        <w:autoSpaceDN/>
        <w:bidi w:val="0"/>
        <w:adjustRightInd/>
        <w:snapToGrid/>
        <w:spacing w:line="276" w:lineRule="auto"/>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推荐成交候选人原则</w:t>
      </w:r>
    </w:p>
    <w:p w14:paraId="42AF12B1">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w:t>
      </w:r>
      <w:r>
        <w:rPr>
          <w:rFonts w:hint="eastAsia" w:ascii="宋体" w:hAnsi="宋体" w:eastAsia="宋体" w:cs="宋体"/>
          <w:color w:val="auto"/>
          <w:szCs w:val="21"/>
          <w:highlight w:val="none"/>
        </w:rPr>
        <w:t>若仍相同的，依次按技术分、</w:t>
      </w:r>
      <w:r>
        <w:rPr>
          <w:rFonts w:hint="eastAsia" w:ascii="宋体" w:hAnsi="宋体" w:eastAsia="宋体" w:cs="宋体"/>
          <w:color w:val="auto"/>
          <w:szCs w:val="21"/>
          <w:highlight w:val="none"/>
          <w:lang w:val="en-US" w:eastAsia="zh-CN"/>
        </w:rPr>
        <w:t>企业信誉实力</w:t>
      </w:r>
      <w:r>
        <w:rPr>
          <w:rFonts w:hint="eastAsia" w:ascii="宋体" w:hAnsi="宋体" w:eastAsia="宋体" w:cs="宋体"/>
          <w:color w:val="auto"/>
          <w:szCs w:val="21"/>
          <w:highlight w:val="none"/>
        </w:rPr>
        <w:t>分由高到低顺序排列并推荐成交候选供应商</w:t>
      </w:r>
      <w:r>
        <w:rPr>
          <w:rFonts w:hint="eastAsia" w:ascii="宋体" w:hAnsi="宋体" w:eastAsia="宋体" w:cs="宋体"/>
          <w:color w:val="auto"/>
          <w:sz w:val="21"/>
          <w:szCs w:val="21"/>
          <w:highlight w:val="none"/>
        </w:rPr>
        <w:t>。</w:t>
      </w:r>
    </w:p>
    <w:p w14:paraId="15255775">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14:paraId="7F6251D1">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14:paraId="5F1CB817">
      <w:pPr>
        <w:keepNext w:val="0"/>
        <w:keepLines w:val="0"/>
        <w:pageBreakBefore w:val="0"/>
        <w:widowControl w:val="0"/>
        <w:tabs>
          <w:tab w:val="left" w:pos="1305"/>
        </w:tabs>
        <w:kinsoku/>
        <w:wordWrap/>
        <w:overflowPunct/>
        <w:topLinePunct w:val="0"/>
        <w:autoSpaceDE/>
        <w:autoSpaceDN/>
        <w:bidi w:val="0"/>
        <w:adjustRightInd/>
        <w:snapToGrid/>
        <w:spacing w:line="276"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59A9666">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60" w:name="_Toc8466"/>
      <w:bookmarkStart w:id="161" w:name="_Toc25717"/>
      <w:bookmarkStart w:id="162" w:name="_Toc29318"/>
      <w:bookmarkStart w:id="163" w:name="_Toc4774"/>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60"/>
      <w:bookmarkEnd w:id="161"/>
      <w:bookmarkEnd w:id="162"/>
      <w:bookmarkEnd w:id="163"/>
    </w:p>
    <w:p w14:paraId="118BD0B3">
      <w:pPr>
        <w:pStyle w:val="36"/>
        <w:numPr>
          <w:ilvl w:val="0"/>
          <w:numId w:val="0"/>
        </w:numPr>
        <w:spacing w:line="340" w:lineRule="exact"/>
        <w:jc w:val="both"/>
        <w:rPr>
          <w:rFonts w:ascii="宋体"/>
          <w:color w:val="auto"/>
          <w:sz w:val="32"/>
          <w:highlight w:val="none"/>
        </w:rPr>
      </w:pPr>
      <w:bookmarkStart w:id="164" w:name="_Toc10014"/>
      <w:bookmarkStart w:id="165" w:name="_Toc24269"/>
    </w:p>
    <w:p w14:paraId="62C225F2">
      <w:pPr>
        <w:pStyle w:val="36"/>
        <w:numPr>
          <w:ilvl w:val="0"/>
          <w:numId w:val="0"/>
        </w:numPr>
        <w:spacing w:line="340" w:lineRule="exact"/>
        <w:jc w:val="both"/>
        <w:rPr>
          <w:rFonts w:ascii="宋体"/>
          <w:color w:val="auto"/>
          <w:sz w:val="32"/>
          <w:highlight w:val="none"/>
        </w:rPr>
      </w:pPr>
    </w:p>
    <w:p w14:paraId="63B99AC4">
      <w:pPr>
        <w:pStyle w:val="36"/>
        <w:numPr>
          <w:ilvl w:val="0"/>
          <w:numId w:val="0"/>
        </w:numPr>
        <w:spacing w:line="340" w:lineRule="exact"/>
        <w:jc w:val="both"/>
        <w:rPr>
          <w:rFonts w:ascii="宋体"/>
          <w:color w:val="auto"/>
          <w:sz w:val="32"/>
          <w:highlight w:val="none"/>
        </w:rPr>
      </w:pPr>
    </w:p>
    <w:p w14:paraId="531EF2DF">
      <w:pPr>
        <w:pStyle w:val="36"/>
        <w:numPr>
          <w:ilvl w:val="0"/>
          <w:numId w:val="0"/>
        </w:numPr>
        <w:spacing w:line="340" w:lineRule="exact"/>
        <w:jc w:val="both"/>
        <w:rPr>
          <w:rFonts w:ascii="宋体"/>
          <w:color w:val="auto"/>
          <w:sz w:val="32"/>
          <w:highlight w:val="none"/>
        </w:rPr>
      </w:pPr>
    </w:p>
    <w:p w14:paraId="3BA7189F">
      <w:pPr>
        <w:pStyle w:val="36"/>
        <w:numPr>
          <w:ilvl w:val="0"/>
          <w:numId w:val="0"/>
        </w:numPr>
        <w:spacing w:line="340" w:lineRule="exact"/>
        <w:jc w:val="both"/>
        <w:rPr>
          <w:rFonts w:ascii="宋体"/>
          <w:color w:val="auto"/>
          <w:sz w:val="32"/>
          <w:highlight w:val="none"/>
        </w:rPr>
      </w:pPr>
    </w:p>
    <w:p w14:paraId="7799A584">
      <w:pPr>
        <w:pStyle w:val="36"/>
        <w:numPr>
          <w:ilvl w:val="0"/>
          <w:numId w:val="0"/>
        </w:numPr>
        <w:spacing w:line="340" w:lineRule="exact"/>
        <w:jc w:val="both"/>
        <w:rPr>
          <w:rFonts w:ascii="宋体"/>
          <w:color w:val="auto"/>
          <w:sz w:val="32"/>
          <w:highlight w:val="none"/>
        </w:rPr>
      </w:pPr>
    </w:p>
    <w:p w14:paraId="4EFB673C">
      <w:pPr>
        <w:pStyle w:val="36"/>
        <w:numPr>
          <w:ilvl w:val="0"/>
          <w:numId w:val="0"/>
        </w:numPr>
        <w:spacing w:line="340" w:lineRule="exact"/>
        <w:jc w:val="both"/>
        <w:rPr>
          <w:rFonts w:ascii="宋体"/>
          <w:color w:val="auto"/>
          <w:sz w:val="32"/>
          <w:highlight w:val="none"/>
        </w:rPr>
      </w:pPr>
    </w:p>
    <w:p w14:paraId="6DAEBA4F">
      <w:pPr>
        <w:pStyle w:val="36"/>
        <w:numPr>
          <w:ilvl w:val="0"/>
          <w:numId w:val="0"/>
        </w:numPr>
        <w:spacing w:line="340" w:lineRule="exact"/>
        <w:jc w:val="both"/>
        <w:rPr>
          <w:rFonts w:ascii="宋体"/>
          <w:color w:val="auto"/>
          <w:sz w:val="32"/>
          <w:highlight w:val="none"/>
        </w:rPr>
      </w:pPr>
    </w:p>
    <w:p w14:paraId="18781F36">
      <w:pPr>
        <w:pStyle w:val="36"/>
        <w:numPr>
          <w:ilvl w:val="0"/>
          <w:numId w:val="0"/>
        </w:numPr>
        <w:spacing w:line="340" w:lineRule="exact"/>
        <w:jc w:val="both"/>
        <w:rPr>
          <w:rFonts w:ascii="宋体"/>
          <w:color w:val="auto"/>
          <w:sz w:val="32"/>
          <w:highlight w:val="none"/>
        </w:rPr>
      </w:pPr>
    </w:p>
    <w:p w14:paraId="4CBA40D5">
      <w:pPr>
        <w:pStyle w:val="36"/>
        <w:numPr>
          <w:ilvl w:val="0"/>
          <w:numId w:val="0"/>
        </w:numPr>
        <w:spacing w:line="340" w:lineRule="exact"/>
        <w:jc w:val="both"/>
        <w:rPr>
          <w:rFonts w:ascii="宋体"/>
          <w:color w:val="auto"/>
          <w:sz w:val="32"/>
          <w:highlight w:val="none"/>
        </w:rPr>
      </w:pPr>
    </w:p>
    <w:p w14:paraId="38493157">
      <w:pPr>
        <w:pStyle w:val="36"/>
        <w:numPr>
          <w:ilvl w:val="0"/>
          <w:numId w:val="0"/>
        </w:numPr>
        <w:spacing w:line="340" w:lineRule="exact"/>
        <w:jc w:val="both"/>
        <w:rPr>
          <w:rFonts w:ascii="宋体"/>
          <w:color w:val="auto"/>
          <w:sz w:val="32"/>
          <w:highlight w:val="none"/>
        </w:rPr>
      </w:pPr>
    </w:p>
    <w:p w14:paraId="08997B00">
      <w:pPr>
        <w:pStyle w:val="36"/>
        <w:numPr>
          <w:ilvl w:val="0"/>
          <w:numId w:val="0"/>
        </w:numPr>
        <w:spacing w:line="340" w:lineRule="exact"/>
        <w:jc w:val="both"/>
        <w:rPr>
          <w:rFonts w:ascii="宋体"/>
          <w:color w:val="auto"/>
          <w:sz w:val="32"/>
          <w:highlight w:val="none"/>
        </w:rPr>
      </w:pPr>
    </w:p>
    <w:p w14:paraId="41586A2D">
      <w:pPr>
        <w:pStyle w:val="36"/>
        <w:numPr>
          <w:ilvl w:val="0"/>
          <w:numId w:val="0"/>
        </w:numPr>
        <w:spacing w:line="340" w:lineRule="exact"/>
        <w:jc w:val="both"/>
        <w:rPr>
          <w:rFonts w:ascii="宋体"/>
          <w:color w:val="auto"/>
          <w:sz w:val="32"/>
          <w:highlight w:val="none"/>
        </w:rPr>
      </w:pPr>
    </w:p>
    <w:p w14:paraId="09BFF43E">
      <w:pPr>
        <w:pStyle w:val="36"/>
        <w:numPr>
          <w:ilvl w:val="0"/>
          <w:numId w:val="0"/>
        </w:numPr>
        <w:spacing w:line="340" w:lineRule="exact"/>
        <w:jc w:val="both"/>
        <w:rPr>
          <w:rFonts w:ascii="宋体"/>
          <w:color w:val="auto"/>
          <w:sz w:val="32"/>
          <w:highlight w:val="none"/>
        </w:rPr>
      </w:pPr>
    </w:p>
    <w:p w14:paraId="1CAEA602">
      <w:pPr>
        <w:pStyle w:val="36"/>
        <w:numPr>
          <w:ilvl w:val="0"/>
          <w:numId w:val="0"/>
        </w:numPr>
        <w:spacing w:line="340" w:lineRule="exact"/>
        <w:jc w:val="both"/>
        <w:rPr>
          <w:rFonts w:ascii="宋体"/>
          <w:color w:val="auto"/>
          <w:sz w:val="32"/>
          <w:highlight w:val="none"/>
        </w:rPr>
      </w:pPr>
    </w:p>
    <w:p w14:paraId="514CD0D4">
      <w:pPr>
        <w:pStyle w:val="36"/>
        <w:numPr>
          <w:ilvl w:val="0"/>
          <w:numId w:val="0"/>
        </w:numPr>
        <w:spacing w:line="340" w:lineRule="exact"/>
        <w:jc w:val="both"/>
        <w:rPr>
          <w:rFonts w:ascii="宋体"/>
          <w:color w:val="auto"/>
          <w:sz w:val="32"/>
          <w:highlight w:val="none"/>
        </w:rPr>
      </w:pPr>
    </w:p>
    <w:p w14:paraId="55047ADA">
      <w:pPr>
        <w:pStyle w:val="36"/>
        <w:numPr>
          <w:ilvl w:val="0"/>
          <w:numId w:val="0"/>
        </w:numPr>
        <w:spacing w:line="340" w:lineRule="exact"/>
        <w:jc w:val="both"/>
        <w:rPr>
          <w:rFonts w:ascii="宋体"/>
          <w:color w:val="auto"/>
          <w:sz w:val="32"/>
          <w:highlight w:val="none"/>
        </w:rPr>
      </w:pPr>
    </w:p>
    <w:p w14:paraId="300C425D">
      <w:pPr>
        <w:pStyle w:val="36"/>
        <w:numPr>
          <w:ilvl w:val="0"/>
          <w:numId w:val="0"/>
        </w:numPr>
        <w:spacing w:line="340" w:lineRule="exact"/>
        <w:jc w:val="both"/>
        <w:rPr>
          <w:rFonts w:ascii="宋体"/>
          <w:color w:val="auto"/>
          <w:sz w:val="32"/>
          <w:highlight w:val="none"/>
        </w:rPr>
      </w:pPr>
    </w:p>
    <w:p w14:paraId="25C3BC75">
      <w:pPr>
        <w:pStyle w:val="36"/>
        <w:numPr>
          <w:ilvl w:val="0"/>
          <w:numId w:val="0"/>
        </w:numPr>
        <w:spacing w:line="340" w:lineRule="exact"/>
        <w:jc w:val="both"/>
        <w:rPr>
          <w:rFonts w:ascii="宋体"/>
          <w:color w:val="auto"/>
          <w:sz w:val="32"/>
          <w:highlight w:val="none"/>
        </w:rPr>
      </w:pPr>
    </w:p>
    <w:p w14:paraId="35404986">
      <w:pPr>
        <w:pStyle w:val="36"/>
        <w:numPr>
          <w:ilvl w:val="0"/>
          <w:numId w:val="0"/>
        </w:numPr>
        <w:spacing w:line="340" w:lineRule="exact"/>
        <w:jc w:val="both"/>
        <w:rPr>
          <w:rFonts w:ascii="宋体"/>
          <w:color w:val="auto"/>
          <w:sz w:val="32"/>
          <w:highlight w:val="none"/>
        </w:rPr>
      </w:pPr>
    </w:p>
    <w:p w14:paraId="31D68B78">
      <w:pPr>
        <w:pStyle w:val="36"/>
        <w:numPr>
          <w:ilvl w:val="0"/>
          <w:numId w:val="0"/>
        </w:numPr>
        <w:spacing w:line="340" w:lineRule="exact"/>
        <w:jc w:val="both"/>
        <w:rPr>
          <w:rFonts w:ascii="宋体"/>
          <w:color w:val="auto"/>
          <w:sz w:val="32"/>
          <w:highlight w:val="none"/>
        </w:rPr>
      </w:pPr>
    </w:p>
    <w:p w14:paraId="3391A88E">
      <w:pPr>
        <w:pStyle w:val="36"/>
        <w:numPr>
          <w:ilvl w:val="0"/>
          <w:numId w:val="0"/>
        </w:numPr>
        <w:spacing w:line="340" w:lineRule="exact"/>
        <w:jc w:val="both"/>
        <w:rPr>
          <w:rFonts w:ascii="宋体"/>
          <w:color w:val="auto"/>
          <w:sz w:val="32"/>
          <w:highlight w:val="none"/>
        </w:rPr>
      </w:pPr>
    </w:p>
    <w:p w14:paraId="6138A21E">
      <w:pPr>
        <w:pStyle w:val="36"/>
        <w:numPr>
          <w:ilvl w:val="0"/>
          <w:numId w:val="0"/>
        </w:numPr>
        <w:spacing w:line="340" w:lineRule="exact"/>
        <w:jc w:val="both"/>
        <w:rPr>
          <w:rFonts w:ascii="宋体"/>
          <w:color w:val="auto"/>
          <w:sz w:val="32"/>
          <w:highlight w:val="none"/>
        </w:rPr>
      </w:pPr>
    </w:p>
    <w:p w14:paraId="0996060A">
      <w:pPr>
        <w:pStyle w:val="36"/>
        <w:numPr>
          <w:ilvl w:val="0"/>
          <w:numId w:val="0"/>
        </w:numPr>
        <w:spacing w:line="340" w:lineRule="exact"/>
        <w:jc w:val="both"/>
        <w:rPr>
          <w:rFonts w:ascii="宋体"/>
          <w:color w:val="auto"/>
          <w:sz w:val="32"/>
          <w:highlight w:val="none"/>
        </w:rPr>
      </w:pPr>
    </w:p>
    <w:p w14:paraId="1A4EC243">
      <w:pPr>
        <w:pStyle w:val="36"/>
        <w:numPr>
          <w:ilvl w:val="0"/>
          <w:numId w:val="0"/>
        </w:numPr>
        <w:spacing w:line="340" w:lineRule="exact"/>
        <w:jc w:val="both"/>
        <w:rPr>
          <w:rFonts w:ascii="宋体"/>
          <w:color w:val="auto"/>
          <w:sz w:val="32"/>
          <w:highlight w:val="none"/>
        </w:rPr>
      </w:pPr>
    </w:p>
    <w:p w14:paraId="20BBBBD1">
      <w:pPr>
        <w:pStyle w:val="36"/>
        <w:numPr>
          <w:ilvl w:val="0"/>
          <w:numId w:val="0"/>
        </w:numPr>
        <w:spacing w:line="340" w:lineRule="exact"/>
        <w:jc w:val="both"/>
        <w:rPr>
          <w:rFonts w:ascii="宋体"/>
          <w:color w:val="auto"/>
          <w:sz w:val="32"/>
          <w:highlight w:val="none"/>
        </w:rPr>
      </w:pPr>
    </w:p>
    <w:p w14:paraId="3B527DC3">
      <w:pPr>
        <w:pStyle w:val="36"/>
        <w:numPr>
          <w:ilvl w:val="0"/>
          <w:numId w:val="0"/>
        </w:numPr>
        <w:spacing w:line="340" w:lineRule="exact"/>
        <w:jc w:val="both"/>
        <w:rPr>
          <w:rFonts w:ascii="宋体"/>
          <w:color w:val="auto"/>
          <w:sz w:val="32"/>
          <w:highlight w:val="none"/>
        </w:rPr>
      </w:pPr>
    </w:p>
    <w:p w14:paraId="2C582661">
      <w:pPr>
        <w:pStyle w:val="36"/>
        <w:numPr>
          <w:ilvl w:val="0"/>
          <w:numId w:val="0"/>
        </w:numPr>
        <w:spacing w:line="340" w:lineRule="exact"/>
        <w:jc w:val="both"/>
        <w:rPr>
          <w:rFonts w:ascii="宋体"/>
          <w:color w:val="auto"/>
          <w:sz w:val="32"/>
          <w:highlight w:val="none"/>
        </w:rPr>
      </w:pPr>
    </w:p>
    <w:p w14:paraId="7EDB7A26">
      <w:pPr>
        <w:pStyle w:val="36"/>
        <w:numPr>
          <w:ilvl w:val="0"/>
          <w:numId w:val="0"/>
        </w:numPr>
        <w:spacing w:line="340" w:lineRule="exact"/>
        <w:jc w:val="both"/>
        <w:rPr>
          <w:rFonts w:ascii="宋体"/>
          <w:color w:val="auto"/>
          <w:sz w:val="32"/>
          <w:highlight w:val="none"/>
        </w:rPr>
      </w:pPr>
    </w:p>
    <w:p w14:paraId="05614076">
      <w:pPr>
        <w:pStyle w:val="36"/>
        <w:numPr>
          <w:ilvl w:val="0"/>
          <w:numId w:val="0"/>
        </w:numPr>
        <w:spacing w:line="340" w:lineRule="exact"/>
        <w:jc w:val="both"/>
        <w:rPr>
          <w:rFonts w:ascii="宋体"/>
          <w:color w:val="auto"/>
          <w:sz w:val="32"/>
          <w:highlight w:val="none"/>
        </w:rPr>
      </w:pPr>
    </w:p>
    <w:p w14:paraId="51C1D788">
      <w:pPr>
        <w:pStyle w:val="36"/>
        <w:numPr>
          <w:ilvl w:val="0"/>
          <w:numId w:val="0"/>
        </w:numPr>
        <w:spacing w:line="340" w:lineRule="exact"/>
        <w:jc w:val="both"/>
        <w:rPr>
          <w:rFonts w:ascii="宋体"/>
          <w:color w:val="auto"/>
          <w:sz w:val="32"/>
          <w:highlight w:val="none"/>
        </w:rPr>
      </w:pPr>
    </w:p>
    <w:p w14:paraId="3A39DA88">
      <w:pPr>
        <w:pStyle w:val="36"/>
        <w:numPr>
          <w:ilvl w:val="0"/>
          <w:numId w:val="0"/>
        </w:numPr>
        <w:spacing w:line="340" w:lineRule="exact"/>
        <w:jc w:val="both"/>
        <w:rPr>
          <w:rFonts w:ascii="宋体"/>
          <w:color w:val="auto"/>
          <w:sz w:val="32"/>
          <w:highlight w:val="none"/>
        </w:rPr>
      </w:pPr>
    </w:p>
    <w:p w14:paraId="693F308F">
      <w:pPr>
        <w:pStyle w:val="36"/>
        <w:numPr>
          <w:ilvl w:val="0"/>
          <w:numId w:val="0"/>
        </w:numPr>
        <w:spacing w:line="340" w:lineRule="exact"/>
        <w:jc w:val="both"/>
        <w:rPr>
          <w:rFonts w:ascii="宋体"/>
          <w:color w:val="auto"/>
          <w:sz w:val="32"/>
          <w:highlight w:val="none"/>
        </w:rPr>
      </w:pPr>
    </w:p>
    <w:p w14:paraId="440EBFA3">
      <w:pPr>
        <w:pStyle w:val="36"/>
        <w:numPr>
          <w:ilvl w:val="0"/>
          <w:numId w:val="0"/>
        </w:numPr>
        <w:spacing w:line="340" w:lineRule="exact"/>
        <w:jc w:val="both"/>
        <w:rPr>
          <w:rFonts w:ascii="宋体"/>
          <w:color w:val="auto"/>
          <w:sz w:val="32"/>
          <w:highlight w:val="none"/>
        </w:rPr>
      </w:pPr>
    </w:p>
    <w:p w14:paraId="33D44E89">
      <w:pPr>
        <w:pStyle w:val="36"/>
        <w:numPr>
          <w:ilvl w:val="0"/>
          <w:numId w:val="0"/>
        </w:numPr>
        <w:spacing w:line="340" w:lineRule="exact"/>
        <w:jc w:val="both"/>
        <w:rPr>
          <w:rFonts w:ascii="宋体"/>
          <w:color w:val="auto"/>
          <w:sz w:val="32"/>
          <w:highlight w:val="none"/>
        </w:rPr>
      </w:pPr>
    </w:p>
    <w:p w14:paraId="455A4C30">
      <w:pPr>
        <w:pStyle w:val="36"/>
        <w:numPr>
          <w:ilvl w:val="0"/>
          <w:numId w:val="0"/>
        </w:numPr>
        <w:spacing w:line="340" w:lineRule="exact"/>
        <w:jc w:val="both"/>
        <w:rPr>
          <w:rFonts w:ascii="宋体"/>
          <w:color w:val="auto"/>
          <w:sz w:val="32"/>
          <w:highlight w:val="none"/>
        </w:rPr>
      </w:pPr>
    </w:p>
    <w:p w14:paraId="238EA6BF">
      <w:pPr>
        <w:pStyle w:val="36"/>
        <w:numPr>
          <w:ilvl w:val="0"/>
          <w:numId w:val="0"/>
        </w:numPr>
        <w:spacing w:line="340" w:lineRule="exact"/>
        <w:jc w:val="both"/>
        <w:rPr>
          <w:rFonts w:ascii="宋体"/>
          <w:color w:val="auto"/>
          <w:sz w:val="32"/>
          <w:highlight w:val="none"/>
        </w:rPr>
      </w:pPr>
    </w:p>
    <w:p w14:paraId="12DD8F94">
      <w:pPr>
        <w:pStyle w:val="36"/>
        <w:numPr>
          <w:ilvl w:val="0"/>
          <w:numId w:val="0"/>
        </w:numPr>
        <w:spacing w:line="340" w:lineRule="exact"/>
        <w:jc w:val="both"/>
        <w:rPr>
          <w:rFonts w:ascii="宋体"/>
          <w:color w:val="auto"/>
          <w:sz w:val="32"/>
          <w:highlight w:val="none"/>
        </w:rPr>
      </w:pPr>
    </w:p>
    <w:p w14:paraId="43525760">
      <w:pPr>
        <w:pStyle w:val="36"/>
        <w:numPr>
          <w:ilvl w:val="0"/>
          <w:numId w:val="0"/>
        </w:numPr>
        <w:spacing w:line="340" w:lineRule="exact"/>
        <w:jc w:val="both"/>
        <w:rPr>
          <w:rFonts w:ascii="宋体"/>
          <w:color w:val="auto"/>
          <w:sz w:val="32"/>
          <w:highlight w:val="none"/>
        </w:rPr>
      </w:pPr>
    </w:p>
    <w:p w14:paraId="4D9F55E6">
      <w:pPr>
        <w:pStyle w:val="36"/>
        <w:numPr>
          <w:ilvl w:val="0"/>
          <w:numId w:val="0"/>
        </w:numPr>
        <w:spacing w:line="340" w:lineRule="exact"/>
        <w:jc w:val="both"/>
        <w:rPr>
          <w:rFonts w:ascii="宋体"/>
          <w:color w:val="auto"/>
          <w:sz w:val="32"/>
          <w:highlight w:val="none"/>
        </w:rPr>
      </w:pPr>
    </w:p>
    <w:p w14:paraId="62EFB5C0">
      <w:pPr>
        <w:pStyle w:val="36"/>
        <w:numPr>
          <w:ilvl w:val="0"/>
          <w:numId w:val="0"/>
        </w:numPr>
        <w:spacing w:line="340" w:lineRule="exact"/>
        <w:jc w:val="both"/>
        <w:rPr>
          <w:rFonts w:ascii="宋体"/>
          <w:color w:val="auto"/>
          <w:sz w:val="32"/>
          <w:highlight w:val="none"/>
        </w:rPr>
      </w:pPr>
    </w:p>
    <w:p w14:paraId="6B63CD1F">
      <w:pPr>
        <w:keepNext/>
        <w:keepLines/>
        <w:widowControl w:val="0"/>
        <w:numPr>
          <w:ilvl w:val="0"/>
          <w:numId w:val="8"/>
        </w:numPr>
        <w:spacing w:line="340" w:lineRule="exact"/>
        <w:jc w:val="center"/>
        <w:outlineLvl w:val="0"/>
        <w:rPr>
          <w:rFonts w:ascii="宋体" w:hAnsi="宋体" w:eastAsia="宋体" w:cs="Times New Roman"/>
          <w:b/>
          <w:bCs/>
          <w:color w:val="auto"/>
          <w:kern w:val="44"/>
          <w:sz w:val="32"/>
          <w:szCs w:val="21"/>
          <w:highlight w:val="none"/>
          <w:lang w:val="en-US" w:eastAsia="zh-CN" w:bidi="ar-SA"/>
        </w:rPr>
      </w:pPr>
      <w:bookmarkStart w:id="166" w:name="_Toc1894"/>
      <w:bookmarkStart w:id="167" w:name="_Toc256000031"/>
      <w:bookmarkStart w:id="168" w:name="_Toc13895"/>
      <w:bookmarkStart w:id="169" w:name="_Toc522201558"/>
      <w:r>
        <w:rPr>
          <w:rFonts w:ascii="宋体" w:hAnsi="宋体" w:eastAsia="宋体" w:cs="Times New Roman"/>
          <w:b/>
          <w:bCs/>
          <w:color w:val="auto"/>
          <w:kern w:val="44"/>
          <w:sz w:val="32"/>
          <w:szCs w:val="21"/>
          <w:highlight w:val="none"/>
          <w:lang w:val="en-US" w:eastAsia="zh-CN" w:bidi="ar-SA"/>
        </w:rPr>
        <w:t>合同协议书</w:t>
      </w:r>
      <w:bookmarkEnd w:id="166"/>
      <w:bookmarkEnd w:id="167"/>
      <w:bookmarkEnd w:id="168"/>
      <w:bookmarkEnd w:id="169"/>
    </w:p>
    <w:p w14:paraId="0FBDF7C0">
      <w:pPr>
        <w:keepNext/>
        <w:keepLines/>
        <w:widowControl w:val="0"/>
        <w:numPr>
          <w:ilvl w:val="0"/>
          <w:numId w:val="0"/>
        </w:numPr>
        <w:spacing w:line="340" w:lineRule="exact"/>
        <w:jc w:val="both"/>
        <w:outlineLvl w:val="0"/>
        <w:rPr>
          <w:rFonts w:ascii="宋体" w:hAnsi="宋体" w:eastAsia="宋体" w:cs="Times New Roman"/>
          <w:b/>
          <w:bCs/>
          <w:color w:val="auto"/>
          <w:kern w:val="44"/>
          <w:sz w:val="32"/>
          <w:szCs w:val="21"/>
          <w:highlight w:val="none"/>
          <w:lang w:val="en-US" w:eastAsia="zh-CN" w:bidi="ar-SA"/>
        </w:rPr>
      </w:pPr>
    </w:p>
    <w:p w14:paraId="019C528B">
      <w:pPr>
        <w:pStyle w:val="47"/>
        <w:adjustRightInd w:val="0"/>
        <w:snapToGrid w:val="0"/>
        <w:spacing w:line="40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发包人（全称）：</w:t>
      </w:r>
    </w:p>
    <w:p w14:paraId="5333CC3F">
      <w:pPr>
        <w:pStyle w:val="47"/>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5046127E">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w:t>
      </w:r>
      <w:r>
        <w:rPr>
          <w:rFonts w:hint="eastAsia" w:ascii="宋体" w:hAnsi="宋体" w:cs="宋体"/>
          <w:color w:val="auto"/>
          <w:szCs w:val="21"/>
          <w:highlight w:val="none"/>
          <w:lang w:eastAsia="zh-CN"/>
        </w:rPr>
        <w:t>民法典</w:t>
      </w:r>
      <w:r>
        <w:rPr>
          <w:rFonts w:hint="eastAsia" w:ascii="宋体" w:hAnsi="宋体" w:cs="宋体"/>
          <w:color w:val="auto"/>
          <w:szCs w:val="21"/>
          <w:highlight w:val="none"/>
        </w:rPr>
        <w:t>》、《中华人民共和国建筑法》及有关法律规定，遵循平等、自愿、公平和诚实信用的原则，双方就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工程施工及有关事项协商一致，共同达成如下协议：</w:t>
      </w:r>
      <w:bookmarkStart w:id="170" w:name="_Toc351203481"/>
    </w:p>
    <w:p w14:paraId="3B3E18BA">
      <w:pPr>
        <w:pStyle w:val="48"/>
        <w:adjustRightInd w:val="0"/>
        <w:snapToGrid w:val="0"/>
        <w:spacing w:line="400" w:lineRule="exact"/>
        <w:ind w:firstLine="422"/>
        <w:outlineLvl w:val="0"/>
        <w:rPr>
          <w:rFonts w:ascii="宋体" w:hAnsi="宋体" w:cs="宋体"/>
          <w:b/>
          <w:color w:val="auto"/>
          <w:highlight w:val="none"/>
        </w:rPr>
      </w:pPr>
      <w:bookmarkStart w:id="171" w:name="_Toc406419153"/>
      <w:bookmarkStart w:id="172" w:name="_Toc20764"/>
      <w:bookmarkStart w:id="173" w:name="_Toc522201559"/>
      <w:bookmarkStart w:id="174" w:name="_Toc406522028"/>
      <w:r>
        <w:rPr>
          <w:rFonts w:hint="eastAsia" w:ascii="宋体" w:hAnsi="宋体" w:cs="宋体"/>
          <w:b/>
          <w:color w:val="auto"/>
          <w:highlight w:val="none"/>
        </w:rPr>
        <w:t>一、工程概况</w:t>
      </w:r>
      <w:bookmarkEnd w:id="170"/>
      <w:bookmarkEnd w:id="171"/>
      <w:bookmarkEnd w:id="172"/>
      <w:bookmarkEnd w:id="173"/>
      <w:bookmarkEnd w:id="174"/>
    </w:p>
    <w:p w14:paraId="73373016">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1.工程名称：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F45F7BF">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2.工程地点：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E5A89F7">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3.资金来源：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CB009CE">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.工程内容：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A4DACD">
      <w:pPr>
        <w:pStyle w:val="47"/>
        <w:adjustRightInd w:val="0"/>
        <w:snapToGrid w:val="0"/>
        <w:spacing w:line="400" w:lineRule="exact"/>
        <w:ind w:firstLine="459"/>
        <w:rPr>
          <w:rFonts w:ascii="宋体" w:hAnsi="宋体" w:cs="宋体"/>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.工程承包范围：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00A6AFF">
      <w:pPr>
        <w:pStyle w:val="48"/>
        <w:adjustRightInd w:val="0"/>
        <w:snapToGrid w:val="0"/>
        <w:spacing w:line="400" w:lineRule="exact"/>
        <w:ind w:firstLine="422"/>
        <w:outlineLvl w:val="0"/>
        <w:rPr>
          <w:rFonts w:ascii="宋体" w:hAnsi="宋体" w:cs="宋体"/>
          <w:b/>
          <w:color w:val="auto"/>
          <w:highlight w:val="none"/>
        </w:rPr>
      </w:pPr>
      <w:bookmarkStart w:id="175" w:name="_Toc522201560"/>
      <w:bookmarkStart w:id="176" w:name="_Toc349"/>
      <w:bookmarkStart w:id="177" w:name="_Toc406522029"/>
      <w:bookmarkStart w:id="178" w:name="_Toc406419154"/>
      <w:bookmarkStart w:id="179" w:name="_Toc351203482"/>
      <w:r>
        <w:rPr>
          <w:rFonts w:hint="eastAsia" w:ascii="宋体" w:hAnsi="宋体" w:cs="宋体"/>
          <w:b/>
          <w:color w:val="auto"/>
          <w:highlight w:val="none"/>
        </w:rPr>
        <w:t>二、合同工期</w:t>
      </w:r>
      <w:bookmarkEnd w:id="175"/>
      <w:bookmarkEnd w:id="176"/>
      <w:bookmarkEnd w:id="177"/>
      <w:bookmarkEnd w:id="178"/>
      <w:bookmarkEnd w:id="179"/>
    </w:p>
    <w:p w14:paraId="43DA46E3">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计划开工日期：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日。（实际开工日期以开工令为准）</w:t>
      </w:r>
    </w:p>
    <w:p w14:paraId="0C9300D2">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计划竣工日期：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497F4B6B">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天。工期总日历天数与根据前述计划开竣工日期计算的工期天数不一致的，以工期总日历天数为准。</w:t>
      </w:r>
    </w:p>
    <w:p w14:paraId="38BD2BB5">
      <w:pPr>
        <w:pStyle w:val="48"/>
        <w:adjustRightInd w:val="0"/>
        <w:snapToGrid w:val="0"/>
        <w:spacing w:line="400" w:lineRule="exact"/>
        <w:ind w:firstLine="422"/>
        <w:outlineLvl w:val="0"/>
        <w:rPr>
          <w:rFonts w:ascii="宋体" w:hAnsi="宋体" w:cs="宋体"/>
          <w:b/>
          <w:color w:val="auto"/>
          <w:highlight w:val="none"/>
        </w:rPr>
      </w:pPr>
      <w:bookmarkStart w:id="180" w:name="_Toc522201561"/>
      <w:bookmarkStart w:id="181" w:name="_Toc406419155"/>
      <w:bookmarkStart w:id="182" w:name="_Toc351203483"/>
      <w:bookmarkStart w:id="183" w:name="_Toc15140"/>
      <w:bookmarkStart w:id="184" w:name="_Toc406522030"/>
      <w:r>
        <w:rPr>
          <w:rFonts w:hint="eastAsia" w:ascii="宋体" w:hAnsi="宋体" w:cs="宋体"/>
          <w:b/>
          <w:color w:val="auto"/>
          <w:highlight w:val="none"/>
        </w:rPr>
        <w:t>三、质量标准</w:t>
      </w:r>
      <w:bookmarkEnd w:id="180"/>
      <w:bookmarkEnd w:id="181"/>
      <w:bookmarkEnd w:id="182"/>
      <w:bookmarkEnd w:id="183"/>
      <w:bookmarkEnd w:id="184"/>
    </w:p>
    <w:p w14:paraId="68B805B7">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工程质量符合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标准。</w:t>
      </w:r>
    </w:p>
    <w:p w14:paraId="59B4292C">
      <w:pPr>
        <w:pStyle w:val="48"/>
        <w:adjustRightInd w:val="0"/>
        <w:snapToGrid w:val="0"/>
        <w:spacing w:line="400" w:lineRule="exact"/>
        <w:ind w:firstLine="422"/>
        <w:outlineLvl w:val="0"/>
        <w:rPr>
          <w:rFonts w:ascii="宋体" w:hAnsi="宋体" w:cs="宋体"/>
          <w:b/>
          <w:color w:val="auto"/>
          <w:highlight w:val="none"/>
        </w:rPr>
      </w:pPr>
      <w:bookmarkStart w:id="185" w:name="_Toc406419156"/>
      <w:bookmarkStart w:id="186" w:name="_Toc351203484"/>
      <w:bookmarkStart w:id="187" w:name="_Toc522201562"/>
      <w:bookmarkStart w:id="188" w:name="_Toc406522031"/>
      <w:bookmarkStart w:id="189" w:name="_Toc8031"/>
      <w:r>
        <w:rPr>
          <w:rFonts w:hint="eastAsia" w:ascii="宋体" w:hAnsi="宋体" w:cs="宋体"/>
          <w:b/>
          <w:color w:val="auto"/>
          <w:highlight w:val="none"/>
        </w:rPr>
        <w:t>四、签约合同价与合同价格形式</w:t>
      </w:r>
      <w:bookmarkEnd w:id="185"/>
      <w:bookmarkEnd w:id="186"/>
      <w:bookmarkEnd w:id="187"/>
      <w:bookmarkEnd w:id="188"/>
      <w:bookmarkEnd w:id="189"/>
    </w:p>
    <w:p w14:paraId="7ED53384">
      <w:pPr>
        <w:pStyle w:val="47"/>
        <w:adjustRightInd w:val="0"/>
        <w:snapToGrid w:val="0"/>
        <w:spacing w:line="400" w:lineRule="exact"/>
        <w:ind w:firstLine="459"/>
        <w:rPr>
          <w:rFonts w:ascii="宋体" w:hAnsi="宋体" w:cs="宋体"/>
          <w:color w:val="auto"/>
          <w:szCs w:val="21"/>
          <w:highlight w:val="none"/>
        </w:rPr>
      </w:pPr>
      <w:r>
        <w:rPr>
          <w:rFonts w:hint="eastAsia" w:ascii="宋体" w:hAnsi="宋体" w:cs="宋体"/>
          <w:color w:val="auto"/>
          <w:szCs w:val="21"/>
          <w:highlight w:val="none"/>
        </w:rPr>
        <w:t>1. 签约合同价为：</w:t>
      </w:r>
    </w:p>
    <w:p w14:paraId="0883C1C7">
      <w:pPr>
        <w:pStyle w:val="47"/>
        <w:adjustRightInd w:val="0"/>
        <w:snapToGrid w:val="0"/>
        <w:spacing w:line="40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总价：人民币（大写）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281D23E2">
      <w:pPr>
        <w:pStyle w:val="47"/>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其中：</w:t>
      </w:r>
    </w:p>
    <w:p w14:paraId="2086EA64">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（1）投标报价：</w:t>
      </w:r>
    </w:p>
    <w:p w14:paraId="510EF789">
      <w:pPr>
        <w:pStyle w:val="47"/>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1FE57F2F">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（2）安全文明施工费：</w:t>
      </w:r>
    </w:p>
    <w:p w14:paraId="16686C70">
      <w:pPr>
        <w:pStyle w:val="47"/>
        <w:adjustRightInd w:val="0"/>
        <w:snapToGrid w:val="0"/>
        <w:spacing w:line="400" w:lineRule="exact"/>
        <w:ind w:firstLine="978" w:firstLineChars="466"/>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2B553718">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（3）规费：人民币（大写）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18CB30CC">
      <w:pPr>
        <w:pStyle w:val="47"/>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其中社会保险费：</w:t>
      </w:r>
    </w:p>
    <w:p w14:paraId="01C772AB">
      <w:pPr>
        <w:pStyle w:val="47"/>
        <w:adjustRightInd w:val="0"/>
        <w:snapToGrid w:val="0"/>
        <w:spacing w:line="400" w:lineRule="exact"/>
        <w:ind w:left="420" w:leftChars="200" w:firstLine="638" w:firstLineChars="304"/>
        <w:rPr>
          <w:rFonts w:hint="eastAsia"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7078526B">
      <w:pPr>
        <w:pStyle w:val="47"/>
        <w:adjustRightInd w:val="0"/>
        <w:snapToGrid w:val="0"/>
        <w:spacing w:line="400" w:lineRule="exact"/>
        <w:ind w:firstLine="945" w:firstLineChars="45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3F77F8F0">
      <w:pPr>
        <w:pStyle w:val="47"/>
        <w:numPr>
          <w:ilvl w:val="0"/>
          <w:numId w:val="8"/>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增值税：</w:t>
      </w:r>
    </w:p>
    <w:p w14:paraId="79533248">
      <w:pPr>
        <w:pStyle w:val="47"/>
        <w:adjustRightInd w:val="0"/>
        <w:snapToGrid w:val="0"/>
        <w:spacing w:line="400" w:lineRule="exact"/>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1B2BFF3">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（5）材料和工程设备暂估价金额：</w:t>
      </w:r>
    </w:p>
    <w:p w14:paraId="26C6EBE3">
      <w:pPr>
        <w:pStyle w:val="47"/>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74256346">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（6）专业工程暂估价金额：</w:t>
      </w:r>
    </w:p>
    <w:p w14:paraId="4DE91624">
      <w:pPr>
        <w:pStyle w:val="47"/>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48309A2B">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（7）暂列金额：</w:t>
      </w:r>
    </w:p>
    <w:p w14:paraId="2691C1DE">
      <w:pPr>
        <w:pStyle w:val="47"/>
        <w:adjustRightInd w:val="0"/>
        <w:snapToGrid w:val="0"/>
        <w:spacing w:line="400" w:lineRule="exact"/>
        <w:ind w:firstLine="945" w:firstLineChars="450"/>
        <w:rPr>
          <w:rFonts w:ascii="宋体" w:hAnsi="宋体" w:cs="宋体"/>
          <w:color w:val="auto"/>
          <w:szCs w:val="21"/>
          <w:highlight w:val="none"/>
        </w:rPr>
      </w:pPr>
      <w:r>
        <w:rPr>
          <w:rFonts w:hint="eastAsia" w:ascii="宋体" w:hAnsi="宋体" w:cs="宋体"/>
          <w:color w:val="auto"/>
          <w:szCs w:val="21"/>
          <w:highlight w:val="none"/>
        </w:rPr>
        <w:t>人民币（大写）</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 xml:space="preserve"> （¥</w:t>
      </w:r>
      <w:r>
        <w:rPr>
          <w:rFonts w:hint="eastAsia" w:ascii="宋体" w:hAnsi="宋体"/>
          <w:color w:val="auto"/>
          <w:szCs w:val="21"/>
          <w:highlight w:val="none"/>
          <w:u w:val="single"/>
          <w:lang w:val="en-US" w:eastAsia="zh-CN"/>
        </w:rPr>
        <w:t xml:space="preserve">  </w:t>
      </w:r>
      <w:r>
        <w:rPr>
          <w:rFonts w:hint="eastAsia" w:ascii="宋体" w:hAnsi="宋体" w:cs="宋体"/>
          <w:color w:val="auto"/>
          <w:szCs w:val="21"/>
          <w:highlight w:val="none"/>
        </w:rPr>
        <w:t>元）。</w:t>
      </w:r>
    </w:p>
    <w:p w14:paraId="0B8C5C13">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合同价格形式：</w:t>
      </w:r>
      <w:r>
        <w:rPr>
          <w:rFonts w:hint="eastAsia" w:ascii="宋体" w:hAnsi="宋体" w:cs="宋体"/>
          <w:color w:val="auto"/>
          <w:szCs w:val="21"/>
          <w:highlight w:val="none"/>
          <w:u w:val="single"/>
        </w:rPr>
        <w:t>采用固定综合单价合同形式</w:t>
      </w:r>
      <w:r>
        <w:rPr>
          <w:rFonts w:hint="eastAsia" w:ascii="宋体" w:hAnsi="宋体" w:cs="宋体"/>
          <w:color w:val="auto"/>
          <w:szCs w:val="21"/>
          <w:highlight w:val="none"/>
        </w:rPr>
        <w:t>。</w:t>
      </w:r>
    </w:p>
    <w:p w14:paraId="649F642D">
      <w:pPr>
        <w:pStyle w:val="48"/>
        <w:adjustRightInd w:val="0"/>
        <w:snapToGrid w:val="0"/>
        <w:spacing w:line="400" w:lineRule="exact"/>
        <w:ind w:firstLine="422"/>
        <w:outlineLvl w:val="0"/>
        <w:rPr>
          <w:rFonts w:ascii="宋体" w:hAnsi="宋体" w:cs="宋体"/>
          <w:b/>
          <w:color w:val="auto"/>
          <w:highlight w:val="none"/>
        </w:rPr>
      </w:pPr>
      <w:bookmarkStart w:id="190" w:name="_Toc351203485"/>
      <w:bookmarkStart w:id="191" w:name="_Toc522201563"/>
      <w:bookmarkStart w:id="192" w:name="_Toc406419157"/>
      <w:bookmarkStart w:id="193" w:name="_Toc10860"/>
      <w:bookmarkStart w:id="194" w:name="_Toc406522032"/>
      <w:r>
        <w:rPr>
          <w:rFonts w:hint="eastAsia" w:ascii="宋体" w:hAnsi="宋体" w:cs="宋体"/>
          <w:b/>
          <w:color w:val="auto"/>
          <w:highlight w:val="none"/>
        </w:rPr>
        <w:t>五、</w:t>
      </w:r>
      <w:bookmarkEnd w:id="190"/>
      <w:r>
        <w:rPr>
          <w:rFonts w:hint="eastAsia" w:ascii="宋体" w:hAnsi="宋体" w:cs="宋体"/>
          <w:b/>
          <w:color w:val="auto"/>
          <w:highlight w:val="none"/>
        </w:rPr>
        <w:t>项目经理</w:t>
      </w:r>
      <w:bookmarkEnd w:id="191"/>
      <w:bookmarkEnd w:id="192"/>
      <w:bookmarkEnd w:id="193"/>
      <w:bookmarkEnd w:id="194"/>
    </w:p>
    <w:p w14:paraId="1B764878">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承包人项目经理：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67B79A2">
      <w:pPr>
        <w:pStyle w:val="48"/>
        <w:adjustRightInd w:val="0"/>
        <w:snapToGrid w:val="0"/>
        <w:spacing w:line="400" w:lineRule="exact"/>
        <w:ind w:firstLine="422"/>
        <w:outlineLvl w:val="0"/>
        <w:rPr>
          <w:rFonts w:ascii="宋体" w:hAnsi="宋体" w:cs="宋体"/>
          <w:b/>
          <w:color w:val="auto"/>
          <w:highlight w:val="none"/>
        </w:rPr>
      </w:pPr>
      <w:bookmarkStart w:id="195" w:name="_Toc522201564"/>
      <w:bookmarkStart w:id="196" w:name="_Toc406522033"/>
      <w:bookmarkStart w:id="197" w:name="_Toc406419158"/>
      <w:bookmarkStart w:id="198" w:name="_Toc23735"/>
      <w:bookmarkStart w:id="199" w:name="_Toc351203486"/>
      <w:r>
        <w:rPr>
          <w:rFonts w:hint="eastAsia" w:ascii="宋体" w:hAnsi="宋体" w:cs="宋体"/>
          <w:b/>
          <w:color w:val="auto"/>
          <w:highlight w:val="none"/>
        </w:rPr>
        <w:t>六、合同文件构成</w:t>
      </w:r>
      <w:bookmarkEnd w:id="195"/>
      <w:bookmarkEnd w:id="196"/>
      <w:bookmarkEnd w:id="197"/>
      <w:bookmarkEnd w:id="198"/>
      <w:bookmarkEnd w:id="199"/>
    </w:p>
    <w:p w14:paraId="6B0BA57D">
      <w:pPr>
        <w:pStyle w:val="47"/>
        <w:adjustRightInd w:val="0"/>
        <w:snapToGrid w:val="0"/>
        <w:spacing w:line="400" w:lineRule="exact"/>
        <w:ind w:firstLine="420" w:firstLineChars="200"/>
        <w:rPr>
          <w:rFonts w:ascii="宋体" w:hAnsi="宋体" w:cs="宋体"/>
          <w:color w:val="auto"/>
          <w:szCs w:val="21"/>
          <w:highlight w:val="none"/>
        </w:rPr>
      </w:pPr>
      <w:bookmarkStart w:id="200" w:name="_Toc7021"/>
      <w:bookmarkStart w:id="201" w:name="_Toc406522034"/>
      <w:bookmarkStart w:id="202" w:name="_Toc351203487"/>
      <w:bookmarkStart w:id="203" w:name="_Toc406419159"/>
      <w:r>
        <w:rPr>
          <w:rFonts w:hint="eastAsia" w:ascii="宋体" w:hAnsi="宋体" w:cs="宋体"/>
          <w:color w:val="auto"/>
          <w:szCs w:val="21"/>
          <w:highlight w:val="none"/>
        </w:rPr>
        <w:t>本协议书与下列文件一起构成合同文件：</w:t>
      </w:r>
    </w:p>
    <w:p w14:paraId="37E86C65">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（1）中标通知书（如有）；</w:t>
      </w:r>
    </w:p>
    <w:p w14:paraId="637D80F6">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（2）投标函及其附录（如有）； </w:t>
      </w:r>
    </w:p>
    <w:p w14:paraId="605E0571">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（3）专用合同条款及其附件；</w:t>
      </w:r>
    </w:p>
    <w:p w14:paraId="640CBC36">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（4）通用合同条款；</w:t>
      </w:r>
    </w:p>
    <w:p w14:paraId="67DDF673">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（5）技术标准和要求；</w:t>
      </w:r>
    </w:p>
    <w:p w14:paraId="35F78E73">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（6）图纸；</w:t>
      </w:r>
    </w:p>
    <w:p w14:paraId="746BEB83">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（7）已标价工程量清单或预算书；</w:t>
      </w:r>
    </w:p>
    <w:p w14:paraId="524DD3E5">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（8）其他合同文件。</w:t>
      </w:r>
    </w:p>
    <w:p w14:paraId="3DECCFDE">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064F79B6">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63A2F8F5">
      <w:pPr>
        <w:pStyle w:val="48"/>
        <w:adjustRightInd w:val="0"/>
        <w:snapToGrid w:val="0"/>
        <w:spacing w:line="400" w:lineRule="exact"/>
        <w:ind w:firstLine="422"/>
        <w:outlineLvl w:val="0"/>
        <w:rPr>
          <w:rFonts w:ascii="宋体" w:hAnsi="宋体" w:cs="宋体"/>
          <w:b/>
          <w:color w:val="auto"/>
          <w:highlight w:val="none"/>
        </w:rPr>
      </w:pPr>
      <w:bookmarkStart w:id="204" w:name="_Toc522201565"/>
      <w:r>
        <w:rPr>
          <w:rFonts w:hint="eastAsia" w:ascii="宋体" w:hAnsi="宋体" w:cs="宋体"/>
          <w:b/>
          <w:color w:val="auto"/>
          <w:highlight w:val="none"/>
        </w:rPr>
        <w:t>七、承诺</w:t>
      </w:r>
      <w:bookmarkEnd w:id="200"/>
      <w:bookmarkEnd w:id="201"/>
      <w:bookmarkEnd w:id="202"/>
      <w:bookmarkEnd w:id="203"/>
      <w:bookmarkEnd w:id="204"/>
    </w:p>
    <w:p w14:paraId="6F668635">
      <w:pPr>
        <w:pStyle w:val="47"/>
        <w:adjustRightInd w:val="0"/>
        <w:snapToGrid w:val="0"/>
        <w:spacing w:line="400" w:lineRule="exact"/>
        <w:ind w:firstLine="420" w:firstLineChars="200"/>
        <w:rPr>
          <w:rFonts w:ascii="宋体" w:hAnsi="宋体" w:cs="宋体"/>
          <w:color w:val="auto"/>
          <w:szCs w:val="21"/>
          <w:highlight w:val="none"/>
        </w:rPr>
      </w:pPr>
      <w:bookmarkStart w:id="205" w:name="_Toc406522035"/>
      <w:bookmarkStart w:id="206" w:name="_Toc406419160"/>
      <w:bookmarkStart w:id="207" w:name="_Toc351203488"/>
      <w:bookmarkStart w:id="208" w:name="_Toc11962"/>
      <w:r>
        <w:rPr>
          <w:rFonts w:hint="eastAsia" w:ascii="宋体" w:hAnsi="宋体" w:cs="宋体"/>
          <w:color w:val="auto"/>
          <w:szCs w:val="21"/>
          <w:highlight w:val="none"/>
        </w:rPr>
        <w:t>1.发包人承诺按照法律规定履行项目审批手续、筹集工程建设资金并按照合同约定的期限和方式支付合同价款。</w:t>
      </w:r>
    </w:p>
    <w:p w14:paraId="525598AB">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12378A54">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3.发包人和承包人通过招投标形式签订合同的，双方理解并承诺不再就同一工程另行签订与合同实质性内容相背离的协议。</w:t>
      </w:r>
    </w:p>
    <w:p w14:paraId="5F45A80A">
      <w:pPr>
        <w:pStyle w:val="48"/>
        <w:adjustRightInd w:val="0"/>
        <w:snapToGrid w:val="0"/>
        <w:spacing w:line="400" w:lineRule="exact"/>
        <w:ind w:firstLine="422"/>
        <w:outlineLvl w:val="0"/>
        <w:rPr>
          <w:rFonts w:ascii="宋体" w:hAnsi="宋体" w:cs="宋体"/>
          <w:b/>
          <w:color w:val="auto"/>
          <w:highlight w:val="none"/>
        </w:rPr>
      </w:pPr>
      <w:bookmarkStart w:id="209" w:name="_Toc522201566"/>
      <w:r>
        <w:rPr>
          <w:rFonts w:hint="eastAsia" w:ascii="宋体" w:hAnsi="宋体" w:cs="宋体"/>
          <w:b/>
          <w:color w:val="auto"/>
          <w:highlight w:val="none"/>
        </w:rPr>
        <w:t>八、词语含义</w:t>
      </w:r>
      <w:bookmarkEnd w:id="205"/>
      <w:bookmarkEnd w:id="206"/>
      <w:bookmarkEnd w:id="207"/>
      <w:bookmarkEnd w:id="208"/>
      <w:bookmarkEnd w:id="209"/>
    </w:p>
    <w:p w14:paraId="7460275C">
      <w:pPr>
        <w:pStyle w:val="47"/>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本协议书中词语含义与第二部分通用合同条款中赋予的含义相同。</w:t>
      </w:r>
    </w:p>
    <w:p w14:paraId="62FD6030">
      <w:pPr>
        <w:pStyle w:val="48"/>
        <w:adjustRightInd w:val="0"/>
        <w:snapToGrid w:val="0"/>
        <w:spacing w:line="400" w:lineRule="exact"/>
        <w:ind w:firstLine="422"/>
        <w:outlineLvl w:val="0"/>
        <w:rPr>
          <w:rFonts w:ascii="宋体" w:hAnsi="宋体" w:cs="宋体"/>
          <w:b/>
          <w:color w:val="auto"/>
          <w:highlight w:val="none"/>
        </w:rPr>
      </w:pPr>
      <w:bookmarkStart w:id="210" w:name="_Toc406419161"/>
      <w:bookmarkStart w:id="211" w:name="_Toc22011"/>
      <w:bookmarkStart w:id="212" w:name="_Toc351203489"/>
      <w:bookmarkStart w:id="213" w:name="_Toc406522036"/>
      <w:bookmarkStart w:id="214" w:name="_Toc522201567"/>
      <w:r>
        <w:rPr>
          <w:rFonts w:hint="eastAsia" w:ascii="宋体" w:hAnsi="宋体" w:cs="宋体"/>
          <w:b/>
          <w:color w:val="auto"/>
          <w:highlight w:val="none"/>
        </w:rPr>
        <w:t>九、签订时间</w:t>
      </w:r>
      <w:bookmarkEnd w:id="210"/>
      <w:bookmarkEnd w:id="211"/>
      <w:bookmarkEnd w:id="212"/>
      <w:bookmarkEnd w:id="213"/>
      <w:bookmarkEnd w:id="214"/>
    </w:p>
    <w:p w14:paraId="3CD7CED2">
      <w:pPr>
        <w:pStyle w:val="47"/>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FBD3CD">
      <w:pPr>
        <w:pStyle w:val="48"/>
        <w:adjustRightInd w:val="0"/>
        <w:snapToGrid w:val="0"/>
        <w:spacing w:line="400" w:lineRule="exact"/>
        <w:ind w:firstLine="422"/>
        <w:outlineLvl w:val="0"/>
        <w:rPr>
          <w:rFonts w:ascii="宋体" w:hAnsi="宋体" w:cs="宋体"/>
          <w:b/>
          <w:color w:val="auto"/>
          <w:highlight w:val="none"/>
        </w:rPr>
      </w:pPr>
      <w:bookmarkStart w:id="215" w:name="_Toc406419162"/>
      <w:bookmarkStart w:id="216" w:name="_Toc522201568"/>
      <w:bookmarkStart w:id="217" w:name="_Toc3692"/>
      <w:bookmarkStart w:id="218" w:name="_Toc351203490"/>
      <w:bookmarkStart w:id="219" w:name="_Toc406522037"/>
      <w:r>
        <w:rPr>
          <w:rFonts w:hint="eastAsia" w:ascii="宋体" w:hAnsi="宋体" w:cs="宋体"/>
          <w:b/>
          <w:color w:val="auto"/>
          <w:highlight w:val="none"/>
        </w:rPr>
        <w:t>十、签订地点</w:t>
      </w:r>
      <w:bookmarkEnd w:id="215"/>
      <w:bookmarkEnd w:id="216"/>
      <w:bookmarkEnd w:id="217"/>
      <w:bookmarkEnd w:id="218"/>
      <w:bookmarkEnd w:id="219"/>
    </w:p>
    <w:p w14:paraId="1D5F6EC2">
      <w:pPr>
        <w:pStyle w:val="47"/>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广西桂林市</w:t>
      </w:r>
      <w:r>
        <w:rPr>
          <w:rFonts w:hint="eastAsia" w:ascii="宋体" w:hAnsi="宋体" w:cs="宋体"/>
          <w:bCs/>
          <w:color w:val="auto"/>
          <w:szCs w:val="21"/>
          <w:highlight w:val="none"/>
          <w:u w:val="single"/>
          <w:lang w:val="en-US" w:eastAsia="zh-CN"/>
        </w:rPr>
        <w:t>秀峰区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7961582">
      <w:pPr>
        <w:pStyle w:val="48"/>
        <w:adjustRightInd w:val="0"/>
        <w:snapToGrid w:val="0"/>
        <w:spacing w:line="400" w:lineRule="exact"/>
        <w:ind w:firstLine="422"/>
        <w:outlineLvl w:val="0"/>
        <w:rPr>
          <w:rFonts w:ascii="宋体" w:hAnsi="宋体" w:cs="宋体"/>
          <w:b/>
          <w:color w:val="auto"/>
          <w:highlight w:val="none"/>
        </w:rPr>
      </w:pPr>
      <w:bookmarkStart w:id="220" w:name="_Toc351203491"/>
      <w:bookmarkStart w:id="221" w:name="_Toc406522038"/>
      <w:bookmarkStart w:id="222" w:name="_Toc9576"/>
      <w:bookmarkStart w:id="223" w:name="_Toc522201569"/>
      <w:bookmarkStart w:id="224" w:name="_Toc406419163"/>
      <w:r>
        <w:rPr>
          <w:rFonts w:hint="eastAsia" w:ascii="宋体" w:hAnsi="宋体" w:cs="宋体"/>
          <w:b/>
          <w:color w:val="auto"/>
          <w:highlight w:val="none"/>
        </w:rPr>
        <w:t>十一、补充协议</w:t>
      </w:r>
      <w:bookmarkEnd w:id="220"/>
      <w:bookmarkEnd w:id="221"/>
      <w:bookmarkEnd w:id="222"/>
      <w:bookmarkEnd w:id="223"/>
      <w:bookmarkEnd w:id="224"/>
    </w:p>
    <w:p w14:paraId="27A6AE05">
      <w:pPr>
        <w:pStyle w:val="47"/>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2A0C62">
      <w:pPr>
        <w:pStyle w:val="48"/>
        <w:adjustRightInd w:val="0"/>
        <w:snapToGrid w:val="0"/>
        <w:spacing w:line="400" w:lineRule="exact"/>
        <w:ind w:firstLine="422"/>
        <w:outlineLvl w:val="0"/>
        <w:rPr>
          <w:rFonts w:ascii="宋体" w:hAnsi="宋体" w:cs="宋体"/>
          <w:b/>
          <w:color w:val="auto"/>
          <w:highlight w:val="none"/>
        </w:rPr>
      </w:pPr>
      <w:bookmarkStart w:id="225" w:name="_Toc351203492"/>
      <w:bookmarkStart w:id="226" w:name="_Toc522201570"/>
      <w:bookmarkStart w:id="227" w:name="_Toc406522039"/>
      <w:bookmarkStart w:id="228" w:name="_Toc32443"/>
      <w:bookmarkStart w:id="229" w:name="_Toc406419164"/>
      <w:r>
        <w:rPr>
          <w:rFonts w:hint="eastAsia" w:ascii="宋体" w:hAnsi="宋体" w:cs="宋体"/>
          <w:b/>
          <w:color w:val="auto"/>
          <w:highlight w:val="none"/>
        </w:rPr>
        <w:t>十二、合同生效</w:t>
      </w:r>
      <w:bookmarkEnd w:id="225"/>
      <w:bookmarkEnd w:id="226"/>
      <w:bookmarkEnd w:id="227"/>
      <w:bookmarkEnd w:id="228"/>
      <w:bookmarkEnd w:id="229"/>
    </w:p>
    <w:p w14:paraId="4D4BFEE3">
      <w:pPr>
        <w:pStyle w:val="47"/>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双方法定代表人或其委托代理人签字或盖章并加盖单位</w:t>
      </w:r>
      <w:r>
        <w:rPr>
          <w:rFonts w:hint="eastAsia" w:ascii="宋体" w:hAnsi="宋体" w:cs="宋体"/>
          <w:color w:val="auto"/>
          <w:szCs w:val="21"/>
          <w:highlight w:val="none"/>
          <w:u w:val="single"/>
          <w:lang w:eastAsia="zh-CN"/>
        </w:rPr>
        <w:t>公</w:t>
      </w:r>
      <w:r>
        <w:rPr>
          <w:rFonts w:hint="eastAsia" w:ascii="宋体" w:hAnsi="宋体" w:cs="宋体"/>
          <w:color w:val="auto"/>
          <w:szCs w:val="21"/>
          <w:highlight w:val="none"/>
          <w:u w:val="single"/>
        </w:rPr>
        <w:t>章后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273E293D">
      <w:pPr>
        <w:pStyle w:val="48"/>
        <w:adjustRightInd w:val="0"/>
        <w:snapToGrid w:val="0"/>
        <w:spacing w:line="400" w:lineRule="exact"/>
        <w:ind w:firstLine="422"/>
        <w:outlineLvl w:val="0"/>
        <w:rPr>
          <w:rFonts w:ascii="宋体" w:hAnsi="宋体" w:cs="宋体"/>
          <w:b/>
          <w:color w:val="auto"/>
          <w:highlight w:val="none"/>
        </w:rPr>
      </w:pPr>
      <w:bookmarkStart w:id="230" w:name="_Toc406419165"/>
      <w:bookmarkStart w:id="231" w:name="_Toc14945"/>
      <w:bookmarkStart w:id="232" w:name="_Toc522201571"/>
      <w:bookmarkStart w:id="233" w:name="_Toc406522040"/>
      <w:bookmarkStart w:id="234" w:name="_Toc351203493"/>
      <w:r>
        <w:rPr>
          <w:rFonts w:hint="eastAsia" w:ascii="宋体" w:hAnsi="宋体" w:cs="宋体"/>
          <w:b/>
          <w:color w:val="auto"/>
          <w:highlight w:val="none"/>
        </w:rPr>
        <w:t>十三、合同份数</w:t>
      </w:r>
      <w:bookmarkEnd w:id="230"/>
      <w:bookmarkEnd w:id="231"/>
      <w:bookmarkEnd w:id="232"/>
      <w:bookmarkEnd w:id="233"/>
      <w:bookmarkEnd w:id="234"/>
    </w:p>
    <w:p w14:paraId="02052796">
      <w:pPr>
        <w:pStyle w:val="47"/>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柒</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份，招标代理机构执</w:t>
      </w:r>
      <w:r>
        <w:rPr>
          <w:rFonts w:hint="eastAsia" w:ascii="宋体" w:hAnsi="宋体" w:cs="宋体"/>
          <w:bCs/>
          <w:color w:val="auto"/>
          <w:szCs w:val="21"/>
          <w:highlight w:val="none"/>
          <w:u w:val="single"/>
        </w:rPr>
        <w:t xml:space="preserve"> 壹 </w:t>
      </w:r>
      <w:r>
        <w:rPr>
          <w:rFonts w:hint="eastAsia" w:ascii="宋体" w:hAnsi="宋体" w:cs="宋体"/>
          <w:bCs/>
          <w:color w:val="auto"/>
          <w:szCs w:val="21"/>
          <w:highlight w:val="none"/>
        </w:rPr>
        <w:t>份。</w:t>
      </w:r>
    </w:p>
    <w:p w14:paraId="19EB381C">
      <w:pPr>
        <w:pStyle w:val="47"/>
        <w:adjustRightInd w:val="0"/>
        <w:snapToGrid w:val="0"/>
        <w:spacing w:line="400" w:lineRule="exact"/>
        <w:ind w:firstLine="420" w:firstLineChars="200"/>
        <w:rPr>
          <w:rFonts w:ascii="宋体" w:hAnsi="宋体" w:cs="宋体"/>
          <w:bCs/>
          <w:color w:val="auto"/>
          <w:szCs w:val="21"/>
          <w:highlight w:val="none"/>
        </w:rPr>
      </w:pPr>
    </w:p>
    <w:tbl>
      <w:tblPr>
        <w:tblStyle w:val="27"/>
        <w:tblW w:w="0" w:type="auto"/>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14:paraId="6E0B7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02ED8B83">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14:paraId="4CDB9780">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bCs/>
                <w:color w:val="auto"/>
                <w:kern w:val="0"/>
                <w:sz w:val="21"/>
                <w:szCs w:val="21"/>
                <w:highlight w:val="none"/>
                <w:u w:val="none"/>
                <w:lang w:val="en-US" w:eastAsia="zh-CN"/>
              </w:rPr>
              <w:t xml:space="preserve"> </w:t>
            </w:r>
          </w:p>
        </w:tc>
        <w:tc>
          <w:tcPr>
            <w:tcW w:w="4597" w:type="dxa"/>
            <w:vAlign w:val="top"/>
          </w:tcPr>
          <w:p w14:paraId="0CF1C7B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承包人：（公章）</w:t>
            </w:r>
          </w:p>
          <w:p w14:paraId="011CD4D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b/>
                <w:bCs/>
                <w:color w:val="auto"/>
                <w:highlight w:val="none"/>
                <w:u w:val="none"/>
                <w:lang w:val="en-US" w:eastAsia="zh-CN"/>
              </w:rPr>
              <w:t xml:space="preserve"> </w:t>
            </w:r>
          </w:p>
        </w:tc>
      </w:tr>
      <w:tr w14:paraId="0594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14C84239">
            <w:pPr>
              <w:spacing w:line="360" w:lineRule="auto"/>
              <w:rPr>
                <w:rFonts w:hint="eastAsia" w:ascii="宋体" w:hAnsi="宋体" w:eastAsia="宋体" w:cs="宋体"/>
                <w:color w:val="auto"/>
                <w:kern w:val="0"/>
                <w:sz w:val="21"/>
                <w:szCs w:val="21"/>
                <w:highlight w:val="none"/>
                <w:u w:val="none"/>
                <w:lang w:val="en-US" w:eastAsia="zh-CN"/>
              </w:rPr>
            </w:pPr>
          </w:p>
        </w:tc>
        <w:tc>
          <w:tcPr>
            <w:tcW w:w="4597" w:type="dxa"/>
            <w:vAlign w:val="top"/>
          </w:tcPr>
          <w:p w14:paraId="719FB77E">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14:paraId="4BFE5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43CF93F5">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0598FE2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vAlign w:val="top"/>
          </w:tcPr>
          <w:p w14:paraId="6F2747DE">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14:paraId="12D42F0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14:paraId="00E1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vAlign w:val="top"/>
          </w:tcPr>
          <w:p w14:paraId="7743A423">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r>
              <w:rPr>
                <w:rFonts w:hint="eastAsia" w:ascii="宋体" w:hAnsi="宋体" w:eastAsia="宋体"/>
                <w:color w:val="auto"/>
                <w:kern w:val="0"/>
                <w:szCs w:val="21"/>
                <w:highlight w:val="none"/>
                <w:lang w:val="en-US" w:eastAsia="zh-CN"/>
              </w:rPr>
              <w:t xml:space="preserve"> </w:t>
            </w:r>
          </w:p>
        </w:tc>
        <w:tc>
          <w:tcPr>
            <w:tcW w:w="4597" w:type="dxa"/>
            <w:vAlign w:val="top"/>
          </w:tcPr>
          <w:p w14:paraId="691C0E86">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14:paraId="0750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666A3E4F">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地址： </w:t>
            </w:r>
          </w:p>
        </w:tc>
        <w:tc>
          <w:tcPr>
            <w:tcW w:w="4597" w:type="dxa"/>
            <w:vAlign w:val="top"/>
          </w:tcPr>
          <w:p w14:paraId="6DF6C87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14:paraId="7042A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04FBD9C4">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r>
              <w:rPr>
                <w:rFonts w:hint="eastAsia" w:ascii="宋体" w:hAnsi="宋体"/>
                <w:color w:val="auto"/>
                <w:kern w:val="0"/>
                <w:szCs w:val="21"/>
                <w:highlight w:val="none"/>
              </w:rPr>
              <w:t>541006</w:t>
            </w:r>
          </w:p>
        </w:tc>
        <w:tc>
          <w:tcPr>
            <w:tcW w:w="4597" w:type="dxa"/>
            <w:vAlign w:val="top"/>
          </w:tcPr>
          <w:p w14:paraId="2D4EE01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14:paraId="3AD2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0B02DF79">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vAlign w:val="top"/>
          </w:tcPr>
          <w:p w14:paraId="08E811E6">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r>
              <w:rPr>
                <w:rFonts w:hint="eastAsia" w:ascii="宋体" w:hAnsi="宋体" w:cs="宋体"/>
                <w:color w:val="auto"/>
                <w:kern w:val="0"/>
                <w:sz w:val="21"/>
                <w:szCs w:val="21"/>
                <w:highlight w:val="none"/>
                <w:u w:val="none"/>
                <w:lang w:val="en-US" w:eastAsia="zh-CN"/>
              </w:rPr>
              <w:t xml:space="preserve"> </w:t>
            </w:r>
          </w:p>
        </w:tc>
      </w:tr>
      <w:tr w14:paraId="7C5F6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53246F39">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r>
              <w:rPr>
                <w:rFonts w:hint="eastAsia" w:ascii="宋体" w:hAnsi="宋体"/>
                <w:color w:val="auto"/>
                <w:kern w:val="0"/>
                <w:szCs w:val="21"/>
                <w:highlight w:val="none"/>
                <w:lang w:val="en-US" w:eastAsia="zh-CN"/>
              </w:rPr>
              <w:t>0773-3553323</w:t>
            </w:r>
          </w:p>
        </w:tc>
        <w:tc>
          <w:tcPr>
            <w:tcW w:w="4597" w:type="dxa"/>
            <w:vAlign w:val="top"/>
          </w:tcPr>
          <w:p w14:paraId="6E3784CF">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14:paraId="06D4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50530C9A">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vAlign w:val="top"/>
          </w:tcPr>
          <w:p w14:paraId="689AFCB6">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14:paraId="0FA14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3EA36817">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r>
              <w:rPr>
                <w:rFonts w:hint="eastAsia" w:ascii="宋体" w:hAnsi="宋体"/>
                <w:color w:val="auto"/>
                <w:kern w:val="0"/>
                <w:szCs w:val="21"/>
                <w:highlight w:val="none"/>
              </w:rPr>
              <w:t>glysct@</w:t>
            </w:r>
            <w:r>
              <w:rPr>
                <w:rFonts w:hint="eastAsia" w:ascii="宋体" w:hAnsi="宋体"/>
                <w:color w:val="auto"/>
                <w:kern w:val="0"/>
                <w:szCs w:val="21"/>
                <w:highlight w:val="none"/>
                <w:lang w:val="en-US" w:eastAsia="zh-CN"/>
              </w:rPr>
              <w:t>126.com</w:t>
            </w:r>
          </w:p>
        </w:tc>
        <w:tc>
          <w:tcPr>
            <w:tcW w:w="4597" w:type="dxa"/>
            <w:vAlign w:val="top"/>
          </w:tcPr>
          <w:p w14:paraId="679C7E0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14:paraId="34D9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68D9493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vAlign w:val="top"/>
          </w:tcPr>
          <w:p w14:paraId="54C74B41">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14:paraId="7CF18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7FA91D25">
            <w:pPr>
              <w:spacing w:line="360" w:lineRule="auto"/>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vAlign w:val="top"/>
          </w:tcPr>
          <w:p w14:paraId="016C84CB">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开户名称： </w:t>
            </w:r>
          </w:p>
        </w:tc>
      </w:tr>
      <w:tr w14:paraId="079D1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14:paraId="010D3026">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vAlign w:val="top"/>
          </w:tcPr>
          <w:p w14:paraId="7DF1F99D">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14:paraId="087D16B1">
      <w:pPr>
        <w:pStyle w:val="36"/>
        <w:jc w:val="center"/>
        <w:rPr>
          <w:rFonts w:eastAsia="黑体"/>
          <w:b w:val="0"/>
          <w:bCs w:val="0"/>
          <w:color w:val="auto"/>
          <w:sz w:val="32"/>
          <w:szCs w:val="32"/>
          <w:highlight w:val="none"/>
        </w:rPr>
      </w:pPr>
      <w:r>
        <w:rPr>
          <w:b w:val="0"/>
          <w:bCs w:val="0"/>
          <w:color w:val="auto"/>
          <w:highlight w:val="none"/>
        </w:rPr>
        <w:br w:type="page"/>
      </w:r>
      <w:bookmarkStart w:id="235" w:name="_Toc2370"/>
      <w:bookmarkStart w:id="236" w:name="_Toc522201572"/>
      <w:bookmarkStart w:id="237" w:name="_Toc256000032"/>
      <w:r>
        <w:rPr>
          <w:rFonts w:ascii="宋体"/>
          <w:color w:val="auto"/>
          <w:sz w:val="32"/>
          <w:highlight w:val="none"/>
        </w:rPr>
        <w:t>第二部分 通用合同条款</w:t>
      </w:r>
      <w:bookmarkEnd w:id="235"/>
      <w:bookmarkEnd w:id="236"/>
      <w:bookmarkEnd w:id="237"/>
    </w:p>
    <w:p w14:paraId="7C331992">
      <w:pPr>
        <w:rPr>
          <w:rFonts w:hint="eastAsia"/>
          <w:color w:val="auto"/>
          <w:highlight w:val="none"/>
        </w:rPr>
      </w:pPr>
      <w:bookmarkStart w:id="238" w:name="_Toc16978"/>
    </w:p>
    <w:p w14:paraId="3D33833A">
      <w:pPr>
        <w:pStyle w:val="20"/>
        <w:ind w:left="63" w:right="63"/>
        <w:rPr>
          <w:rFonts w:hint="eastAsia" w:eastAsia="宋体"/>
          <w:color w:val="auto"/>
          <w:highlight w:val="none"/>
          <w:lang w:eastAsia="zh-CN"/>
        </w:rPr>
      </w:pPr>
      <w:r>
        <w:rPr>
          <w:rFonts w:hint="eastAsia" w:ascii="宋体" w:hAnsi="宋体" w:eastAsia="宋体" w:cs="宋体"/>
          <w:b w:val="0"/>
          <w:bCs w:val="0"/>
          <w:color w:val="auto"/>
          <w:sz w:val="24"/>
          <w:szCs w:val="24"/>
          <w:highlight w:val="none"/>
        </w:rPr>
        <w:t>本工程的施工合同通用条款按国家工商行政管理局和建设部颁布的：</w:t>
      </w:r>
      <w:bookmarkEnd w:id="238"/>
      <w:r>
        <w:rPr>
          <w:rFonts w:hint="eastAsia" w:ascii="宋体" w:hAnsi="宋体" w:eastAsia="宋体" w:cs="宋体"/>
          <w:b w:val="0"/>
          <w:bCs w:val="0"/>
          <w:color w:val="auto"/>
          <w:sz w:val="24"/>
          <w:szCs w:val="24"/>
          <w:highlight w:val="none"/>
        </w:rPr>
        <w:t>《建设工程施工合同（示范文本）》（GF-2017-0201）</w:t>
      </w:r>
      <w:r>
        <w:rPr>
          <w:rFonts w:hint="eastAsia" w:ascii="宋体" w:hAnsi="宋体" w:eastAsia="宋体" w:cs="宋体"/>
          <w:b w:val="0"/>
          <w:bCs w:val="0"/>
          <w:color w:val="auto"/>
          <w:sz w:val="24"/>
          <w:szCs w:val="24"/>
          <w:highlight w:val="none"/>
          <w:lang w:eastAsia="zh-CN"/>
        </w:rPr>
        <w:t>。</w:t>
      </w:r>
    </w:p>
    <w:p w14:paraId="2E5D708B">
      <w:pPr>
        <w:pStyle w:val="20"/>
        <w:ind w:left="63" w:right="63"/>
        <w:rPr>
          <w:color w:val="auto"/>
          <w:highlight w:val="none"/>
        </w:rPr>
      </w:pPr>
    </w:p>
    <w:p w14:paraId="3875D363">
      <w:pPr>
        <w:pStyle w:val="20"/>
        <w:ind w:left="63" w:right="63"/>
        <w:rPr>
          <w:color w:val="auto"/>
          <w:highlight w:val="none"/>
        </w:rPr>
      </w:pPr>
    </w:p>
    <w:p w14:paraId="03CF0BDB">
      <w:pPr>
        <w:pStyle w:val="20"/>
        <w:ind w:left="63" w:right="63"/>
        <w:rPr>
          <w:color w:val="auto"/>
          <w:highlight w:val="none"/>
        </w:rPr>
      </w:pPr>
    </w:p>
    <w:p w14:paraId="2BD59266">
      <w:pPr>
        <w:pStyle w:val="20"/>
        <w:ind w:left="63" w:right="63"/>
        <w:rPr>
          <w:color w:val="auto"/>
          <w:highlight w:val="none"/>
        </w:rPr>
      </w:pPr>
    </w:p>
    <w:p w14:paraId="50052C21">
      <w:pPr>
        <w:pStyle w:val="20"/>
        <w:ind w:left="63" w:right="63"/>
        <w:rPr>
          <w:color w:val="auto"/>
          <w:highlight w:val="none"/>
        </w:rPr>
      </w:pPr>
    </w:p>
    <w:p w14:paraId="64E3D597">
      <w:pPr>
        <w:pStyle w:val="20"/>
        <w:ind w:left="63" w:right="63"/>
        <w:rPr>
          <w:color w:val="auto"/>
          <w:highlight w:val="none"/>
        </w:rPr>
      </w:pPr>
    </w:p>
    <w:p w14:paraId="0B488B2C">
      <w:pPr>
        <w:pStyle w:val="20"/>
        <w:ind w:left="63" w:right="63"/>
        <w:rPr>
          <w:color w:val="auto"/>
          <w:highlight w:val="none"/>
        </w:rPr>
      </w:pPr>
    </w:p>
    <w:p w14:paraId="4BE40444">
      <w:pPr>
        <w:pStyle w:val="20"/>
        <w:ind w:left="63" w:right="63"/>
        <w:rPr>
          <w:color w:val="auto"/>
          <w:highlight w:val="none"/>
        </w:rPr>
      </w:pPr>
    </w:p>
    <w:p w14:paraId="0412D699">
      <w:pPr>
        <w:pStyle w:val="20"/>
        <w:ind w:left="63" w:right="63"/>
        <w:rPr>
          <w:color w:val="auto"/>
          <w:highlight w:val="none"/>
        </w:rPr>
      </w:pPr>
    </w:p>
    <w:p w14:paraId="5F9180C1">
      <w:pPr>
        <w:pStyle w:val="20"/>
        <w:ind w:left="63" w:right="63"/>
        <w:rPr>
          <w:color w:val="auto"/>
          <w:highlight w:val="none"/>
        </w:rPr>
      </w:pPr>
    </w:p>
    <w:p w14:paraId="7E3254BB">
      <w:pPr>
        <w:pStyle w:val="20"/>
        <w:ind w:left="63" w:right="63"/>
        <w:rPr>
          <w:color w:val="auto"/>
          <w:highlight w:val="none"/>
        </w:rPr>
      </w:pPr>
    </w:p>
    <w:p w14:paraId="6FF2087A">
      <w:pPr>
        <w:pStyle w:val="20"/>
        <w:ind w:left="63" w:right="63"/>
        <w:rPr>
          <w:color w:val="auto"/>
          <w:highlight w:val="none"/>
        </w:rPr>
      </w:pPr>
    </w:p>
    <w:p w14:paraId="00B4EA50">
      <w:pPr>
        <w:pStyle w:val="20"/>
        <w:ind w:left="63" w:right="63"/>
        <w:rPr>
          <w:color w:val="auto"/>
          <w:highlight w:val="none"/>
        </w:rPr>
      </w:pPr>
    </w:p>
    <w:p w14:paraId="5028774D">
      <w:pPr>
        <w:pStyle w:val="20"/>
        <w:ind w:left="63" w:right="63"/>
        <w:rPr>
          <w:color w:val="auto"/>
          <w:highlight w:val="none"/>
        </w:rPr>
      </w:pPr>
    </w:p>
    <w:p w14:paraId="3AE3128D">
      <w:pPr>
        <w:pStyle w:val="20"/>
        <w:ind w:left="63" w:right="63"/>
        <w:rPr>
          <w:color w:val="auto"/>
          <w:highlight w:val="none"/>
        </w:rPr>
      </w:pPr>
    </w:p>
    <w:p w14:paraId="264E6C91">
      <w:pPr>
        <w:pStyle w:val="20"/>
        <w:ind w:left="63" w:right="63"/>
        <w:rPr>
          <w:color w:val="auto"/>
          <w:highlight w:val="none"/>
        </w:rPr>
      </w:pPr>
    </w:p>
    <w:p w14:paraId="58F7AE49">
      <w:pPr>
        <w:pStyle w:val="20"/>
        <w:ind w:left="63" w:right="63"/>
        <w:rPr>
          <w:color w:val="auto"/>
          <w:highlight w:val="none"/>
        </w:rPr>
      </w:pPr>
    </w:p>
    <w:p w14:paraId="6384DA0B">
      <w:pPr>
        <w:pStyle w:val="20"/>
        <w:ind w:left="63" w:right="63"/>
        <w:rPr>
          <w:color w:val="auto"/>
          <w:highlight w:val="none"/>
        </w:rPr>
      </w:pPr>
    </w:p>
    <w:p w14:paraId="2B26357A">
      <w:pPr>
        <w:pStyle w:val="20"/>
        <w:ind w:left="63" w:right="63"/>
        <w:rPr>
          <w:color w:val="auto"/>
          <w:highlight w:val="none"/>
        </w:rPr>
      </w:pPr>
    </w:p>
    <w:p w14:paraId="4F717344">
      <w:pPr>
        <w:pStyle w:val="20"/>
        <w:ind w:left="63" w:right="63"/>
        <w:rPr>
          <w:color w:val="auto"/>
          <w:highlight w:val="none"/>
        </w:rPr>
      </w:pPr>
    </w:p>
    <w:p w14:paraId="1A07CFBA">
      <w:pPr>
        <w:pStyle w:val="20"/>
        <w:ind w:left="63" w:right="63"/>
        <w:rPr>
          <w:color w:val="auto"/>
          <w:highlight w:val="none"/>
        </w:rPr>
      </w:pPr>
    </w:p>
    <w:p w14:paraId="5BA7BFB3">
      <w:pPr>
        <w:pStyle w:val="20"/>
        <w:ind w:left="63" w:right="63"/>
        <w:rPr>
          <w:color w:val="auto"/>
          <w:highlight w:val="none"/>
        </w:rPr>
      </w:pPr>
    </w:p>
    <w:p w14:paraId="2184C19F">
      <w:pPr>
        <w:pStyle w:val="20"/>
        <w:ind w:left="63" w:right="63"/>
        <w:rPr>
          <w:color w:val="auto"/>
          <w:highlight w:val="none"/>
        </w:rPr>
      </w:pPr>
    </w:p>
    <w:p w14:paraId="673ACDD1">
      <w:pPr>
        <w:pStyle w:val="20"/>
        <w:ind w:left="63" w:right="63"/>
        <w:rPr>
          <w:color w:val="auto"/>
          <w:highlight w:val="none"/>
        </w:rPr>
      </w:pPr>
    </w:p>
    <w:p w14:paraId="52AC3709">
      <w:pPr>
        <w:pStyle w:val="20"/>
        <w:ind w:left="63" w:right="63"/>
        <w:rPr>
          <w:color w:val="auto"/>
          <w:highlight w:val="none"/>
        </w:rPr>
      </w:pPr>
    </w:p>
    <w:p w14:paraId="5174FCD7">
      <w:pPr>
        <w:pStyle w:val="20"/>
        <w:ind w:left="63" w:right="63"/>
        <w:rPr>
          <w:color w:val="auto"/>
          <w:highlight w:val="none"/>
        </w:rPr>
      </w:pPr>
    </w:p>
    <w:p w14:paraId="0050E762">
      <w:pPr>
        <w:pStyle w:val="20"/>
        <w:ind w:left="63" w:right="63"/>
        <w:rPr>
          <w:color w:val="auto"/>
          <w:highlight w:val="none"/>
        </w:rPr>
      </w:pPr>
    </w:p>
    <w:p w14:paraId="3AF254CC">
      <w:pPr>
        <w:pStyle w:val="36"/>
        <w:spacing w:line="400" w:lineRule="atLeast"/>
        <w:jc w:val="center"/>
        <w:rPr>
          <w:color w:val="auto"/>
          <w:highlight w:val="none"/>
        </w:rPr>
      </w:pPr>
      <w:bookmarkStart w:id="239" w:name="_Toc256000171"/>
      <w:r>
        <w:rPr>
          <w:rFonts w:ascii="宋体"/>
          <w:color w:val="auto"/>
          <w:sz w:val="32"/>
          <w:highlight w:val="none"/>
        </w:rPr>
        <w:t>第</w:t>
      </w:r>
      <w:r>
        <w:rPr>
          <w:rFonts w:hint="eastAsia" w:ascii="宋体"/>
          <w:color w:val="auto"/>
          <w:sz w:val="32"/>
          <w:highlight w:val="none"/>
        </w:rPr>
        <w:t>三</w:t>
      </w:r>
      <w:r>
        <w:rPr>
          <w:rFonts w:ascii="宋体"/>
          <w:color w:val="auto"/>
          <w:sz w:val="32"/>
          <w:highlight w:val="none"/>
        </w:rPr>
        <w:t>部分 专用合同条款</w:t>
      </w:r>
      <w:bookmarkEnd w:id="239"/>
    </w:p>
    <w:p w14:paraId="651C346C">
      <w:pPr>
        <w:pStyle w:val="36"/>
        <w:spacing w:line="380" w:lineRule="exact"/>
        <w:rPr>
          <w:rFonts w:ascii="宋体" w:cs="宋体"/>
          <w:color w:val="auto"/>
          <w:highlight w:val="none"/>
        </w:rPr>
      </w:pPr>
      <w:bookmarkStart w:id="240" w:name="_Toc497747171"/>
      <w:bookmarkStart w:id="241" w:name="_Toc497746774"/>
      <w:bookmarkStart w:id="242" w:name="_Toc351203633"/>
      <w:bookmarkStart w:id="243" w:name="_Toc418752235"/>
      <w:bookmarkStart w:id="244" w:name="_Toc406522213"/>
      <w:bookmarkStart w:id="245" w:name="_Toc256000172"/>
      <w:bookmarkStart w:id="246" w:name="_Toc418751789"/>
      <w:bookmarkStart w:id="247" w:name="_Toc522201723"/>
      <w:r>
        <w:rPr>
          <w:rFonts w:hint="eastAsia" w:ascii="宋体" w:cs="宋体"/>
          <w:color w:val="auto"/>
          <w:highlight w:val="none"/>
        </w:rPr>
        <w:t>1</w:t>
      </w:r>
      <w:bookmarkStart w:id="248" w:name="_Toc292559361"/>
      <w:bookmarkStart w:id="249" w:name="_Toc297120456"/>
      <w:bookmarkStart w:id="250" w:name="_Toc296346657"/>
      <w:bookmarkStart w:id="251" w:name="_Toc296891196"/>
      <w:bookmarkStart w:id="252" w:name="_Toc296347155"/>
      <w:bookmarkStart w:id="253" w:name="_Toc292559866"/>
      <w:bookmarkStart w:id="254" w:name="_Toc296944495"/>
      <w:bookmarkStart w:id="255" w:name="_Toc296890984"/>
      <w:bookmarkStart w:id="256" w:name="_Toc297048342"/>
      <w:bookmarkStart w:id="257" w:name="_Toc296503156"/>
      <w:r>
        <w:rPr>
          <w:rFonts w:hint="eastAsia" w:ascii="宋体" w:cs="宋体"/>
          <w:color w:val="auto"/>
          <w:highlight w:val="none"/>
        </w:rPr>
        <w:t>. 一般约定</w:t>
      </w:r>
      <w:bookmarkEnd w:id="240"/>
      <w:bookmarkEnd w:id="241"/>
      <w:bookmarkEnd w:id="242"/>
      <w:bookmarkEnd w:id="243"/>
      <w:bookmarkEnd w:id="244"/>
      <w:bookmarkEnd w:id="245"/>
      <w:bookmarkEnd w:id="246"/>
      <w:bookmarkEnd w:id="247"/>
    </w:p>
    <w:bookmarkEnd w:id="248"/>
    <w:bookmarkEnd w:id="249"/>
    <w:bookmarkEnd w:id="250"/>
    <w:bookmarkEnd w:id="251"/>
    <w:bookmarkEnd w:id="252"/>
    <w:bookmarkEnd w:id="253"/>
    <w:bookmarkEnd w:id="254"/>
    <w:bookmarkEnd w:id="255"/>
    <w:bookmarkEnd w:id="256"/>
    <w:bookmarkEnd w:id="257"/>
    <w:p w14:paraId="65D76E60">
      <w:pPr>
        <w:pStyle w:val="36"/>
        <w:spacing w:line="380" w:lineRule="exact"/>
        <w:ind w:firstLine="422" w:firstLineChars="200"/>
        <w:rPr>
          <w:rFonts w:ascii="宋体" w:cs="宋体"/>
          <w:color w:val="auto"/>
          <w:highlight w:val="none"/>
        </w:rPr>
      </w:pPr>
      <w:bookmarkStart w:id="258" w:name="_Toc418752236"/>
      <w:bookmarkStart w:id="259" w:name="_Toc256000173"/>
      <w:bookmarkStart w:id="260" w:name="_Toc406522214"/>
      <w:bookmarkStart w:id="261" w:name="_Toc497747172"/>
      <w:bookmarkStart w:id="262" w:name="_Toc497746775"/>
      <w:bookmarkStart w:id="263" w:name="_Toc418751790"/>
      <w:bookmarkStart w:id="264" w:name="_Toc522201724"/>
      <w:r>
        <w:rPr>
          <w:rFonts w:hint="eastAsia" w:ascii="宋体" w:cs="宋体"/>
          <w:color w:val="auto"/>
          <w:highlight w:val="none"/>
        </w:rPr>
        <w:t>1.1 词语定义</w:t>
      </w:r>
      <w:bookmarkEnd w:id="258"/>
      <w:bookmarkEnd w:id="259"/>
      <w:bookmarkEnd w:id="260"/>
      <w:bookmarkEnd w:id="261"/>
      <w:bookmarkEnd w:id="262"/>
      <w:bookmarkEnd w:id="263"/>
      <w:bookmarkEnd w:id="264"/>
    </w:p>
    <w:p w14:paraId="63DD1CD0">
      <w:pPr>
        <w:pStyle w:val="50"/>
        <w:spacing w:line="380" w:lineRule="exact"/>
        <w:rPr>
          <w:rFonts w:ascii="宋体" w:hAnsi="宋体" w:cs="宋体"/>
          <w:color w:val="auto"/>
          <w:highlight w:val="none"/>
        </w:rPr>
      </w:pPr>
      <w:r>
        <w:rPr>
          <w:rFonts w:hint="eastAsia" w:ascii="宋体" w:hAnsi="宋体" w:cs="宋体"/>
          <w:color w:val="auto"/>
          <w:highlight w:val="none"/>
        </w:rPr>
        <w:t>1.1.1合同</w:t>
      </w:r>
    </w:p>
    <w:p w14:paraId="3BD737D6">
      <w:pPr>
        <w:pStyle w:val="50"/>
        <w:spacing w:line="380" w:lineRule="exact"/>
        <w:rPr>
          <w:rFonts w:ascii="宋体" w:hAnsi="宋体" w:cs="宋体"/>
          <w:color w:val="auto"/>
          <w:highlight w:val="none"/>
          <w:u w:val="single"/>
        </w:rPr>
      </w:pPr>
      <w:r>
        <w:rPr>
          <w:rFonts w:hint="eastAsia" w:ascii="宋体" w:hAnsi="宋体" w:cs="宋体"/>
          <w:color w:val="auto"/>
          <w:highlight w:val="none"/>
        </w:rPr>
        <w:t>1.1.1.10其他合同文件包括：</w:t>
      </w:r>
      <w:r>
        <w:rPr>
          <w:rFonts w:hint="eastAsia" w:ascii="宋体" w:hAnsi="宋体" w:cs="宋体"/>
          <w:color w:val="auto"/>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cs="宋体"/>
          <w:color w:val="auto"/>
          <w:highlight w:val="none"/>
        </w:rPr>
        <w:t>。</w:t>
      </w:r>
    </w:p>
    <w:p w14:paraId="5C1A0416">
      <w:pPr>
        <w:pStyle w:val="50"/>
        <w:spacing w:line="380" w:lineRule="exact"/>
        <w:rPr>
          <w:rFonts w:ascii="宋体" w:hAnsi="宋体" w:cs="宋体"/>
          <w:color w:val="auto"/>
          <w:highlight w:val="none"/>
        </w:rPr>
      </w:pPr>
      <w:r>
        <w:rPr>
          <w:rFonts w:hint="eastAsia" w:ascii="宋体" w:hAnsi="宋体" w:cs="宋体"/>
          <w:color w:val="auto"/>
          <w:highlight w:val="none"/>
        </w:rPr>
        <w:t>1.1.2 合同当事人及其他相关方</w:t>
      </w:r>
    </w:p>
    <w:p w14:paraId="652FFA12">
      <w:pPr>
        <w:pStyle w:val="50"/>
        <w:spacing w:line="380" w:lineRule="exact"/>
        <w:rPr>
          <w:rFonts w:ascii="宋体" w:hAnsi="宋体" w:cs="宋体"/>
          <w:color w:val="auto"/>
          <w:highlight w:val="none"/>
        </w:rPr>
      </w:pPr>
      <w:r>
        <w:rPr>
          <w:rFonts w:hint="eastAsia" w:ascii="宋体" w:hAnsi="宋体" w:cs="宋体"/>
          <w:color w:val="auto"/>
          <w:highlight w:val="none"/>
        </w:rPr>
        <w:t>1.1.2.4监理人：</w:t>
      </w:r>
    </w:p>
    <w:p w14:paraId="178F0835">
      <w:pPr>
        <w:pStyle w:val="50"/>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5F0CB74">
      <w:pPr>
        <w:pStyle w:val="50"/>
        <w:spacing w:line="380" w:lineRule="exact"/>
        <w:rPr>
          <w:rFonts w:hint="eastAsia"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2BF00D3">
      <w:pPr>
        <w:pStyle w:val="50"/>
        <w:spacing w:line="380" w:lineRule="exact"/>
        <w:rPr>
          <w:rFonts w:hint="eastAsia"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以发包人书面通知为准</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193ECE6">
      <w:pPr>
        <w:pStyle w:val="50"/>
        <w:spacing w:line="380" w:lineRule="exact"/>
        <w:rPr>
          <w:rFonts w:hint="eastAsia"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lang w:val="en-US" w:eastAsia="zh-CN"/>
        </w:rPr>
        <w:t xml:space="preserve"> 以发包人书面通知为准 </w:t>
      </w:r>
      <w:r>
        <w:rPr>
          <w:rFonts w:hint="eastAsia" w:ascii="宋体" w:hAnsi="宋体" w:cs="宋体"/>
          <w:color w:val="auto"/>
          <w:highlight w:val="none"/>
        </w:rPr>
        <w:t>；</w:t>
      </w:r>
    </w:p>
    <w:p w14:paraId="210A0346">
      <w:pPr>
        <w:pStyle w:val="50"/>
        <w:spacing w:line="380" w:lineRule="exact"/>
        <w:rPr>
          <w:rFonts w:hint="eastAsia"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以发包人书面通知为准 </w:t>
      </w:r>
      <w:r>
        <w:rPr>
          <w:rFonts w:hint="eastAsia" w:ascii="宋体" w:hAnsi="宋体" w:cs="宋体"/>
          <w:color w:val="auto"/>
          <w:highlight w:val="none"/>
        </w:rPr>
        <w:t>。</w:t>
      </w:r>
    </w:p>
    <w:p w14:paraId="031D98DB">
      <w:pPr>
        <w:pStyle w:val="50"/>
        <w:spacing w:line="380" w:lineRule="exact"/>
        <w:rPr>
          <w:rFonts w:ascii="宋体" w:hAnsi="宋体" w:cs="宋体"/>
          <w:color w:val="auto"/>
          <w:highlight w:val="none"/>
        </w:rPr>
      </w:pPr>
      <w:r>
        <w:rPr>
          <w:rFonts w:hint="eastAsia" w:ascii="宋体" w:hAnsi="宋体" w:cs="宋体"/>
          <w:color w:val="auto"/>
          <w:highlight w:val="none"/>
        </w:rPr>
        <w:t>1.1.2.5 设计人：</w:t>
      </w:r>
    </w:p>
    <w:p w14:paraId="6A9D4CB9">
      <w:pPr>
        <w:pStyle w:val="50"/>
        <w:spacing w:line="380" w:lineRule="exact"/>
        <w:rPr>
          <w:rFonts w:ascii="宋体" w:hAnsi="宋体" w:cs="宋体"/>
          <w:color w:val="auto"/>
          <w:highlight w:val="none"/>
        </w:rPr>
      </w:pPr>
      <w:r>
        <w:rPr>
          <w:rFonts w:hint="eastAsia" w:ascii="宋体" w:hAnsi="宋体" w:cs="宋体"/>
          <w:color w:val="auto"/>
          <w:highlight w:val="none"/>
        </w:rPr>
        <w:t>名    称：</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3A4FCC5">
      <w:pPr>
        <w:pStyle w:val="50"/>
        <w:spacing w:line="380" w:lineRule="exact"/>
        <w:rPr>
          <w:rFonts w:ascii="宋体" w:hAnsi="宋体" w:cs="宋体"/>
          <w:color w:val="auto"/>
          <w:highlight w:val="none"/>
        </w:rPr>
      </w:pPr>
      <w:r>
        <w:rPr>
          <w:rFonts w:hint="eastAsia" w:ascii="宋体" w:hAnsi="宋体" w:cs="宋体"/>
          <w:color w:val="auto"/>
          <w:highlight w:val="none"/>
        </w:rPr>
        <w:t>资质类别和等级：</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E8DF6C5">
      <w:pPr>
        <w:pStyle w:val="50"/>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6E03B8E0">
      <w:pPr>
        <w:pStyle w:val="50"/>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9B9C8CA">
      <w:pPr>
        <w:pStyle w:val="50"/>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4FBF3C3">
      <w:pPr>
        <w:pStyle w:val="50"/>
        <w:spacing w:line="380" w:lineRule="exact"/>
        <w:rPr>
          <w:rFonts w:ascii="宋体" w:hAnsi="宋体" w:cs="宋体"/>
          <w:color w:val="auto"/>
          <w:highlight w:val="none"/>
        </w:rPr>
      </w:pPr>
      <w:r>
        <w:rPr>
          <w:rFonts w:hint="eastAsia" w:ascii="宋体" w:hAnsi="宋体" w:cs="宋体"/>
          <w:color w:val="auto"/>
          <w:highlight w:val="none"/>
        </w:rPr>
        <w:t>1.1.3 工程和设备</w:t>
      </w:r>
    </w:p>
    <w:p w14:paraId="061286EF">
      <w:pPr>
        <w:pStyle w:val="50"/>
        <w:spacing w:line="380" w:lineRule="exact"/>
        <w:rPr>
          <w:rFonts w:ascii="宋体" w:hAnsi="宋体" w:cs="宋体"/>
          <w:color w:val="auto"/>
          <w:highlight w:val="none"/>
        </w:rPr>
      </w:pPr>
      <w:r>
        <w:rPr>
          <w:rFonts w:hint="eastAsia" w:ascii="宋体" w:hAnsi="宋体" w:cs="宋体"/>
          <w:color w:val="auto"/>
          <w:highlight w:val="none"/>
        </w:rPr>
        <w:t>1.1.3.7 作为施工现场组成部分的其他场所包括：</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096AC148">
      <w:pPr>
        <w:pStyle w:val="50"/>
        <w:spacing w:line="380" w:lineRule="exact"/>
        <w:rPr>
          <w:rFonts w:ascii="宋体" w:hAnsi="宋体" w:cs="宋体"/>
          <w:color w:val="auto"/>
          <w:highlight w:val="none"/>
        </w:rPr>
      </w:pPr>
      <w:r>
        <w:rPr>
          <w:rFonts w:hint="eastAsia" w:ascii="宋体" w:hAnsi="宋体" w:cs="宋体"/>
          <w:color w:val="auto"/>
          <w:highlight w:val="none"/>
        </w:rPr>
        <w:t>1.1.3.9 永久占地包括：</w:t>
      </w:r>
      <w:r>
        <w:rPr>
          <w:rFonts w:hint="eastAsia" w:ascii="宋体" w:hAnsi="宋体" w:cs="宋体"/>
          <w:color w:val="auto"/>
          <w:highlight w:val="none"/>
          <w:u w:val="single"/>
        </w:rPr>
        <w:t xml:space="preserve">  为实施工程需永久占用的土地</w:t>
      </w:r>
      <w:r>
        <w:rPr>
          <w:rFonts w:ascii="宋体" w:hAnsi="宋体" w:cs="宋体"/>
          <w:color w:val="auto"/>
          <w:highlight w:val="none"/>
          <w:u w:val="single"/>
        </w:rPr>
        <w:t></w:t>
      </w:r>
      <w:r>
        <w:rPr>
          <w:rFonts w:hint="eastAsia" w:ascii="宋体" w:hAnsi="宋体" w:cs="宋体"/>
          <w:color w:val="auto"/>
          <w:highlight w:val="none"/>
        </w:rPr>
        <w:t>。</w:t>
      </w:r>
    </w:p>
    <w:p w14:paraId="09C93F5F">
      <w:pPr>
        <w:pStyle w:val="50"/>
        <w:spacing w:line="380" w:lineRule="exact"/>
        <w:rPr>
          <w:rFonts w:ascii="宋体" w:hAnsi="宋体" w:cs="宋体"/>
          <w:color w:val="auto"/>
          <w:highlight w:val="none"/>
        </w:rPr>
      </w:pPr>
      <w:r>
        <w:rPr>
          <w:rFonts w:hint="eastAsia" w:ascii="宋体" w:hAnsi="宋体" w:cs="宋体"/>
          <w:color w:val="auto"/>
          <w:highlight w:val="none"/>
        </w:rPr>
        <w:t>1.1.3.10 临时占地包括：</w:t>
      </w:r>
      <w:r>
        <w:rPr>
          <w:rFonts w:hint="eastAsia" w:ascii="宋体" w:hAnsi="宋体" w:cs="宋体"/>
          <w:color w:val="auto"/>
          <w:highlight w:val="none"/>
          <w:u w:val="single"/>
        </w:rPr>
        <w:t xml:space="preserve"> 为实施工程需临时占用的土地 </w:t>
      </w:r>
      <w:r>
        <w:rPr>
          <w:rFonts w:hint="eastAsia" w:ascii="宋体" w:hAnsi="宋体" w:cs="宋体"/>
          <w:color w:val="auto"/>
          <w:highlight w:val="none"/>
        </w:rPr>
        <w:t>。</w:t>
      </w:r>
    </w:p>
    <w:p w14:paraId="4C7E8145">
      <w:pPr>
        <w:pStyle w:val="36"/>
        <w:spacing w:line="380" w:lineRule="exact"/>
        <w:ind w:firstLine="422" w:firstLineChars="200"/>
        <w:rPr>
          <w:rFonts w:ascii="宋体" w:cs="宋体"/>
          <w:color w:val="auto"/>
          <w:highlight w:val="none"/>
        </w:rPr>
      </w:pPr>
      <w:bookmarkStart w:id="265" w:name="_Toc497746776"/>
      <w:bookmarkStart w:id="266" w:name="_Toc406522215"/>
      <w:bookmarkStart w:id="267" w:name="_Toc418751791"/>
      <w:bookmarkStart w:id="268" w:name="_Toc256000174"/>
      <w:bookmarkStart w:id="269" w:name="_Toc497747173"/>
      <w:bookmarkStart w:id="270" w:name="_Toc418752237"/>
      <w:bookmarkStart w:id="271" w:name="_Toc522201725"/>
      <w:r>
        <w:rPr>
          <w:rFonts w:hint="eastAsia" w:ascii="宋体" w:cs="宋体"/>
          <w:color w:val="auto"/>
          <w:highlight w:val="none"/>
        </w:rPr>
        <w:t>1.3法律</w:t>
      </w:r>
      <w:bookmarkEnd w:id="265"/>
      <w:bookmarkEnd w:id="266"/>
      <w:bookmarkEnd w:id="267"/>
      <w:bookmarkEnd w:id="268"/>
      <w:bookmarkEnd w:id="269"/>
      <w:bookmarkEnd w:id="270"/>
      <w:bookmarkEnd w:id="271"/>
      <w:r>
        <w:rPr>
          <w:rFonts w:hint="eastAsia" w:ascii="宋体" w:cs="宋体"/>
          <w:color w:val="auto"/>
          <w:highlight w:val="none"/>
        </w:rPr>
        <w:t xml:space="preserve"> </w:t>
      </w:r>
    </w:p>
    <w:p w14:paraId="0FFE6992">
      <w:pPr>
        <w:pStyle w:val="50"/>
        <w:spacing w:line="380" w:lineRule="exact"/>
        <w:rPr>
          <w:rFonts w:ascii="宋体" w:hAnsi="宋体" w:cs="宋体"/>
          <w:color w:val="auto"/>
          <w:highlight w:val="none"/>
        </w:rPr>
      </w:pPr>
      <w:r>
        <w:rPr>
          <w:rFonts w:hint="eastAsia" w:ascii="宋体" w:hAnsi="宋体" w:cs="宋体"/>
          <w:color w:val="auto"/>
          <w:highlight w:val="none"/>
        </w:rPr>
        <w:t>适用于合同的其他规范性文件：</w:t>
      </w:r>
      <w:r>
        <w:rPr>
          <w:rFonts w:hint="eastAsia" w:ascii="宋体" w:hAnsi="宋体" w:cs="宋体"/>
          <w:color w:val="auto"/>
          <w:highlight w:val="none"/>
          <w:u w:val="single"/>
        </w:rPr>
        <w:t>同通用条款</w:t>
      </w:r>
      <w:r>
        <w:rPr>
          <w:rFonts w:hint="eastAsia" w:ascii="宋体" w:hAnsi="宋体" w:cs="宋体"/>
          <w:color w:val="auto"/>
          <w:highlight w:val="none"/>
        </w:rPr>
        <w:t>。</w:t>
      </w:r>
    </w:p>
    <w:p w14:paraId="1ACDB112">
      <w:pPr>
        <w:pStyle w:val="36"/>
        <w:spacing w:line="380" w:lineRule="exact"/>
        <w:ind w:firstLine="422" w:firstLineChars="200"/>
        <w:rPr>
          <w:rFonts w:ascii="宋体" w:cs="宋体"/>
          <w:color w:val="auto"/>
          <w:highlight w:val="none"/>
        </w:rPr>
      </w:pPr>
      <w:bookmarkStart w:id="272" w:name="_Toc406522216"/>
      <w:bookmarkStart w:id="273" w:name="_Toc418752238"/>
      <w:bookmarkStart w:id="274" w:name="_Toc497747174"/>
      <w:bookmarkStart w:id="275" w:name="_Toc522201726"/>
      <w:bookmarkStart w:id="276" w:name="_Toc256000175"/>
      <w:bookmarkStart w:id="277" w:name="_Toc418751792"/>
      <w:bookmarkStart w:id="278" w:name="_Toc497746777"/>
      <w:r>
        <w:rPr>
          <w:rFonts w:hint="eastAsia" w:ascii="宋体" w:cs="宋体"/>
          <w:color w:val="auto"/>
          <w:highlight w:val="none"/>
        </w:rPr>
        <w:t>1.4 标准和规范</w:t>
      </w:r>
      <w:bookmarkEnd w:id="272"/>
      <w:bookmarkEnd w:id="273"/>
      <w:bookmarkEnd w:id="274"/>
      <w:bookmarkEnd w:id="275"/>
      <w:bookmarkEnd w:id="276"/>
      <w:bookmarkEnd w:id="277"/>
      <w:bookmarkEnd w:id="278"/>
    </w:p>
    <w:p w14:paraId="0DB15F33">
      <w:pPr>
        <w:pStyle w:val="50"/>
        <w:spacing w:line="380" w:lineRule="exact"/>
        <w:rPr>
          <w:rFonts w:ascii="宋体" w:hAnsi="宋体" w:cs="宋体"/>
          <w:color w:val="auto"/>
          <w:highlight w:val="none"/>
        </w:rPr>
      </w:pPr>
      <w:r>
        <w:rPr>
          <w:rFonts w:hint="eastAsia" w:ascii="宋体" w:hAnsi="宋体" w:cs="宋体"/>
          <w:color w:val="auto"/>
          <w:highlight w:val="none"/>
        </w:rPr>
        <w:t>1.4.1适用于工程的标准规范包括：</w:t>
      </w:r>
      <w:r>
        <w:rPr>
          <w:rFonts w:hint="eastAsia" w:ascii="宋体" w:hAnsi="宋体" w:cs="宋体"/>
          <w:color w:val="auto"/>
          <w:highlight w:val="none"/>
          <w:u w:val="single"/>
        </w:rPr>
        <w:t>现行国家、地方、部门有关标准规范</w:t>
      </w:r>
      <w:r>
        <w:rPr>
          <w:rFonts w:hint="eastAsia" w:ascii="宋体" w:hAnsi="宋体" w:cs="宋体"/>
          <w:color w:val="auto"/>
          <w:highlight w:val="none"/>
        </w:rPr>
        <w:t>。</w:t>
      </w:r>
    </w:p>
    <w:p w14:paraId="04134824">
      <w:pPr>
        <w:pStyle w:val="50"/>
        <w:spacing w:line="380" w:lineRule="exact"/>
        <w:rPr>
          <w:rFonts w:ascii="宋体" w:hAnsi="宋体" w:cs="宋体"/>
          <w:color w:val="auto"/>
          <w:highlight w:val="none"/>
        </w:rPr>
      </w:pPr>
      <w:r>
        <w:rPr>
          <w:rFonts w:hint="eastAsia" w:ascii="宋体" w:hAnsi="宋体" w:cs="宋体"/>
          <w:color w:val="auto"/>
          <w:highlight w:val="none"/>
        </w:rPr>
        <w:t>1.4.2 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19A84E4">
      <w:pPr>
        <w:pStyle w:val="50"/>
        <w:spacing w:line="380" w:lineRule="exact"/>
        <w:rPr>
          <w:rFonts w:ascii="宋体" w:hAnsi="宋体" w:cs="宋体"/>
          <w:color w:val="auto"/>
          <w:highlight w:val="none"/>
        </w:rPr>
      </w:pPr>
      <w:r>
        <w:rPr>
          <w:rFonts w:hint="eastAsia" w:ascii="宋体" w:hAnsi="宋体" w:cs="宋体"/>
          <w:color w:val="auto"/>
          <w:highlight w:val="none"/>
        </w:rPr>
        <w:t>发包人提供国外标准、规范的份数：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3FA41D5E">
      <w:pPr>
        <w:pStyle w:val="50"/>
        <w:spacing w:line="380" w:lineRule="exact"/>
        <w:rPr>
          <w:rFonts w:ascii="宋体" w:hAnsi="宋体" w:cs="宋体"/>
          <w:color w:val="auto"/>
          <w:highlight w:val="none"/>
        </w:rPr>
      </w:pPr>
      <w:r>
        <w:rPr>
          <w:rFonts w:hint="eastAsia" w:ascii="宋体" w:hAnsi="宋体" w:cs="宋体"/>
          <w:color w:val="auto"/>
          <w:highlight w:val="none"/>
        </w:rPr>
        <w:t>发包人提供国外标准、规范的名称：</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16BCC828">
      <w:pPr>
        <w:pStyle w:val="50"/>
        <w:spacing w:line="380" w:lineRule="exact"/>
        <w:rPr>
          <w:rFonts w:ascii="宋体" w:hAnsi="宋体" w:cs="宋体"/>
          <w:color w:val="auto"/>
          <w:highlight w:val="none"/>
        </w:rPr>
      </w:pPr>
      <w:r>
        <w:rPr>
          <w:rFonts w:hint="eastAsia" w:ascii="宋体" w:hAnsi="宋体" w:cs="宋体"/>
          <w:color w:val="auto"/>
          <w:highlight w:val="none"/>
        </w:rPr>
        <w:t>1.4.3发包人对工程的技术标准和功能要求的特殊要求：</w:t>
      </w:r>
      <w:r>
        <w:rPr>
          <w:rFonts w:hint="eastAsia" w:ascii="宋体" w:hAnsi="宋体" w:cs="宋体"/>
          <w:color w:val="auto"/>
          <w:highlight w:val="none"/>
          <w:u w:val="single"/>
        </w:rPr>
        <w:t xml:space="preserve">无 </w:t>
      </w:r>
      <w:r>
        <w:rPr>
          <w:rFonts w:hint="eastAsia" w:ascii="宋体" w:hAnsi="宋体" w:cs="宋体"/>
          <w:color w:val="auto"/>
          <w:highlight w:val="none"/>
        </w:rPr>
        <w:t>。</w:t>
      </w:r>
    </w:p>
    <w:p w14:paraId="1AFC443D">
      <w:pPr>
        <w:pStyle w:val="36"/>
        <w:spacing w:line="380" w:lineRule="exact"/>
        <w:ind w:firstLine="422" w:firstLineChars="200"/>
        <w:rPr>
          <w:rFonts w:ascii="宋体" w:cs="宋体"/>
          <w:color w:val="auto"/>
          <w:highlight w:val="none"/>
        </w:rPr>
      </w:pPr>
      <w:bookmarkStart w:id="279" w:name="_Toc522201727"/>
      <w:bookmarkStart w:id="280" w:name="_Toc256000176"/>
      <w:bookmarkStart w:id="281" w:name="_Toc418751793"/>
      <w:bookmarkStart w:id="282" w:name="_Toc497746778"/>
      <w:bookmarkStart w:id="283" w:name="_Toc418752239"/>
      <w:bookmarkStart w:id="284" w:name="_Toc497747175"/>
      <w:bookmarkStart w:id="285" w:name="_Toc406522217"/>
      <w:r>
        <w:rPr>
          <w:rFonts w:hint="eastAsia" w:ascii="宋体" w:cs="宋体"/>
          <w:color w:val="auto"/>
          <w:highlight w:val="none"/>
        </w:rPr>
        <w:t>1.5 合同文件的优先顺序</w:t>
      </w:r>
      <w:bookmarkEnd w:id="279"/>
      <w:bookmarkEnd w:id="280"/>
      <w:bookmarkEnd w:id="281"/>
      <w:bookmarkEnd w:id="282"/>
      <w:bookmarkEnd w:id="283"/>
      <w:bookmarkEnd w:id="284"/>
      <w:bookmarkEnd w:id="285"/>
    </w:p>
    <w:p w14:paraId="658B139B">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合同文件组成及优先顺序为：</w:t>
      </w:r>
    </w:p>
    <w:p w14:paraId="220FDC67">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（1）合同协议书；</w:t>
      </w:r>
    </w:p>
    <w:p w14:paraId="348DB561">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（2）中标通知书（如果有）；</w:t>
      </w:r>
    </w:p>
    <w:p w14:paraId="5958B928">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（3）投标函及其附录（如果有）；</w:t>
      </w:r>
    </w:p>
    <w:p w14:paraId="79876573">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（4）专用合同条款及其附件；</w:t>
      </w:r>
    </w:p>
    <w:p w14:paraId="4F1D8233">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（5）通用合同条款；</w:t>
      </w:r>
    </w:p>
    <w:p w14:paraId="63DCCD69">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（6）技术标准和要求 ；</w:t>
      </w:r>
    </w:p>
    <w:p w14:paraId="1CB0FE52">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（7）图纸（含图纸修改通知单及图纸设计变更文件） ；</w:t>
      </w:r>
    </w:p>
    <w:p w14:paraId="5A1DDC5D">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（8）已标价工程量清单 ；</w:t>
      </w:r>
    </w:p>
    <w:p w14:paraId="6191CDEC">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（9）其他合同文件（包括本工程预算控制价造价成果文件、</w:t>
      </w:r>
      <w:r>
        <w:rPr>
          <w:rFonts w:hint="eastAsia" w:ascii="宋体" w:hAnsi="宋体" w:cs="宋体"/>
          <w:color w:val="auto"/>
          <w:kern w:val="0"/>
          <w:szCs w:val="21"/>
          <w:highlight w:val="none"/>
          <w:lang w:eastAsia="zh-CN"/>
        </w:rPr>
        <w:t>采购文件</w:t>
      </w:r>
      <w:r>
        <w:rPr>
          <w:rFonts w:hint="eastAsia" w:ascii="宋体" w:hAnsi="宋体" w:cs="宋体"/>
          <w:color w:val="auto"/>
          <w:kern w:val="0"/>
          <w:szCs w:val="21"/>
          <w:highlight w:val="none"/>
        </w:rPr>
        <w:t>等文件）；</w:t>
      </w:r>
    </w:p>
    <w:p w14:paraId="2DB87A45">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cs="宋体"/>
          <w:color w:val="auto"/>
          <w:kern w:val="0"/>
          <w:szCs w:val="21"/>
          <w:highlight w:val="none"/>
          <w:lang w:eastAsia="zh-CN"/>
        </w:rPr>
        <w:t>GB50854</w:t>
      </w:r>
      <w:r>
        <w:rPr>
          <w:rFonts w:hint="eastAsia" w:ascii="宋体" w:hAnsi="宋体" w:cs="宋体"/>
          <w:color w:val="auto"/>
          <w:kern w:val="0"/>
          <w:szCs w:val="21"/>
          <w:highlight w:val="none"/>
        </w:rPr>
        <w:t>～50862-2013）》及其广西实施细则（修订本）。</w:t>
      </w:r>
    </w:p>
    <w:p w14:paraId="65EE3389">
      <w:pPr>
        <w:pStyle w:val="36"/>
        <w:spacing w:line="380" w:lineRule="exact"/>
        <w:ind w:firstLine="422" w:firstLineChars="200"/>
        <w:rPr>
          <w:rFonts w:ascii="宋体" w:cs="宋体"/>
          <w:color w:val="auto"/>
          <w:kern w:val="0"/>
          <w:highlight w:val="none"/>
        </w:rPr>
      </w:pPr>
      <w:bookmarkStart w:id="286" w:name="_Toc256000177"/>
      <w:bookmarkStart w:id="287" w:name="_Toc418752240"/>
      <w:bookmarkStart w:id="288" w:name="_Toc497746779"/>
      <w:bookmarkStart w:id="289" w:name="_Toc418751794"/>
      <w:bookmarkStart w:id="290" w:name="_Toc522201728"/>
      <w:bookmarkStart w:id="291" w:name="_Toc406522218"/>
      <w:bookmarkStart w:id="292" w:name="_Toc497747176"/>
      <w:r>
        <w:rPr>
          <w:rFonts w:hint="eastAsia" w:ascii="宋体" w:cs="宋体"/>
          <w:color w:val="auto"/>
          <w:kern w:val="0"/>
          <w:highlight w:val="none"/>
        </w:rPr>
        <w:t>说明：（6）、（7）、（8）、（9）填空内容分别限于技术标准和要求、图纸、已标价工程量清单或预算书、其他合同文件四者之一，其优先顺序可根据采取的不同合同方式由双方约定。</w:t>
      </w:r>
      <w:bookmarkEnd w:id="286"/>
    </w:p>
    <w:p w14:paraId="49925D32">
      <w:pPr>
        <w:pStyle w:val="36"/>
        <w:spacing w:line="380" w:lineRule="exact"/>
        <w:ind w:firstLine="422" w:firstLineChars="200"/>
        <w:rPr>
          <w:rFonts w:ascii="宋体" w:cs="宋体"/>
          <w:color w:val="auto"/>
          <w:highlight w:val="none"/>
        </w:rPr>
      </w:pPr>
      <w:bookmarkStart w:id="293" w:name="_Toc256000178"/>
      <w:r>
        <w:rPr>
          <w:rFonts w:hint="eastAsia" w:ascii="宋体" w:cs="宋体"/>
          <w:color w:val="auto"/>
          <w:highlight w:val="none"/>
        </w:rPr>
        <w:t>1.6 图纸和承包人文件</w:t>
      </w:r>
      <w:bookmarkEnd w:id="287"/>
      <w:bookmarkEnd w:id="288"/>
      <w:bookmarkEnd w:id="289"/>
      <w:bookmarkEnd w:id="290"/>
      <w:bookmarkEnd w:id="291"/>
      <w:bookmarkEnd w:id="292"/>
      <w:bookmarkEnd w:id="293"/>
      <w:r>
        <w:rPr>
          <w:rFonts w:hint="eastAsia" w:ascii="宋体" w:cs="宋体"/>
          <w:color w:val="auto"/>
          <w:highlight w:val="none"/>
        </w:rPr>
        <w:tab/>
      </w:r>
    </w:p>
    <w:p w14:paraId="03BCF755">
      <w:pPr>
        <w:pStyle w:val="50"/>
        <w:spacing w:line="380" w:lineRule="exact"/>
        <w:rPr>
          <w:rFonts w:ascii="宋体" w:hAnsi="宋体" w:cs="宋体"/>
          <w:color w:val="auto"/>
          <w:highlight w:val="none"/>
        </w:rPr>
      </w:pPr>
      <w:r>
        <w:rPr>
          <w:rFonts w:hint="eastAsia" w:ascii="宋体" w:hAnsi="宋体" w:cs="宋体"/>
          <w:color w:val="auto"/>
          <w:highlight w:val="none"/>
        </w:rPr>
        <w:t>1.6.1 图纸的提供</w:t>
      </w:r>
    </w:p>
    <w:p w14:paraId="4A956C75">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发包人向承包人提供图纸的期限：</w:t>
      </w:r>
      <w:r>
        <w:rPr>
          <w:rFonts w:hint="eastAsia" w:ascii="宋体" w:hAnsi="宋体" w:cs="宋体"/>
          <w:color w:val="auto"/>
          <w:szCs w:val="21"/>
          <w:highlight w:val="none"/>
          <w:u w:val="single"/>
        </w:rPr>
        <w:t>合同签订生效后7天内</w:t>
      </w:r>
      <w:r>
        <w:rPr>
          <w:rFonts w:hint="eastAsia" w:ascii="宋体" w:hAnsi="宋体" w:cs="宋体"/>
          <w:color w:val="auto"/>
          <w:szCs w:val="21"/>
          <w:highlight w:val="none"/>
        </w:rPr>
        <w:t>；</w:t>
      </w:r>
    </w:p>
    <w:p w14:paraId="0F5F3B0C">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发包人向承包人提供图纸的数量：</w:t>
      </w:r>
      <w:r>
        <w:rPr>
          <w:rFonts w:hint="eastAsia" w:ascii="宋体" w:hAnsi="宋体" w:cs="宋体"/>
          <w:color w:val="auto"/>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14:paraId="53E1086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发包人向承包人提供图纸的内容：</w:t>
      </w:r>
      <w:r>
        <w:rPr>
          <w:rFonts w:hint="eastAsia" w:ascii="宋体" w:hAnsi="宋体" w:cs="宋体"/>
          <w:color w:val="auto"/>
          <w:kern w:val="0"/>
          <w:szCs w:val="21"/>
          <w:highlight w:val="none"/>
          <w:u w:val="single"/>
        </w:rPr>
        <w:t>全套施工图纸和其他技术资料</w:t>
      </w:r>
      <w:r>
        <w:rPr>
          <w:rFonts w:hint="eastAsia" w:ascii="宋体" w:hAnsi="宋体" w:cs="宋体"/>
          <w:color w:val="auto"/>
          <w:szCs w:val="21"/>
          <w:highlight w:val="none"/>
        </w:rPr>
        <w:t>。</w:t>
      </w:r>
    </w:p>
    <w:p w14:paraId="4301193A">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 承包人文件</w:t>
      </w:r>
    </w:p>
    <w:p w14:paraId="3E34FBE6">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需要由承包人提供的文件，包括：</w:t>
      </w:r>
      <w:r>
        <w:rPr>
          <w:rFonts w:hint="eastAsia" w:ascii="宋体" w:hAnsi="宋体" w:cs="宋体"/>
          <w:color w:val="auto"/>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cs="宋体"/>
          <w:color w:val="auto"/>
          <w:szCs w:val="21"/>
          <w:highlight w:val="none"/>
          <w:u w:val="single"/>
          <w:lang w:val="zh-CN"/>
        </w:rPr>
        <w:t>、</w:t>
      </w:r>
      <w:r>
        <w:rPr>
          <w:rFonts w:hint="eastAsia" w:ascii="宋体" w:hAnsi="宋体" w:cs="宋体"/>
          <w:color w:val="auto"/>
          <w:szCs w:val="21"/>
          <w:highlight w:val="none"/>
          <w:u w:val="single"/>
        </w:rPr>
        <w:t>施工图以外的大样图、加工图、标准图、以及建筑装饰深化设计图纸设计优化建议等。但设计成果文件需经原设计单位审核及认可。最终设计成果归发包人所有。</w:t>
      </w:r>
    </w:p>
    <w:p w14:paraId="7B6CC19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承包人提供的文件的期限为：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开始施工前7天内  </w:t>
      </w:r>
      <w:r>
        <w:rPr>
          <w:rFonts w:hint="eastAsia" w:ascii="宋体" w:hAnsi="宋体" w:cs="宋体"/>
          <w:color w:val="auto"/>
          <w:szCs w:val="21"/>
          <w:highlight w:val="none"/>
        </w:rPr>
        <w:t>；</w:t>
      </w:r>
    </w:p>
    <w:p w14:paraId="13372B2B">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承包人提供的文件的数量为：</w:t>
      </w:r>
      <w:r>
        <w:rPr>
          <w:rFonts w:hint="eastAsia" w:ascii="宋体" w:hAnsi="宋体" w:cs="宋体"/>
          <w:color w:val="auto"/>
          <w:szCs w:val="21"/>
          <w:highlight w:val="none"/>
          <w:u w:val="single"/>
        </w:rPr>
        <w:t xml:space="preserve">  6</w:t>
      </w:r>
      <w:r>
        <w:rPr>
          <w:rFonts w:hint="eastAsia" w:ascii="宋体" w:hAnsi="宋体" w:cs="宋体"/>
          <w:color w:val="auto"/>
          <w:kern w:val="0"/>
          <w:szCs w:val="21"/>
          <w:highlight w:val="none"/>
          <w:u w:val="single"/>
        </w:rPr>
        <w:t>份</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CA86F92">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承包人提供的文件的形式为：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纸质版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35F8CB">
      <w:pPr>
        <w:pStyle w:val="50"/>
        <w:spacing w:line="380" w:lineRule="exact"/>
        <w:rPr>
          <w:rFonts w:ascii="宋体" w:hAnsi="宋体" w:cs="宋体"/>
          <w:color w:val="auto"/>
          <w:highlight w:val="none"/>
        </w:rPr>
      </w:pPr>
      <w:r>
        <w:rPr>
          <w:rFonts w:hint="eastAsia" w:ascii="宋体" w:hAnsi="宋体" w:cs="宋体"/>
          <w:color w:val="auto"/>
          <w:highlight w:val="none"/>
        </w:rPr>
        <w:t>发包人审批承包人文件的期限：</w:t>
      </w:r>
      <w:r>
        <w:rPr>
          <w:rFonts w:hint="eastAsia" w:ascii="宋体" w:hAnsi="宋体" w:cs="宋体"/>
          <w:color w:val="auto"/>
          <w:highlight w:val="none"/>
          <w:u w:val="single"/>
        </w:rPr>
        <w:t xml:space="preserve"> 收到承包人提供的文件后七天内 </w:t>
      </w:r>
      <w:r>
        <w:rPr>
          <w:rFonts w:hint="eastAsia" w:ascii="宋体" w:hAnsi="宋体" w:cs="宋体"/>
          <w:color w:val="auto"/>
          <w:highlight w:val="none"/>
        </w:rPr>
        <w:t>。</w:t>
      </w:r>
    </w:p>
    <w:p w14:paraId="37D9F328">
      <w:pPr>
        <w:pStyle w:val="50"/>
        <w:spacing w:line="380" w:lineRule="exact"/>
        <w:rPr>
          <w:rFonts w:ascii="宋体" w:hAnsi="宋体" w:cs="宋体"/>
          <w:color w:val="auto"/>
          <w:highlight w:val="none"/>
        </w:rPr>
      </w:pPr>
      <w:r>
        <w:rPr>
          <w:rFonts w:hint="eastAsia" w:ascii="宋体" w:hAnsi="宋体" w:cs="宋体"/>
          <w:color w:val="auto"/>
          <w:highlight w:val="none"/>
        </w:rPr>
        <w:t>1.6.5 现场图纸准备</w:t>
      </w:r>
    </w:p>
    <w:p w14:paraId="1585D218">
      <w:pPr>
        <w:pStyle w:val="50"/>
        <w:spacing w:line="380" w:lineRule="exact"/>
        <w:rPr>
          <w:rFonts w:ascii="宋体" w:hAnsi="宋体" w:cs="宋体"/>
          <w:color w:val="auto"/>
          <w:highlight w:val="none"/>
        </w:rPr>
      </w:pPr>
      <w:r>
        <w:rPr>
          <w:rFonts w:hint="eastAsia" w:ascii="宋体" w:hAnsi="宋体" w:cs="宋体"/>
          <w:color w:val="auto"/>
          <w:highlight w:val="none"/>
        </w:rPr>
        <w:t>关于现场图纸准备的约定：</w:t>
      </w:r>
      <w:r>
        <w:rPr>
          <w:rFonts w:hint="eastAsia" w:ascii="宋体" w:hAnsi="宋体" w:cs="宋体"/>
          <w:color w:val="auto"/>
          <w:highlight w:val="none"/>
          <w:u w:val="single"/>
        </w:rPr>
        <w:t xml:space="preserve">  按通用条款执行</w:t>
      </w:r>
      <w:r>
        <w:rPr>
          <w:rFonts w:hint="eastAsia" w:ascii="宋体" w:hAnsi="宋体" w:cs="宋体"/>
          <w:color w:val="auto"/>
          <w:highlight w:val="none"/>
        </w:rPr>
        <w:t>。</w:t>
      </w:r>
    </w:p>
    <w:p w14:paraId="062B3DBC">
      <w:pPr>
        <w:pStyle w:val="36"/>
        <w:spacing w:line="380" w:lineRule="exact"/>
        <w:ind w:firstLine="422" w:firstLineChars="200"/>
        <w:rPr>
          <w:rFonts w:ascii="宋体" w:cs="宋体"/>
          <w:color w:val="auto"/>
          <w:highlight w:val="none"/>
        </w:rPr>
      </w:pPr>
      <w:bookmarkStart w:id="294" w:name="_Toc418752241"/>
      <w:bookmarkStart w:id="295" w:name="_Toc418751795"/>
      <w:bookmarkStart w:id="296" w:name="_Toc497746780"/>
      <w:bookmarkStart w:id="297" w:name="_Toc256000179"/>
      <w:bookmarkStart w:id="298" w:name="_Toc497747177"/>
      <w:bookmarkStart w:id="299" w:name="_Toc522201729"/>
      <w:bookmarkStart w:id="300" w:name="_Toc406522219"/>
      <w:r>
        <w:rPr>
          <w:rFonts w:hint="eastAsia" w:ascii="宋体" w:cs="宋体"/>
          <w:color w:val="auto"/>
          <w:highlight w:val="none"/>
        </w:rPr>
        <w:t>1.7 联络</w:t>
      </w:r>
      <w:bookmarkEnd w:id="294"/>
      <w:bookmarkEnd w:id="295"/>
      <w:bookmarkEnd w:id="296"/>
      <w:bookmarkEnd w:id="297"/>
      <w:bookmarkEnd w:id="298"/>
      <w:bookmarkEnd w:id="299"/>
      <w:bookmarkEnd w:id="300"/>
    </w:p>
    <w:p w14:paraId="06C2AEA8">
      <w:pPr>
        <w:pStyle w:val="50"/>
        <w:spacing w:line="380" w:lineRule="exact"/>
        <w:rPr>
          <w:rFonts w:ascii="宋体" w:hAnsi="宋体" w:cs="宋体"/>
          <w:color w:val="auto"/>
          <w:highlight w:val="none"/>
        </w:rPr>
      </w:pPr>
      <w:r>
        <w:rPr>
          <w:rFonts w:hint="eastAsia" w:ascii="宋体" w:hAnsi="宋体" w:cs="宋体"/>
          <w:color w:val="auto"/>
          <w:highlight w:val="none"/>
        </w:rPr>
        <w:t>1.7.1发包人和承包人应当在</w:t>
      </w:r>
      <w:r>
        <w:rPr>
          <w:rFonts w:hint="eastAsia" w:ascii="宋体" w:hAnsi="宋体" w:cs="宋体"/>
          <w:color w:val="auto"/>
          <w:highlight w:val="none"/>
          <w:u w:val="single"/>
        </w:rPr>
        <w:t xml:space="preserve">  7 </w:t>
      </w:r>
      <w:r>
        <w:rPr>
          <w:rFonts w:hint="eastAsia" w:ascii="宋体" w:hAnsi="宋体" w:cs="宋体"/>
          <w:color w:val="auto"/>
          <w:highlight w:val="none"/>
        </w:rPr>
        <w:t>天内将与合同有关的通知、批准、证明、证书、指示、指令、要求、请求、同意、意见、确定和决定等书面函件送达对方当事人。</w:t>
      </w:r>
    </w:p>
    <w:p w14:paraId="69BB1663">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1.7.2发包人接收文件的地点：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67F66BB2">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1E739344">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施工现场项目部</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0B6788EA">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2915191F">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3DBD3D29">
      <w:pPr>
        <w:pStyle w:val="50"/>
        <w:spacing w:line="380" w:lineRule="exact"/>
        <w:rPr>
          <w:rFonts w:ascii="宋体" w:hAnsi="宋体" w:cs="宋体"/>
          <w:color w:val="auto"/>
          <w:highlight w:val="none"/>
        </w:rPr>
      </w:pPr>
      <w:r>
        <w:rPr>
          <w:rFonts w:hint="eastAsia" w:ascii="宋体" w:hAnsi="宋体" w:cs="宋体"/>
          <w:color w:val="auto"/>
          <w:highlight w:val="none"/>
        </w:rPr>
        <w:t>监理人指定的接收人为：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2DE2140">
      <w:pPr>
        <w:pStyle w:val="36"/>
        <w:spacing w:line="380" w:lineRule="exact"/>
        <w:ind w:firstLine="422" w:firstLineChars="200"/>
        <w:rPr>
          <w:rFonts w:ascii="宋体" w:cs="宋体"/>
          <w:color w:val="auto"/>
          <w:highlight w:val="none"/>
        </w:rPr>
      </w:pPr>
      <w:bookmarkStart w:id="301" w:name="_Toc522201730"/>
      <w:bookmarkStart w:id="302" w:name="_Toc418751796"/>
      <w:bookmarkStart w:id="303" w:name="_Toc497746781"/>
      <w:bookmarkStart w:id="304" w:name="_Toc497747178"/>
      <w:bookmarkStart w:id="305" w:name="_Toc418752242"/>
      <w:bookmarkStart w:id="306" w:name="_Toc256000180"/>
      <w:bookmarkStart w:id="307" w:name="_Toc406522220"/>
      <w:r>
        <w:rPr>
          <w:rFonts w:hint="eastAsia" w:ascii="宋体" w:cs="宋体"/>
          <w:color w:val="auto"/>
          <w:highlight w:val="none"/>
        </w:rPr>
        <w:t>1.10 交通运输</w:t>
      </w:r>
      <w:bookmarkEnd w:id="301"/>
      <w:bookmarkEnd w:id="302"/>
      <w:bookmarkEnd w:id="303"/>
      <w:bookmarkEnd w:id="304"/>
      <w:bookmarkEnd w:id="305"/>
      <w:bookmarkEnd w:id="306"/>
      <w:bookmarkEnd w:id="307"/>
    </w:p>
    <w:p w14:paraId="2F7C4488">
      <w:pPr>
        <w:pStyle w:val="50"/>
        <w:spacing w:line="380" w:lineRule="exact"/>
        <w:rPr>
          <w:rFonts w:ascii="宋体" w:hAnsi="宋体" w:cs="宋体"/>
          <w:color w:val="auto"/>
          <w:highlight w:val="none"/>
        </w:rPr>
      </w:pPr>
      <w:r>
        <w:rPr>
          <w:rFonts w:hint="eastAsia" w:ascii="宋体" w:hAnsi="宋体" w:cs="宋体"/>
          <w:color w:val="auto"/>
          <w:highlight w:val="none"/>
        </w:rPr>
        <w:t>1</w:t>
      </w:r>
      <w:bookmarkStart w:id="308" w:name="_Toc303539100"/>
      <w:bookmarkStart w:id="309" w:name="_Toc304295521"/>
      <w:bookmarkStart w:id="310" w:name="_Toc318581155"/>
      <w:bookmarkStart w:id="311" w:name="_Toc300934943"/>
      <w:bookmarkStart w:id="312" w:name="_Toc312677986"/>
      <w:r>
        <w:rPr>
          <w:rFonts w:hint="eastAsia" w:ascii="宋体" w:hAnsi="宋体" w:cs="宋体"/>
          <w:color w:val="auto"/>
          <w:highlight w:val="none"/>
        </w:rPr>
        <w:t>.10.1 出入现场的权利</w:t>
      </w:r>
    </w:p>
    <w:p w14:paraId="40F7B510">
      <w:pPr>
        <w:pStyle w:val="50"/>
        <w:spacing w:line="380" w:lineRule="exact"/>
        <w:rPr>
          <w:rFonts w:ascii="宋体" w:hAnsi="宋体" w:cs="宋体"/>
          <w:color w:val="auto"/>
          <w:highlight w:val="none"/>
        </w:rPr>
      </w:pPr>
      <w:r>
        <w:rPr>
          <w:rFonts w:hint="eastAsia" w:ascii="宋体" w:hAnsi="宋体" w:cs="宋体"/>
          <w:color w:val="auto"/>
          <w:highlight w:val="none"/>
        </w:rPr>
        <w:t>关于出入现场的权利的约定：</w:t>
      </w:r>
      <w:r>
        <w:rPr>
          <w:rFonts w:hint="eastAsia" w:ascii="宋体" w:hAnsi="宋体" w:cs="宋体"/>
          <w:color w:val="auto"/>
          <w:highlight w:val="none"/>
          <w:u w:val="single"/>
        </w:rPr>
        <w:t xml:space="preserve"> 除正常施工涉及的人员及车辆外，其他人员及车辆进出场内须经过发包人同意，且由承包人进行管理登记 </w:t>
      </w:r>
      <w:r>
        <w:rPr>
          <w:rFonts w:hint="eastAsia" w:ascii="宋体" w:hAnsi="宋体" w:cs="宋体"/>
          <w:color w:val="auto"/>
          <w:highlight w:val="none"/>
        </w:rPr>
        <w:t>。</w:t>
      </w:r>
    </w:p>
    <w:bookmarkEnd w:id="308"/>
    <w:bookmarkEnd w:id="309"/>
    <w:bookmarkEnd w:id="310"/>
    <w:bookmarkEnd w:id="311"/>
    <w:bookmarkEnd w:id="312"/>
    <w:p w14:paraId="08D8B919">
      <w:pPr>
        <w:pStyle w:val="50"/>
        <w:spacing w:line="380" w:lineRule="exact"/>
        <w:rPr>
          <w:rFonts w:ascii="宋体" w:hAnsi="宋体" w:cs="宋体"/>
          <w:color w:val="auto"/>
          <w:highlight w:val="none"/>
        </w:rPr>
      </w:pPr>
      <w:r>
        <w:rPr>
          <w:rFonts w:hint="eastAsia" w:ascii="宋体" w:hAnsi="宋体" w:cs="宋体"/>
          <w:color w:val="auto"/>
          <w:highlight w:val="none"/>
        </w:rPr>
        <w:t>1</w:t>
      </w:r>
      <w:bookmarkStart w:id="313" w:name="_Toc312677987"/>
      <w:bookmarkStart w:id="314" w:name="_Toc300934944"/>
      <w:bookmarkStart w:id="315" w:name="_Toc318581156"/>
      <w:bookmarkStart w:id="316" w:name="_Toc303539101"/>
      <w:bookmarkStart w:id="317" w:name="_Toc304295522"/>
      <w:r>
        <w:rPr>
          <w:rFonts w:hint="eastAsia" w:ascii="宋体" w:hAnsi="宋体" w:cs="宋体"/>
          <w:color w:val="auto"/>
          <w:highlight w:val="none"/>
        </w:rPr>
        <w:t>.10.3 场内交通</w:t>
      </w:r>
    </w:p>
    <w:p w14:paraId="04EF06F3">
      <w:pPr>
        <w:pStyle w:val="50"/>
        <w:spacing w:line="380" w:lineRule="exact"/>
        <w:rPr>
          <w:rFonts w:ascii="宋体" w:hAnsi="宋体" w:cs="宋体"/>
          <w:color w:val="auto"/>
          <w:highlight w:val="none"/>
        </w:rPr>
      </w:pPr>
      <w:r>
        <w:rPr>
          <w:rFonts w:hint="eastAsia" w:ascii="宋体" w:hAnsi="宋体" w:cs="宋体"/>
          <w:color w:val="auto"/>
          <w:highlight w:val="none"/>
        </w:rPr>
        <w:t>关于场外交通和场内交通的边界的约定：</w:t>
      </w:r>
      <w:r>
        <w:rPr>
          <w:rFonts w:hint="eastAsia" w:ascii="宋体" w:hAnsi="宋体" w:cs="宋体"/>
          <w:color w:val="auto"/>
          <w:highlight w:val="none"/>
          <w:u w:val="single"/>
        </w:rPr>
        <w:t xml:space="preserve">  规划批复总平用地红线  </w:t>
      </w:r>
      <w:r>
        <w:rPr>
          <w:rFonts w:hint="eastAsia" w:ascii="宋体" w:hAnsi="宋体" w:cs="宋体"/>
          <w:color w:val="auto"/>
          <w:highlight w:val="none"/>
        </w:rPr>
        <w:t>。</w:t>
      </w:r>
    </w:p>
    <w:p w14:paraId="086B7440">
      <w:pPr>
        <w:pStyle w:val="50"/>
        <w:spacing w:line="380" w:lineRule="exact"/>
        <w:rPr>
          <w:rFonts w:ascii="宋体" w:hAnsi="宋体" w:cs="宋体"/>
          <w:color w:val="auto"/>
          <w:highlight w:val="none"/>
        </w:rPr>
      </w:pPr>
      <w:r>
        <w:rPr>
          <w:rFonts w:hint="eastAsia" w:ascii="宋体" w:hAnsi="宋体" w:cs="宋体"/>
          <w:color w:val="auto"/>
          <w:highlight w:val="none"/>
        </w:rPr>
        <w:t>关于发包人向承包人免费提供满足工程施工需要的场内道路和交通设施的约定：</w:t>
      </w:r>
      <w:r>
        <w:rPr>
          <w:rFonts w:hint="eastAsia" w:ascii="宋体" w:hAnsi="宋体" w:cs="宋体"/>
          <w:color w:val="auto"/>
          <w:highlight w:val="none"/>
          <w:u w:val="single"/>
        </w:rPr>
        <w:t>承包人负责场内道路和交通设施的修建并承担相应费用</w:t>
      </w:r>
      <w:r>
        <w:rPr>
          <w:rFonts w:hint="eastAsia" w:ascii="宋体" w:hAnsi="宋体" w:cs="宋体"/>
          <w:color w:val="auto"/>
          <w:highlight w:val="none"/>
        </w:rPr>
        <w:t>。</w:t>
      </w:r>
      <w:bookmarkEnd w:id="313"/>
      <w:bookmarkEnd w:id="314"/>
      <w:bookmarkEnd w:id="315"/>
      <w:bookmarkEnd w:id="316"/>
      <w:bookmarkEnd w:id="317"/>
      <w:r>
        <w:rPr>
          <w:rFonts w:hint="eastAsia" w:ascii="宋体" w:hAnsi="宋体" w:cs="宋体"/>
          <w:color w:val="auto"/>
          <w:highlight w:val="none"/>
        </w:rPr>
        <w:t xml:space="preserve">  </w:t>
      </w:r>
      <w:bookmarkStart w:id="318" w:name="_Toc318581157"/>
    </w:p>
    <w:p w14:paraId="5DF14DC9">
      <w:pPr>
        <w:pStyle w:val="50"/>
        <w:spacing w:line="380" w:lineRule="exact"/>
        <w:rPr>
          <w:rFonts w:ascii="宋体" w:hAnsi="宋体" w:cs="宋体"/>
          <w:color w:val="auto"/>
          <w:highlight w:val="none"/>
        </w:rPr>
      </w:pPr>
      <w:r>
        <w:rPr>
          <w:rFonts w:hint="eastAsia" w:ascii="宋体" w:hAnsi="宋体" w:cs="宋体"/>
          <w:color w:val="auto"/>
          <w:highlight w:val="none"/>
        </w:rPr>
        <w:t>1.10.4超大件和超重件的运输</w:t>
      </w:r>
    </w:p>
    <w:p w14:paraId="6CB780AA">
      <w:pPr>
        <w:pStyle w:val="50"/>
        <w:spacing w:line="380" w:lineRule="exact"/>
        <w:rPr>
          <w:rFonts w:ascii="宋体" w:hAnsi="宋体" w:cs="宋体"/>
          <w:color w:val="auto"/>
          <w:highlight w:val="none"/>
        </w:rPr>
      </w:pPr>
      <w:r>
        <w:rPr>
          <w:rFonts w:hint="eastAsia" w:ascii="宋体" w:hAnsi="宋体" w:cs="宋体"/>
          <w:color w:val="auto"/>
          <w:highlight w:val="none"/>
        </w:rPr>
        <w:t>运输超大件或超重件所需的道路和桥梁临时加固改造费用和其他有关费用由</w:t>
      </w:r>
      <w:r>
        <w:rPr>
          <w:rFonts w:hint="eastAsia" w:ascii="宋体" w:hAnsi="宋体" w:cs="宋体"/>
          <w:color w:val="auto"/>
          <w:highlight w:val="none"/>
          <w:u w:val="single"/>
        </w:rPr>
        <w:t>承包人</w:t>
      </w:r>
      <w:r>
        <w:rPr>
          <w:rFonts w:hint="eastAsia" w:ascii="宋体" w:hAnsi="宋体" w:cs="宋体"/>
          <w:color w:val="auto"/>
          <w:highlight w:val="none"/>
        </w:rPr>
        <w:t>承担。</w:t>
      </w:r>
    </w:p>
    <w:bookmarkEnd w:id="318"/>
    <w:p w14:paraId="140BAF5D">
      <w:pPr>
        <w:pStyle w:val="36"/>
        <w:spacing w:line="380" w:lineRule="exact"/>
        <w:ind w:firstLine="422" w:firstLineChars="200"/>
        <w:rPr>
          <w:rFonts w:ascii="宋体" w:cs="宋体"/>
          <w:color w:val="auto"/>
          <w:highlight w:val="none"/>
        </w:rPr>
      </w:pPr>
      <w:bookmarkStart w:id="319" w:name="_Toc418752243"/>
      <w:bookmarkStart w:id="320" w:name="_Toc406522221"/>
      <w:bookmarkStart w:id="321" w:name="_Toc497746782"/>
      <w:bookmarkStart w:id="322" w:name="_Toc418751797"/>
      <w:bookmarkStart w:id="323" w:name="_Toc497747179"/>
      <w:bookmarkStart w:id="324" w:name="_Toc522201731"/>
      <w:bookmarkStart w:id="325" w:name="_Toc256000181"/>
      <w:r>
        <w:rPr>
          <w:rFonts w:hint="eastAsia" w:ascii="宋体" w:cs="宋体"/>
          <w:color w:val="auto"/>
          <w:highlight w:val="none"/>
        </w:rPr>
        <w:t>1.11 知识产权</w:t>
      </w:r>
      <w:bookmarkEnd w:id="319"/>
      <w:bookmarkEnd w:id="320"/>
      <w:bookmarkEnd w:id="321"/>
      <w:bookmarkEnd w:id="322"/>
      <w:bookmarkEnd w:id="323"/>
      <w:bookmarkEnd w:id="324"/>
      <w:bookmarkEnd w:id="325"/>
    </w:p>
    <w:p w14:paraId="146602A8">
      <w:pPr>
        <w:pStyle w:val="50"/>
        <w:spacing w:line="380" w:lineRule="exact"/>
        <w:rPr>
          <w:rFonts w:ascii="宋体" w:hAnsi="宋体" w:cs="宋体"/>
          <w:color w:val="auto"/>
          <w:highlight w:val="none"/>
        </w:rPr>
      </w:pPr>
      <w:r>
        <w:rPr>
          <w:rFonts w:hint="eastAsia" w:ascii="宋体" w:hAnsi="宋体" w:cs="宋体"/>
          <w:color w:val="auto"/>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highlight w:val="none"/>
          <w:u w:val="single"/>
        </w:rPr>
        <w:t>著作权属于发包人</w:t>
      </w:r>
      <w:r>
        <w:rPr>
          <w:rFonts w:hint="eastAsia" w:ascii="宋体" w:hAnsi="宋体" w:cs="宋体"/>
          <w:color w:val="auto"/>
          <w:highlight w:val="none"/>
        </w:rPr>
        <w:t>。</w:t>
      </w:r>
    </w:p>
    <w:p w14:paraId="72461CB0">
      <w:pPr>
        <w:pStyle w:val="50"/>
        <w:spacing w:line="380" w:lineRule="exact"/>
        <w:rPr>
          <w:rFonts w:ascii="宋体" w:hAnsi="宋体" w:cs="宋体"/>
          <w:color w:val="auto"/>
          <w:highlight w:val="none"/>
        </w:rPr>
      </w:pPr>
      <w:r>
        <w:rPr>
          <w:rFonts w:hint="eastAsia" w:ascii="宋体" w:hAnsi="宋体" w:cs="宋体"/>
          <w:color w:val="auto"/>
          <w:highlight w:val="none"/>
        </w:rPr>
        <w:t>关于发包人提供的上述文件的使用限制的要求：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21482F0D">
      <w:pPr>
        <w:pStyle w:val="50"/>
        <w:spacing w:line="380" w:lineRule="exact"/>
        <w:rPr>
          <w:rFonts w:ascii="宋体" w:hAnsi="宋体" w:cs="宋体"/>
          <w:color w:val="auto"/>
          <w:highlight w:val="none"/>
        </w:rPr>
      </w:pPr>
      <w:r>
        <w:rPr>
          <w:rFonts w:hint="eastAsia" w:ascii="宋体" w:hAnsi="宋体" w:cs="宋体"/>
          <w:color w:val="auto"/>
          <w:highlight w:val="none"/>
        </w:rPr>
        <w:t>1.11.2 关于承包人为实施工程所编制文件的著作权的归属：</w:t>
      </w:r>
      <w:r>
        <w:rPr>
          <w:rFonts w:hint="eastAsia" w:ascii="宋体" w:hAnsi="宋体" w:cs="宋体"/>
          <w:color w:val="auto"/>
          <w:highlight w:val="none"/>
          <w:u w:val="single"/>
        </w:rPr>
        <w:t>除署名以外著作权属于发包人</w:t>
      </w:r>
      <w:r>
        <w:rPr>
          <w:rFonts w:hint="eastAsia" w:ascii="宋体" w:hAnsi="宋体" w:cs="宋体"/>
          <w:color w:val="auto"/>
          <w:highlight w:val="none"/>
        </w:rPr>
        <w:t>。</w:t>
      </w:r>
    </w:p>
    <w:p w14:paraId="60B0A64D">
      <w:pPr>
        <w:pStyle w:val="50"/>
        <w:spacing w:line="380" w:lineRule="exact"/>
        <w:rPr>
          <w:rFonts w:ascii="宋体" w:hAnsi="宋体" w:cs="宋体"/>
          <w:color w:val="auto"/>
          <w:highlight w:val="none"/>
        </w:rPr>
      </w:pPr>
      <w:r>
        <w:rPr>
          <w:rFonts w:hint="eastAsia" w:ascii="宋体" w:hAnsi="宋体" w:cs="宋体"/>
          <w:color w:val="auto"/>
          <w:highlight w:val="none"/>
        </w:rPr>
        <w:t>关于承包人提供的上述文件的使用限制的要求：</w:t>
      </w:r>
      <w:r>
        <w:rPr>
          <w:rFonts w:hint="eastAsia" w:ascii="宋体" w:hAnsi="宋体" w:cs="宋体"/>
          <w:color w:val="auto"/>
          <w:highlight w:val="none"/>
          <w:u w:val="single"/>
        </w:rPr>
        <w:t>未经发包人同意，承包人不得为了合同以外的目的而复制、使用上述文件或将之提供给任何第三方</w:t>
      </w:r>
      <w:r>
        <w:rPr>
          <w:rFonts w:hint="eastAsia" w:ascii="宋体" w:hAnsi="宋体" w:cs="宋体"/>
          <w:color w:val="auto"/>
          <w:highlight w:val="none"/>
        </w:rPr>
        <w:t>。</w:t>
      </w:r>
    </w:p>
    <w:p w14:paraId="03153C06">
      <w:pPr>
        <w:pStyle w:val="50"/>
        <w:spacing w:line="380" w:lineRule="exact"/>
        <w:rPr>
          <w:rFonts w:ascii="宋体" w:hAnsi="宋体" w:cs="宋体"/>
          <w:color w:val="auto"/>
          <w:highlight w:val="none"/>
          <w:u w:val="single"/>
        </w:rPr>
      </w:pPr>
      <w:r>
        <w:rPr>
          <w:rFonts w:hint="eastAsia" w:ascii="宋体" w:hAnsi="宋体" w:cs="宋体"/>
          <w:color w:val="auto"/>
          <w:highlight w:val="none"/>
        </w:rPr>
        <w:t>1.11.4 承包人在施工过程中所采用的专利、专有技术、技术秘密的使用费的承担方式：</w:t>
      </w:r>
      <w:r>
        <w:rPr>
          <w:rFonts w:hint="eastAsia" w:ascii="宋体" w:hAnsi="宋体" w:cs="宋体"/>
          <w:color w:val="auto"/>
          <w:highlight w:val="none"/>
          <w:u w:val="single"/>
        </w:rPr>
        <w:t>由承包人承担</w:t>
      </w:r>
      <w:r>
        <w:rPr>
          <w:rFonts w:hint="eastAsia" w:ascii="宋体" w:hAnsi="宋体" w:cs="宋体"/>
          <w:color w:val="auto"/>
          <w:highlight w:val="none"/>
        </w:rPr>
        <w:t>。</w:t>
      </w:r>
    </w:p>
    <w:p w14:paraId="4A7C0F5E">
      <w:pPr>
        <w:pStyle w:val="50"/>
        <w:spacing w:line="380" w:lineRule="exact"/>
        <w:rPr>
          <w:rFonts w:ascii="宋体" w:hAnsi="宋体" w:cs="宋体"/>
          <w:color w:val="auto"/>
          <w:highlight w:val="none"/>
        </w:rPr>
      </w:pPr>
      <w:r>
        <w:rPr>
          <w:rFonts w:hint="eastAsia" w:ascii="宋体" w:hAnsi="宋体" w:cs="宋体"/>
          <w:color w:val="auto"/>
          <w:highlight w:val="none"/>
        </w:rPr>
        <w:t>1.13工程量清单错误的修正</w:t>
      </w:r>
    </w:p>
    <w:p w14:paraId="4B9B1B5E">
      <w:pPr>
        <w:pStyle w:val="50"/>
        <w:spacing w:line="380" w:lineRule="exact"/>
        <w:rPr>
          <w:rFonts w:ascii="宋体" w:hAnsi="宋体" w:cs="宋体"/>
          <w:color w:val="auto"/>
          <w:highlight w:val="none"/>
          <w:u w:val="single"/>
        </w:rPr>
      </w:pPr>
      <w:r>
        <w:rPr>
          <w:rFonts w:hint="eastAsia" w:ascii="宋体" w:hAnsi="宋体" w:cs="宋体"/>
          <w:color w:val="auto"/>
          <w:highlight w:val="none"/>
        </w:rPr>
        <w:t>出现工程量清单错误时，是否调整合同价格：</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p>
    <w:p w14:paraId="3377423A">
      <w:pPr>
        <w:pStyle w:val="50"/>
        <w:spacing w:line="380" w:lineRule="exact"/>
        <w:rPr>
          <w:rFonts w:ascii="宋体" w:hAnsi="宋体" w:cs="宋体"/>
          <w:color w:val="auto"/>
          <w:highlight w:val="none"/>
        </w:rPr>
      </w:pPr>
      <w:r>
        <w:rPr>
          <w:rFonts w:hint="eastAsia" w:ascii="宋体" w:hAnsi="宋体" w:cs="宋体"/>
          <w:color w:val="auto"/>
          <w:highlight w:val="none"/>
        </w:rPr>
        <w:t xml:space="preserve">允许调整合同价格的工程量偏差范围： </w:t>
      </w:r>
      <w:r>
        <w:rPr>
          <w:rFonts w:hint="eastAsia" w:ascii="宋体" w:hAnsi="宋体" w:cs="宋体"/>
          <w:color w:val="auto"/>
          <w:highlight w:val="none"/>
          <w:u w:val="single"/>
        </w:rPr>
        <w:t>按《建设工程工程量清单计价规范（GB5050-2013）》及其广西实施细则、《建设工程工程量清单计算规范（</w:t>
      </w:r>
      <w:r>
        <w:rPr>
          <w:rFonts w:hint="eastAsia" w:ascii="宋体" w:hAnsi="宋体" w:cs="宋体"/>
          <w:color w:val="auto"/>
          <w:highlight w:val="none"/>
          <w:u w:val="single"/>
          <w:lang w:eastAsia="zh-CN"/>
        </w:rPr>
        <w:t>GB50854</w:t>
      </w:r>
      <w:r>
        <w:rPr>
          <w:rFonts w:hint="eastAsia" w:ascii="宋体" w:hAnsi="宋体" w:cs="宋体"/>
          <w:color w:val="auto"/>
          <w:highlight w:val="none"/>
          <w:u w:val="single"/>
        </w:rPr>
        <w:t>～50862-2013）》及其广西实施细则（修订本）等规定</w:t>
      </w:r>
      <w:r>
        <w:rPr>
          <w:rFonts w:hint="eastAsia" w:ascii="宋体" w:hAnsi="宋体" w:cs="宋体"/>
          <w:color w:val="auto"/>
          <w:highlight w:val="none"/>
        </w:rPr>
        <w:t>。</w:t>
      </w:r>
    </w:p>
    <w:p w14:paraId="4A744E9A">
      <w:pPr>
        <w:pStyle w:val="36"/>
        <w:spacing w:line="380" w:lineRule="exact"/>
        <w:rPr>
          <w:rFonts w:ascii="宋体" w:cs="宋体"/>
          <w:color w:val="auto"/>
          <w:highlight w:val="none"/>
        </w:rPr>
      </w:pPr>
      <w:bookmarkStart w:id="326" w:name="_Toc406522222"/>
      <w:bookmarkStart w:id="327" w:name="_Toc351203634"/>
      <w:bookmarkStart w:id="328" w:name="_Toc418751798"/>
      <w:bookmarkStart w:id="329" w:name="_Toc497747180"/>
      <w:bookmarkStart w:id="330" w:name="_Toc418752244"/>
      <w:bookmarkStart w:id="331" w:name="_Toc522201732"/>
      <w:bookmarkStart w:id="332" w:name="_Toc497746783"/>
      <w:bookmarkStart w:id="333" w:name="_Toc256000182"/>
      <w:r>
        <w:rPr>
          <w:rFonts w:hint="eastAsia" w:ascii="宋体" w:cs="宋体"/>
          <w:color w:val="auto"/>
          <w:highlight w:val="none"/>
        </w:rPr>
        <w:t>2</w:t>
      </w:r>
      <w:bookmarkStart w:id="334" w:name="_Toc296347156"/>
      <w:bookmarkStart w:id="335" w:name="_Toc292559867"/>
      <w:bookmarkStart w:id="336" w:name="_Toc296891197"/>
      <w:bookmarkStart w:id="337" w:name="_Toc296944496"/>
      <w:bookmarkStart w:id="338" w:name="_Toc296890985"/>
      <w:bookmarkStart w:id="339" w:name="_Toc297048343"/>
      <w:bookmarkStart w:id="340" w:name="_Toc297120457"/>
      <w:bookmarkStart w:id="341" w:name="_Toc292559362"/>
      <w:bookmarkStart w:id="342" w:name="_Toc296503157"/>
      <w:bookmarkStart w:id="343" w:name="_Toc296346658"/>
      <w:r>
        <w:rPr>
          <w:rFonts w:hint="eastAsia" w:ascii="宋体" w:cs="宋体"/>
          <w:color w:val="auto"/>
          <w:highlight w:val="none"/>
        </w:rPr>
        <w:t>. 发包人</w:t>
      </w:r>
      <w:bookmarkEnd w:id="326"/>
      <w:bookmarkEnd w:id="327"/>
      <w:bookmarkEnd w:id="328"/>
      <w:bookmarkEnd w:id="329"/>
      <w:bookmarkEnd w:id="330"/>
      <w:bookmarkEnd w:id="331"/>
      <w:bookmarkEnd w:id="332"/>
      <w:bookmarkEnd w:id="333"/>
    </w:p>
    <w:bookmarkEnd w:id="334"/>
    <w:bookmarkEnd w:id="335"/>
    <w:bookmarkEnd w:id="336"/>
    <w:bookmarkEnd w:id="337"/>
    <w:bookmarkEnd w:id="338"/>
    <w:bookmarkEnd w:id="339"/>
    <w:bookmarkEnd w:id="340"/>
    <w:bookmarkEnd w:id="341"/>
    <w:bookmarkEnd w:id="342"/>
    <w:bookmarkEnd w:id="343"/>
    <w:p w14:paraId="50C824A7">
      <w:pPr>
        <w:pStyle w:val="36"/>
        <w:spacing w:line="380" w:lineRule="exact"/>
        <w:ind w:firstLine="422" w:firstLineChars="200"/>
        <w:rPr>
          <w:rFonts w:ascii="宋体" w:cs="宋体"/>
          <w:color w:val="auto"/>
          <w:highlight w:val="none"/>
        </w:rPr>
      </w:pPr>
      <w:bookmarkStart w:id="344" w:name="_Toc256000183"/>
      <w:bookmarkStart w:id="345" w:name="_Toc418752245"/>
      <w:bookmarkStart w:id="346" w:name="_Toc418751799"/>
      <w:bookmarkStart w:id="347" w:name="_Toc522201733"/>
      <w:bookmarkStart w:id="348" w:name="_Toc497746784"/>
      <w:bookmarkStart w:id="349" w:name="_Toc406522223"/>
      <w:bookmarkStart w:id="350" w:name="_Toc497747181"/>
      <w:r>
        <w:rPr>
          <w:rFonts w:hint="eastAsia" w:ascii="宋体" w:cs="宋体"/>
          <w:color w:val="auto"/>
          <w:highlight w:val="none"/>
        </w:rPr>
        <w:t>2.2 发包人代表</w:t>
      </w:r>
      <w:bookmarkEnd w:id="344"/>
      <w:bookmarkEnd w:id="345"/>
      <w:bookmarkEnd w:id="346"/>
      <w:bookmarkEnd w:id="347"/>
      <w:bookmarkEnd w:id="348"/>
      <w:bookmarkEnd w:id="349"/>
      <w:bookmarkEnd w:id="350"/>
    </w:p>
    <w:p w14:paraId="447ED90C">
      <w:pPr>
        <w:pStyle w:val="50"/>
        <w:spacing w:line="380" w:lineRule="exact"/>
        <w:rPr>
          <w:rFonts w:ascii="宋体" w:hAnsi="宋体" w:cs="宋体"/>
          <w:color w:val="auto"/>
          <w:highlight w:val="none"/>
        </w:rPr>
      </w:pPr>
      <w:r>
        <w:rPr>
          <w:rFonts w:hint="eastAsia" w:ascii="宋体" w:hAnsi="宋体" w:cs="宋体"/>
          <w:color w:val="auto"/>
          <w:highlight w:val="none"/>
        </w:rPr>
        <w:t>发包人代表：</w:t>
      </w:r>
    </w:p>
    <w:p w14:paraId="4AA1DC04">
      <w:pPr>
        <w:pStyle w:val="50"/>
        <w:spacing w:line="380" w:lineRule="exact"/>
        <w:rPr>
          <w:rFonts w:ascii="宋体" w:hAnsi="宋体" w:cs="宋体"/>
          <w:color w:val="auto"/>
          <w:highlight w:val="none"/>
        </w:rPr>
      </w:pPr>
      <w:r>
        <w:rPr>
          <w:rFonts w:hint="eastAsia" w:ascii="宋体" w:hAnsi="宋体" w:cs="宋体"/>
          <w:color w:val="auto"/>
          <w:highlight w:val="none"/>
        </w:rPr>
        <w:t>姓    名：</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C33365E">
      <w:pPr>
        <w:pStyle w:val="50"/>
        <w:spacing w:line="380" w:lineRule="exact"/>
        <w:rPr>
          <w:rFonts w:ascii="宋体" w:hAnsi="宋体" w:cs="宋体"/>
          <w:color w:val="auto"/>
          <w:highlight w:val="none"/>
        </w:rPr>
      </w:pPr>
      <w:r>
        <w:rPr>
          <w:rFonts w:hint="eastAsia" w:ascii="宋体" w:hAnsi="宋体" w:cs="宋体"/>
          <w:color w:val="auto"/>
          <w:highlight w:val="none"/>
        </w:rPr>
        <w:t>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3038E2E">
      <w:pPr>
        <w:pStyle w:val="50"/>
        <w:spacing w:line="380" w:lineRule="exact"/>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D1369C0">
      <w:pPr>
        <w:pStyle w:val="50"/>
        <w:spacing w:line="380" w:lineRule="exact"/>
        <w:rPr>
          <w:rFonts w:ascii="宋体" w:hAnsi="宋体" w:cs="宋体"/>
          <w:color w:val="auto"/>
          <w:highlight w:val="none"/>
        </w:rPr>
      </w:pPr>
      <w:r>
        <w:rPr>
          <w:rFonts w:hint="eastAsia" w:ascii="宋体" w:hAnsi="宋体" w:cs="宋体"/>
          <w:color w:val="auto"/>
          <w:highlight w:val="none"/>
        </w:rPr>
        <w:t>电子信箱：</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07141613">
      <w:pPr>
        <w:pStyle w:val="50"/>
        <w:spacing w:line="380" w:lineRule="exact"/>
        <w:rPr>
          <w:rFonts w:ascii="宋体" w:hAnsi="宋体" w:cs="宋体"/>
          <w:color w:val="auto"/>
          <w:highlight w:val="none"/>
        </w:rPr>
      </w:pPr>
      <w:r>
        <w:rPr>
          <w:rFonts w:hint="eastAsia" w:ascii="宋体" w:hAnsi="宋体" w:cs="宋体"/>
          <w:color w:val="auto"/>
          <w:highlight w:val="none"/>
        </w:rPr>
        <w:t>通信地址：</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w:t>
      </w:r>
    </w:p>
    <w:p w14:paraId="0500138F">
      <w:pPr>
        <w:pStyle w:val="50"/>
        <w:spacing w:line="380" w:lineRule="exact"/>
        <w:rPr>
          <w:rFonts w:ascii="宋体" w:hAnsi="宋体" w:cs="宋体"/>
          <w:b/>
          <w:color w:val="auto"/>
          <w:highlight w:val="none"/>
        </w:rPr>
      </w:pPr>
      <w:r>
        <w:rPr>
          <w:rFonts w:hint="eastAsia" w:ascii="宋体" w:hAnsi="宋体" w:cs="宋体"/>
          <w:color w:val="auto"/>
          <w:highlight w:val="none"/>
        </w:rPr>
        <w:t>发包人对发包人代表的授权范围如下：</w:t>
      </w:r>
      <w:r>
        <w:rPr>
          <w:rFonts w:hint="eastAsia" w:ascii="宋体" w:hAnsi="宋体" w:cs="宋体"/>
          <w:color w:val="auto"/>
          <w:highlight w:val="none"/>
          <w:u w:val="single"/>
        </w:rPr>
        <w:t>对工程进度、质量进行监督、办理中间交工工程验收手续，负责现场签证，解决由发包人授权处理的事宜</w:t>
      </w:r>
      <w:r>
        <w:rPr>
          <w:rFonts w:hint="eastAsia" w:ascii="宋体" w:hAnsi="宋体" w:cs="宋体"/>
          <w:color w:val="auto"/>
          <w:highlight w:val="none"/>
        </w:rPr>
        <w:t>。</w:t>
      </w:r>
    </w:p>
    <w:p w14:paraId="68F957E3">
      <w:pPr>
        <w:pStyle w:val="36"/>
        <w:spacing w:line="380" w:lineRule="exact"/>
        <w:ind w:firstLine="422" w:firstLineChars="200"/>
        <w:rPr>
          <w:rFonts w:ascii="宋体" w:cs="宋体"/>
          <w:color w:val="auto"/>
          <w:highlight w:val="none"/>
        </w:rPr>
      </w:pPr>
      <w:bookmarkStart w:id="351" w:name="_Toc256000184"/>
      <w:bookmarkStart w:id="352" w:name="_Toc418752246"/>
      <w:bookmarkStart w:id="353" w:name="_Toc497747182"/>
      <w:bookmarkStart w:id="354" w:name="_Toc497746785"/>
      <w:bookmarkStart w:id="355" w:name="_Toc406522224"/>
      <w:bookmarkStart w:id="356" w:name="_Toc418751800"/>
      <w:bookmarkStart w:id="357" w:name="_Toc522201734"/>
      <w:r>
        <w:rPr>
          <w:rFonts w:hint="eastAsia" w:ascii="宋体" w:cs="宋体"/>
          <w:color w:val="auto"/>
          <w:highlight w:val="none"/>
        </w:rPr>
        <w:t>2.4 施工现场、施工条件和基础资料的提供</w:t>
      </w:r>
      <w:bookmarkEnd w:id="351"/>
      <w:bookmarkEnd w:id="352"/>
      <w:bookmarkEnd w:id="353"/>
      <w:bookmarkEnd w:id="354"/>
      <w:bookmarkEnd w:id="355"/>
      <w:bookmarkEnd w:id="356"/>
      <w:bookmarkEnd w:id="357"/>
    </w:p>
    <w:p w14:paraId="30AE8CB3">
      <w:pPr>
        <w:pStyle w:val="50"/>
        <w:spacing w:line="380" w:lineRule="exact"/>
        <w:rPr>
          <w:rFonts w:ascii="宋体" w:hAnsi="宋体" w:cs="宋体"/>
          <w:color w:val="auto"/>
          <w:highlight w:val="none"/>
        </w:rPr>
      </w:pPr>
      <w:r>
        <w:rPr>
          <w:rFonts w:hint="eastAsia" w:ascii="宋体" w:hAnsi="宋体" w:cs="宋体"/>
          <w:color w:val="auto"/>
          <w:highlight w:val="none"/>
        </w:rPr>
        <w:t>2.4.1 提供施工现场</w:t>
      </w:r>
    </w:p>
    <w:p w14:paraId="20A72A52">
      <w:pPr>
        <w:pStyle w:val="50"/>
        <w:spacing w:line="380" w:lineRule="exact"/>
        <w:rPr>
          <w:rFonts w:ascii="宋体" w:hAnsi="宋体" w:cs="宋体"/>
          <w:color w:val="auto"/>
          <w:highlight w:val="none"/>
        </w:rPr>
      </w:pPr>
      <w:r>
        <w:rPr>
          <w:rFonts w:hint="eastAsia" w:ascii="宋体" w:hAnsi="宋体" w:cs="宋体"/>
          <w:color w:val="auto"/>
          <w:highlight w:val="none"/>
        </w:rPr>
        <w:t>关于发包人移交施工现场的期限要求：</w:t>
      </w:r>
      <w:r>
        <w:rPr>
          <w:rFonts w:hint="eastAsia" w:ascii="宋体" w:hAnsi="宋体" w:cs="宋体"/>
          <w:color w:val="auto"/>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cs="宋体"/>
          <w:color w:val="auto"/>
          <w:highlight w:val="none"/>
        </w:rPr>
        <w:t>。</w:t>
      </w:r>
    </w:p>
    <w:p w14:paraId="4C81176B">
      <w:pPr>
        <w:pStyle w:val="50"/>
        <w:spacing w:line="380" w:lineRule="exact"/>
        <w:rPr>
          <w:rFonts w:ascii="宋体" w:hAnsi="宋体" w:cs="宋体"/>
          <w:color w:val="auto"/>
          <w:highlight w:val="none"/>
        </w:rPr>
      </w:pPr>
      <w:r>
        <w:rPr>
          <w:rFonts w:hint="eastAsia" w:ascii="宋体" w:hAnsi="宋体" w:cs="宋体"/>
          <w:color w:val="auto"/>
          <w:highlight w:val="none"/>
        </w:rPr>
        <w:t>2.4.2 提供施工条件</w:t>
      </w:r>
    </w:p>
    <w:p w14:paraId="62989389">
      <w:pPr>
        <w:pStyle w:val="50"/>
        <w:spacing w:line="380" w:lineRule="exact"/>
        <w:rPr>
          <w:rFonts w:ascii="宋体" w:hAnsi="宋体" w:cs="宋体"/>
          <w:color w:val="auto"/>
          <w:highlight w:val="none"/>
          <w:u w:val="single"/>
        </w:rPr>
      </w:pPr>
      <w:r>
        <w:rPr>
          <w:rFonts w:hint="eastAsia" w:ascii="宋体" w:hAnsi="宋体" w:cs="宋体"/>
          <w:color w:val="auto"/>
          <w:highlight w:val="none"/>
        </w:rPr>
        <w:t>关于发包人应负责提供施工所需要的条件，包括：</w:t>
      </w:r>
      <w:r>
        <w:rPr>
          <w:rFonts w:hint="eastAsia" w:ascii="宋体" w:hAnsi="宋体" w:cs="宋体"/>
          <w:color w:val="auto"/>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cs="宋体"/>
          <w:color w:val="auto"/>
          <w:highlight w:val="none"/>
        </w:rPr>
        <w:t>。</w:t>
      </w:r>
    </w:p>
    <w:p w14:paraId="03031BA5">
      <w:pPr>
        <w:pStyle w:val="36"/>
        <w:spacing w:line="380" w:lineRule="exact"/>
        <w:ind w:firstLine="422" w:firstLineChars="200"/>
        <w:rPr>
          <w:rFonts w:ascii="宋体" w:cs="宋体"/>
          <w:color w:val="auto"/>
          <w:highlight w:val="none"/>
        </w:rPr>
      </w:pPr>
      <w:bookmarkStart w:id="358" w:name="_Toc418752247"/>
      <w:bookmarkStart w:id="359" w:name="_Toc522201735"/>
      <w:bookmarkStart w:id="360" w:name="_Toc418751801"/>
      <w:bookmarkStart w:id="361" w:name="_Toc497746786"/>
      <w:bookmarkStart w:id="362" w:name="_Toc406522225"/>
      <w:bookmarkStart w:id="363" w:name="_Toc256000185"/>
      <w:bookmarkStart w:id="364" w:name="_Toc497747183"/>
      <w:r>
        <w:rPr>
          <w:rFonts w:hint="eastAsia" w:ascii="宋体" w:cs="宋体"/>
          <w:color w:val="auto"/>
          <w:highlight w:val="none"/>
        </w:rPr>
        <w:t>2.5 资金来源证明及支付担保</w:t>
      </w:r>
      <w:bookmarkEnd w:id="358"/>
      <w:bookmarkEnd w:id="359"/>
      <w:bookmarkEnd w:id="360"/>
      <w:bookmarkEnd w:id="361"/>
      <w:bookmarkEnd w:id="362"/>
      <w:bookmarkEnd w:id="363"/>
      <w:bookmarkEnd w:id="364"/>
    </w:p>
    <w:p w14:paraId="6D8D688E">
      <w:pPr>
        <w:pStyle w:val="50"/>
        <w:spacing w:line="380" w:lineRule="exact"/>
        <w:rPr>
          <w:rFonts w:ascii="宋体" w:hAnsi="宋体" w:cs="宋体"/>
          <w:color w:val="auto"/>
          <w:highlight w:val="none"/>
        </w:rPr>
      </w:pPr>
      <w:r>
        <w:rPr>
          <w:rFonts w:hint="eastAsia" w:ascii="宋体" w:hAnsi="宋体" w:cs="宋体"/>
          <w:color w:val="auto"/>
          <w:highlight w:val="none"/>
        </w:rPr>
        <w:t>发包人提供资金来源证明的期限要求：</w:t>
      </w:r>
      <w:r>
        <w:rPr>
          <w:rFonts w:hint="eastAsia" w:ascii="宋体" w:hAnsi="宋体" w:cs="宋体"/>
          <w:color w:val="auto"/>
          <w:highlight w:val="none"/>
          <w:u w:val="single"/>
        </w:rPr>
        <w:t xml:space="preserve"> 无 </w:t>
      </w:r>
      <w:r>
        <w:rPr>
          <w:rFonts w:hint="eastAsia" w:ascii="宋体" w:hAnsi="宋体" w:cs="宋体"/>
          <w:color w:val="auto"/>
          <w:highlight w:val="none"/>
        </w:rPr>
        <w:t>。</w:t>
      </w:r>
    </w:p>
    <w:p w14:paraId="63FDCFFE">
      <w:pPr>
        <w:pStyle w:val="50"/>
        <w:spacing w:line="380" w:lineRule="exact"/>
        <w:rPr>
          <w:rFonts w:ascii="宋体" w:hAnsi="宋体" w:cs="宋体"/>
          <w:color w:val="auto"/>
          <w:highlight w:val="none"/>
        </w:rPr>
      </w:pPr>
      <w:r>
        <w:rPr>
          <w:rFonts w:hint="eastAsia" w:ascii="宋体" w:hAnsi="宋体" w:cs="宋体"/>
          <w:color w:val="auto"/>
          <w:highlight w:val="none"/>
        </w:rPr>
        <w:t>发包人是否提供支付担保：</w:t>
      </w:r>
      <w:r>
        <w:rPr>
          <w:rFonts w:hint="eastAsia" w:ascii="宋体" w:hAnsi="宋体" w:cs="宋体"/>
          <w:color w:val="auto"/>
          <w:highlight w:val="none"/>
          <w:u w:val="single"/>
        </w:rPr>
        <w:t xml:space="preserve">    否　　　   </w:t>
      </w:r>
      <w:r>
        <w:rPr>
          <w:rFonts w:hint="eastAsia" w:ascii="宋体" w:hAnsi="宋体" w:cs="宋体"/>
          <w:color w:val="auto"/>
          <w:highlight w:val="none"/>
        </w:rPr>
        <w:t>。</w:t>
      </w:r>
    </w:p>
    <w:p w14:paraId="42957521">
      <w:pPr>
        <w:pStyle w:val="50"/>
        <w:spacing w:line="380" w:lineRule="exact"/>
        <w:rPr>
          <w:rFonts w:ascii="宋体" w:hAnsi="宋体" w:cs="宋体"/>
          <w:color w:val="auto"/>
          <w:highlight w:val="none"/>
          <w:u w:val="single"/>
        </w:rPr>
      </w:pPr>
      <w:r>
        <w:rPr>
          <w:rFonts w:hint="eastAsia" w:ascii="宋体" w:hAnsi="宋体" w:cs="宋体"/>
          <w:color w:val="auto"/>
          <w:highlight w:val="none"/>
        </w:rPr>
        <w:t>发包人提供支付担保的形式：</w:t>
      </w:r>
      <w:r>
        <w:rPr>
          <w:rFonts w:hint="eastAsia" w:ascii="宋体" w:hAnsi="宋体" w:cs="宋体"/>
          <w:color w:val="auto"/>
          <w:highlight w:val="none"/>
          <w:u w:val="single"/>
        </w:rPr>
        <w:t xml:space="preserve">   /　       </w:t>
      </w:r>
      <w:r>
        <w:rPr>
          <w:rFonts w:hint="eastAsia" w:ascii="宋体" w:hAnsi="宋体" w:cs="宋体"/>
          <w:color w:val="auto"/>
          <w:highlight w:val="none"/>
        </w:rPr>
        <w:t>。</w:t>
      </w:r>
    </w:p>
    <w:p w14:paraId="44199C23">
      <w:pPr>
        <w:pStyle w:val="36"/>
        <w:spacing w:line="380" w:lineRule="exact"/>
        <w:rPr>
          <w:rFonts w:ascii="宋体" w:cs="宋体"/>
          <w:color w:val="auto"/>
          <w:highlight w:val="none"/>
        </w:rPr>
      </w:pPr>
      <w:bookmarkStart w:id="365" w:name="_Toc418751802"/>
      <w:bookmarkStart w:id="366" w:name="_Toc522201736"/>
      <w:bookmarkStart w:id="367" w:name="_Toc256000186"/>
      <w:bookmarkStart w:id="368" w:name="_Toc406522226"/>
      <w:bookmarkStart w:id="369" w:name="_Toc418752248"/>
      <w:bookmarkStart w:id="370" w:name="_Toc351203635"/>
      <w:bookmarkStart w:id="371" w:name="_Toc497746787"/>
      <w:bookmarkStart w:id="372" w:name="_Toc497747184"/>
      <w:r>
        <w:rPr>
          <w:rFonts w:hint="eastAsia" w:ascii="宋体" w:cs="宋体"/>
          <w:color w:val="auto"/>
          <w:highlight w:val="none"/>
        </w:rPr>
        <w:t>3</w:t>
      </w:r>
      <w:bookmarkStart w:id="373" w:name="_Toc297048344"/>
      <w:bookmarkStart w:id="374" w:name="_Toc296891198"/>
      <w:bookmarkStart w:id="375" w:name="_Toc296890986"/>
      <w:bookmarkStart w:id="376" w:name="_Toc296347157"/>
      <w:bookmarkStart w:id="377" w:name="_Toc297120458"/>
      <w:bookmarkStart w:id="378" w:name="_Toc296346659"/>
      <w:bookmarkStart w:id="379" w:name="_Toc296503158"/>
      <w:bookmarkStart w:id="380" w:name="_Toc292559868"/>
      <w:bookmarkStart w:id="381" w:name="_Toc296944497"/>
      <w:bookmarkStart w:id="382" w:name="_Toc292559363"/>
      <w:r>
        <w:rPr>
          <w:rFonts w:hint="eastAsia" w:ascii="宋体" w:cs="宋体"/>
          <w:color w:val="auto"/>
          <w:highlight w:val="none"/>
        </w:rPr>
        <w:t>. 承包人</w:t>
      </w:r>
      <w:bookmarkEnd w:id="365"/>
      <w:bookmarkEnd w:id="366"/>
      <w:bookmarkEnd w:id="367"/>
      <w:bookmarkEnd w:id="368"/>
      <w:bookmarkEnd w:id="369"/>
      <w:bookmarkEnd w:id="370"/>
      <w:bookmarkEnd w:id="371"/>
      <w:bookmarkEnd w:id="372"/>
    </w:p>
    <w:bookmarkEnd w:id="373"/>
    <w:bookmarkEnd w:id="374"/>
    <w:bookmarkEnd w:id="375"/>
    <w:bookmarkEnd w:id="376"/>
    <w:bookmarkEnd w:id="377"/>
    <w:bookmarkEnd w:id="378"/>
    <w:bookmarkEnd w:id="379"/>
    <w:bookmarkEnd w:id="380"/>
    <w:bookmarkEnd w:id="381"/>
    <w:bookmarkEnd w:id="382"/>
    <w:p w14:paraId="2BA4DEC7">
      <w:pPr>
        <w:pStyle w:val="36"/>
        <w:spacing w:line="380" w:lineRule="exact"/>
        <w:ind w:firstLine="422" w:firstLineChars="200"/>
        <w:rPr>
          <w:rFonts w:ascii="宋体" w:cs="宋体"/>
          <w:color w:val="auto"/>
          <w:highlight w:val="none"/>
        </w:rPr>
      </w:pPr>
      <w:bookmarkStart w:id="383" w:name="_Toc256000187"/>
      <w:bookmarkStart w:id="384" w:name="_Toc497746788"/>
      <w:bookmarkStart w:id="385" w:name="_Toc418751803"/>
      <w:bookmarkStart w:id="386" w:name="_Toc418752249"/>
      <w:bookmarkStart w:id="387" w:name="_Toc522201737"/>
      <w:bookmarkStart w:id="388" w:name="_Toc497747185"/>
      <w:bookmarkStart w:id="389" w:name="_Toc406522227"/>
      <w:r>
        <w:rPr>
          <w:rFonts w:hint="eastAsia" w:ascii="宋体" w:cs="宋体"/>
          <w:color w:val="auto"/>
          <w:highlight w:val="none"/>
        </w:rPr>
        <w:t>3.1 承包人的一般义务</w:t>
      </w:r>
      <w:bookmarkEnd w:id="383"/>
      <w:bookmarkEnd w:id="384"/>
      <w:bookmarkEnd w:id="385"/>
      <w:bookmarkEnd w:id="386"/>
      <w:bookmarkEnd w:id="387"/>
      <w:bookmarkEnd w:id="388"/>
      <w:bookmarkEnd w:id="389"/>
    </w:p>
    <w:p w14:paraId="5D1BFF42">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（9）</w:t>
      </w:r>
      <w:r>
        <w:rPr>
          <w:rFonts w:hint="eastAsia" w:ascii="宋体" w:hAnsi="宋体" w:cs="宋体"/>
          <w:color w:val="auto"/>
          <w:szCs w:val="21"/>
          <w:highlight w:val="none"/>
        </w:rPr>
        <w:t>承包人提交的竣工资料的内容：</w:t>
      </w:r>
      <w:r>
        <w:rPr>
          <w:rFonts w:hint="eastAsia" w:ascii="宋体" w:hAnsi="宋体" w:cs="宋体"/>
          <w:color w:val="auto"/>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cs="宋体"/>
          <w:color w:val="auto"/>
          <w:szCs w:val="21"/>
          <w:highlight w:val="none"/>
        </w:rPr>
        <w:t>。</w:t>
      </w:r>
    </w:p>
    <w:p w14:paraId="1D243251">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承包人需要提交的竣工资料套数：</w:t>
      </w:r>
      <w:r>
        <w:rPr>
          <w:rFonts w:hint="eastAsia" w:ascii="宋体" w:hAnsi="宋体" w:cs="宋体"/>
          <w:color w:val="auto"/>
          <w:szCs w:val="21"/>
          <w:highlight w:val="none"/>
          <w:u w:val="single"/>
        </w:rPr>
        <w:t xml:space="preserve">  承包人向发包人提交竣工档案份数为一式四份；备案资料一式两份；建设工程质量监督档案一式两份  </w:t>
      </w:r>
      <w:r>
        <w:rPr>
          <w:rFonts w:hint="eastAsia" w:ascii="宋体" w:hAnsi="宋体" w:cs="宋体"/>
          <w:color w:val="auto"/>
          <w:szCs w:val="21"/>
          <w:highlight w:val="none"/>
        </w:rPr>
        <w:t>。</w:t>
      </w:r>
    </w:p>
    <w:p w14:paraId="630E97C5">
      <w:pPr>
        <w:pStyle w:val="2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承包人提交的竣工资料的费用承担：</w:t>
      </w:r>
      <w:r>
        <w:rPr>
          <w:rFonts w:hint="eastAsia" w:ascii="宋体" w:hAnsi="宋体" w:cs="宋体"/>
          <w:color w:val="auto"/>
          <w:szCs w:val="21"/>
          <w:highlight w:val="none"/>
          <w:u w:val="single"/>
        </w:rPr>
        <w:t xml:space="preserve">  由承包人承担相关费用 </w:t>
      </w:r>
      <w:r>
        <w:rPr>
          <w:rFonts w:hint="eastAsia" w:ascii="宋体" w:hAnsi="宋体" w:cs="宋体"/>
          <w:color w:val="auto"/>
          <w:szCs w:val="21"/>
          <w:highlight w:val="none"/>
        </w:rPr>
        <w:t>。</w:t>
      </w:r>
    </w:p>
    <w:p w14:paraId="6FEBBA97">
      <w:pPr>
        <w:pStyle w:val="2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承包人提交的竣工资料移交时间：</w:t>
      </w:r>
      <w:r>
        <w:rPr>
          <w:rFonts w:hint="eastAsia" w:ascii="宋体" w:hAnsi="宋体" w:cs="宋体"/>
          <w:color w:val="auto"/>
          <w:szCs w:val="21"/>
          <w:highlight w:val="none"/>
          <w:u w:val="single"/>
        </w:rPr>
        <w:t xml:space="preserve">  工程竣工验收合格后30天内  </w:t>
      </w:r>
      <w:r>
        <w:rPr>
          <w:rFonts w:hint="eastAsia" w:ascii="宋体" w:hAnsi="宋体" w:cs="宋体"/>
          <w:color w:val="auto"/>
          <w:szCs w:val="21"/>
          <w:highlight w:val="none"/>
        </w:rPr>
        <w:t>。</w:t>
      </w:r>
    </w:p>
    <w:p w14:paraId="6AF09AE8">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承包人提交的竣工资料形式要求：</w:t>
      </w:r>
      <w:r>
        <w:rPr>
          <w:rFonts w:hint="eastAsia" w:ascii="宋体" w:hAnsi="宋体" w:cs="宋体"/>
          <w:color w:val="auto"/>
          <w:szCs w:val="21"/>
          <w:highlight w:val="none"/>
          <w:u w:val="single"/>
        </w:rPr>
        <w:t>竣工档案（竣工档案的内容：施工单位竣工验收文件、施工文件、竣工图（按城市建设档案馆要求整理，相关费用由承包人承担）、备案资料（应由承包人提供的部分按桂林市住建局要求整理）、建设工程质量监督档案（应由承包人提供的部分按桂林市建设工程质量监督管理站要求整理）</w:t>
      </w:r>
      <w:r>
        <w:rPr>
          <w:rFonts w:hint="eastAsia" w:ascii="宋体" w:hAnsi="宋体" w:cs="宋体"/>
          <w:color w:val="auto"/>
          <w:szCs w:val="21"/>
          <w:highlight w:val="none"/>
        </w:rPr>
        <w:t>。</w:t>
      </w:r>
    </w:p>
    <w:p w14:paraId="35AAEF3B">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（10）承包人应履行的其他义务：</w:t>
      </w:r>
      <w:r>
        <w:rPr>
          <w:rFonts w:hint="eastAsia" w:ascii="宋体" w:hAnsi="宋体" w:cs="宋体"/>
          <w:color w:val="auto"/>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并承担相应费用。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并承担相关费用，确保项目施工顺利进行。⑤承包人应始终采取各种合理的预防措施，防止承包人员或其内部发生任何非法的、骚动的或无序的行为，以保持安定，保护现场及第三人的财产和人身安全。⑥为发包人依法发包的专业工程承包商提供总承包管理与协调服务，并为专业工程承包商提供一切施工方便。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w:t>
      </w:r>
      <w:r>
        <w:rPr>
          <w:rFonts w:ascii="Cambria Math" w:hAnsi="Cambria Math" w:cs="Cambria Math"/>
          <w:color w:val="auto"/>
          <w:szCs w:val="21"/>
          <w:highlight w:val="none"/>
          <w:u w:val="single"/>
        </w:rPr>
        <w:t>⑪</w:t>
      </w:r>
      <w:r>
        <w:rPr>
          <w:rFonts w:hint="eastAsia" w:ascii="宋体" w:hAnsi="宋体" w:cs="宋体"/>
          <w:color w:val="auto"/>
          <w:szCs w:val="21"/>
          <w:highlight w:val="none"/>
          <w:u w:val="single"/>
        </w:rPr>
        <w:t>承包人在工程施工期间由于承包人原因引起的责任事故，全部由承包人承担经济责任和法律责任。</w:t>
      </w:r>
      <w:r>
        <w:rPr>
          <w:rFonts w:ascii="Cambria Math" w:hAnsi="Cambria Math" w:cs="Cambria Math"/>
          <w:color w:val="auto"/>
          <w:szCs w:val="21"/>
          <w:highlight w:val="none"/>
          <w:u w:val="single"/>
        </w:rPr>
        <w:t>⑫</w:t>
      </w:r>
      <w:r>
        <w:rPr>
          <w:rFonts w:hint="eastAsia" w:ascii="宋体" w:hAnsi="宋体" w:cs="宋体"/>
          <w:color w:val="auto"/>
          <w:szCs w:val="21"/>
          <w:highlight w:val="none"/>
          <w:u w:val="single"/>
        </w:rPr>
        <w:t>满足国家、行业、控制标准和验收规范，在质量管理过程中达到或超过质量标准，杜绝重大设备一般及以上质量事故，确保工程无永久性缺陷。</w:t>
      </w:r>
    </w:p>
    <w:p w14:paraId="6A660C9E">
      <w:pPr>
        <w:pStyle w:val="36"/>
        <w:spacing w:line="380" w:lineRule="exact"/>
        <w:ind w:firstLine="422" w:firstLineChars="200"/>
        <w:rPr>
          <w:rFonts w:ascii="宋体" w:cs="宋体"/>
          <w:color w:val="auto"/>
          <w:highlight w:val="none"/>
        </w:rPr>
      </w:pPr>
      <w:bookmarkStart w:id="390" w:name="_Toc256000188"/>
      <w:bookmarkStart w:id="391" w:name="_Toc418518118"/>
      <w:bookmarkStart w:id="392" w:name="_Toc418751804"/>
      <w:bookmarkStart w:id="393" w:name="_Toc418061319"/>
      <w:bookmarkStart w:id="394" w:name="_Toc522201738"/>
      <w:bookmarkStart w:id="395" w:name="_Toc497746789"/>
      <w:bookmarkStart w:id="396" w:name="_Toc373227708"/>
      <w:bookmarkStart w:id="397" w:name="_Toc497747186"/>
      <w:bookmarkStart w:id="398" w:name="_Toc373478355"/>
      <w:bookmarkStart w:id="399" w:name="_Toc418752250"/>
      <w:bookmarkStart w:id="400" w:name="_Toc389065274"/>
      <w:bookmarkStart w:id="401" w:name="_Toc418518354"/>
      <w:bookmarkStart w:id="402" w:name="_Toc403578942"/>
      <w:r>
        <w:rPr>
          <w:rFonts w:hint="eastAsia" w:ascii="宋体" w:cs="宋体"/>
          <w:color w:val="auto"/>
          <w:highlight w:val="none"/>
        </w:rPr>
        <w:t>3.2 项目经理</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62AB2DE7">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 xml:space="preserve">3.2.1 </w:t>
      </w:r>
      <w:r>
        <w:rPr>
          <w:rFonts w:hint="eastAsia" w:ascii="宋体" w:hAnsi="宋体" w:cs="宋体"/>
          <w:color w:val="auto"/>
          <w:szCs w:val="21"/>
          <w:highlight w:val="none"/>
        </w:rPr>
        <w:t>项目经理：</w:t>
      </w:r>
    </w:p>
    <w:p w14:paraId="5C5F3450">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00C6">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10E58B1">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ED6183F">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D2FE0D6">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388E7A">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9AD0132">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F6C8CC1">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E94BC80">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3D13DC6">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承包人对项目经理的授权范围如下： </w:t>
      </w:r>
      <w:r>
        <w:rPr>
          <w:rFonts w:hint="eastAsia" w:ascii="宋体" w:hAnsi="宋体" w:cs="宋体"/>
          <w:color w:val="auto"/>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cs="宋体"/>
          <w:color w:val="auto"/>
          <w:szCs w:val="21"/>
          <w:highlight w:val="none"/>
        </w:rPr>
        <w:t>。</w:t>
      </w:r>
    </w:p>
    <w:p w14:paraId="7F843DDC">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关于项目经理每月在施工现场的时间要求：</w:t>
      </w:r>
      <w:r>
        <w:rPr>
          <w:rFonts w:hint="eastAsia" w:ascii="宋体" w:hAnsi="宋体" w:cs="宋体"/>
          <w:color w:val="auto"/>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cs="宋体"/>
          <w:color w:val="auto"/>
          <w:szCs w:val="21"/>
          <w:highlight w:val="none"/>
        </w:rPr>
        <w:t>。</w:t>
      </w:r>
    </w:p>
    <w:p w14:paraId="32CC94BA">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承包人未提交劳动合同，以及没有为项目经理缴纳社会保险证明的违约责任：</w:t>
      </w:r>
      <w:r>
        <w:rPr>
          <w:rFonts w:hint="eastAsia" w:ascii="宋体" w:hAnsi="宋体" w:cs="宋体"/>
          <w:color w:val="auto"/>
          <w:szCs w:val="21"/>
          <w:highlight w:val="none"/>
          <w:u w:val="single"/>
        </w:rPr>
        <w:t>承包人不提交上述文件的，项目经理无权履行职责，发包人有权要求更换项目经理，由此增加的费用和延误的工期由承包人承担</w:t>
      </w:r>
      <w:r>
        <w:rPr>
          <w:rFonts w:hint="eastAsia" w:ascii="宋体" w:hAnsi="宋体" w:cs="宋体"/>
          <w:color w:val="auto"/>
          <w:szCs w:val="21"/>
          <w:highlight w:val="none"/>
        </w:rPr>
        <w:t>。</w:t>
      </w:r>
    </w:p>
    <w:p w14:paraId="5C3A0ED4">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kern w:val="0"/>
          <w:szCs w:val="21"/>
          <w:highlight w:val="none"/>
        </w:rPr>
        <w:t>项目经理未经批准，擅自离开施工现场的违约责任：</w:t>
      </w:r>
      <w:r>
        <w:rPr>
          <w:rFonts w:hint="eastAsia" w:ascii="宋体" w:hAnsi="宋体" w:cs="宋体"/>
          <w:color w:val="auto"/>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cs="宋体"/>
          <w:color w:val="auto"/>
          <w:szCs w:val="21"/>
          <w:highlight w:val="none"/>
        </w:rPr>
        <w:t>。</w:t>
      </w:r>
    </w:p>
    <w:p w14:paraId="7B2E91A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3.2.3 承包人擅自更换项目经理的违约责任：</w:t>
      </w:r>
      <w:r>
        <w:rPr>
          <w:rFonts w:hint="eastAsia" w:ascii="宋体" w:hAnsi="宋体" w:cs="宋体"/>
          <w:color w:val="auto"/>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cs="宋体"/>
          <w:color w:val="auto"/>
          <w:szCs w:val="21"/>
          <w:highlight w:val="none"/>
        </w:rPr>
        <w:t>。</w:t>
      </w:r>
    </w:p>
    <w:p w14:paraId="77AF9916">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3.2.4 承包人无正当理由拒绝更换项目经理的违约责任：</w:t>
      </w:r>
      <w:r>
        <w:rPr>
          <w:rFonts w:hint="eastAsia" w:ascii="宋体" w:hAnsi="宋体" w:cs="宋体"/>
          <w:color w:val="auto"/>
          <w:szCs w:val="21"/>
          <w:highlight w:val="none"/>
          <w:u w:val="single"/>
        </w:rPr>
        <w:t>因承包人项目经理不称职，发包人要求调换而未及时调换的，视为承包人违约，必须向发包人交纳处罚金5000元/人•次（人民币）</w:t>
      </w:r>
      <w:r>
        <w:rPr>
          <w:rFonts w:hint="eastAsia" w:ascii="宋体" w:hAnsi="宋体" w:cs="宋体"/>
          <w:color w:val="auto"/>
          <w:szCs w:val="21"/>
          <w:highlight w:val="none"/>
        </w:rPr>
        <w:t>。</w:t>
      </w:r>
    </w:p>
    <w:p w14:paraId="406DDA5C">
      <w:pPr>
        <w:pStyle w:val="36"/>
        <w:spacing w:line="380" w:lineRule="exact"/>
        <w:ind w:firstLine="422" w:firstLineChars="200"/>
        <w:rPr>
          <w:rFonts w:ascii="宋体" w:cs="宋体"/>
          <w:color w:val="auto"/>
          <w:highlight w:val="none"/>
        </w:rPr>
      </w:pPr>
      <w:bookmarkStart w:id="403" w:name="_Toc373478356"/>
      <w:bookmarkStart w:id="404" w:name="_Toc418061320"/>
      <w:bookmarkStart w:id="405" w:name="_Toc389065275"/>
      <w:bookmarkStart w:id="406" w:name="_Toc256000189"/>
      <w:bookmarkStart w:id="407" w:name="_Toc497746790"/>
      <w:bookmarkStart w:id="408" w:name="_Toc373227709"/>
      <w:bookmarkStart w:id="409" w:name="_Toc418752251"/>
      <w:bookmarkStart w:id="410" w:name="_Toc418518119"/>
      <w:bookmarkStart w:id="411" w:name="_Toc522201739"/>
      <w:bookmarkStart w:id="412" w:name="_Toc497747187"/>
      <w:bookmarkStart w:id="413" w:name="_Toc418518355"/>
      <w:bookmarkStart w:id="414" w:name="_Toc418751805"/>
      <w:bookmarkStart w:id="415" w:name="_Toc403578943"/>
      <w:r>
        <w:rPr>
          <w:rFonts w:hint="eastAsia" w:ascii="宋体" w:cs="宋体"/>
          <w:color w:val="auto"/>
          <w:highlight w:val="none"/>
        </w:rPr>
        <w:t>3.3 承包人人员</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2583AE7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3.3.1 承包人提交项目管理机构及施工现场管理人员安排报告（格式见合同附件6）的期限：</w:t>
      </w:r>
      <w:r>
        <w:rPr>
          <w:rFonts w:hint="eastAsia" w:ascii="宋体" w:hAnsi="宋体" w:cs="宋体"/>
          <w:color w:val="auto"/>
          <w:szCs w:val="21"/>
          <w:highlight w:val="none"/>
          <w:u w:val="single"/>
        </w:rPr>
        <w:t>开工前7日内</w:t>
      </w:r>
      <w:r>
        <w:rPr>
          <w:rFonts w:hint="eastAsia" w:ascii="宋体" w:hAnsi="宋体" w:cs="宋体"/>
          <w:color w:val="auto"/>
          <w:szCs w:val="21"/>
          <w:highlight w:val="none"/>
        </w:rPr>
        <w:t>。</w:t>
      </w:r>
    </w:p>
    <w:p w14:paraId="357247F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3.3.3 承包人无正当理由拒绝撤换主要施工管理人员的违约责任：</w:t>
      </w:r>
      <w:r>
        <w:rPr>
          <w:rFonts w:hint="eastAsia" w:ascii="宋体" w:hAnsi="宋体" w:cs="宋体"/>
          <w:color w:val="auto"/>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cs="宋体"/>
          <w:color w:val="auto"/>
          <w:szCs w:val="21"/>
          <w:highlight w:val="none"/>
        </w:rPr>
        <w:t>。</w:t>
      </w:r>
    </w:p>
    <w:p w14:paraId="475EA6A7">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3.3.4 承包人主要施工管理人员离开施工现场的批准要求：</w:t>
      </w:r>
      <w:r>
        <w:rPr>
          <w:rFonts w:hint="eastAsia" w:ascii="宋体" w:hAnsi="宋体" w:cs="宋体"/>
          <w:color w:val="auto"/>
          <w:szCs w:val="21"/>
          <w:highlight w:val="none"/>
          <w:u w:val="single"/>
        </w:rPr>
        <w:t>经建设单位及监理单位批准同意后</w:t>
      </w:r>
      <w:r>
        <w:rPr>
          <w:rFonts w:hint="eastAsia" w:ascii="宋体" w:hAnsi="宋体" w:cs="宋体"/>
          <w:color w:val="auto"/>
          <w:szCs w:val="21"/>
          <w:highlight w:val="none"/>
        </w:rPr>
        <w:t>。</w:t>
      </w:r>
    </w:p>
    <w:p w14:paraId="15126207">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3.3.5 承包人擅自更换主要施工管理人员的违约责任：</w:t>
      </w:r>
      <w:r>
        <w:rPr>
          <w:rFonts w:hint="eastAsia" w:ascii="宋体" w:hAnsi="宋体" w:cs="宋体"/>
          <w:color w:val="auto"/>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cs="宋体"/>
          <w:color w:val="auto"/>
          <w:szCs w:val="21"/>
          <w:highlight w:val="none"/>
        </w:rPr>
        <w:t>。</w:t>
      </w:r>
    </w:p>
    <w:p w14:paraId="41132F31">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承包人主要施工管理人员擅自离开施工现场的违约责任：</w:t>
      </w:r>
      <w:r>
        <w:rPr>
          <w:rFonts w:hint="eastAsia" w:ascii="宋体" w:hAnsi="宋体" w:cs="宋体"/>
          <w:color w:val="auto"/>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cs="宋体"/>
          <w:color w:val="auto"/>
          <w:szCs w:val="21"/>
          <w:highlight w:val="none"/>
        </w:rPr>
        <w:t>。</w:t>
      </w:r>
    </w:p>
    <w:p w14:paraId="5F6FB354">
      <w:pPr>
        <w:pStyle w:val="36"/>
        <w:spacing w:line="380" w:lineRule="exact"/>
        <w:ind w:firstLine="422" w:firstLineChars="200"/>
        <w:rPr>
          <w:rFonts w:ascii="宋体" w:cs="宋体"/>
          <w:color w:val="auto"/>
          <w:highlight w:val="none"/>
        </w:rPr>
      </w:pPr>
      <w:bookmarkStart w:id="416" w:name="_Toc522201740"/>
      <w:bookmarkStart w:id="417" w:name="_Toc497747188"/>
      <w:bookmarkStart w:id="418" w:name="_Toc418518356"/>
      <w:bookmarkStart w:id="419" w:name="_Toc497746791"/>
      <w:bookmarkStart w:id="420" w:name="_Toc418751806"/>
      <w:bookmarkStart w:id="421" w:name="_Toc418061321"/>
      <w:bookmarkStart w:id="422" w:name="_Toc389065276"/>
      <w:bookmarkStart w:id="423" w:name="_Toc403578944"/>
      <w:bookmarkStart w:id="424" w:name="_Toc256000190"/>
      <w:bookmarkStart w:id="425" w:name="_Toc373227710"/>
      <w:bookmarkStart w:id="426" w:name="_Toc373478357"/>
      <w:bookmarkStart w:id="427" w:name="_Toc418518120"/>
      <w:bookmarkStart w:id="428" w:name="_Toc418752252"/>
      <w:r>
        <w:rPr>
          <w:rFonts w:hint="eastAsia" w:ascii="宋体" w:cs="宋体"/>
          <w:color w:val="auto"/>
          <w:highlight w:val="none"/>
        </w:rPr>
        <w:t>3</w:t>
      </w:r>
      <w:bookmarkStart w:id="429" w:name="_Toc292559364"/>
      <w:bookmarkStart w:id="430" w:name="_Toc297216151"/>
      <w:bookmarkStart w:id="431" w:name="_Toc296503159"/>
      <w:bookmarkStart w:id="432" w:name="_Toc312677988"/>
      <w:bookmarkStart w:id="433" w:name="_Toc296944498"/>
      <w:bookmarkStart w:id="434" w:name="_Toc296891199"/>
      <w:bookmarkStart w:id="435" w:name="_Toc296890987"/>
      <w:bookmarkStart w:id="436" w:name="_Toc296346660"/>
      <w:bookmarkStart w:id="437" w:name="_Toc297123492"/>
      <w:bookmarkStart w:id="438" w:name="_Toc292559869"/>
      <w:bookmarkStart w:id="439" w:name="_Toc300934945"/>
      <w:bookmarkStart w:id="440" w:name="_Toc296347158"/>
      <w:bookmarkStart w:id="441" w:name="_Toc297048345"/>
      <w:bookmarkStart w:id="442" w:name="_Toc304295523"/>
      <w:bookmarkStart w:id="443" w:name="_Toc303539102"/>
      <w:bookmarkStart w:id="444" w:name="_Toc297120459"/>
      <w:r>
        <w:rPr>
          <w:rFonts w:hint="eastAsia" w:ascii="宋体" w:cs="宋体"/>
          <w:color w:val="auto"/>
          <w:highlight w:val="none"/>
        </w:rPr>
        <w:t>.5 分包</w:t>
      </w:r>
      <w:bookmarkEnd w:id="416"/>
      <w:bookmarkEnd w:id="417"/>
      <w:bookmarkEnd w:id="418"/>
      <w:bookmarkEnd w:id="419"/>
      <w:bookmarkEnd w:id="420"/>
      <w:bookmarkEnd w:id="421"/>
      <w:bookmarkEnd w:id="422"/>
      <w:bookmarkEnd w:id="423"/>
      <w:bookmarkEnd w:id="424"/>
      <w:bookmarkEnd w:id="425"/>
      <w:bookmarkEnd w:id="426"/>
      <w:bookmarkEnd w:id="427"/>
      <w:bookmarkEnd w:id="428"/>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14:paraId="0C72A85E">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bookmarkStart w:id="445" w:name="_Toc297048346"/>
      <w:bookmarkStart w:id="446" w:name="_Toc304295524"/>
      <w:bookmarkStart w:id="447" w:name="_Toc312677989"/>
      <w:bookmarkStart w:id="448" w:name="_Toc303539103"/>
      <w:bookmarkStart w:id="449" w:name="_Toc296890988"/>
      <w:bookmarkStart w:id="450" w:name="_Toc318581158"/>
      <w:bookmarkStart w:id="451" w:name="_Toc292559870"/>
      <w:bookmarkStart w:id="452" w:name="_Toc297123493"/>
      <w:bookmarkStart w:id="453" w:name="_Toc292559365"/>
      <w:bookmarkStart w:id="454" w:name="_Toc296346661"/>
      <w:bookmarkStart w:id="455" w:name="_Toc296944499"/>
      <w:bookmarkStart w:id="456" w:name="_Toc296503160"/>
      <w:bookmarkStart w:id="457" w:name="_Toc297120460"/>
      <w:bookmarkStart w:id="458" w:name="_Toc300934946"/>
      <w:bookmarkStart w:id="459" w:name="_Toc296891200"/>
      <w:bookmarkStart w:id="460" w:name="_Toc297216152"/>
      <w:bookmarkStart w:id="461" w:name="_Toc296347159"/>
      <w:r>
        <w:rPr>
          <w:rFonts w:hint="eastAsia" w:ascii="宋体" w:hAnsi="宋体" w:cs="宋体"/>
          <w:color w:val="auto"/>
          <w:szCs w:val="21"/>
          <w:highlight w:val="none"/>
        </w:rPr>
        <w:t>.5.1 分包的一般约定</w:t>
      </w:r>
    </w:p>
    <w:p w14:paraId="214822A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禁止分包的工程包括：</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除劳务工程外 </w:t>
      </w:r>
      <w:r>
        <w:rPr>
          <w:rFonts w:hint="eastAsia" w:ascii="宋体" w:hAnsi="宋体" w:cs="宋体"/>
          <w:color w:val="auto"/>
          <w:szCs w:val="21"/>
          <w:highlight w:val="none"/>
        </w:rPr>
        <w:t>。</w:t>
      </w:r>
    </w:p>
    <w:p w14:paraId="614A54A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主体结构、关键性工作的范围：</w:t>
      </w:r>
      <w:r>
        <w:rPr>
          <w:rFonts w:ascii="宋体" w:hAnsi="宋体" w:cs="宋体"/>
          <w:color w:val="auto"/>
          <w:szCs w:val="21"/>
          <w:highlight w:val="none"/>
          <w:u w:val="single"/>
        </w:rPr>
        <w:t></w:t>
      </w:r>
      <w:r>
        <w:rPr>
          <w:rFonts w:hint="eastAsia" w:ascii="宋体" w:hAnsi="宋体" w:cs="宋体"/>
          <w:color w:val="auto"/>
          <w:szCs w:val="21"/>
          <w:highlight w:val="none"/>
          <w:u w:val="single"/>
        </w:rPr>
        <w:t xml:space="preserve">禁止分包  </w:t>
      </w:r>
      <w:r>
        <w:rPr>
          <w:rFonts w:hint="eastAsia" w:ascii="宋体" w:hAnsi="宋体" w:cs="宋体"/>
          <w:color w:val="auto"/>
          <w:szCs w:val="21"/>
          <w:highlight w:val="none"/>
        </w:rPr>
        <w:t>。</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48745695">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w:t>
      </w:r>
      <w:bookmarkStart w:id="462" w:name="_Toc312677990"/>
      <w:bookmarkStart w:id="463" w:name="_Toc318581159"/>
      <w:r>
        <w:rPr>
          <w:rFonts w:hint="eastAsia" w:ascii="宋体" w:hAnsi="宋体" w:cs="宋体"/>
          <w:color w:val="auto"/>
          <w:szCs w:val="21"/>
          <w:highlight w:val="none"/>
        </w:rPr>
        <w:t>.5.2 分包的确定</w:t>
      </w:r>
    </w:p>
    <w:p w14:paraId="323CD9D7">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劳务工程  </w:t>
      </w:r>
      <w:r>
        <w:rPr>
          <w:rFonts w:hint="eastAsia" w:ascii="宋体" w:hAnsi="宋体" w:cs="宋体"/>
          <w:color w:val="auto"/>
          <w:szCs w:val="21"/>
          <w:highlight w:val="none"/>
        </w:rPr>
        <w:t>。</w:t>
      </w:r>
    </w:p>
    <w:p w14:paraId="63DA4B94">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其他关于分包的约定：</w:t>
      </w:r>
    </w:p>
    <w:p w14:paraId="3A58104F">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14:paraId="3D7FD0DA">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（2）在相关分包合同签订并报送有关建设行政主管部门备案后7天内，承包人应当将一份副本提交给监理人，承包人应保障分包工作不得再次分包。</w:t>
      </w:r>
    </w:p>
    <w:p w14:paraId="2D0E58A9">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（3）未经承包人和监理人审批同意的分包工程和分包人，承包人有权拒绝验收分包工程和支付相应款项，由此引起的发包人费用增加和(或)延误的工期由发包人承担。</w:t>
      </w:r>
    </w:p>
    <w:p w14:paraId="030E3B5D">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3.5.4 分包合同价款 </w:t>
      </w:r>
    </w:p>
    <w:p w14:paraId="35BF2728">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关于分包合同价款支付的约定：</w:t>
      </w:r>
      <w:r>
        <w:rPr>
          <w:rFonts w:hint="eastAsia" w:ascii="宋体" w:hAnsi="宋体" w:cs="宋体"/>
          <w:color w:val="auto"/>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462"/>
    <w:bookmarkEnd w:id="463"/>
    <w:p w14:paraId="5BF17AF1">
      <w:pPr>
        <w:pStyle w:val="36"/>
        <w:spacing w:line="380" w:lineRule="exact"/>
        <w:ind w:firstLine="422" w:firstLineChars="200"/>
        <w:rPr>
          <w:rFonts w:ascii="宋体" w:cs="宋体"/>
          <w:color w:val="auto"/>
          <w:highlight w:val="none"/>
        </w:rPr>
      </w:pPr>
      <w:bookmarkStart w:id="464" w:name="_Toc373478358"/>
      <w:bookmarkStart w:id="465" w:name="_Toc256000191"/>
      <w:bookmarkStart w:id="466" w:name="_Toc418518121"/>
      <w:bookmarkStart w:id="467" w:name="_Toc418518357"/>
      <w:bookmarkStart w:id="468" w:name="_Toc497747189"/>
      <w:bookmarkStart w:id="469" w:name="_Toc403578945"/>
      <w:bookmarkStart w:id="470" w:name="_Toc418751807"/>
      <w:bookmarkStart w:id="471" w:name="_Toc497746792"/>
      <w:bookmarkStart w:id="472" w:name="_Toc522201741"/>
      <w:bookmarkStart w:id="473" w:name="_Toc418752253"/>
      <w:bookmarkStart w:id="474" w:name="_Toc418061322"/>
      <w:bookmarkStart w:id="475" w:name="_Toc389065277"/>
      <w:bookmarkStart w:id="476" w:name="_Toc373227711"/>
      <w:r>
        <w:rPr>
          <w:rFonts w:hint="eastAsia" w:ascii="宋体" w:cs="宋体"/>
          <w:color w:val="auto"/>
          <w:highlight w:val="none"/>
        </w:rPr>
        <w:t>3.6 工程照管与成品、半成品保护</w:t>
      </w:r>
      <w:bookmarkEnd w:id="464"/>
      <w:bookmarkEnd w:id="465"/>
      <w:bookmarkEnd w:id="466"/>
      <w:bookmarkEnd w:id="467"/>
      <w:bookmarkEnd w:id="468"/>
      <w:bookmarkEnd w:id="469"/>
      <w:bookmarkEnd w:id="470"/>
      <w:bookmarkEnd w:id="471"/>
      <w:bookmarkEnd w:id="472"/>
      <w:bookmarkEnd w:id="473"/>
      <w:bookmarkEnd w:id="474"/>
      <w:bookmarkEnd w:id="475"/>
      <w:bookmarkEnd w:id="476"/>
    </w:p>
    <w:p w14:paraId="24CA10AE">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承包人负责照管工程及工程相关的材料、工程设备的起始时间：</w:t>
      </w:r>
      <w:r>
        <w:rPr>
          <w:rFonts w:hint="eastAsia" w:ascii="宋体" w:hAnsi="宋体" w:cs="宋体"/>
          <w:color w:val="auto"/>
          <w:szCs w:val="21"/>
          <w:highlight w:val="none"/>
          <w:u w:val="single"/>
        </w:rPr>
        <w:t>自发包人向承包人移交施工现场之日起，到颁发工程接收证书之日止</w:t>
      </w:r>
      <w:r>
        <w:rPr>
          <w:rFonts w:hint="eastAsia" w:ascii="宋体" w:hAnsi="宋体" w:cs="宋体"/>
          <w:color w:val="auto"/>
          <w:kern w:val="0"/>
          <w:szCs w:val="21"/>
          <w:highlight w:val="none"/>
        </w:rPr>
        <w:t>。</w:t>
      </w:r>
    </w:p>
    <w:p w14:paraId="0FBE8FF3">
      <w:pPr>
        <w:pStyle w:val="50"/>
        <w:spacing w:line="380" w:lineRule="exact"/>
        <w:rPr>
          <w:rFonts w:ascii="宋体" w:hAnsi="宋体" w:cs="宋体"/>
          <w:color w:val="auto"/>
          <w:highlight w:val="none"/>
        </w:rPr>
      </w:pPr>
      <w:r>
        <w:rPr>
          <w:rFonts w:hint="eastAsia" w:ascii="宋体" w:hAnsi="宋体" w:cs="宋体"/>
          <w:color w:val="auto"/>
          <w:highlight w:val="none"/>
        </w:rPr>
        <w:t>承包人负责照管工程及工程相关的材料、工程设备的范围：</w:t>
      </w:r>
      <w:r>
        <w:rPr>
          <w:rFonts w:hint="eastAsia" w:ascii="宋体" w:hAnsi="宋体" w:cs="宋体"/>
          <w:color w:val="auto"/>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cs="宋体"/>
          <w:color w:val="auto"/>
          <w:highlight w:val="none"/>
        </w:rPr>
        <w:t>。</w:t>
      </w:r>
    </w:p>
    <w:p w14:paraId="3DAA9E36">
      <w:pPr>
        <w:pStyle w:val="36"/>
        <w:spacing w:line="380" w:lineRule="exact"/>
        <w:ind w:firstLine="422" w:firstLineChars="200"/>
        <w:rPr>
          <w:rFonts w:ascii="宋体" w:cs="宋体"/>
          <w:color w:val="auto"/>
          <w:highlight w:val="none"/>
        </w:rPr>
      </w:pPr>
      <w:bookmarkStart w:id="477" w:name="_Toc373227712"/>
      <w:bookmarkStart w:id="478" w:name="_Toc418752254"/>
      <w:bookmarkStart w:id="479" w:name="_Toc418518122"/>
      <w:bookmarkStart w:id="480" w:name="_Toc418751808"/>
      <w:bookmarkStart w:id="481" w:name="_Toc418518358"/>
      <w:bookmarkStart w:id="482" w:name="_Toc403578946"/>
      <w:bookmarkStart w:id="483" w:name="_Toc373478359"/>
      <w:bookmarkStart w:id="484" w:name="_Toc497746793"/>
      <w:bookmarkStart w:id="485" w:name="_Toc497747190"/>
      <w:bookmarkStart w:id="486" w:name="_Toc418061323"/>
      <w:bookmarkStart w:id="487" w:name="_Toc522201742"/>
      <w:bookmarkStart w:id="488" w:name="_Toc389065278"/>
      <w:bookmarkStart w:id="489" w:name="_Toc256000192"/>
      <w:r>
        <w:rPr>
          <w:rFonts w:hint="eastAsia" w:ascii="宋体" w:cs="宋体"/>
          <w:color w:val="auto"/>
          <w:highlight w:val="none"/>
        </w:rPr>
        <w:t>3.7 履约</w:t>
      </w:r>
      <w:bookmarkEnd w:id="477"/>
      <w:bookmarkEnd w:id="478"/>
      <w:bookmarkEnd w:id="479"/>
      <w:bookmarkEnd w:id="480"/>
      <w:bookmarkEnd w:id="481"/>
      <w:bookmarkEnd w:id="482"/>
      <w:bookmarkEnd w:id="483"/>
      <w:bookmarkEnd w:id="484"/>
      <w:bookmarkEnd w:id="485"/>
      <w:bookmarkEnd w:id="486"/>
      <w:bookmarkEnd w:id="487"/>
      <w:bookmarkEnd w:id="488"/>
      <w:r>
        <w:rPr>
          <w:rFonts w:hint="eastAsia" w:ascii="宋体" w:cs="宋体"/>
          <w:color w:val="auto"/>
          <w:highlight w:val="none"/>
        </w:rPr>
        <w:t>担保</w:t>
      </w:r>
      <w:bookmarkEnd w:id="489"/>
    </w:p>
    <w:p w14:paraId="2219DD30">
      <w:pPr>
        <w:pStyle w:val="50"/>
        <w:spacing w:line="380" w:lineRule="exact"/>
        <w:rPr>
          <w:rFonts w:ascii="宋体" w:hAnsi="宋体" w:cs="宋体"/>
          <w:color w:val="auto"/>
          <w:highlight w:val="none"/>
        </w:rPr>
      </w:pPr>
      <w:bookmarkStart w:id="490" w:name="_Toc373227713"/>
      <w:bookmarkStart w:id="491" w:name="_Toc418518123"/>
      <w:bookmarkStart w:id="492" w:name="_Toc418751809"/>
      <w:bookmarkStart w:id="493" w:name="_Toc418518359"/>
      <w:bookmarkStart w:id="494" w:name="_Toc418752255"/>
      <w:bookmarkStart w:id="495" w:name="_Toc373478360"/>
      <w:bookmarkStart w:id="496" w:name="_Toc403578947"/>
      <w:bookmarkStart w:id="497" w:name="_Toc351203636"/>
      <w:bookmarkStart w:id="498" w:name="_Toc389065279"/>
      <w:bookmarkStart w:id="499" w:name="_Toc418061324"/>
      <w:r>
        <w:rPr>
          <w:rFonts w:hint="eastAsia" w:ascii="宋体" w:hAnsi="宋体" w:cs="宋体"/>
          <w:color w:val="auto"/>
          <w:highlight w:val="none"/>
        </w:rPr>
        <w:t>承包人是否提供履约担保：</w:t>
      </w:r>
      <w:r>
        <w:rPr>
          <w:rFonts w:hint="eastAsia" w:ascii="宋体" w:hAnsi="宋体" w:cs="宋体"/>
          <w:color w:val="auto"/>
          <w:highlight w:val="none"/>
          <w:u w:val="single"/>
        </w:rPr>
        <w:t xml:space="preserve"> </w:t>
      </w:r>
      <w:r>
        <w:rPr>
          <w:rFonts w:hint="eastAsia" w:cs="宋体"/>
          <w:color w:val="auto"/>
          <w:highlight w:val="none"/>
          <w:u w:val="single"/>
          <w:lang w:val="en-US" w:eastAsia="zh-CN"/>
        </w:rPr>
        <w:t>是</w:t>
      </w:r>
      <w:r>
        <w:rPr>
          <w:rFonts w:hint="eastAsia" w:ascii="宋体" w:hAnsi="宋体" w:cs="宋体"/>
          <w:color w:val="auto"/>
          <w:highlight w:val="none"/>
          <w:u w:val="single"/>
        </w:rPr>
        <w:t>　</w:t>
      </w:r>
      <w:r>
        <w:rPr>
          <w:rFonts w:hint="eastAsia" w:ascii="宋体" w:hAnsi="宋体" w:cs="宋体"/>
          <w:color w:val="auto"/>
          <w:highlight w:val="none"/>
        </w:rPr>
        <w:t>。</w:t>
      </w:r>
    </w:p>
    <w:p w14:paraId="481264D7">
      <w:pPr>
        <w:pStyle w:val="21"/>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rPr>
        <w:t>承包人提供履约担保的形式、金额及期限的：</w:t>
      </w:r>
      <w:r>
        <w:rPr>
          <w:rFonts w:hint="eastAsia" w:ascii="宋体" w:hAnsi="宋体" w:cs="宋体"/>
          <w:color w:val="auto"/>
          <w:szCs w:val="21"/>
          <w:highlight w:val="none"/>
          <w:u w:val="single"/>
        </w:rPr>
        <w:t>在收到中标通知书后，承包人须在</w:t>
      </w:r>
      <w:r>
        <w:rPr>
          <w:rFonts w:ascii="宋体" w:hAnsi="宋体" w:cs="宋体"/>
          <w:color w:val="auto"/>
          <w:szCs w:val="21"/>
          <w:highlight w:val="none"/>
          <w:u w:val="single"/>
        </w:rPr>
        <w:t>3</w:t>
      </w:r>
      <w:r>
        <w:rPr>
          <w:rFonts w:hint="eastAsia" w:ascii="宋体" w:hAnsi="宋体" w:cs="宋体"/>
          <w:color w:val="auto"/>
          <w:szCs w:val="21"/>
          <w:highlight w:val="none"/>
          <w:u w:val="single"/>
        </w:rPr>
        <w:t>0日内向发包人足额提交合同价款的</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%的现金或银行保函或保证保险</w:t>
      </w:r>
      <w:r>
        <w:rPr>
          <w:rFonts w:hint="eastAsia" w:ascii="宋体" w:hAnsi="宋体"/>
          <w:color w:val="auto"/>
          <w:szCs w:val="21"/>
          <w:highlight w:val="none"/>
          <w:u w:val="single"/>
        </w:rPr>
        <w:t>的</w:t>
      </w:r>
      <w:r>
        <w:rPr>
          <w:rFonts w:hint="eastAsia" w:ascii="宋体" w:hAnsi="宋体" w:cs="宋体"/>
          <w:color w:val="auto"/>
          <w:szCs w:val="21"/>
          <w:highlight w:val="none"/>
          <w:u w:val="single"/>
        </w:rPr>
        <w:t>履约担保（格式见合同附件8）。履约担保的有效期应当自本合同生效之日起至发包人签认并由监理人向承包人出具（竣工证明材料名称）之日止。如果承包人无法获得一份不带具体截止日期的担保，履约担保中应当有“变更工程竣工日期的，保证期间按照变更后的竣工日期做相应调整”或类似约定的条款。</w:t>
      </w:r>
    </w:p>
    <w:p w14:paraId="016B188C">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工程竣工验收合格并对验收发现的问题完成整改后的7个日历天内，</w:t>
      </w:r>
      <w:r>
        <w:rPr>
          <w:rFonts w:hint="eastAsia" w:ascii="宋体" w:hAnsi="宋体" w:cs="宋体"/>
          <w:color w:val="auto"/>
          <w:szCs w:val="21"/>
          <w:highlight w:val="none"/>
        </w:rPr>
        <w:t>承包人可向发包人申请退还履约保证金。发包人应在收到申请之日起28个日历天内</w:t>
      </w:r>
      <w:r>
        <w:rPr>
          <w:rFonts w:hint="eastAsia" w:ascii="宋体" w:hAnsi="宋体" w:cs="宋体"/>
          <w:color w:val="auto"/>
          <w:kern w:val="0"/>
          <w:szCs w:val="21"/>
          <w:highlight w:val="none"/>
        </w:rPr>
        <w:t>扣减承包人赔偿金和其他应从承包人扣回的款项后，</w:t>
      </w:r>
      <w:r>
        <w:rPr>
          <w:rFonts w:hint="eastAsia" w:ascii="宋体" w:hAnsi="宋体" w:cs="宋体"/>
          <w:color w:val="auto"/>
          <w:szCs w:val="21"/>
          <w:highlight w:val="none"/>
        </w:rPr>
        <w:t>将履约保证金退还给承包人（无息）。</w:t>
      </w:r>
    </w:p>
    <w:p w14:paraId="7CAEFAD6">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14:paraId="471EF979">
      <w:pPr>
        <w:pStyle w:val="36"/>
        <w:spacing w:line="380" w:lineRule="exact"/>
        <w:rPr>
          <w:rFonts w:ascii="宋体" w:cs="宋体"/>
          <w:color w:val="auto"/>
          <w:highlight w:val="none"/>
        </w:rPr>
      </w:pPr>
      <w:bookmarkStart w:id="500" w:name="_Toc497746794"/>
      <w:bookmarkStart w:id="501" w:name="_Toc522201743"/>
      <w:bookmarkStart w:id="502" w:name="_Toc497747191"/>
      <w:bookmarkStart w:id="503" w:name="_Toc256000193"/>
      <w:r>
        <w:rPr>
          <w:rFonts w:hint="eastAsia" w:ascii="宋体" w:cs="宋体"/>
          <w:color w:val="auto"/>
          <w:highlight w:val="none"/>
        </w:rPr>
        <w:t>4</w:t>
      </w:r>
      <w:bookmarkStart w:id="504" w:name="_Toc296347161"/>
      <w:bookmarkStart w:id="505" w:name="_Toc292559366"/>
      <w:bookmarkStart w:id="506" w:name="_Toc297048348"/>
      <w:bookmarkStart w:id="507" w:name="_Toc296890990"/>
      <w:bookmarkStart w:id="508" w:name="_Toc292559871"/>
      <w:bookmarkStart w:id="509" w:name="_Toc267251413"/>
      <w:bookmarkStart w:id="510" w:name="_Toc296346663"/>
      <w:bookmarkStart w:id="511" w:name="_Toc297120462"/>
      <w:bookmarkStart w:id="512" w:name="_Toc296891202"/>
      <w:bookmarkStart w:id="513" w:name="_Toc296944501"/>
      <w:bookmarkStart w:id="514" w:name="_Toc296503162"/>
      <w:r>
        <w:rPr>
          <w:rFonts w:hint="eastAsia" w:ascii="宋体" w:cs="宋体"/>
          <w:color w:val="auto"/>
          <w:highlight w:val="none"/>
        </w:rPr>
        <w:t>. 监</w:t>
      </w:r>
      <w:bookmarkEnd w:id="504"/>
      <w:bookmarkEnd w:id="505"/>
      <w:bookmarkEnd w:id="506"/>
      <w:bookmarkEnd w:id="507"/>
      <w:bookmarkEnd w:id="508"/>
      <w:bookmarkEnd w:id="509"/>
      <w:bookmarkEnd w:id="510"/>
      <w:bookmarkEnd w:id="511"/>
      <w:bookmarkEnd w:id="512"/>
      <w:bookmarkEnd w:id="513"/>
      <w:bookmarkEnd w:id="514"/>
      <w:r>
        <w:rPr>
          <w:rFonts w:hint="eastAsia" w:ascii="宋体" w:cs="宋体"/>
          <w:color w:val="auto"/>
          <w:highlight w:val="none"/>
        </w:rPr>
        <w:t>理人</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4364BA35">
      <w:pPr>
        <w:pStyle w:val="36"/>
        <w:spacing w:line="380" w:lineRule="exact"/>
        <w:ind w:firstLine="422" w:firstLineChars="200"/>
        <w:rPr>
          <w:rFonts w:ascii="宋体" w:cs="宋体"/>
          <w:color w:val="auto"/>
          <w:highlight w:val="none"/>
        </w:rPr>
      </w:pPr>
      <w:bookmarkStart w:id="515" w:name="_Toc418752256"/>
      <w:bookmarkStart w:id="516" w:name="_Toc418518360"/>
      <w:bookmarkStart w:id="517" w:name="_Toc373478361"/>
      <w:bookmarkStart w:id="518" w:name="_Toc497747192"/>
      <w:bookmarkStart w:id="519" w:name="_Toc389065280"/>
      <w:bookmarkStart w:id="520" w:name="_Toc418751810"/>
      <w:bookmarkStart w:id="521" w:name="_Toc418518124"/>
      <w:bookmarkStart w:id="522" w:name="_Toc403578948"/>
      <w:bookmarkStart w:id="523" w:name="_Toc373227714"/>
      <w:bookmarkStart w:id="524" w:name="_Toc256000194"/>
      <w:bookmarkStart w:id="525" w:name="_Toc418061325"/>
      <w:bookmarkStart w:id="526" w:name="_Toc497746795"/>
      <w:bookmarkStart w:id="527" w:name="_Toc522201744"/>
      <w:r>
        <w:rPr>
          <w:rFonts w:hint="eastAsia" w:ascii="宋体" w:cs="宋体"/>
          <w:color w:val="auto"/>
          <w:highlight w:val="none"/>
        </w:rPr>
        <w:t>4.1 监理人的一般规定</w:t>
      </w:r>
      <w:bookmarkEnd w:id="515"/>
      <w:bookmarkEnd w:id="516"/>
      <w:bookmarkEnd w:id="517"/>
      <w:bookmarkEnd w:id="518"/>
      <w:bookmarkEnd w:id="519"/>
      <w:bookmarkEnd w:id="520"/>
      <w:bookmarkEnd w:id="521"/>
      <w:bookmarkEnd w:id="522"/>
      <w:bookmarkEnd w:id="523"/>
      <w:bookmarkEnd w:id="524"/>
      <w:bookmarkEnd w:id="525"/>
      <w:bookmarkEnd w:id="526"/>
      <w:bookmarkEnd w:id="527"/>
    </w:p>
    <w:p w14:paraId="499EE1E1">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关于监理人的监理内容：</w:t>
      </w:r>
      <w:r>
        <w:rPr>
          <w:rFonts w:hint="eastAsia" w:ascii="宋体" w:hAnsi="宋体" w:cs="宋体"/>
          <w:color w:val="auto"/>
          <w:szCs w:val="21"/>
          <w:highlight w:val="none"/>
          <w:u w:val="single"/>
        </w:rPr>
        <w:t xml:space="preserve"> 检查施工承包人工程质量，安全生产管理制度及组织机构人员资格；审查施工承包人员提交的施工进度计划及工程施工范围内所有内容。</w:t>
      </w:r>
    </w:p>
    <w:p w14:paraId="701399E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关于监理人的监理权限：</w:t>
      </w:r>
      <w:r>
        <w:rPr>
          <w:rFonts w:hint="eastAsia" w:ascii="宋体" w:hAnsi="宋体" w:cs="宋体"/>
          <w:color w:val="auto"/>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cs="宋体"/>
          <w:color w:val="auto"/>
          <w:szCs w:val="21"/>
          <w:highlight w:val="none"/>
        </w:rPr>
        <w:t xml:space="preserve">  </w:t>
      </w:r>
    </w:p>
    <w:p w14:paraId="271FFD26">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关于监理人在施工现场的办公场所、生活场所的提供和费用承担的约定：</w:t>
      </w:r>
      <w:r>
        <w:rPr>
          <w:rFonts w:hint="eastAsia" w:ascii="宋体" w:hAnsi="宋体" w:cs="宋体"/>
          <w:color w:val="auto"/>
          <w:szCs w:val="21"/>
          <w:highlight w:val="none"/>
          <w:u w:val="single"/>
        </w:rPr>
        <w:t>由承包人为发包人、监理单位免费提供三间办公室</w:t>
      </w:r>
      <w:r>
        <w:rPr>
          <w:rFonts w:hint="eastAsia" w:ascii="宋体" w:hAnsi="宋体"/>
          <w:color w:val="auto"/>
          <w:szCs w:val="21"/>
          <w:highlight w:val="none"/>
          <w:u w:val="single"/>
        </w:rPr>
        <w:t>并承担相关费用</w:t>
      </w:r>
      <w:r>
        <w:rPr>
          <w:rFonts w:hint="eastAsia" w:ascii="宋体" w:hAnsi="宋体" w:cs="宋体"/>
          <w:color w:val="auto"/>
          <w:szCs w:val="21"/>
          <w:highlight w:val="none"/>
        </w:rPr>
        <w:t>。</w:t>
      </w:r>
    </w:p>
    <w:p w14:paraId="04FDEA89">
      <w:pPr>
        <w:pStyle w:val="36"/>
        <w:spacing w:line="380" w:lineRule="exact"/>
        <w:ind w:firstLine="422" w:firstLineChars="200"/>
        <w:rPr>
          <w:rFonts w:ascii="宋体" w:cs="宋体"/>
          <w:color w:val="auto"/>
          <w:highlight w:val="none"/>
        </w:rPr>
      </w:pPr>
      <w:bookmarkStart w:id="528" w:name="_Toc522201745"/>
      <w:bookmarkStart w:id="529" w:name="_Toc418518361"/>
      <w:bookmarkStart w:id="530" w:name="_Toc373478362"/>
      <w:bookmarkStart w:id="531" w:name="_Toc256000195"/>
      <w:bookmarkStart w:id="532" w:name="_Toc389065281"/>
      <w:bookmarkStart w:id="533" w:name="_Toc373227715"/>
      <w:bookmarkStart w:id="534" w:name="_Toc418752257"/>
      <w:bookmarkStart w:id="535" w:name="_Toc418751811"/>
      <w:bookmarkStart w:id="536" w:name="_Toc497746796"/>
      <w:bookmarkStart w:id="537" w:name="_Toc403578949"/>
      <w:bookmarkStart w:id="538" w:name="_Toc418061326"/>
      <w:bookmarkStart w:id="539" w:name="_Toc497747193"/>
      <w:bookmarkStart w:id="540" w:name="_Toc418518125"/>
      <w:r>
        <w:rPr>
          <w:rFonts w:hint="eastAsia" w:ascii="宋体" w:cs="宋体"/>
          <w:color w:val="auto"/>
          <w:highlight w:val="none"/>
        </w:rPr>
        <w:t>4.2 监理人员</w:t>
      </w:r>
      <w:bookmarkEnd w:id="528"/>
      <w:bookmarkEnd w:id="529"/>
      <w:bookmarkEnd w:id="530"/>
      <w:bookmarkEnd w:id="531"/>
      <w:bookmarkEnd w:id="532"/>
      <w:bookmarkEnd w:id="533"/>
      <w:bookmarkEnd w:id="534"/>
      <w:bookmarkEnd w:id="535"/>
      <w:bookmarkEnd w:id="536"/>
      <w:bookmarkEnd w:id="537"/>
      <w:bookmarkEnd w:id="538"/>
      <w:bookmarkEnd w:id="539"/>
      <w:bookmarkEnd w:id="540"/>
    </w:p>
    <w:p w14:paraId="3D8AD7E7">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总监理工程师：</w:t>
      </w:r>
    </w:p>
    <w:p w14:paraId="46A32EA0">
      <w:pPr>
        <w:pStyle w:val="21"/>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4739152F">
      <w:pPr>
        <w:pStyle w:val="21"/>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6E653D3">
      <w:pPr>
        <w:pStyle w:val="21"/>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监理工程师执业资格证书号：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5AEAE55D">
      <w:pPr>
        <w:pStyle w:val="21"/>
        <w:spacing w:line="3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46A6D97E">
      <w:pPr>
        <w:pStyle w:val="21"/>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63694A04">
      <w:pPr>
        <w:pStyle w:val="21"/>
        <w:spacing w:line="38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19AD5A22">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关于监理人的其他约定：</w:t>
      </w:r>
      <w:r>
        <w:rPr>
          <w:rFonts w:hint="eastAsia" w:ascii="宋体" w:hAnsi="宋体" w:cs="宋体"/>
          <w:color w:val="auto"/>
          <w:szCs w:val="21"/>
          <w:highlight w:val="none"/>
          <w:u w:val="single"/>
        </w:rPr>
        <w:t xml:space="preserve"> 见监理合同</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none"/>
        </w:rPr>
        <w:t>。</w:t>
      </w:r>
    </w:p>
    <w:p w14:paraId="5F51E08B">
      <w:pPr>
        <w:pStyle w:val="36"/>
        <w:spacing w:line="380" w:lineRule="exact"/>
        <w:ind w:firstLine="422" w:firstLineChars="200"/>
        <w:rPr>
          <w:rFonts w:ascii="宋体" w:cs="宋体"/>
          <w:color w:val="auto"/>
          <w:highlight w:val="none"/>
        </w:rPr>
      </w:pPr>
      <w:bookmarkStart w:id="541" w:name="_Toc497746797"/>
      <w:bookmarkStart w:id="542" w:name="_Toc418518362"/>
      <w:bookmarkStart w:id="543" w:name="_Toc256000196"/>
      <w:bookmarkStart w:id="544" w:name="_Toc418751812"/>
      <w:bookmarkStart w:id="545" w:name="_Toc403578950"/>
      <w:bookmarkStart w:id="546" w:name="_Toc373478363"/>
      <w:bookmarkStart w:id="547" w:name="_Toc418752258"/>
      <w:bookmarkStart w:id="548" w:name="_Toc522201746"/>
      <w:bookmarkStart w:id="549" w:name="_Toc418061327"/>
      <w:bookmarkStart w:id="550" w:name="_Toc373227716"/>
      <w:bookmarkStart w:id="551" w:name="_Toc497747194"/>
      <w:bookmarkStart w:id="552" w:name="_Toc418518126"/>
      <w:bookmarkStart w:id="553" w:name="_Toc389065282"/>
      <w:r>
        <w:rPr>
          <w:rFonts w:hint="eastAsia" w:ascii="宋体" w:cs="宋体"/>
          <w:color w:val="auto"/>
          <w:highlight w:val="none"/>
        </w:rPr>
        <w:t>4.4 商定或确定</w:t>
      </w:r>
      <w:bookmarkEnd w:id="541"/>
      <w:bookmarkEnd w:id="542"/>
      <w:bookmarkEnd w:id="543"/>
      <w:bookmarkEnd w:id="544"/>
      <w:bookmarkEnd w:id="545"/>
      <w:bookmarkEnd w:id="546"/>
      <w:bookmarkEnd w:id="547"/>
      <w:bookmarkEnd w:id="548"/>
      <w:bookmarkEnd w:id="549"/>
      <w:bookmarkEnd w:id="550"/>
      <w:bookmarkEnd w:id="551"/>
      <w:bookmarkEnd w:id="552"/>
      <w:bookmarkEnd w:id="553"/>
    </w:p>
    <w:p w14:paraId="7EB0A5A5">
      <w:pPr>
        <w:pStyle w:val="21"/>
        <w:spacing w:line="380" w:lineRule="exact"/>
        <w:ind w:firstLine="420" w:firstLineChars="200"/>
        <w:rPr>
          <w:rFonts w:ascii="宋体" w:hAnsi="宋体" w:cs="宋体"/>
          <w:color w:val="auto"/>
          <w:szCs w:val="21"/>
          <w:highlight w:val="none"/>
        </w:rPr>
      </w:pPr>
      <w:bookmarkStart w:id="554" w:name="_Toc267251418"/>
      <w:r>
        <w:rPr>
          <w:rFonts w:hint="eastAsia" w:ascii="宋体" w:hAnsi="宋体" w:cs="宋体"/>
          <w:color w:val="auto"/>
          <w:szCs w:val="21"/>
          <w:highlight w:val="none"/>
        </w:rPr>
        <w:t>在发包人和承包人不能通过协商达成一致意见时，发包人授权监理人对以下事项进行确定：</w:t>
      </w:r>
      <w:r>
        <w:rPr>
          <w:rFonts w:hint="eastAsia" w:ascii="宋体" w:hAnsi="宋体" w:cs="宋体"/>
          <w:color w:val="auto"/>
          <w:kern w:val="0"/>
          <w:szCs w:val="21"/>
          <w:highlight w:val="none"/>
          <w:u w:val="single"/>
        </w:rPr>
        <w:t>无</w:t>
      </w:r>
      <w:r>
        <w:rPr>
          <w:rFonts w:hint="eastAsia" w:ascii="宋体" w:hAnsi="宋体" w:cs="宋体"/>
          <w:color w:val="auto"/>
          <w:szCs w:val="21"/>
          <w:highlight w:val="none"/>
        </w:rPr>
        <w:t>；</w:t>
      </w:r>
    </w:p>
    <w:p w14:paraId="5B6072CC">
      <w:pPr>
        <w:pStyle w:val="36"/>
        <w:spacing w:line="380" w:lineRule="exact"/>
        <w:rPr>
          <w:rFonts w:ascii="宋体" w:cs="宋体"/>
          <w:color w:val="auto"/>
          <w:highlight w:val="none"/>
        </w:rPr>
      </w:pPr>
      <w:bookmarkStart w:id="555" w:name="_Toc256000197"/>
      <w:bookmarkStart w:id="556" w:name="_Toc418751813"/>
      <w:bookmarkStart w:id="557" w:name="_Toc497746798"/>
      <w:bookmarkStart w:id="558" w:name="_Toc373227717"/>
      <w:bookmarkStart w:id="559" w:name="_Toc389065283"/>
      <w:bookmarkStart w:id="560" w:name="_Toc522201747"/>
      <w:bookmarkStart w:id="561" w:name="_Toc497747195"/>
      <w:bookmarkStart w:id="562" w:name="_Toc351203637"/>
      <w:bookmarkStart w:id="563" w:name="_Toc418752259"/>
      <w:bookmarkStart w:id="564" w:name="_Toc418061328"/>
      <w:bookmarkStart w:id="565" w:name="_Toc418518127"/>
      <w:bookmarkStart w:id="566" w:name="_Toc403578951"/>
      <w:bookmarkStart w:id="567" w:name="_Toc418518363"/>
      <w:bookmarkStart w:id="568" w:name="_Toc373478364"/>
      <w:r>
        <w:rPr>
          <w:rFonts w:hint="eastAsia" w:ascii="宋体" w:cs="宋体"/>
          <w:color w:val="auto"/>
          <w:highlight w:val="none"/>
        </w:rPr>
        <w:t>5</w:t>
      </w:r>
      <w:bookmarkEnd w:id="554"/>
      <w:bookmarkStart w:id="569" w:name="_Toc296944502"/>
      <w:bookmarkStart w:id="570" w:name="_Toc297120463"/>
      <w:bookmarkStart w:id="571" w:name="_Toc296891203"/>
      <w:bookmarkStart w:id="572" w:name="_Toc297048349"/>
      <w:bookmarkStart w:id="573" w:name="_Toc296347162"/>
      <w:bookmarkStart w:id="574" w:name="_Toc292559367"/>
      <w:bookmarkStart w:id="575" w:name="_Toc296890991"/>
      <w:bookmarkStart w:id="576" w:name="_Toc292559872"/>
      <w:bookmarkStart w:id="577" w:name="_Toc296346664"/>
      <w:bookmarkStart w:id="578" w:name="_Toc296503163"/>
      <w:r>
        <w:rPr>
          <w:rFonts w:hint="eastAsia" w:ascii="宋体" w:cs="宋体"/>
          <w:color w:val="auto"/>
          <w:highlight w:val="none"/>
        </w:rPr>
        <w:t>. 工程质量</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457DB904">
      <w:pPr>
        <w:pStyle w:val="36"/>
        <w:spacing w:line="380" w:lineRule="exact"/>
        <w:ind w:firstLine="422" w:firstLineChars="200"/>
        <w:rPr>
          <w:rFonts w:ascii="宋体" w:cs="宋体"/>
          <w:color w:val="auto"/>
          <w:highlight w:val="none"/>
        </w:rPr>
      </w:pPr>
      <w:bookmarkStart w:id="579" w:name="_Toc403578952"/>
      <w:bookmarkStart w:id="580" w:name="_Toc389065284"/>
      <w:bookmarkStart w:id="581" w:name="_Toc373227718"/>
      <w:bookmarkStart w:id="582" w:name="_Toc497746799"/>
      <w:bookmarkStart w:id="583" w:name="_Toc418518364"/>
      <w:bookmarkStart w:id="584" w:name="_Toc418061329"/>
      <w:bookmarkStart w:id="585" w:name="_Toc373478365"/>
      <w:bookmarkStart w:id="586" w:name="_Toc418518128"/>
      <w:bookmarkStart w:id="587" w:name="_Toc522201748"/>
      <w:bookmarkStart w:id="588" w:name="_Toc418752260"/>
      <w:bookmarkStart w:id="589" w:name="_Toc256000198"/>
      <w:bookmarkStart w:id="590" w:name="_Toc418751814"/>
      <w:bookmarkStart w:id="591" w:name="_Toc497747196"/>
      <w:r>
        <w:rPr>
          <w:rFonts w:hint="eastAsia" w:ascii="宋体" w:cs="宋体"/>
          <w:color w:val="auto"/>
          <w:highlight w:val="none"/>
        </w:rPr>
        <w:t>5.1 质量要求</w:t>
      </w:r>
      <w:bookmarkEnd w:id="579"/>
      <w:bookmarkEnd w:id="580"/>
      <w:bookmarkEnd w:id="581"/>
      <w:bookmarkEnd w:id="582"/>
      <w:bookmarkEnd w:id="583"/>
      <w:bookmarkEnd w:id="584"/>
      <w:bookmarkEnd w:id="585"/>
      <w:bookmarkEnd w:id="586"/>
      <w:bookmarkEnd w:id="587"/>
      <w:bookmarkEnd w:id="588"/>
      <w:bookmarkEnd w:id="589"/>
      <w:bookmarkEnd w:id="590"/>
      <w:bookmarkEnd w:id="591"/>
    </w:p>
    <w:p w14:paraId="0A2A9F57">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5</w:t>
      </w:r>
      <w:bookmarkStart w:id="592" w:name="_Toc312677997"/>
      <w:bookmarkStart w:id="593" w:name="_Toc300934949"/>
      <w:bookmarkStart w:id="594" w:name="_Toc304295527"/>
      <w:bookmarkStart w:id="595" w:name="_Toc303539106"/>
      <w:bookmarkStart w:id="596" w:name="_Toc297123496"/>
      <w:bookmarkStart w:id="597" w:name="_Toc318581164"/>
      <w:bookmarkStart w:id="598" w:name="_Toc297216155"/>
      <w:r>
        <w:rPr>
          <w:rFonts w:hint="eastAsia" w:ascii="宋体" w:hAnsi="宋体" w:cs="宋体"/>
          <w:color w:val="auto"/>
          <w:szCs w:val="21"/>
          <w:highlight w:val="none"/>
        </w:rPr>
        <w:t>.1.1 特殊质量标准和要求：</w:t>
      </w:r>
      <w:r>
        <w:rPr>
          <w:rFonts w:hint="eastAsia" w:ascii="宋体" w:hAnsi="宋体" w:cs="宋体"/>
          <w:color w:val="auto"/>
          <w:szCs w:val="21"/>
          <w:highlight w:val="none"/>
          <w:u w:val="single"/>
        </w:rPr>
        <w:t xml:space="preserve"> 工程质量达到国家验收合格标准 </w:t>
      </w:r>
      <w:r>
        <w:rPr>
          <w:rFonts w:hint="eastAsia" w:ascii="宋体" w:hAnsi="宋体" w:cs="宋体"/>
          <w:color w:val="auto"/>
          <w:szCs w:val="21"/>
          <w:highlight w:val="none"/>
        </w:rPr>
        <w:t>。</w:t>
      </w:r>
    </w:p>
    <w:p w14:paraId="1D8181E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关于工程奖项的约定：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4A2DB3D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5.3 隐蔽工程检查</w:t>
      </w:r>
    </w:p>
    <w:p w14:paraId="50192905">
      <w:pPr>
        <w:pStyle w:val="21"/>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5.3.2承包人提前通知监理人隐蔽工程检查的期限的约定：</w:t>
      </w:r>
      <w:r>
        <w:rPr>
          <w:rFonts w:hint="eastAsia" w:ascii="宋体" w:hAnsi="宋体" w:cs="宋体"/>
          <w:color w:val="auto"/>
          <w:kern w:val="0"/>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cs="宋体"/>
          <w:bCs/>
          <w:color w:val="auto"/>
          <w:szCs w:val="21"/>
          <w:highlight w:val="none"/>
          <w:u w:val="single"/>
        </w:rPr>
        <w:t>。</w:t>
      </w:r>
    </w:p>
    <w:p w14:paraId="5A5F4404">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监理人不能按时进行检查时，应提前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6233848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31A4B164">
      <w:pPr>
        <w:pStyle w:val="36"/>
        <w:spacing w:line="380" w:lineRule="exact"/>
        <w:rPr>
          <w:rFonts w:ascii="宋体" w:cs="宋体"/>
          <w:color w:val="auto"/>
          <w:highlight w:val="none"/>
        </w:rPr>
      </w:pPr>
      <w:bookmarkStart w:id="599" w:name="_Toc522201749"/>
      <w:bookmarkStart w:id="600" w:name="_Toc403578953"/>
      <w:bookmarkStart w:id="601" w:name="_Toc351203638"/>
      <w:bookmarkStart w:id="602" w:name="_Toc256000199"/>
      <w:bookmarkStart w:id="603" w:name="_Toc373227719"/>
      <w:bookmarkStart w:id="604" w:name="_Toc497746800"/>
      <w:bookmarkStart w:id="605" w:name="_Toc418752261"/>
      <w:bookmarkStart w:id="606" w:name="_Toc418061330"/>
      <w:bookmarkStart w:id="607" w:name="_Toc497747197"/>
      <w:bookmarkStart w:id="608" w:name="_Toc418751815"/>
      <w:bookmarkStart w:id="609" w:name="_Toc418518365"/>
      <w:bookmarkStart w:id="610" w:name="_Toc389065285"/>
      <w:bookmarkStart w:id="611" w:name="_Toc418518129"/>
      <w:bookmarkStart w:id="612" w:name="_Toc373478366"/>
      <w:r>
        <w:rPr>
          <w:rFonts w:hint="eastAsia" w:ascii="宋体" w:cs="宋体"/>
          <w:color w:val="auto"/>
          <w:highlight w:val="none"/>
        </w:rPr>
        <w:t>6. 安全文明施工与环境保护</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7F0CB9BE">
      <w:pPr>
        <w:pStyle w:val="36"/>
        <w:spacing w:line="380" w:lineRule="exact"/>
        <w:ind w:firstLine="422" w:firstLineChars="200"/>
        <w:rPr>
          <w:rFonts w:ascii="宋体" w:cs="宋体"/>
          <w:color w:val="auto"/>
          <w:highlight w:val="none"/>
        </w:rPr>
      </w:pPr>
      <w:bookmarkStart w:id="613" w:name="_Toc418752262"/>
      <w:bookmarkStart w:id="614" w:name="_Toc389065286"/>
      <w:bookmarkStart w:id="615" w:name="_Toc256000200"/>
      <w:bookmarkStart w:id="616" w:name="_Toc497746801"/>
      <w:bookmarkStart w:id="617" w:name="_Toc418518366"/>
      <w:bookmarkStart w:id="618" w:name="_Toc418518130"/>
      <w:bookmarkStart w:id="619" w:name="_Toc522201750"/>
      <w:bookmarkStart w:id="620" w:name="_Toc497747198"/>
      <w:bookmarkStart w:id="621" w:name="_Toc418751816"/>
      <w:bookmarkStart w:id="622" w:name="_Toc373478367"/>
      <w:bookmarkStart w:id="623" w:name="_Toc403578954"/>
      <w:bookmarkStart w:id="624" w:name="_Toc418061331"/>
      <w:bookmarkStart w:id="625" w:name="_Toc373227720"/>
      <w:r>
        <w:rPr>
          <w:rFonts w:hint="eastAsia" w:ascii="宋体" w:cs="宋体"/>
          <w:color w:val="auto"/>
          <w:highlight w:val="none"/>
        </w:rPr>
        <w:t>6.1 安全文明施工</w:t>
      </w:r>
      <w:bookmarkEnd w:id="613"/>
      <w:bookmarkEnd w:id="614"/>
      <w:bookmarkEnd w:id="615"/>
      <w:bookmarkEnd w:id="616"/>
      <w:bookmarkEnd w:id="617"/>
      <w:bookmarkEnd w:id="618"/>
      <w:bookmarkEnd w:id="619"/>
      <w:bookmarkEnd w:id="620"/>
      <w:bookmarkEnd w:id="621"/>
      <w:bookmarkEnd w:id="622"/>
      <w:bookmarkEnd w:id="623"/>
      <w:bookmarkEnd w:id="624"/>
      <w:bookmarkEnd w:id="625"/>
    </w:p>
    <w:p w14:paraId="3FD4E8AA">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6.1.1 项目安全生产的达标目标及相应事项的约定：</w:t>
      </w:r>
      <w:r>
        <w:rPr>
          <w:rFonts w:hint="eastAsia" w:ascii="宋体" w:hAnsi="宋体" w:cs="宋体"/>
          <w:color w:val="auto"/>
          <w:szCs w:val="21"/>
          <w:highlight w:val="none"/>
          <w:u w:val="single"/>
        </w:rPr>
        <w:t xml:space="preserve"> 按照国家及地方安全文明施工的有关规定执行 </w:t>
      </w:r>
      <w:r>
        <w:rPr>
          <w:rFonts w:hint="eastAsia" w:ascii="宋体" w:hAnsi="宋体" w:cs="宋体"/>
          <w:color w:val="auto"/>
          <w:szCs w:val="21"/>
          <w:highlight w:val="none"/>
        </w:rPr>
        <w:t>。</w:t>
      </w:r>
    </w:p>
    <w:p w14:paraId="209614B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关于安全文明施工奖项的约定：</w:t>
      </w:r>
      <w:r>
        <w:rPr>
          <w:rFonts w:hint="eastAsia" w:ascii="宋体" w:hAnsi="宋体" w:cs="宋体"/>
          <w:color w:val="auto"/>
          <w:szCs w:val="21"/>
          <w:highlight w:val="none"/>
          <w:u w:val="single"/>
        </w:rPr>
        <w:t xml:space="preserve">  承包人应当负责统一管理施工场地的治安保卫事项，履行合同工程的治安保卫职责  </w:t>
      </w:r>
      <w:r>
        <w:rPr>
          <w:rFonts w:hint="eastAsia" w:ascii="宋体" w:hAnsi="宋体" w:cs="宋体"/>
          <w:color w:val="auto"/>
          <w:szCs w:val="21"/>
          <w:highlight w:val="none"/>
        </w:rPr>
        <w:t>。</w:t>
      </w:r>
    </w:p>
    <w:p w14:paraId="4FACC1E7">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6.1.4 关于治安保卫的特别约定：</w:t>
      </w:r>
      <w:r>
        <w:rPr>
          <w:rFonts w:hint="eastAsia" w:ascii="宋体" w:hAnsi="宋体" w:cs="宋体"/>
          <w:color w:val="auto"/>
          <w:szCs w:val="21"/>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color w:val="auto"/>
          <w:szCs w:val="21"/>
          <w:highlight w:val="none"/>
        </w:rPr>
        <w:t>。</w:t>
      </w:r>
    </w:p>
    <w:p w14:paraId="073A057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关于编制施工场地治安管理计划的约定：</w:t>
      </w:r>
      <w:r>
        <w:rPr>
          <w:rFonts w:hint="eastAsia" w:ascii="宋体" w:hAnsi="宋体" w:cs="宋体"/>
          <w:color w:val="auto"/>
          <w:szCs w:val="21"/>
          <w:highlight w:val="none"/>
          <w:u w:val="single"/>
        </w:rPr>
        <w:t xml:space="preserve">  开工前7天内承包人编制施工场地治安管理计划和突发治安事件紧急预案</w:t>
      </w:r>
      <w:r>
        <w:rPr>
          <w:rFonts w:hint="eastAsia" w:ascii="宋体" w:hAnsi="宋体" w:cs="宋体"/>
          <w:color w:val="auto"/>
          <w:szCs w:val="21"/>
          <w:highlight w:val="none"/>
        </w:rPr>
        <w:t>。</w:t>
      </w:r>
    </w:p>
    <w:p w14:paraId="2AAB6D7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6.1.5 文明施工</w:t>
      </w:r>
    </w:p>
    <w:p w14:paraId="402EC2D1">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合同当事人对文明施工的要求：</w:t>
      </w:r>
      <w:r>
        <w:rPr>
          <w:rFonts w:hint="eastAsia" w:ascii="宋体" w:hAnsi="宋体" w:cs="宋体"/>
          <w:color w:val="auto"/>
          <w:szCs w:val="21"/>
          <w:highlight w:val="none"/>
          <w:u w:val="single"/>
        </w:rPr>
        <w:t>按照国家及地方安全文明施工的有关规定执行</w:t>
      </w:r>
      <w:r>
        <w:rPr>
          <w:rFonts w:hint="eastAsia" w:ascii="宋体" w:hAnsi="宋体" w:cs="宋体"/>
          <w:color w:val="auto"/>
          <w:szCs w:val="21"/>
          <w:highlight w:val="none"/>
        </w:rPr>
        <w:t>。</w:t>
      </w:r>
    </w:p>
    <w:p w14:paraId="2C7992CF">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auto"/>
          <w:kern w:val="0"/>
          <w:highlight w:val="none"/>
        </w:rPr>
      </w:pPr>
      <w:r>
        <w:rPr>
          <w:rFonts w:hint="eastAsia" w:ascii="宋体" w:hAnsi="宋体" w:cs="宋体"/>
          <w:color w:val="auto"/>
          <w:szCs w:val="21"/>
          <w:highlight w:val="none"/>
        </w:rPr>
        <w:t>6.1.6 关于安全文明施工费支付比例和支付期限的约定：</w:t>
      </w:r>
      <w:r>
        <w:rPr>
          <w:rFonts w:hint="eastAsia" w:ascii="宋体" w:hAnsi="宋体" w:cs="宋体"/>
          <w:color w:val="auto"/>
          <w:kern w:val="0"/>
          <w:highlight w:val="none"/>
          <w:u w:val="single"/>
        </w:rPr>
        <w:t>专款专用</w:t>
      </w:r>
      <w:r>
        <w:rPr>
          <w:rFonts w:hint="eastAsia" w:ascii="宋体" w:hAnsi="宋体" w:cs="宋体"/>
          <w:color w:val="auto"/>
          <w:kern w:val="0"/>
          <w:highlight w:val="none"/>
        </w:rPr>
        <w:t>。具体按《广西壮族自治区建筑工程安全防护、文明施工措施费及管理细则》（桂建质〔2006〕22号）和</w:t>
      </w:r>
      <w:r>
        <w:rPr>
          <w:rFonts w:hint="eastAsia" w:ascii="宋体" w:hAnsi="宋体" w:cs="宋体"/>
          <w:color w:val="auto"/>
          <w:szCs w:val="24"/>
          <w:highlight w:val="none"/>
          <w:u w:val="single"/>
        </w:rPr>
        <w:t>桂林市建规[2007]131号文及市建规[2008]224号文</w:t>
      </w:r>
      <w:r>
        <w:rPr>
          <w:rFonts w:hint="eastAsia" w:ascii="宋体" w:hAnsi="宋体" w:cs="宋体"/>
          <w:color w:val="auto"/>
          <w:kern w:val="0"/>
          <w:highlight w:val="none"/>
        </w:rPr>
        <w:t>相关规定执行。</w:t>
      </w:r>
    </w:p>
    <w:p w14:paraId="7E3F2509">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（3）支付约定：</w:t>
      </w:r>
      <w:r>
        <w:rPr>
          <w:rFonts w:hint="eastAsia" w:ascii="宋体" w:hAnsi="宋体" w:cs="宋体"/>
          <w:color w:val="auto"/>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cs="宋体"/>
          <w:color w:val="auto"/>
          <w:szCs w:val="21"/>
          <w:highlight w:val="none"/>
        </w:rPr>
        <w:t xml:space="preserve">  </w:t>
      </w:r>
    </w:p>
    <w:p w14:paraId="0EEBA25F">
      <w:pPr>
        <w:pStyle w:val="50"/>
        <w:spacing w:line="380" w:lineRule="exact"/>
        <w:rPr>
          <w:rFonts w:ascii="宋体" w:hAnsi="宋体" w:cs="宋体"/>
          <w:color w:val="auto"/>
          <w:highlight w:val="none"/>
          <w:u w:val="single"/>
        </w:rPr>
      </w:pPr>
      <w:bookmarkStart w:id="626" w:name="_Toc497746802"/>
      <w:bookmarkStart w:id="627" w:name="_Toc418518131"/>
      <w:bookmarkStart w:id="628" w:name="_Toc403578955"/>
      <w:bookmarkStart w:id="629" w:name="_Toc497747199"/>
      <w:bookmarkStart w:id="630" w:name="_Toc418061332"/>
      <w:bookmarkStart w:id="631" w:name="_Toc373227721"/>
      <w:bookmarkStart w:id="632" w:name="_Toc389065287"/>
      <w:bookmarkStart w:id="633" w:name="_Toc373478368"/>
      <w:bookmarkStart w:id="634" w:name="_Toc418751817"/>
      <w:bookmarkStart w:id="635" w:name="_Toc418752263"/>
      <w:bookmarkStart w:id="636" w:name="_Toc418518367"/>
      <w:r>
        <w:rPr>
          <w:rFonts w:hint="eastAsia" w:ascii="宋体" w:hAnsi="宋体" w:cs="宋体"/>
          <w:color w:val="auto"/>
          <w:highlight w:val="none"/>
        </w:rPr>
        <w:t>6.2职业健康</w:t>
      </w:r>
    </w:p>
    <w:p w14:paraId="6B026AB6">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6.2.3 扬尘防治：严格执行市住建【2016】71号《关于进一步加强全市建筑工地扬尘治理工作的通知》的相关规定。</w:t>
      </w:r>
    </w:p>
    <w:p w14:paraId="212B4A3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6.3 环境保护</w:t>
      </w:r>
      <w:bookmarkEnd w:id="626"/>
      <w:bookmarkEnd w:id="627"/>
      <w:bookmarkEnd w:id="628"/>
      <w:bookmarkEnd w:id="629"/>
      <w:bookmarkEnd w:id="630"/>
      <w:bookmarkEnd w:id="631"/>
      <w:bookmarkEnd w:id="632"/>
      <w:bookmarkEnd w:id="633"/>
      <w:bookmarkEnd w:id="634"/>
      <w:bookmarkEnd w:id="635"/>
      <w:bookmarkEnd w:id="636"/>
      <w:r>
        <w:rPr>
          <w:rFonts w:hint="eastAsia" w:ascii="宋体" w:hAnsi="宋体" w:cs="宋体"/>
          <w:color w:val="auto"/>
          <w:szCs w:val="21"/>
          <w:highlight w:val="none"/>
        </w:rPr>
        <w:t>因施工需要，经发包人批准，由承包人办理有关施工场地交通、环卫和施工噪音管理等手续，费用由承包人负责。</w:t>
      </w:r>
    </w:p>
    <w:p w14:paraId="0E4B4DF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经过城市道路的施工车辆，必须按交警、城管、运输等部门相关规定执行。由于施工车辆造成的道路、环境等污染，其责任和费用均由承包人承担。</w:t>
      </w:r>
    </w:p>
    <w:p w14:paraId="75E89C19">
      <w:pPr>
        <w:pStyle w:val="50"/>
        <w:spacing w:line="380" w:lineRule="exact"/>
        <w:rPr>
          <w:rFonts w:ascii="宋体" w:hAnsi="宋体" w:cs="宋体"/>
          <w:color w:val="auto"/>
          <w:highlight w:val="none"/>
        </w:rPr>
      </w:pPr>
      <w:r>
        <w:rPr>
          <w:rFonts w:hint="eastAsia" w:ascii="宋体" w:hAnsi="宋体" w:cs="宋体"/>
          <w:color w:val="auto"/>
          <w:highlight w:val="none"/>
        </w:rPr>
        <w:t>环保工作的约定：</w:t>
      </w:r>
      <w:r>
        <w:rPr>
          <w:rFonts w:hint="eastAsia" w:ascii="宋体" w:hAnsi="宋体" w:cs="宋体"/>
          <w:color w:val="auto"/>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592"/>
    <w:bookmarkEnd w:id="593"/>
    <w:bookmarkEnd w:id="594"/>
    <w:bookmarkEnd w:id="595"/>
    <w:bookmarkEnd w:id="596"/>
    <w:bookmarkEnd w:id="597"/>
    <w:bookmarkEnd w:id="598"/>
    <w:p w14:paraId="145F63FB">
      <w:pPr>
        <w:pStyle w:val="36"/>
        <w:spacing w:line="380" w:lineRule="exact"/>
        <w:rPr>
          <w:rFonts w:ascii="宋体" w:cs="宋体"/>
          <w:color w:val="auto"/>
          <w:highlight w:val="none"/>
        </w:rPr>
      </w:pPr>
      <w:bookmarkStart w:id="637" w:name="_Toc351203639"/>
      <w:bookmarkStart w:id="638" w:name="_Toc418751818"/>
      <w:bookmarkStart w:id="639" w:name="_Toc522201751"/>
      <w:bookmarkStart w:id="640" w:name="_Toc418061333"/>
      <w:bookmarkStart w:id="641" w:name="_Toc389065288"/>
      <w:bookmarkStart w:id="642" w:name="_Toc418752264"/>
      <w:bookmarkStart w:id="643" w:name="_Toc497746803"/>
      <w:bookmarkStart w:id="644" w:name="_Toc418518132"/>
      <w:bookmarkStart w:id="645" w:name="_Toc373227722"/>
      <w:bookmarkStart w:id="646" w:name="_Toc497747200"/>
      <w:bookmarkStart w:id="647" w:name="_Toc256000201"/>
      <w:bookmarkStart w:id="648" w:name="_Toc418518368"/>
      <w:bookmarkStart w:id="649" w:name="_Toc403578956"/>
      <w:bookmarkStart w:id="650" w:name="_Toc373478369"/>
      <w:r>
        <w:rPr>
          <w:rFonts w:hint="eastAsia" w:ascii="宋体" w:cs="宋体"/>
          <w:color w:val="auto"/>
          <w:highlight w:val="none"/>
        </w:rPr>
        <w:t>7. 工期和进度</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67D412EA">
      <w:pPr>
        <w:pStyle w:val="36"/>
        <w:spacing w:line="380" w:lineRule="exact"/>
        <w:ind w:firstLine="422" w:firstLineChars="200"/>
        <w:rPr>
          <w:rFonts w:ascii="宋体" w:cs="宋体"/>
          <w:color w:val="auto"/>
          <w:highlight w:val="none"/>
        </w:rPr>
      </w:pPr>
      <w:bookmarkStart w:id="651" w:name="_Toc373478370"/>
      <w:bookmarkStart w:id="652" w:name="_Toc418061334"/>
      <w:bookmarkStart w:id="653" w:name="_Toc418518369"/>
      <w:bookmarkStart w:id="654" w:name="_Toc373227723"/>
      <w:bookmarkStart w:id="655" w:name="_Toc497747201"/>
      <w:bookmarkStart w:id="656" w:name="_Toc522201752"/>
      <w:bookmarkStart w:id="657" w:name="_Toc418518133"/>
      <w:bookmarkStart w:id="658" w:name="_Toc256000202"/>
      <w:bookmarkStart w:id="659" w:name="_Toc403578957"/>
      <w:bookmarkStart w:id="660" w:name="_Toc418751819"/>
      <w:bookmarkStart w:id="661" w:name="_Toc389065289"/>
      <w:bookmarkStart w:id="662" w:name="_Toc497746804"/>
      <w:bookmarkStart w:id="663" w:name="_Toc418752265"/>
      <w:r>
        <w:rPr>
          <w:rFonts w:hint="eastAsia" w:ascii="宋体" w:cs="宋体"/>
          <w:color w:val="auto"/>
          <w:highlight w:val="none"/>
        </w:rPr>
        <w:t>7.1 施工组织设计</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09A8227A">
      <w:pPr>
        <w:pStyle w:val="50"/>
        <w:spacing w:line="380" w:lineRule="exact"/>
        <w:rPr>
          <w:rFonts w:ascii="宋体" w:hAnsi="宋体" w:cs="宋体"/>
          <w:color w:val="auto"/>
          <w:highlight w:val="none"/>
          <w:u w:val="single"/>
        </w:rPr>
      </w:pPr>
      <w:r>
        <w:rPr>
          <w:rFonts w:hint="eastAsia" w:ascii="宋体" w:hAnsi="宋体" w:cs="宋体"/>
          <w:color w:val="auto"/>
          <w:highlight w:val="none"/>
        </w:rPr>
        <w:t>7.1.1 合同当事人约定的施工组织设计应包括的其他内容：</w:t>
      </w:r>
      <w:r>
        <w:rPr>
          <w:rFonts w:hint="eastAsia" w:ascii="宋体" w:hAnsi="宋体" w:cs="宋体"/>
          <w:color w:val="auto"/>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14:paraId="61304421">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 xml:space="preserve">7.1.2 </w:t>
      </w:r>
      <w:r>
        <w:rPr>
          <w:rFonts w:hint="eastAsia" w:ascii="宋体" w:hAnsi="宋体" w:cs="宋体"/>
          <w:color w:val="auto"/>
          <w:kern w:val="0"/>
          <w:szCs w:val="21"/>
          <w:highlight w:val="none"/>
        </w:rPr>
        <w:t>施工组织设计的提交和修改</w:t>
      </w:r>
    </w:p>
    <w:p w14:paraId="13E6C953">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承包人提交详细施工组织设计的期限的约定：</w:t>
      </w:r>
      <w:r>
        <w:rPr>
          <w:rFonts w:hint="eastAsia" w:ascii="宋体" w:hAnsi="宋体" w:cs="宋体"/>
          <w:color w:val="auto"/>
          <w:szCs w:val="21"/>
          <w:highlight w:val="none"/>
          <w:u w:val="single"/>
        </w:rPr>
        <w:t xml:space="preserve">  </w:t>
      </w:r>
      <w:r>
        <w:rPr>
          <w:rFonts w:hint="eastAsia" w:ascii="宋体" w:hAnsi="宋体"/>
          <w:color w:val="auto"/>
          <w:szCs w:val="21"/>
          <w:highlight w:val="none"/>
          <w:u w:val="single"/>
        </w:rPr>
        <w:t>合同签订后14天内，最迟不得晚于开工通知载明的开工日期前7天</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C6BDD30">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发包人和监理人在收到详细的施工组织设计后确认或提出修改意见的期限：</w:t>
      </w:r>
      <w:r>
        <w:rPr>
          <w:rFonts w:hint="eastAsia" w:ascii="宋体" w:hAnsi="宋体"/>
          <w:color w:val="auto"/>
          <w:szCs w:val="21"/>
          <w:highlight w:val="none"/>
          <w:u w:val="single"/>
        </w:rPr>
        <w:t>收到施工组织设计后7天内确认或提出修改意见。</w:t>
      </w:r>
    </w:p>
    <w:p w14:paraId="60274C49">
      <w:pPr>
        <w:pStyle w:val="36"/>
        <w:spacing w:line="380" w:lineRule="exact"/>
        <w:ind w:firstLine="422" w:firstLineChars="200"/>
        <w:rPr>
          <w:rFonts w:ascii="宋体" w:cs="宋体"/>
          <w:color w:val="auto"/>
          <w:highlight w:val="none"/>
        </w:rPr>
      </w:pPr>
      <w:bookmarkStart w:id="664" w:name="_Toc418061335"/>
      <w:bookmarkStart w:id="665" w:name="_Toc418518370"/>
      <w:bookmarkStart w:id="666" w:name="_Toc418752266"/>
      <w:bookmarkStart w:id="667" w:name="_Toc418751820"/>
      <w:bookmarkStart w:id="668" w:name="_Toc497746805"/>
      <w:bookmarkStart w:id="669" w:name="_Toc373227724"/>
      <w:bookmarkStart w:id="670" w:name="_Toc403578958"/>
      <w:bookmarkStart w:id="671" w:name="_Toc418518134"/>
      <w:bookmarkStart w:id="672" w:name="_Toc522201753"/>
      <w:bookmarkStart w:id="673" w:name="_Toc373478371"/>
      <w:bookmarkStart w:id="674" w:name="_Toc389065290"/>
      <w:bookmarkStart w:id="675" w:name="_Toc256000203"/>
      <w:bookmarkStart w:id="676" w:name="_Toc497747202"/>
      <w:r>
        <w:rPr>
          <w:rFonts w:hint="eastAsia" w:ascii="宋体" w:cs="宋体"/>
          <w:color w:val="auto"/>
          <w:highlight w:val="none"/>
        </w:rPr>
        <w:t>7</w:t>
      </w:r>
      <w:bookmarkStart w:id="677" w:name="_Toc312678005"/>
      <w:bookmarkStart w:id="678" w:name="_Toc300934966"/>
      <w:bookmarkStart w:id="679" w:name="_Toc297123514"/>
      <w:bookmarkStart w:id="680" w:name="_Toc297216173"/>
      <w:bookmarkStart w:id="681" w:name="_Toc304295541"/>
      <w:bookmarkStart w:id="682" w:name="_Toc303539123"/>
      <w:bookmarkStart w:id="683" w:name="_Toc312677479"/>
      <w:r>
        <w:rPr>
          <w:rFonts w:hint="eastAsia" w:ascii="宋体" w:cs="宋体"/>
          <w:color w:val="auto"/>
          <w:highlight w:val="none"/>
        </w:rPr>
        <w:t>.2 施工进度计划</w:t>
      </w:r>
      <w:bookmarkEnd w:id="664"/>
      <w:bookmarkEnd w:id="665"/>
      <w:bookmarkEnd w:id="666"/>
      <w:bookmarkEnd w:id="667"/>
      <w:bookmarkEnd w:id="668"/>
      <w:bookmarkEnd w:id="669"/>
      <w:bookmarkEnd w:id="670"/>
      <w:bookmarkEnd w:id="671"/>
      <w:bookmarkEnd w:id="672"/>
      <w:bookmarkEnd w:id="673"/>
      <w:bookmarkEnd w:id="674"/>
      <w:bookmarkEnd w:id="675"/>
      <w:bookmarkEnd w:id="676"/>
    </w:p>
    <w:p w14:paraId="3C81DD4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7.2.2 施工进度计划的修订</w:t>
      </w:r>
    </w:p>
    <w:p w14:paraId="707CD201">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（1）发包人和监理人在收到修订的施工进度计划后确认或提出修改意见的期限：</w:t>
      </w:r>
      <w:r>
        <w:rPr>
          <w:rFonts w:hint="eastAsia" w:ascii="宋体" w:hAnsi="宋体" w:cs="宋体"/>
          <w:color w:val="auto"/>
          <w:szCs w:val="21"/>
          <w:highlight w:val="none"/>
          <w:u w:val="single"/>
        </w:rPr>
        <w:t>自监理人收到承包人报送的相关进度计划后 7天内。</w:t>
      </w:r>
      <w:r>
        <w:rPr>
          <w:rFonts w:hint="eastAsia" w:ascii="宋体" w:hAnsi="宋体" w:cs="宋体"/>
          <w:color w:val="auto"/>
          <w:szCs w:val="21"/>
          <w:highlight w:val="none"/>
        </w:rPr>
        <w:t xml:space="preserve"> </w:t>
      </w:r>
    </w:p>
    <w:p w14:paraId="169FF31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（2）承包人编制分阶段或分项施工进度计划和施工方案说明的内容：</w:t>
      </w:r>
      <w:r>
        <w:rPr>
          <w:rFonts w:hint="eastAsia" w:ascii="宋体" w:hAnsi="宋体" w:cs="宋体"/>
          <w:color w:val="auto"/>
          <w:szCs w:val="21"/>
          <w:highlight w:val="none"/>
          <w:u w:val="single"/>
        </w:rPr>
        <w:t>包含但不限于月进度计划、原地面测量方案、不良地基处理方案等。</w:t>
      </w:r>
      <w:r>
        <w:rPr>
          <w:rFonts w:hint="eastAsia" w:ascii="宋体" w:hAnsi="宋体" w:cs="宋体"/>
          <w:color w:val="auto"/>
          <w:szCs w:val="21"/>
          <w:highlight w:val="none"/>
        </w:rPr>
        <w:t xml:space="preserve"> </w:t>
      </w:r>
    </w:p>
    <w:p w14:paraId="65916A18">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 承包人报送分阶段或分项施工进度计划和施工方案说明的期限： </w:t>
      </w:r>
      <w:r>
        <w:rPr>
          <w:rFonts w:hint="eastAsia" w:ascii="宋体" w:hAnsi="宋体" w:cs="宋体"/>
          <w:color w:val="auto"/>
          <w:szCs w:val="21"/>
          <w:highlight w:val="none"/>
          <w:u w:val="single"/>
        </w:rPr>
        <w:t>月进度计划于上月 30 日前提交，分项施工进度计划和施工方案说明应不迟于该分项工程施工前14 天提交。</w:t>
      </w:r>
    </w:p>
    <w:p w14:paraId="1116E8B2">
      <w:pPr>
        <w:pStyle w:val="36"/>
        <w:spacing w:line="380" w:lineRule="exact"/>
        <w:ind w:firstLine="422" w:firstLineChars="200"/>
        <w:rPr>
          <w:rFonts w:ascii="宋体" w:cs="宋体"/>
          <w:color w:val="auto"/>
          <w:highlight w:val="none"/>
        </w:rPr>
      </w:pPr>
      <w:bookmarkStart w:id="684" w:name="_Toc418751821"/>
      <w:bookmarkStart w:id="685" w:name="_Toc373478372"/>
      <w:bookmarkStart w:id="686" w:name="_Toc418518135"/>
      <w:bookmarkStart w:id="687" w:name="_Toc497746806"/>
      <w:bookmarkStart w:id="688" w:name="_Toc522201754"/>
      <w:bookmarkStart w:id="689" w:name="_Toc418752267"/>
      <w:bookmarkStart w:id="690" w:name="_Toc373227725"/>
      <w:bookmarkStart w:id="691" w:name="_Toc418518371"/>
      <w:bookmarkStart w:id="692" w:name="_Toc403578959"/>
      <w:bookmarkStart w:id="693" w:name="_Toc418061336"/>
      <w:bookmarkStart w:id="694" w:name="_Toc389065291"/>
      <w:bookmarkStart w:id="695" w:name="_Toc497747203"/>
      <w:bookmarkStart w:id="696" w:name="_Toc256000204"/>
      <w:r>
        <w:rPr>
          <w:rFonts w:hint="eastAsia" w:ascii="宋体" w:cs="宋体"/>
          <w:color w:val="auto"/>
          <w:highlight w:val="none"/>
        </w:rPr>
        <w:t>7.3 开工</w:t>
      </w:r>
      <w:bookmarkEnd w:id="684"/>
      <w:bookmarkEnd w:id="685"/>
      <w:bookmarkEnd w:id="686"/>
      <w:bookmarkEnd w:id="687"/>
      <w:bookmarkEnd w:id="688"/>
      <w:bookmarkEnd w:id="689"/>
      <w:bookmarkEnd w:id="690"/>
      <w:bookmarkEnd w:id="691"/>
      <w:bookmarkEnd w:id="692"/>
      <w:bookmarkEnd w:id="693"/>
      <w:bookmarkEnd w:id="694"/>
      <w:bookmarkEnd w:id="695"/>
      <w:bookmarkEnd w:id="696"/>
    </w:p>
    <w:p w14:paraId="7FE4215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7.3.1 开工准备</w:t>
      </w:r>
    </w:p>
    <w:p w14:paraId="332BF767">
      <w:pPr>
        <w:pStyle w:val="21"/>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关于承包人提交</w:t>
      </w:r>
      <w:r>
        <w:rPr>
          <w:rFonts w:hint="eastAsia" w:ascii="宋体" w:hAnsi="宋体" w:cs="宋体"/>
          <w:color w:val="auto"/>
          <w:kern w:val="0"/>
          <w:szCs w:val="21"/>
          <w:highlight w:val="none"/>
        </w:rPr>
        <w:t>工程开工报审表的期限：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5C8E7851">
      <w:pPr>
        <w:pStyle w:val="2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关于发包人应完成的其他开工准备工作及期限：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7B387981">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 关于承包人应完成的其他开工准备工作及期限：</w:t>
      </w:r>
      <w:r>
        <w:rPr>
          <w:rFonts w:hint="eastAsia" w:ascii="宋体" w:hAnsi="宋体" w:cs="宋体"/>
          <w:color w:val="auto"/>
          <w:szCs w:val="21"/>
          <w:highlight w:val="none"/>
          <w:u w:val="single"/>
        </w:rPr>
        <w:t xml:space="preserve">   7天   </w:t>
      </w:r>
      <w:r>
        <w:rPr>
          <w:rFonts w:hint="eastAsia" w:ascii="宋体" w:hAnsi="宋体" w:cs="宋体"/>
          <w:color w:val="auto"/>
          <w:szCs w:val="21"/>
          <w:highlight w:val="none"/>
        </w:rPr>
        <w:t>。</w:t>
      </w:r>
    </w:p>
    <w:p w14:paraId="4255A71A">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 开工通知</w:t>
      </w:r>
    </w:p>
    <w:p w14:paraId="2707FFD5">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因发包人原因造成监理人未能在计划开工日期之日起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天内发出开工通知的，承包人有权提出价格调整要求，或者解除合同。</w:t>
      </w:r>
    </w:p>
    <w:bookmarkEnd w:id="677"/>
    <w:bookmarkEnd w:id="678"/>
    <w:bookmarkEnd w:id="679"/>
    <w:bookmarkEnd w:id="680"/>
    <w:bookmarkEnd w:id="681"/>
    <w:bookmarkEnd w:id="682"/>
    <w:bookmarkEnd w:id="683"/>
    <w:p w14:paraId="792A2F48">
      <w:pPr>
        <w:pStyle w:val="36"/>
        <w:spacing w:line="380" w:lineRule="exact"/>
        <w:ind w:firstLine="422" w:firstLineChars="200"/>
        <w:rPr>
          <w:rFonts w:ascii="宋体" w:cs="宋体"/>
          <w:color w:val="auto"/>
          <w:highlight w:val="none"/>
        </w:rPr>
      </w:pPr>
      <w:bookmarkStart w:id="697" w:name="_Toc418518136"/>
      <w:bookmarkStart w:id="698" w:name="_Toc418752268"/>
      <w:bookmarkStart w:id="699" w:name="_Toc373478373"/>
      <w:bookmarkStart w:id="700" w:name="_Toc403578960"/>
      <w:bookmarkStart w:id="701" w:name="_Toc373227726"/>
      <w:bookmarkStart w:id="702" w:name="_Toc522201755"/>
      <w:bookmarkStart w:id="703" w:name="_Toc497746807"/>
      <w:bookmarkStart w:id="704" w:name="_Toc389065292"/>
      <w:bookmarkStart w:id="705" w:name="_Toc418751822"/>
      <w:bookmarkStart w:id="706" w:name="_Toc497747204"/>
      <w:bookmarkStart w:id="707" w:name="_Toc256000205"/>
      <w:bookmarkStart w:id="708" w:name="_Toc418061337"/>
      <w:bookmarkStart w:id="709" w:name="_Toc418518372"/>
      <w:r>
        <w:rPr>
          <w:rFonts w:hint="eastAsia" w:ascii="宋体" w:cs="宋体"/>
          <w:color w:val="auto"/>
          <w:highlight w:val="none"/>
        </w:rPr>
        <w:t>7.4 测量放线</w:t>
      </w:r>
      <w:bookmarkEnd w:id="697"/>
      <w:bookmarkEnd w:id="698"/>
      <w:bookmarkEnd w:id="699"/>
      <w:bookmarkEnd w:id="700"/>
      <w:bookmarkEnd w:id="701"/>
      <w:bookmarkEnd w:id="702"/>
      <w:bookmarkEnd w:id="703"/>
      <w:bookmarkEnd w:id="704"/>
      <w:bookmarkEnd w:id="705"/>
      <w:bookmarkEnd w:id="706"/>
      <w:bookmarkEnd w:id="707"/>
      <w:bookmarkEnd w:id="708"/>
      <w:bookmarkEnd w:id="709"/>
    </w:p>
    <w:p w14:paraId="6719F78C">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7.4.1发包人通过监理人向承包人提供测量基准点、基准线和水准点及其书面资料的期限：</w:t>
      </w:r>
      <w:r>
        <w:rPr>
          <w:rFonts w:hint="eastAsia" w:ascii="宋体" w:hAnsi="宋体" w:cs="宋体"/>
          <w:color w:val="auto"/>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14:paraId="28EDBA59">
      <w:pPr>
        <w:pStyle w:val="36"/>
        <w:spacing w:line="380" w:lineRule="exact"/>
        <w:ind w:firstLine="422" w:firstLineChars="200"/>
        <w:rPr>
          <w:rFonts w:ascii="宋体" w:cs="宋体"/>
          <w:color w:val="auto"/>
          <w:highlight w:val="none"/>
        </w:rPr>
      </w:pPr>
      <w:bookmarkStart w:id="710" w:name="_Toc418752269"/>
      <w:bookmarkStart w:id="711" w:name="_Toc256000206"/>
      <w:bookmarkStart w:id="712" w:name="_Toc497746808"/>
      <w:bookmarkStart w:id="713" w:name="_Toc418061338"/>
      <w:bookmarkStart w:id="714" w:name="_Toc389065293"/>
      <w:bookmarkStart w:id="715" w:name="_Toc522201756"/>
      <w:bookmarkStart w:id="716" w:name="_Toc373227727"/>
      <w:bookmarkStart w:id="717" w:name="_Toc497747205"/>
      <w:bookmarkStart w:id="718" w:name="_Toc418518137"/>
      <w:bookmarkStart w:id="719" w:name="_Toc418751823"/>
      <w:bookmarkStart w:id="720" w:name="_Toc418518373"/>
      <w:bookmarkStart w:id="721" w:name="_Toc373478374"/>
      <w:bookmarkStart w:id="722" w:name="_Toc403578961"/>
      <w:r>
        <w:rPr>
          <w:rFonts w:hint="eastAsia" w:ascii="宋体" w:cs="宋体"/>
          <w:color w:val="auto"/>
          <w:highlight w:val="none"/>
        </w:rPr>
        <w:t>7</w:t>
      </w:r>
      <w:bookmarkStart w:id="723" w:name="_Toc300934968"/>
      <w:bookmarkStart w:id="724" w:name="_Toc297123516"/>
      <w:bookmarkStart w:id="725" w:name="_Toc303539125"/>
      <w:bookmarkStart w:id="726" w:name="_Toc304295546"/>
      <w:bookmarkStart w:id="727" w:name="_Toc312677484"/>
      <w:bookmarkStart w:id="728" w:name="_Toc312678010"/>
      <w:bookmarkStart w:id="729" w:name="_Toc297216175"/>
      <w:r>
        <w:rPr>
          <w:rFonts w:hint="eastAsia" w:ascii="宋体" w:cs="宋体"/>
          <w:color w:val="auto"/>
          <w:highlight w:val="none"/>
        </w:rPr>
        <w:t>.5 工期延误</w:t>
      </w:r>
      <w:bookmarkEnd w:id="710"/>
      <w:bookmarkEnd w:id="711"/>
      <w:bookmarkEnd w:id="712"/>
      <w:bookmarkEnd w:id="713"/>
      <w:bookmarkEnd w:id="714"/>
      <w:bookmarkEnd w:id="715"/>
      <w:bookmarkEnd w:id="716"/>
      <w:bookmarkEnd w:id="717"/>
      <w:bookmarkEnd w:id="718"/>
      <w:bookmarkEnd w:id="719"/>
      <w:bookmarkEnd w:id="720"/>
      <w:bookmarkEnd w:id="721"/>
      <w:bookmarkEnd w:id="722"/>
    </w:p>
    <w:bookmarkEnd w:id="723"/>
    <w:bookmarkEnd w:id="724"/>
    <w:bookmarkEnd w:id="725"/>
    <w:bookmarkEnd w:id="726"/>
    <w:bookmarkEnd w:id="727"/>
    <w:bookmarkEnd w:id="728"/>
    <w:bookmarkEnd w:id="729"/>
    <w:p w14:paraId="3EB66ED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7.5.1 因发包人原因导致工期延误</w:t>
      </w:r>
    </w:p>
    <w:p w14:paraId="54A0D54F">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（7）因发包人原因导致工期延误的其他情形：</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w:t>
      </w:r>
    </w:p>
    <w:p w14:paraId="27A0712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bookmarkStart w:id="730" w:name="_Toc312678012"/>
      <w:bookmarkStart w:id="731" w:name="_Toc312677486"/>
      <w:bookmarkStart w:id="732" w:name="_Toc318581169"/>
      <w:bookmarkStart w:id="733" w:name="_Toc297216177"/>
      <w:bookmarkStart w:id="734" w:name="_Toc300934970"/>
      <w:bookmarkStart w:id="735" w:name="_Toc303539127"/>
      <w:bookmarkStart w:id="736" w:name="_Toc304295548"/>
      <w:bookmarkStart w:id="737" w:name="_Toc297123518"/>
      <w:r>
        <w:rPr>
          <w:rFonts w:hint="eastAsia" w:ascii="宋体" w:hAnsi="宋体" w:cs="宋体"/>
          <w:color w:val="auto"/>
          <w:szCs w:val="21"/>
          <w:highlight w:val="none"/>
        </w:rPr>
        <w:t>.5.2 因承包人原因导致工期延误</w:t>
      </w:r>
    </w:p>
    <w:bookmarkEnd w:id="730"/>
    <w:bookmarkEnd w:id="731"/>
    <w:bookmarkEnd w:id="732"/>
    <w:p w14:paraId="6641FB9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双方约定经监理工程师确认，工期相应顺延的情况：</w:t>
      </w:r>
      <w:r>
        <w:rPr>
          <w:rFonts w:hint="eastAsia" w:ascii="宋体" w:hAnsi="宋体" w:cs="宋体"/>
          <w:color w:val="auto"/>
          <w:szCs w:val="21"/>
          <w:highlight w:val="none"/>
          <w:u w:val="single"/>
        </w:rPr>
        <w:t xml:space="preserve">  非承包人原因导致的工期延误，合同工期相应顺延</w:t>
      </w:r>
      <w:r>
        <w:rPr>
          <w:rFonts w:hint="eastAsia" w:ascii="宋体" w:hAnsi="宋体" w:cs="宋体"/>
          <w:color w:val="auto"/>
          <w:szCs w:val="21"/>
          <w:highlight w:val="none"/>
        </w:rPr>
        <w:t>。</w:t>
      </w:r>
    </w:p>
    <w:p w14:paraId="64D05742">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w:t>
      </w:r>
      <w:bookmarkStart w:id="738" w:name="_Toc318581170"/>
      <w:bookmarkStart w:id="739" w:name="_Toc312678013"/>
      <w:bookmarkStart w:id="740" w:name="_Toc312677487"/>
      <w:r>
        <w:rPr>
          <w:rFonts w:hint="eastAsia" w:ascii="宋体" w:hAnsi="宋体" w:cs="宋体"/>
          <w:color w:val="auto"/>
          <w:szCs w:val="21"/>
          <w:highlight w:val="none"/>
        </w:rPr>
        <w:t>承包人原因造成工期延误，逾期竣工违约金的计算方法为：</w:t>
      </w:r>
      <w:r>
        <w:rPr>
          <w:rFonts w:hint="eastAsia" w:ascii="宋体" w:hAnsi="宋体" w:cs="宋体"/>
          <w:color w:val="auto"/>
          <w:szCs w:val="21"/>
          <w:highlight w:val="none"/>
          <w:u w:val="single"/>
        </w:rPr>
        <w:t xml:space="preserve">非上述原因，承包人不能按合同约定的时间竣工，承包人应承担违约责任，并应向发包人支付误期赔偿费（每天赔偿金额为合同价款扣除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733"/>
    <w:bookmarkEnd w:id="734"/>
    <w:bookmarkEnd w:id="735"/>
    <w:bookmarkEnd w:id="736"/>
    <w:bookmarkEnd w:id="737"/>
    <w:bookmarkEnd w:id="738"/>
    <w:bookmarkEnd w:id="739"/>
    <w:bookmarkEnd w:id="740"/>
    <w:p w14:paraId="36052D6D">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因承包人原因造成工期延误，逾</w:t>
      </w:r>
      <w:bookmarkStart w:id="741" w:name="_Toc318581171"/>
      <w:bookmarkStart w:id="742" w:name="_Toc312678014"/>
      <w:r>
        <w:rPr>
          <w:rFonts w:hint="eastAsia" w:ascii="宋体" w:hAnsi="宋体" w:cs="宋体"/>
          <w:color w:val="auto"/>
          <w:szCs w:val="21"/>
          <w:highlight w:val="none"/>
        </w:rPr>
        <w:t>期竣工违约金的上限：</w:t>
      </w:r>
      <w:r>
        <w:rPr>
          <w:rFonts w:hint="eastAsia" w:ascii="宋体" w:hAnsi="宋体" w:cs="宋体"/>
          <w:color w:val="auto"/>
          <w:szCs w:val="21"/>
          <w:highlight w:val="none"/>
          <w:u w:val="single"/>
          <w:lang w:eastAsia="zh-CN"/>
        </w:rPr>
        <w:t>结算</w:t>
      </w:r>
      <w:r>
        <w:rPr>
          <w:rFonts w:hint="default" w:ascii="宋体" w:hAnsi="宋体" w:cs="宋体"/>
          <w:color w:val="auto"/>
          <w:szCs w:val="21"/>
          <w:highlight w:val="none"/>
          <w:u w:val="single"/>
          <w:lang w:val="en-US" w:eastAsia="zh-CN"/>
        </w:rPr>
        <w:t>总</w:t>
      </w:r>
      <w:r>
        <w:rPr>
          <w:rFonts w:hint="eastAsia" w:ascii="宋体" w:hAnsi="宋体" w:cs="宋体"/>
          <w:color w:val="auto"/>
          <w:szCs w:val="21"/>
          <w:highlight w:val="none"/>
          <w:u w:val="single"/>
        </w:rPr>
        <w:t>价的3%</w:t>
      </w:r>
      <w:r>
        <w:rPr>
          <w:rFonts w:hint="eastAsia" w:ascii="宋体" w:hAnsi="宋体" w:cs="宋体"/>
          <w:color w:val="auto"/>
          <w:szCs w:val="21"/>
          <w:highlight w:val="none"/>
        </w:rPr>
        <w:t>。</w:t>
      </w:r>
    </w:p>
    <w:bookmarkEnd w:id="741"/>
    <w:bookmarkEnd w:id="742"/>
    <w:p w14:paraId="09FD10FF">
      <w:pPr>
        <w:pStyle w:val="36"/>
        <w:spacing w:line="380" w:lineRule="exact"/>
        <w:ind w:firstLine="422" w:firstLineChars="200"/>
        <w:rPr>
          <w:rFonts w:ascii="宋体" w:cs="宋体"/>
          <w:color w:val="auto"/>
          <w:highlight w:val="none"/>
        </w:rPr>
      </w:pPr>
      <w:bookmarkStart w:id="743" w:name="_Toc522201757"/>
      <w:bookmarkStart w:id="744" w:name="_Toc418752270"/>
      <w:bookmarkStart w:id="745" w:name="_Toc373478375"/>
      <w:bookmarkStart w:id="746" w:name="_Toc389065294"/>
      <w:bookmarkStart w:id="747" w:name="_Toc497746809"/>
      <w:bookmarkStart w:id="748" w:name="_Toc256000207"/>
      <w:bookmarkStart w:id="749" w:name="_Toc418518374"/>
      <w:bookmarkStart w:id="750" w:name="_Toc418751824"/>
      <w:bookmarkStart w:id="751" w:name="_Toc497747206"/>
      <w:bookmarkStart w:id="752" w:name="_Toc418518138"/>
      <w:bookmarkStart w:id="753" w:name="_Toc403578962"/>
      <w:bookmarkStart w:id="754" w:name="_Toc373227728"/>
      <w:bookmarkStart w:id="755" w:name="_Toc418061339"/>
      <w:r>
        <w:rPr>
          <w:rFonts w:hint="eastAsia" w:ascii="宋体" w:cs="宋体"/>
          <w:color w:val="auto"/>
          <w:highlight w:val="none"/>
        </w:rPr>
        <w:t>7</w:t>
      </w:r>
      <w:bookmarkStart w:id="756" w:name="_Toc304295549"/>
      <w:bookmarkStart w:id="757" w:name="_Toc297123519"/>
      <w:bookmarkStart w:id="758" w:name="_Toc300934971"/>
      <w:bookmarkStart w:id="759" w:name="_Toc297216178"/>
      <w:bookmarkStart w:id="760" w:name="_Toc303539128"/>
      <w:bookmarkStart w:id="761" w:name="_Toc312678015"/>
      <w:r>
        <w:rPr>
          <w:rFonts w:hint="eastAsia" w:ascii="宋体" w:cs="宋体"/>
          <w:color w:val="auto"/>
          <w:highlight w:val="none"/>
        </w:rPr>
        <w:t>.6 不</w:t>
      </w:r>
      <w:bookmarkEnd w:id="756"/>
      <w:bookmarkEnd w:id="757"/>
      <w:bookmarkEnd w:id="758"/>
      <w:bookmarkEnd w:id="759"/>
      <w:bookmarkEnd w:id="760"/>
      <w:bookmarkEnd w:id="761"/>
      <w:r>
        <w:rPr>
          <w:rFonts w:hint="eastAsia" w:ascii="宋体" w:cs="宋体"/>
          <w:color w:val="auto"/>
          <w:highlight w:val="none"/>
        </w:rPr>
        <w:t>利物质条件</w:t>
      </w:r>
      <w:bookmarkEnd w:id="743"/>
      <w:bookmarkEnd w:id="744"/>
      <w:bookmarkEnd w:id="745"/>
      <w:bookmarkEnd w:id="746"/>
      <w:bookmarkEnd w:id="747"/>
      <w:bookmarkEnd w:id="748"/>
      <w:bookmarkEnd w:id="749"/>
      <w:bookmarkEnd w:id="750"/>
      <w:bookmarkEnd w:id="751"/>
      <w:bookmarkEnd w:id="752"/>
      <w:bookmarkEnd w:id="753"/>
      <w:bookmarkEnd w:id="754"/>
      <w:bookmarkEnd w:id="755"/>
    </w:p>
    <w:p w14:paraId="5C855950">
      <w:pPr>
        <w:pStyle w:val="21"/>
        <w:spacing w:line="380" w:lineRule="exact"/>
        <w:ind w:firstLine="420" w:firstLineChars="200"/>
        <w:jc w:val="left"/>
        <w:rPr>
          <w:rFonts w:ascii="宋体" w:hAnsi="宋体" w:cs="宋体"/>
          <w:color w:val="auto"/>
          <w:szCs w:val="21"/>
          <w:highlight w:val="none"/>
          <w:u w:val="single"/>
        </w:rPr>
      </w:pPr>
      <w:bookmarkStart w:id="762" w:name="_Toc312678016"/>
      <w:bookmarkStart w:id="763" w:name="_Toc303539129"/>
      <w:bookmarkStart w:id="764" w:name="_Toc297216179"/>
      <w:bookmarkStart w:id="765" w:name="_Toc297123520"/>
      <w:bookmarkStart w:id="766" w:name="_Toc300934972"/>
      <w:bookmarkStart w:id="767" w:name="_Toc304295550"/>
      <w:bookmarkStart w:id="768" w:name="_Toc318581172"/>
      <w:r>
        <w:rPr>
          <w:rFonts w:hint="eastAsia" w:ascii="宋体" w:hAnsi="宋体" w:cs="宋体"/>
          <w:color w:val="auto"/>
          <w:szCs w:val="21"/>
          <w:highlight w:val="none"/>
        </w:rPr>
        <w:t>不利物质条件的其他情形和有关约定：</w:t>
      </w:r>
      <w:r>
        <w:rPr>
          <w:rFonts w:hint="eastAsia" w:ascii="宋体" w:hAnsi="宋体" w:cs="宋体"/>
          <w:color w:val="auto"/>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cs="宋体"/>
          <w:color w:val="auto"/>
          <w:szCs w:val="21"/>
          <w:highlight w:val="none"/>
        </w:rPr>
        <w:t>。</w:t>
      </w:r>
    </w:p>
    <w:bookmarkEnd w:id="762"/>
    <w:bookmarkEnd w:id="763"/>
    <w:bookmarkEnd w:id="764"/>
    <w:bookmarkEnd w:id="765"/>
    <w:bookmarkEnd w:id="766"/>
    <w:bookmarkEnd w:id="767"/>
    <w:bookmarkEnd w:id="768"/>
    <w:p w14:paraId="2DC10C54">
      <w:pPr>
        <w:pStyle w:val="36"/>
        <w:spacing w:line="380" w:lineRule="exact"/>
        <w:ind w:firstLine="422" w:firstLineChars="200"/>
        <w:rPr>
          <w:rFonts w:ascii="宋体" w:cs="宋体"/>
          <w:color w:val="auto"/>
          <w:highlight w:val="none"/>
        </w:rPr>
      </w:pPr>
      <w:bookmarkStart w:id="769" w:name="_Toc418752271"/>
      <w:bookmarkStart w:id="770" w:name="_Toc373227729"/>
      <w:bookmarkStart w:id="771" w:name="_Toc389065295"/>
      <w:bookmarkStart w:id="772" w:name="_Toc256000208"/>
      <w:bookmarkStart w:id="773" w:name="_Toc418751825"/>
      <w:bookmarkStart w:id="774" w:name="_Toc497747207"/>
      <w:bookmarkStart w:id="775" w:name="_Toc497746810"/>
      <w:bookmarkStart w:id="776" w:name="_Toc403578963"/>
      <w:bookmarkStart w:id="777" w:name="_Toc418518375"/>
      <w:bookmarkStart w:id="778" w:name="_Toc522201758"/>
      <w:bookmarkStart w:id="779" w:name="_Toc373478376"/>
      <w:bookmarkStart w:id="780" w:name="_Toc418061340"/>
      <w:bookmarkStart w:id="781" w:name="_Toc418518139"/>
      <w:r>
        <w:rPr>
          <w:rFonts w:hint="eastAsia" w:ascii="宋体" w:cs="宋体"/>
          <w:color w:val="auto"/>
          <w:highlight w:val="none"/>
        </w:rPr>
        <w:t>7</w:t>
      </w:r>
      <w:bookmarkStart w:id="782" w:name="_Toc304295551"/>
      <w:bookmarkStart w:id="783" w:name="_Toc303539130"/>
      <w:bookmarkStart w:id="784" w:name="_Toc312678017"/>
      <w:bookmarkStart w:id="785" w:name="_Toc300934973"/>
      <w:bookmarkStart w:id="786" w:name="_Toc297216180"/>
      <w:bookmarkStart w:id="787" w:name="_Toc297123521"/>
      <w:r>
        <w:rPr>
          <w:rFonts w:hint="eastAsia" w:ascii="宋体" w:cs="宋体"/>
          <w:color w:val="auto"/>
          <w:highlight w:val="none"/>
        </w:rPr>
        <w:t>.7 异常恶劣的气候条件</w:t>
      </w:r>
      <w:bookmarkEnd w:id="769"/>
      <w:bookmarkEnd w:id="770"/>
      <w:bookmarkEnd w:id="771"/>
      <w:bookmarkEnd w:id="772"/>
      <w:bookmarkEnd w:id="773"/>
      <w:bookmarkEnd w:id="774"/>
      <w:bookmarkEnd w:id="775"/>
      <w:bookmarkEnd w:id="776"/>
      <w:bookmarkEnd w:id="777"/>
      <w:bookmarkEnd w:id="778"/>
      <w:bookmarkEnd w:id="779"/>
      <w:bookmarkEnd w:id="780"/>
      <w:bookmarkEnd w:id="781"/>
    </w:p>
    <w:bookmarkEnd w:id="782"/>
    <w:bookmarkEnd w:id="783"/>
    <w:bookmarkEnd w:id="784"/>
    <w:bookmarkEnd w:id="785"/>
    <w:bookmarkEnd w:id="786"/>
    <w:bookmarkEnd w:id="787"/>
    <w:p w14:paraId="2A35B85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发包人和承包人同意以下情形视为异常恶劣的气候条件：</w:t>
      </w:r>
    </w:p>
    <w:p w14:paraId="62D5473E">
      <w:pPr>
        <w:pStyle w:val="21"/>
        <w:spacing w:line="380" w:lineRule="exact"/>
        <w:ind w:firstLine="420" w:firstLineChars="200"/>
        <w:rPr>
          <w:rFonts w:ascii="宋体" w:hAnsi="宋体" w:cs="宋体"/>
          <w:color w:val="auto"/>
          <w:szCs w:val="21"/>
          <w:highlight w:val="none"/>
          <w:u w:val="single"/>
        </w:rPr>
      </w:pPr>
      <w:bookmarkStart w:id="788" w:name="_Toc418752272"/>
      <w:bookmarkStart w:id="789" w:name="_Toc403578964"/>
      <w:bookmarkStart w:id="790" w:name="_Toc418751826"/>
      <w:bookmarkStart w:id="791" w:name="_Toc373227730"/>
      <w:bookmarkStart w:id="792" w:name="_Toc497746811"/>
      <w:bookmarkStart w:id="793" w:name="_Toc497747208"/>
      <w:bookmarkStart w:id="794" w:name="_Toc373478377"/>
      <w:bookmarkStart w:id="795" w:name="_Toc418061341"/>
      <w:bookmarkStart w:id="796" w:name="_Toc389065296"/>
      <w:bookmarkStart w:id="797" w:name="_Toc418518376"/>
      <w:bookmarkStart w:id="798" w:name="_Toc418518140"/>
      <w:r>
        <w:rPr>
          <w:rFonts w:hint="eastAsia" w:ascii="宋体" w:hAnsi="宋体" w:cs="宋体"/>
          <w:color w:val="auto"/>
          <w:szCs w:val="21"/>
          <w:highlight w:val="none"/>
        </w:rPr>
        <w:t>（1）</w:t>
      </w:r>
      <w:r>
        <w:rPr>
          <w:rFonts w:hint="eastAsia" w:ascii="宋体" w:hAnsi="宋体" w:cs="宋体"/>
          <w:color w:val="auto"/>
          <w:szCs w:val="21"/>
          <w:highlight w:val="none"/>
          <w:u w:val="single"/>
        </w:rPr>
        <w:t>10级以上持续1天的大风；</w:t>
      </w:r>
    </w:p>
    <w:p w14:paraId="607D2639">
      <w:pPr>
        <w:pStyle w:val="21"/>
        <w:numPr>
          <w:ilvl w:val="0"/>
          <w:numId w:val="3"/>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暴雨级以上持续2天的大雨；</w:t>
      </w:r>
    </w:p>
    <w:p w14:paraId="6A9E1F44">
      <w:pPr>
        <w:pStyle w:val="21"/>
        <w:numPr>
          <w:ilvl w:val="0"/>
          <w:numId w:val="3"/>
        </w:numPr>
        <w:spacing w:line="38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当地6级以上的破坏性地震；</w:t>
      </w:r>
    </w:p>
    <w:p w14:paraId="5E53D9E5">
      <w:pPr>
        <w:pStyle w:val="21"/>
        <w:numPr>
          <w:ilvl w:val="0"/>
          <w:numId w:val="3"/>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50年以上未发生过的持续2天的高温天气；</w:t>
      </w:r>
    </w:p>
    <w:p w14:paraId="766CDEA8">
      <w:pPr>
        <w:pStyle w:val="21"/>
        <w:numPr>
          <w:ilvl w:val="0"/>
          <w:numId w:val="3"/>
        </w:num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50年以上未发生的持续2天的低温天气。</w:t>
      </w:r>
    </w:p>
    <w:p w14:paraId="5BCF9A79">
      <w:pPr>
        <w:pStyle w:val="21"/>
        <w:spacing w:line="38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14:paraId="45ACDBA0">
      <w:pPr>
        <w:pStyle w:val="21"/>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7.8暂停施工</w:t>
      </w:r>
    </w:p>
    <w:p w14:paraId="681C0EF6">
      <w:pPr>
        <w:pStyle w:val="50"/>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7.8.2承包人原因引起的暂停施工</w:t>
      </w:r>
    </w:p>
    <w:p w14:paraId="6BC96C2B">
      <w:pPr>
        <w:pStyle w:val="21"/>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14:paraId="304B8913">
      <w:pPr>
        <w:pStyle w:val="50"/>
        <w:spacing w:line="380" w:lineRule="exact"/>
        <w:rPr>
          <w:rFonts w:ascii="宋体" w:hAnsi="宋体" w:cs="宋体"/>
          <w:color w:val="auto"/>
          <w:highlight w:val="none"/>
          <w:u w:val="single"/>
        </w:rPr>
      </w:pPr>
      <w:r>
        <w:rPr>
          <w:rFonts w:hint="eastAsia" w:ascii="宋体" w:hAnsi="宋体" w:cs="宋体"/>
          <w:color w:val="auto"/>
          <w:highlight w:val="none"/>
          <w:u w:val="single"/>
        </w:rPr>
        <w:t>因承包人责任暂停施工延误施工时机而导致遭遇不利条件物质条件和异常恶劣的气候条件、不可抗力造成的工期延误和费用增加由承包人承担。</w:t>
      </w:r>
    </w:p>
    <w:p w14:paraId="5ED05EB0">
      <w:pPr>
        <w:pStyle w:val="50"/>
        <w:spacing w:line="380" w:lineRule="exact"/>
        <w:ind w:firstLine="0" w:firstLineChars="0"/>
        <w:rPr>
          <w:rFonts w:ascii="宋体" w:hAnsi="宋体" w:cs="宋体"/>
          <w:b/>
          <w:color w:val="auto"/>
          <w:highlight w:val="none"/>
        </w:rPr>
      </w:pPr>
      <w:r>
        <w:rPr>
          <w:rFonts w:hint="eastAsia" w:ascii="宋体" w:hAnsi="宋体" w:cs="宋体"/>
          <w:b/>
          <w:color w:val="auto"/>
          <w:highlight w:val="none"/>
        </w:rPr>
        <w:t>7.8.5暂停施工后的复工</w:t>
      </w:r>
    </w:p>
    <w:p w14:paraId="5687F9E5">
      <w:pPr>
        <w:pStyle w:val="50"/>
        <w:spacing w:line="380" w:lineRule="exact"/>
        <w:rPr>
          <w:rFonts w:ascii="宋体" w:hAnsi="宋体" w:cs="宋体"/>
          <w:color w:val="auto"/>
          <w:highlight w:val="none"/>
        </w:rPr>
      </w:pPr>
      <w:r>
        <w:rPr>
          <w:rFonts w:hint="eastAsia" w:ascii="宋体" w:hAnsi="宋体" w:cs="宋体"/>
          <w:color w:val="auto"/>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0F9F001">
      <w:pPr>
        <w:pStyle w:val="36"/>
        <w:spacing w:line="380" w:lineRule="exact"/>
        <w:ind w:firstLine="422" w:firstLineChars="200"/>
        <w:rPr>
          <w:rFonts w:ascii="宋体" w:cs="宋体"/>
          <w:color w:val="auto"/>
          <w:highlight w:val="none"/>
        </w:rPr>
      </w:pPr>
      <w:bookmarkStart w:id="799" w:name="_Toc522201759"/>
      <w:bookmarkStart w:id="800" w:name="_Toc256000209"/>
      <w:r>
        <w:rPr>
          <w:rFonts w:hint="eastAsia" w:ascii="宋体" w:cs="宋体"/>
          <w:color w:val="auto"/>
          <w:highlight w:val="none"/>
        </w:rPr>
        <w:t>7.9 提前竣工</w:t>
      </w:r>
      <w:bookmarkEnd w:id="788"/>
      <w:bookmarkEnd w:id="789"/>
      <w:bookmarkEnd w:id="790"/>
      <w:bookmarkEnd w:id="791"/>
      <w:bookmarkEnd w:id="792"/>
      <w:bookmarkEnd w:id="793"/>
      <w:bookmarkEnd w:id="794"/>
      <w:bookmarkEnd w:id="795"/>
      <w:bookmarkEnd w:id="796"/>
      <w:bookmarkEnd w:id="797"/>
      <w:bookmarkEnd w:id="798"/>
      <w:bookmarkEnd w:id="799"/>
      <w:bookmarkEnd w:id="800"/>
    </w:p>
    <w:p w14:paraId="24A460F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7.9.2提前竣工的奖励：</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949229D">
      <w:pPr>
        <w:pStyle w:val="36"/>
        <w:numPr>
          <w:ilvl w:val="0"/>
          <w:numId w:val="1"/>
        </w:numPr>
        <w:spacing w:line="380" w:lineRule="exact"/>
        <w:rPr>
          <w:rFonts w:ascii="宋体" w:cs="宋体"/>
          <w:color w:val="auto"/>
          <w:highlight w:val="none"/>
        </w:rPr>
      </w:pPr>
      <w:bookmarkStart w:id="801" w:name="_Toc351203640"/>
      <w:bookmarkStart w:id="802" w:name="_Toc522201760"/>
      <w:bookmarkStart w:id="803" w:name="_Toc389065297"/>
      <w:bookmarkStart w:id="804" w:name="_Toc256000210"/>
      <w:bookmarkStart w:id="805" w:name="_Toc418752273"/>
      <w:bookmarkStart w:id="806" w:name="_Toc373478378"/>
      <w:bookmarkStart w:id="807" w:name="_Toc418061342"/>
      <w:bookmarkStart w:id="808" w:name="_Toc497746812"/>
      <w:bookmarkStart w:id="809" w:name="_Toc497747209"/>
      <w:bookmarkStart w:id="810" w:name="_Toc418751827"/>
      <w:bookmarkStart w:id="811" w:name="_Toc418518141"/>
      <w:bookmarkStart w:id="812" w:name="_Toc403578965"/>
      <w:bookmarkStart w:id="813" w:name="_Toc373227731"/>
      <w:bookmarkStart w:id="814" w:name="_Toc418518377"/>
      <w:r>
        <w:rPr>
          <w:rFonts w:hint="eastAsia" w:ascii="宋体" w:cs="宋体"/>
          <w:color w:val="auto"/>
          <w:highlight w:val="none"/>
        </w:rPr>
        <w:t>材料与设备</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177F3D1">
      <w:pPr>
        <w:pStyle w:val="50"/>
        <w:spacing w:line="380" w:lineRule="exact"/>
        <w:rPr>
          <w:rFonts w:ascii="宋体" w:hAnsi="宋体" w:cs="宋体"/>
          <w:color w:val="auto"/>
          <w:highlight w:val="none"/>
        </w:rPr>
      </w:pPr>
      <w:r>
        <w:rPr>
          <w:rFonts w:ascii="宋体" w:hAnsi="宋体" w:cs="宋体"/>
          <w:color w:val="auto"/>
          <w:highlight w:val="none"/>
        </w:rPr>
        <w:t>承包人采购材料和设备的约定：</w:t>
      </w:r>
    </w:p>
    <w:bookmarkEnd w:id="569"/>
    <w:bookmarkEnd w:id="570"/>
    <w:bookmarkEnd w:id="571"/>
    <w:bookmarkEnd w:id="572"/>
    <w:bookmarkEnd w:id="573"/>
    <w:bookmarkEnd w:id="574"/>
    <w:bookmarkEnd w:id="575"/>
    <w:bookmarkEnd w:id="576"/>
    <w:bookmarkEnd w:id="577"/>
    <w:bookmarkEnd w:id="578"/>
    <w:p w14:paraId="48117047">
      <w:pPr>
        <w:pStyle w:val="36"/>
        <w:spacing w:line="380" w:lineRule="exact"/>
        <w:ind w:firstLine="422" w:firstLineChars="200"/>
        <w:rPr>
          <w:rFonts w:ascii="宋体" w:cs="宋体"/>
          <w:color w:val="auto"/>
          <w:highlight w:val="none"/>
        </w:rPr>
      </w:pPr>
      <w:bookmarkStart w:id="815" w:name="_Toc389065298"/>
      <w:bookmarkStart w:id="816" w:name="_Toc418061343"/>
      <w:bookmarkStart w:id="817" w:name="_Toc497747210"/>
      <w:bookmarkStart w:id="818" w:name="_Toc497746813"/>
      <w:bookmarkStart w:id="819" w:name="_Toc418751828"/>
      <w:bookmarkStart w:id="820" w:name="_Toc418518142"/>
      <w:bookmarkStart w:id="821" w:name="_Toc418752274"/>
      <w:bookmarkStart w:id="822" w:name="_Toc373227732"/>
      <w:bookmarkStart w:id="823" w:name="_Toc403578966"/>
      <w:bookmarkStart w:id="824" w:name="_Toc256000211"/>
      <w:bookmarkStart w:id="825" w:name="_Toc373478379"/>
      <w:bookmarkStart w:id="826" w:name="_Toc522201761"/>
      <w:bookmarkStart w:id="827" w:name="_Toc418518378"/>
      <w:r>
        <w:rPr>
          <w:rFonts w:hint="eastAsia" w:ascii="宋体" w:cs="宋体"/>
          <w:color w:val="auto"/>
          <w:highlight w:val="none"/>
        </w:rPr>
        <w:t>8.2 承包人采购材料与工程设备</w:t>
      </w:r>
      <w:bookmarkEnd w:id="815"/>
      <w:bookmarkEnd w:id="816"/>
      <w:bookmarkEnd w:id="817"/>
      <w:bookmarkEnd w:id="818"/>
      <w:bookmarkEnd w:id="819"/>
      <w:bookmarkEnd w:id="820"/>
      <w:bookmarkEnd w:id="821"/>
      <w:bookmarkEnd w:id="822"/>
      <w:bookmarkEnd w:id="823"/>
      <w:bookmarkEnd w:id="824"/>
      <w:bookmarkEnd w:id="825"/>
      <w:bookmarkEnd w:id="826"/>
      <w:bookmarkEnd w:id="827"/>
    </w:p>
    <w:p w14:paraId="0D40AB9C">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cs="宋体"/>
          <w:color w:val="auto"/>
          <w:szCs w:val="21"/>
          <w:highlight w:val="none"/>
        </w:rPr>
        <w:t>承包人提供主要材料和工程设备一览表》</w:t>
      </w:r>
      <w:r>
        <w:rPr>
          <w:rFonts w:hint="eastAsia" w:ascii="宋体" w:hAnsi="宋体" w:cs="宋体"/>
          <w:color w:val="auto"/>
          <w:kern w:val="0"/>
          <w:szCs w:val="21"/>
          <w:highlight w:val="none"/>
        </w:rPr>
        <w:t>（表-22）见已标价工程量清单。</w:t>
      </w:r>
    </w:p>
    <w:p w14:paraId="548E4892">
      <w:pPr>
        <w:pStyle w:val="36"/>
        <w:spacing w:line="380" w:lineRule="exact"/>
        <w:ind w:firstLine="422" w:firstLineChars="200"/>
        <w:rPr>
          <w:rFonts w:ascii="宋体" w:cs="宋体"/>
          <w:color w:val="auto"/>
          <w:highlight w:val="none"/>
        </w:rPr>
      </w:pPr>
      <w:bookmarkStart w:id="828" w:name="_Toc373227733"/>
      <w:bookmarkStart w:id="829" w:name="_Toc256000212"/>
      <w:bookmarkStart w:id="830" w:name="_Toc418518379"/>
      <w:bookmarkStart w:id="831" w:name="_Toc497747211"/>
      <w:bookmarkStart w:id="832" w:name="_Toc418518143"/>
      <w:bookmarkStart w:id="833" w:name="_Toc389065299"/>
      <w:bookmarkStart w:id="834" w:name="_Toc522201762"/>
      <w:bookmarkStart w:id="835" w:name="_Toc418752275"/>
      <w:bookmarkStart w:id="836" w:name="_Toc497746814"/>
      <w:bookmarkStart w:id="837" w:name="_Toc418751829"/>
      <w:bookmarkStart w:id="838" w:name="_Toc418061344"/>
      <w:bookmarkStart w:id="839" w:name="_Toc373478380"/>
      <w:bookmarkStart w:id="840" w:name="_Toc403578967"/>
      <w:r>
        <w:rPr>
          <w:rFonts w:hint="eastAsia" w:ascii="宋体" w:cs="宋体"/>
          <w:color w:val="auto"/>
          <w:highlight w:val="none"/>
        </w:rPr>
        <w:t>8</w:t>
      </w:r>
      <w:bookmarkStart w:id="841" w:name="_Toc297216186"/>
      <w:bookmarkStart w:id="842" w:name="_Toc296503167"/>
      <w:bookmarkStart w:id="843" w:name="_Toc297048353"/>
      <w:bookmarkStart w:id="844" w:name="_Toc296891207"/>
      <w:bookmarkStart w:id="845" w:name="_Toc312677493"/>
      <w:bookmarkStart w:id="846" w:name="_Toc292559372"/>
      <w:bookmarkStart w:id="847" w:name="_Toc303539136"/>
      <w:bookmarkStart w:id="848" w:name="_Toc300934979"/>
      <w:bookmarkStart w:id="849" w:name="_Toc280868654"/>
      <w:bookmarkStart w:id="850" w:name="_Toc292559877"/>
      <w:bookmarkStart w:id="851" w:name="_Toc304295556"/>
      <w:bookmarkStart w:id="852" w:name="_Toc296346668"/>
      <w:bookmarkStart w:id="853" w:name="_Toc296890995"/>
      <w:bookmarkStart w:id="854" w:name="_Toc297123527"/>
      <w:bookmarkStart w:id="855" w:name="_Toc312678019"/>
      <w:bookmarkStart w:id="856" w:name="_Toc297120467"/>
      <w:bookmarkStart w:id="857" w:name="_Toc296944506"/>
      <w:bookmarkStart w:id="858" w:name="_Toc296347166"/>
      <w:bookmarkStart w:id="859" w:name="_Toc280868656"/>
      <w:bookmarkStart w:id="860" w:name="_Toc280868655"/>
      <w:bookmarkStart w:id="861" w:name="_Toc267251424"/>
      <w:r>
        <w:rPr>
          <w:rFonts w:hint="eastAsia" w:ascii="宋体" w:cs="宋体"/>
          <w:color w:val="auto"/>
          <w:highlight w:val="none"/>
        </w:rPr>
        <w:t>.4 材料与工程设备的保管与使用</w:t>
      </w:r>
      <w:bookmarkEnd w:id="828"/>
      <w:bookmarkEnd w:id="829"/>
      <w:bookmarkEnd w:id="830"/>
      <w:bookmarkEnd w:id="831"/>
      <w:bookmarkEnd w:id="832"/>
      <w:bookmarkEnd w:id="833"/>
      <w:bookmarkEnd w:id="834"/>
      <w:bookmarkEnd w:id="835"/>
      <w:bookmarkEnd w:id="836"/>
      <w:bookmarkEnd w:id="837"/>
      <w:bookmarkEnd w:id="838"/>
      <w:bookmarkEnd w:id="839"/>
      <w:bookmarkEnd w:id="840"/>
    </w:p>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14:paraId="342E9940">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8</w:t>
      </w:r>
      <w:bookmarkStart w:id="862" w:name="_Toc292559373"/>
      <w:bookmarkStart w:id="863" w:name="_Toc292559878"/>
      <w:bookmarkStart w:id="864" w:name="_Toc297048354"/>
      <w:bookmarkStart w:id="865" w:name="_Toc304295557"/>
      <w:bookmarkStart w:id="866" w:name="_Toc312678020"/>
      <w:bookmarkStart w:id="867" w:name="_Toc296890996"/>
      <w:bookmarkStart w:id="868" w:name="_Toc296346669"/>
      <w:bookmarkStart w:id="869" w:name="_Toc300934980"/>
      <w:bookmarkStart w:id="870" w:name="_Toc296503168"/>
      <w:bookmarkStart w:id="871" w:name="_Toc296347167"/>
      <w:bookmarkStart w:id="872" w:name="_Toc297216187"/>
      <w:bookmarkStart w:id="873" w:name="_Toc297120468"/>
      <w:bookmarkStart w:id="874" w:name="_Toc296891208"/>
      <w:bookmarkStart w:id="875" w:name="_Toc303539137"/>
      <w:bookmarkStart w:id="876" w:name="_Toc318581173"/>
      <w:bookmarkStart w:id="877" w:name="_Toc297123528"/>
      <w:bookmarkStart w:id="878" w:name="_Toc312677494"/>
      <w:bookmarkStart w:id="879" w:name="_Toc296944507"/>
      <w:r>
        <w:rPr>
          <w:rFonts w:hint="eastAsia" w:ascii="宋体" w:hAnsi="宋体" w:cs="宋体"/>
          <w:color w:val="auto"/>
          <w:szCs w:val="21"/>
          <w:highlight w:val="none"/>
        </w:rPr>
        <w:t>.4.1发包人供应的材料设备的保管费用的承担：</w:t>
      </w:r>
      <w:r>
        <w:rPr>
          <w:rFonts w:hint="eastAsia" w:ascii="宋体" w:hAnsi="宋体" w:cs="宋体"/>
          <w:color w:val="auto"/>
          <w:szCs w:val="21"/>
          <w:highlight w:val="none"/>
          <w:u w:val="single"/>
        </w:rPr>
        <w:t>发包人供应的材料和设备经三方验收合格后，保管费用由承包人承担</w:t>
      </w:r>
      <w:r>
        <w:rPr>
          <w:rFonts w:hint="eastAsia" w:ascii="宋体" w:hAnsi="宋体" w:cs="宋体"/>
          <w:color w:val="auto"/>
          <w:szCs w:val="21"/>
          <w:highlight w:val="none"/>
        </w:rPr>
        <w:t>。</w:t>
      </w:r>
    </w:p>
    <w:bookmarkEnd w:id="862"/>
    <w:bookmarkEnd w:id="863"/>
    <w:p w14:paraId="4B8B9DE6">
      <w:pPr>
        <w:pStyle w:val="36"/>
        <w:spacing w:line="380" w:lineRule="exact"/>
        <w:ind w:firstLine="422" w:firstLineChars="200"/>
        <w:rPr>
          <w:rFonts w:ascii="宋体" w:cs="宋体"/>
          <w:color w:val="auto"/>
          <w:highlight w:val="none"/>
        </w:rPr>
      </w:pPr>
      <w:bookmarkStart w:id="880" w:name="_Toc373478381"/>
      <w:bookmarkStart w:id="881" w:name="_Toc418061345"/>
      <w:bookmarkStart w:id="882" w:name="_Toc256000213"/>
      <w:bookmarkStart w:id="883" w:name="_Toc418751830"/>
      <w:bookmarkStart w:id="884" w:name="_Toc522201763"/>
      <w:bookmarkStart w:id="885" w:name="_Toc497746815"/>
      <w:bookmarkStart w:id="886" w:name="_Toc418518380"/>
      <w:bookmarkStart w:id="887" w:name="_Toc418518144"/>
      <w:bookmarkStart w:id="888" w:name="_Toc403578968"/>
      <w:bookmarkStart w:id="889" w:name="_Toc497747212"/>
      <w:bookmarkStart w:id="890" w:name="_Toc418752276"/>
      <w:bookmarkStart w:id="891" w:name="_Toc389065300"/>
      <w:bookmarkStart w:id="892" w:name="_Toc373227734"/>
      <w:r>
        <w:rPr>
          <w:rFonts w:hint="eastAsia" w:ascii="宋体" w:cs="宋体"/>
          <w:color w:val="auto"/>
          <w:highlight w:val="none"/>
        </w:rPr>
        <w:t>8.6 样品</w:t>
      </w:r>
      <w:bookmarkEnd w:id="880"/>
      <w:bookmarkEnd w:id="881"/>
      <w:bookmarkEnd w:id="882"/>
      <w:bookmarkEnd w:id="883"/>
      <w:bookmarkEnd w:id="884"/>
      <w:bookmarkEnd w:id="885"/>
      <w:bookmarkEnd w:id="886"/>
      <w:bookmarkEnd w:id="887"/>
      <w:bookmarkEnd w:id="888"/>
      <w:bookmarkEnd w:id="889"/>
      <w:bookmarkEnd w:id="890"/>
      <w:bookmarkEnd w:id="891"/>
      <w:bookmarkEnd w:id="892"/>
    </w:p>
    <w:p w14:paraId="7DA16FAE">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8.6.1 样品的报送与封存</w:t>
      </w:r>
    </w:p>
    <w:p w14:paraId="6835BDC4">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需要承包人报送样品的材料或工程设备，样品的种类、名称、规格、数量要求：</w:t>
      </w:r>
      <w:r>
        <w:rPr>
          <w:rFonts w:hint="eastAsia" w:ascii="宋体" w:hAnsi="宋体" w:cs="宋体"/>
          <w:color w:val="auto"/>
          <w:szCs w:val="21"/>
          <w:highlight w:val="none"/>
          <w:u w:val="single"/>
        </w:rPr>
        <w:t>主要材料涉及品种、款式、颜色等方面内容的，承包人在进货前需将货物样品报送监理或发包人现场办公室，待设计及发包人确认样品，并封存样品后，承包人方可订货。除上述材料外</w:t>
      </w:r>
      <w:r>
        <w:rPr>
          <w:rFonts w:hint="eastAsia" w:ascii="宋体" w:hAnsi="宋体" w:cs="宋体"/>
          <w:color w:val="auto"/>
          <w:szCs w:val="21"/>
          <w:highlight w:val="none"/>
          <w:u w:val="single"/>
          <w:lang w:eastAsia="zh-CN"/>
        </w:rPr>
        <w:t>采购文件</w:t>
      </w:r>
      <w:r>
        <w:rPr>
          <w:rFonts w:hint="eastAsia" w:ascii="宋体" w:hAnsi="宋体" w:cs="宋体"/>
          <w:color w:val="auto"/>
          <w:szCs w:val="21"/>
          <w:highlight w:val="none"/>
          <w:u w:val="single"/>
        </w:rPr>
        <w:t>和招标工程量清单中对材料、设备有档次或质量要求的，按</w:t>
      </w:r>
      <w:r>
        <w:rPr>
          <w:rFonts w:hint="eastAsia" w:ascii="宋体" w:hAnsi="宋体" w:cs="宋体"/>
          <w:color w:val="auto"/>
          <w:szCs w:val="21"/>
          <w:highlight w:val="none"/>
          <w:u w:val="single"/>
          <w:lang w:eastAsia="zh-CN"/>
        </w:rPr>
        <w:t>采购文件</w:t>
      </w:r>
      <w:r>
        <w:rPr>
          <w:rFonts w:hint="eastAsia" w:ascii="宋体" w:hAnsi="宋体" w:cs="宋体"/>
          <w:color w:val="auto"/>
          <w:szCs w:val="21"/>
          <w:highlight w:val="none"/>
          <w:u w:val="single"/>
        </w:rPr>
        <w:t>和招标工程量清单确定；其他由合同各方协商确定。</w:t>
      </w:r>
    </w:p>
    <w:p w14:paraId="115EADE1">
      <w:pPr>
        <w:pStyle w:val="36"/>
        <w:spacing w:line="380" w:lineRule="exact"/>
        <w:ind w:firstLine="422" w:firstLineChars="200"/>
        <w:rPr>
          <w:rFonts w:ascii="宋体" w:cs="宋体"/>
          <w:color w:val="auto"/>
          <w:highlight w:val="none"/>
        </w:rPr>
      </w:pPr>
      <w:bookmarkStart w:id="893" w:name="_Toc522201764"/>
      <w:bookmarkStart w:id="894" w:name="_Toc373227735"/>
      <w:bookmarkStart w:id="895" w:name="_Toc497746816"/>
      <w:bookmarkStart w:id="896" w:name="_Toc418518145"/>
      <w:bookmarkStart w:id="897" w:name="_Toc256000214"/>
      <w:bookmarkStart w:id="898" w:name="_Toc418752277"/>
      <w:bookmarkStart w:id="899" w:name="_Toc403578969"/>
      <w:bookmarkStart w:id="900" w:name="_Toc497747213"/>
      <w:bookmarkStart w:id="901" w:name="_Toc373478382"/>
      <w:bookmarkStart w:id="902" w:name="_Toc418751831"/>
      <w:bookmarkStart w:id="903" w:name="_Toc418518381"/>
      <w:bookmarkStart w:id="904" w:name="_Toc418061346"/>
      <w:bookmarkStart w:id="905" w:name="_Toc389065301"/>
      <w:r>
        <w:rPr>
          <w:rFonts w:hint="eastAsia" w:ascii="宋体" w:cs="宋体"/>
          <w:color w:val="auto"/>
          <w:highlight w:val="none"/>
        </w:rPr>
        <w:t>8.8 施工设备和临时设施</w:t>
      </w:r>
      <w:bookmarkEnd w:id="893"/>
      <w:bookmarkEnd w:id="894"/>
      <w:bookmarkEnd w:id="895"/>
      <w:bookmarkEnd w:id="896"/>
      <w:bookmarkEnd w:id="897"/>
      <w:bookmarkEnd w:id="898"/>
      <w:bookmarkEnd w:id="899"/>
      <w:bookmarkEnd w:id="900"/>
      <w:bookmarkEnd w:id="901"/>
      <w:bookmarkEnd w:id="902"/>
      <w:bookmarkEnd w:id="903"/>
      <w:bookmarkEnd w:id="904"/>
      <w:bookmarkEnd w:id="905"/>
    </w:p>
    <w:p w14:paraId="12AC95EF">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8.8.1 承包人提供的施工设备和临时设施</w:t>
      </w:r>
    </w:p>
    <w:p w14:paraId="132DC190">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14:paraId="7D9F7A7C">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关于修建临时设施费用承担的约定：</w:t>
      </w:r>
    </w:p>
    <w:p w14:paraId="3351B3A3">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14:paraId="6842C795">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②承包人负责合同实施期间其合同段内临时交通道路和交通设施的修建、维修、养护和交通管理工作，并承担一切费用。 </w:t>
      </w:r>
    </w:p>
    <w:p w14:paraId="338EB595">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14:paraId="40720D59">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14:paraId="576C8E9B">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8.8.2 发包人提供的施工设备和临时设施</w:t>
      </w:r>
    </w:p>
    <w:p w14:paraId="09B3D203">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6FE22DD6">
      <w:pPr>
        <w:pStyle w:val="21"/>
        <w:autoSpaceDE w:val="0"/>
        <w:autoSpaceDN w:val="0"/>
        <w:adjustRightInd w:val="0"/>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14:paraId="761F6B12">
      <w:pPr>
        <w:pStyle w:val="36"/>
        <w:spacing w:line="380" w:lineRule="exact"/>
        <w:rPr>
          <w:rFonts w:ascii="宋体" w:cs="宋体"/>
          <w:color w:val="auto"/>
          <w:highlight w:val="none"/>
        </w:rPr>
      </w:pPr>
      <w:bookmarkStart w:id="906" w:name="_Toc373227736"/>
      <w:bookmarkStart w:id="907" w:name="_Toc522201765"/>
      <w:bookmarkStart w:id="908" w:name="_Toc373478383"/>
      <w:bookmarkStart w:id="909" w:name="_Toc497746817"/>
      <w:bookmarkStart w:id="910" w:name="_Toc256000215"/>
      <w:bookmarkStart w:id="911" w:name="_Toc418518146"/>
      <w:bookmarkStart w:id="912" w:name="_Toc418751832"/>
      <w:bookmarkStart w:id="913" w:name="_Toc403578970"/>
      <w:bookmarkStart w:id="914" w:name="_Toc418518382"/>
      <w:bookmarkStart w:id="915" w:name="_Toc418752278"/>
      <w:bookmarkStart w:id="916" w:name="_Toc497747214"/>
      <w:bookmarkStart w:id="917" w:name="_Toc351203641"/>
      <w:bookmarkStart w:id="918" w:name="_Toc389065302"/>
      <w:bookmarkStart w:id="919" w:name="_Toc418061347"/>
      <w:r>
        <w:rPr>
          <w:rFonts w:hint="eastAsia" w:ascii="宋体" w:cs="宋体"/>
          <w:color w:val="auto"/>
          <w:highlight w:val="none"/>
        </w:rPr>
        <w:t>9</w:t>
      </w:r>
      <w:bookmarkEnd w:id="859"/>
      <w:bookmarkEnd w:id="860"/>
      <w:bookmarkEnd w:id="861"/>
      <w:bookmarkStart w:id="920" w:name="_Toc312678021"/>
      <w:bookmarkStart w:id="921" w:name="_Toc300934982"/>
      <w:bookmarkStart w:id="922" w:name="_Toc297123533"/>
      <w:bookmarkStart w:id="923" w:name="_Toc304295559"/>
      <w:bookmarkStart w:id="924" w:name="_Toc303539139"/>
      <w:bookmarkStart w:id="925" w:name="_Toc312677495"/>
      <w:bookmarkStart w:id="926" w:name="_Toc297216192"/>
      <w:bookmarkStart w:id="927" w:name="_Toc296347172"/>
      <w:bookmarkStart w:id="928" w:name="_Toc296891001"/>
      <w:bookmarkStart w:id="929" w:name="_Toc297120473"/>
      <w:bookmarkStart w:id="930" w:name="_Toc267251428"/>
      <w:bookmarkStart w:id="931" w:name="_Toc292559883"/>
      <w:bookmarkStart w:id="932" w:name="_Toc297048359"/>
      <w:bookmarkStart w:id="933" w:name="_Toc267251427"/>
      <w:bookmarkStart w:id="934" w:name="_Toc296944512"/>
      <w:bookmarkStart w:id="935" w:name="_Toc296891213"/>
      <w:bookmarkStart w:id="936" w:name="_Toc296346674"/>
      <w:bookmarkStart w:id="937" w:name="_Toc292559378"/>
      <w:bookmarkStart w:id="938" w:name="_Toc296503173"/>
      <w:r>
        <w:rPr>
          <w:rFonts w:hint="eastAsia" w:ascii="宋体" w:cs="宋体"/>
          <w:color w:val="auto"/>
          <w:highlight w:val="none"/>
        </w:rPr>
        <w:t>. 试验与检验</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bookmarkEnd w:id="920"/>
    <w:bookmarkEnd w:id="921"/>
    <w:bookmarkEnd w:id="922"/>
    <w:bookmarkEnd w:id="923"/>
    <w:bookmarkEnd w:id="924"/>
    <w:bookmarkEnd w:id="925"/>
    <w:bookmarkEnd w:id="926"/>
    <w:p w14:paraId="7E246EF8">
      <w:pPr>
        <w:pStyle w:val="36"/>
        <w:spacing w:line="380" w:lineRule="exact"/>
        <w:ind w:firstLine="422" w:firstLineChars="200"/>
        <w:rPr>
          <w:rFonts w:ascii="宋体" w:cs="宋体"/>
          <w:color w:val="auto"/>
          <w:highlight w:val="none"/>
        </w:rPr>
      </w:pPr>
      <w:bookmarkStart w:id="939" w:name="_Toc418752279"/>
      <w:bookmarkStart w:id="940" w:name="_Toc256000216"/>
      <w:bookmarkStart w:id="941" w:name="_Toc497746818"/>
      <w:bookmarkStart w:id="942" w:name="_Toc418061348"/>
      <w:bookmarkStart w:id="943" w:name="_Toc418751833"/>
      <w:bookmarkStart w:id="944" w:name="_Toc389065303"/>
      <w:bookmarkStart w:id="945" w:name="_Toc403578971"/>
      <w:bookmarkStart w:id="946" w:name="_Toc522201766"/>
      <w:bookmarkStart w:id="947" w:name="_Toc373227737"/>
      <w:bookmarkStart w:id="948" w:name="_Toc497747215"/>
      <w:bookmarkStart w:id="949" w:name="_Toc373478384"/>
      <w:bookmarkStart w:id="950" w:name="_Toc418518383"/>
      <w:bookmarkStart w:id="951" w:name="_Toc418518147"/>
      <w:r>
        <w:rPr>
          <w:rFonts w:hint="eastAsia" w:ascii="宋体" w:cs="宋体"/>
          <w:color w:val="auto"/>
          <w:highlight w:val="none"/>
        </w:rPr>
        <w:t>9</w:t>
      </w:r>
      <w:bookmarkStart w:id="952" w:name="_Toc312678022"/>
      <w:bookmarkStart w:id="953" w:name="_Toc297123534"/>
      <w:bookmarkStart w:id="954" w:name="_Toc300934983"/>
      <w:bookmarkStart w:id="955" w:name="_Toc297216193"/>
      <w:bookmarkStart w:id="956" w:name="_Toc304295560"/>
      <w:bookmarkStart w:id="957" w:name="_Toc303539140"/>
      <w:bookmarkStart w:id="958" w:name="_Toc312677496"/>
      <w:r>
        <w:rPr>
          <w:rFonts w:hint="eastAsia" w:ascii="宋体" w:cs="宋体"/>
          <w:color w:val="auto"/>
          <w:highlight w:val="none"/>
        </w:rPr>
        <w:t>.1 试验设备与试验人员</w:t>
      </w:r>
      <w:bookmarkEnd w:id="939"/>
      <w:bookmarkEnd w:id="940"/>
      <w:bookmarkEnd w:id="941"/>
      <w:bookmarkEnd w:id="942"/>
      <w:bookmarkEnd w:id="943"/>
      <w:bookmarkEnd w:id="944"/>
      <w:bookmarkEnd w:id="945"/>
      <w:bookmarkEnd w:id="946"/>
      <w:bookmarkEnd w:id="947"/>
      <w:bookmarkEnd w:id="948"/>
      <w:bookmarkEnd w:id="949"/>
      <w:bookmarkEnd w:id="950"/>
      <w:bookmarkEnd w:id="951"/>
    </w:p>
    <w:bookmarkEnd w:id="952"/>
    <w:bookmarkEnd w:id="953"/>
    <w:bookmarkEnd w:id="954"/>
    <w:bookmarkEnd w:id="955"/>
    <w:bookmarkEnd w:id="956"/>
    <w:bookmarkEnd w:id="957"/>
    <w:bookmarkEnd w:id="958"/>
    <w:p w14:paraId="3534673A">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w:t>
      </w:r>
      <w:bookmarkStart w:id="959" w:name="_Toc300934984"/>
      <w:bookmarkStart w:id="960" w:name="_Toc312678023"/>
      <w:bookmarkStart w:id="961" w:name="_Toc303539141"/>
      <w:bookmarkStart w:id="962" w:name="_Toc297216194"/>
      <w:bookmarkStart w:id="963" w:name="_Toc312677497"/>
      <w:bookmarkStart w:id="964" w:name="_Toc297123535"/>
      <w:bookmarkStart w:id="965" w:name="_Toc304295561"/>
      <w:bookmarkStart w:id="966" w:name="_Toc318581174"/>
      <w:r>
        <w:rPr>
          <w:rFonts w:hint="eastAsia" w:ascii="宋体" w:hAnsi="宋体" w:cs="宋体"/>
          <w:color w:val="auto"/>
          <w:szCs w:val="21"/>
          <w:highlight w:val="none"/>
        </w:rPr>
        <w:t>.1.2 试验设备</w:t>
      </w:r>
    </w:p>
    <w:bookmarkEnd w:id="959"/>
    <w:bookmarkEnd w:id="960"/>
    <w:bookmarkEnd w:id="961"/>
    <w:bookmarkEnd w:id="962"/>
    <w:bookmarkEnd w:id="963"/>
    <w:bookmarkEnd w:id="964"/>
    <w:bookmarkEnd w:id="965"/>
    <w:p w14:paraId="03D35BB5">
      <w:pPr>
        <w:pStyle w:val="21"/>
        <w:spacing w:line="380" w:lineRule="exact"/>
        <w:ind w:firstLine="420" w:firstLineChars="200"/>
        <w:jc w:val="left"/>
        <w:rPr>
          <w:rFonts w:ascii="宋体" w:hAnsi="宋体" w:cs="宋体"/>
          <w:color w:val="auto"/>
          <w:szCs w:val="21"/>
          <w:highlight w:val="none"/>
        </w:rPr>
      </w:pPr>
      <w:bookmarkStart w:id="967" w:name="_Toc312678024"/>
      <w:bookmarkStart w:id="968" w:name="_Toc297123536"/>
      <w:bookmarkStart w:id="969" w:name="_Toc300934985"/>
      <w:bookmarkStart w:id="970" w:name="_Toc304295562"/>
      <w:bookmarkStart w:id="971" w:name="_Toc303539142"/>
      <w:bookmarkStart w:id="972" w:name="_Toc297216195"/>
      <w:bookmarkStart w:id="973" w:name="_Toc312677498"/>
      <w:r>
        <w:rPr>
          <w:rFonts w:hint="eastAsia" w:ascii="宋体" w:hAnsi="宋体" w:cs="宋体"/>
          <w:color w:val="auto"/>
          <w:szCs w:val="21"/>
          <w:highlight w:val="none"/>
        </w:rPr>
        <w:t>施工现场需要配置的试验场所：</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 xml:space="preserve">。 </w:t>
      </w:r>
    </w:p>
    <w:p w14:paraId="6B5F5CE2">
      <w:pPr>
        <w:pStyle w:val="2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施工现场需要配备的试验设备：</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5FA7D3D4">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施工现场需要具备的其他试验条件：</w:t>
      </w:r>
      <w:r>
        <w:rPr>
          <w:rFonts w:hint="eastAsia" w:ascii="宋体" w:hAnsi="宋体" w:cs="宋体"/>
          <w:color w:val="auto"/>
          <w:szCs w:val="21"/>
          <w:highlight w:val="none"/>
          <w:u w:val="single"/>
        </w:rPr>
        <w:t xml:space="preserve"> 由承包人承担，所需费用包含在投标报价中 </w:t>
      </w:r>
      <w:r>
        <w:rPr>
          <w:rFonts w:hint="eastAsia" w:ascii="宋体" w:hAnsi="宋体" w:cs="宋体"/>
          <w:color w:val="auto"/>
          <w:szCs w:val="21"/>
          <w:highlight w:val="none"/>
        </w:rPr>
        <w:t>。</w:t>
      </w:r>
    </w:p>
    <w:p w14:paraId="362C9A38">
      <w:pPr>
        <w:pStyle w:val="36"/>
        <w:spacing w:line="380" w:lineRule="exact"/>
        <w:ind w:firstLine="422" w:firstLineChars="200"/>
        <w:rPr>
          <w:rFonts w:ascii="宋体" w:cs="宋体"/>
          <w:color w:val="auto"/>
          <w:highlight w:val="none"/>
        </w:rPr>
      </w:pPr>
      <w:bookmarkStart w:id="974" w:name="_Toc373227738"/>
      <w:bookmarkStart w:id="975" w:name="_Toc497746819"/>
      <w:bookmarkStart w:id="976" w:name="_Toc418752280"/>
      <w:bookmarkStart w:id="977" w:name="_Toc522201767"/>
      <w:bookmarkStart w:id="978" w:name="_Toc418061349"/>
      <w:bookmarkStart w:id="979" w:name="_Toc373478385"/>
      <w:bookmarkStart w:id="980" w:name="_Toc418751834"/>
      <w:bookmarkStart w:id="981" w:name="_Toc418518384"/>
      <w:bookmarkStart w:id="982" w:name="_Toc418518148"/>
      <w:bookmarkStart w:id="983" w:name="_Toc389065304"/>
      <w:bookmarkStart w:id="984" w:name="_Toc497747216"/>
      <w:bookmarkStart w:id="985" w:name="_Toc403578972"/>
      <w:bookmarkStart w:id="986" w:name="_Toc256000217"/>
      <w:r>
        <w:rPr>
          <w:rFonts w:hint="eastAsia" w:ascii="宋体" w:cs="宋体"/>
          <w:color w:val="auto"/>
          <w:highlight w:val="none"/>
        </w:rPr>
        <w:t>9.4 现场工艺试验</w:t>
      </w:r>
      <w:bookmarkEnd w:id="974"/>
      <w:bookmarkEnd w:id="975"/>
      <w:bookmarkEnd w:id="976"/>
      <w:bookmarkEnd w:id="977"/>
      <w:bookmarkEnd w:id="978"/>
      <w:bookmarkEnd w:id="979"/>
      <w:bookmarkEnd w:id="980"/>
      <w:bookmarkEnd w:id="981"/>
      <w:bookmarkEnd w:id="982"/>
      <w:bookmarkEnd w:id="983"/>
      <w:bookmarkEnd w:id="984"/>
      <w:bookmarkEnd w:id="985"/>
      <w:bookmarkEnd w:id="986"/>
      <w:r>
        <w:rPr>
          <w:rFonts w:hint="eastAsia" w:ascii="宋体" w:cs="宋体"/>
          <w:color w:val="auto"/>
          <w:highlight w:val="none"/>
        </w:rPr>
        <w:t xml:space="preserve"> </w:t>
      </w:r>
    </w:p>
    <w:p w14:paraId="5554C01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现场工艺试验的有关约定：</w:t>
      </w:r>
      <w:r>
        <w:rPr>
          <w:rFonts w:hint="eastAsia" w:ascii="宋体" w:hAnsi="宋体" w:cs="宋体"/>
          <w:color w:val="auto"/>
          <w:szCs w:val="21"/>
          <w:highlight w:val="none"/>
          <w:u w:val="single"/>
        </w:rPr>
        <w:t xml:space="preserve">  按通用条款执行</w:t>
      </w:r>
      <w:r>
        <w:rPr>
          <w:rFonts w:hint="eastAsia" w:ascii="宋体" w:hAnsi="宋体" w:cs="宋体"/>
          <w:color w:val="auto"/>
          <w:szCs w:val="21"/>
          <w:highlight w:val="none"/>
        </w:rPr>
        <w:t>。</w:t>
      </w:r>
      <w:bookmarkStart w:id="987" w:name="_Toc406522259"/>
      <w:bookmarkStart w:id="988" w:name="_Toc406420990"/>
      <w:bookmarkStart w:id="989" w:name="_Toc395382541"/>
      <w:bookmarkStart w:id="990" w:name="OLE_LINK1"/>
    </w:p>
    <w:p w14:paraId="13F94867">
      <w:pPr>
        <w:pStyle w:val="21"/>
        <w:spacing w:line="38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9.5 检验费用</w:t>
      </w:r>
      <w:bookmarkEnd w:id="987"/>
      <w:bookmarkEnd w:id="988"/>
      <w:bookmarkEnd w:id="989"/>
    </w:p>
    <w:p w14:paraId="4DFF3BD6">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根据《建设工程质量检测管理办法》（</w:t>
      </w:r>
      <w:r>
        <w:rPr>
          <w:rFonts w:hint="eastAsia" w:hAnsi="宋体" w:cs="宋体"/>
          <w:color w:val="auto"/>
          <w:sz w:val="21"/>
          <w:szCs w:val="21"/>
          <w:highlight w:val="none"/>
          <w:lang w:val="en-US" w:eastAsia="zh-CN"/>
        </w:rPr>
        <w:t>住建部令57</w:t>
      </w:r>
      <w:r>
        <w:rPr>
          <w:rFonts w:hint="eastAsia"/>
          <w:color w:val="auto"/>
          <w:sz w:val="21"/>
          <w:szCs w:val="21"/>
          <w:highlight w:val="none"/>
          <w:lang w:val="en-US" w:eastAsia="zh-CN"/>
        </w:rPr>
        <w:t>号</w:t>
      </w:r>
      <w:r>
        <w:rPr>
          <w:rFonts w:hint="eastAsia" w:ascii="宋体" w:hAnsi="宋体" w:cs="宋体"/>
          <w:color w:val="auto"/>
          <w:szCs w:val="21"/>
          <w:highlight w:val="none"/>
        </w:rPr>
        <w:t>）以及</w:t>
      </w:r>
      <w:r>
        <w:rPr>
          <w:rFonts w:hint="eastAsia" w:ascii="宋体" w:hAnsi="宋体" w:cs="宋体"/>
          <w:bCs/>
          <w:color w:val="auto"/>
          <w:szCs w:val="21"/>
          <w:highlight w:val="none"/>
        </w:rPr>
        <w:t>《广西壮族自治区建设工程质量检测管理规定》（桂建管〔2013〕11号）</w:t>
      </w:r>
      <w:r>
        <w:rPr>
          <w:rFonts w:hint="eastAsia" w:ascii="宋体" w:hAnsi="宋体" w:cs="宋体"/>
          <w:color w:val="auto"/>
          <w:szCs w:val="21"/>
          <w:highlight w:val="none"/>
        </w:rPr>
        <w:t>规定，工程质量检测业务由发包人委托有相应资质的检测机构检测。费用从发包人的项目建设经费中支出并直接支付给检测机构，不计入合同价款内。</w:t>
      </w:r>
      <w:bookmarkEnd w:id="990"/>
    </w:p>
    <w:bookmarkEnd w:id="966"/>
    <w:bookmarkEnd w:id="967"/>
    <w:bookmarkEnd w:id="968"/>
    <w:bookmarkEnd w:id="969"/>
    <w:bookmarkEnd w:id="970"/>
    <w:bookmarkEnd w:id="971"/>
    <w:bookmarkEnd w:id="972"/>
    <w:bookmarkEnd w:id="973"/>
    <w:p w14:paraId="58EAA544">
      <w:pPr>
        <w:pStyle w:val="36"/>
        <w:spacing w:line="380" w:lineRule="exact"/>
        <w:rPr>
          <w:rFonts w:ascii="宋体" w:cs="宋体"/>
          <w:color w:val="auto"/>
          <w:highlight w:val="none"/>
        </w:rPr>
      </w:pPr>
      <w:bookmarkStart w:id="991" w:name="_Toc389065305"/>
      <w:bookmarkStart w:id="992" w:name="_Toc418518386"/>
      <w:bookmarkStart w:id="993" w:name="_Toc403578974"/>
      <w:bookmarkStart w:id="994" w:name="_Toc497746821"/>
      <w:bookmarkStart w:id="995" w:name="_Toc256000218"/>
      <w:bookmarkStart w:id="996" w:name="_Toc418751836"/>
      <w:bookmarkStart w:id="997" w:name="_Toc418752282"/>
      <w:bookmarkStart w:id="998" w:name="_Toc373227739"/>
      <w:bookmarkStart w:id="999" w:name="_Toc351203642"/>
      <w:bookmarkStart w:id="1000" w:name="_Toc522201768"/>
      <w:bookmarkStart w:id="1001" w:name="_Toc418061351"/>
      <w:bookmarkStart w:id="1002" w:name="_Toc418518150"/>
      <w:bookmarkStart w:id="1003" w:name="_Toc373478386"/>
      <w:bookmarkStart w:id="1004" w:name="_Toc497747218"/>
      <w:r>
        <w:rPr>
          <w:rFonts w:hint="eastAsia" w:ascii="宋体" w:cs="宋体"/>
          <w:color w:val="auto"/>
          <w:highlight w:val="none"/>
        </w:rPr>
        <w:t>1</w:t>
      </w:r>
      <w:bookmarkEnd w:id="927"/>
      <w:bookmarkEnd w:id="928"/>
      <w:bookmarkEnd w:id="929"/>
      <w:bookmarkEnd w:id="930"/>
      <w:bookmarkEnd w:id="931"/>
      <w:bookmarkEnd w:id="932"/>
      <w:bookmarkEnd w:id="933"/>
      <w:bookmarkEnd w:id="934"/>
      <w:bookmarkEnd w:id="935"/>
      <w:bookmarkEnd w:id="936"/>
      <w:bookmarkEnd w:id="937"/>
      <w:bookmarkEnd w:id="938"/>
      <w:bookmarkStart w:id="1005" w:name="_Toc296891233"/>
      <w:bookmarkStart w:id="1006" w:name="_Toc304295566"/>
      <w:bookmarkStart w:id="1007" w:name="_Toc296503193"/>
      <w:bookmarkStart w:id="1008" w:name="_Toc300934989"/>
      <w:bookmarkStart w:id="1009" w:name="_Toc296346694"/>
      <w:bookmarkStart w:id="1010" w:name="_Toc303539146"/>
      <w:bookmarkStart w:id="1011" w:name="_Toc296891021"/>
      <w:bookmarkStart w:id="1012" w:name="_Toc292559398"/>
      <w:bookmarkStart w:id="1013" w:name="_Toc296347192"/>
      <w:bookmarkStart w:id="1014" w:name="_Toc292559903"/>
      <w:bookmarkStart w:id="1015" w:name="_Toc296944532"/>
      <w:bookmarkStart w:id="1016" w:name="_Toc297120493"/>
      <w:bookmarkStart w:id="1017" w:name="_Toc297048379"/>
      <w:bookmarkStart w:id="1018" w:name="_Toc297216199"/>
      <w:bookmarkStart w:id="1019" w:name="_Toc297123540"/>
      <w:bookmarkStart w:id="1020" w:name="_Toc312678025"/>
      <w:bookmarkStart w:id="1021" w:name="_Toc312677499"/>
      <w:bookmarkStart w:id="1022" w:name="_Toc267251442"/>
      <w:r>
        <w:rPr>
          <w:rFonts w:hint="eastAsia" w:ascii="宋体" w:cs="宋体"/>
          <w:color w:val="auto"/>
          <w:highlight w:val="none"/>
        </w:rPr>
        <w:t>0. 变更</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bookmarkEnd w:id="1020"/>
    <w:bookmarkEnd w:id="1021"/>
    <w:p w14:paraId="3EC28067">
      <w:pPr>
        <w:pStyle w:val="36"/>
        <w:spacing w:line="380" w:lineRule="exact"/>
        <w:ind w:firstLine="422" w:firstLineChars="200"/>
        <w:rPr>
          <w:rFonts w:ascii="宋体" w:cs="宋体"/>
          <w:color w:val="auto"/>
          <w:highlight w:val="none"/>
        </w:rPr>
      </w:pPr>
      <w:bookmarkStart w:id="1023" w:name="_Toc522201769"/>
      <w:bookmarkStart w:id="1024" w:name="_Toc497746822"/>
      <w:bookmarkStart w:id="1025" w:name="_Toc418751837"/>
      <w:bookmarkStart w:id="1026" w:name="_Toc418518151"/>
      <w:bookmarkStart w:id="1027" w:name="_Toc418518387"/>
      <w:bookmarkStart w:id="1028" w:name="_Toc373227740"/>
      <w:bookmarkStart w:id="1029" w:name="_Toc418752283"/>
      <w:bookmarkStart w:id="1030" w:name="_Toc256000219"/>
      <w:bookmarkStart w:id="1031" w:name="_Toc373478387"/>
      <w:bookmarkStart w:id="1032" w:name="_Toc418061352"/>
      <w:bookmarkStart w:id="1033" w:name="_Toc403578975"/>
      <w:bookmarkStart w:id="1034" w:name="_Toc497747219"/>
      <w:bookmarkStart w:id="1035" w:name="_Toc389065306"/>
      <w:r>
        <w:rPr>
          <w:rFonts w:hint="eastAsia" w:ascii="宋体" w:cs="宋体"/>
          <w:color w:val="auto"/>
          <w:highlight w:val="none"/>
        </w:rPr>
        <w:t>1</w:t>
      </w:r>
      <w:bookmarkStart w:id="1036" w:name="_Toc304295567"/>
      <w:bookmarkStart w:id="1037" w:name="_Toc300934990"/>
      <w:bookmarkStart w:id="1038" w:name="_Toc312677500"/>
      <w:bookmarkStart w:id="1039" w:name="_Toc312678026"/>
      <w:bookmarkStart w:id="1040" w:name="_Toc296503194"/>
      <w:bookmarkStart w:id="1041" w:name="_Toc297048380"/>
      <w:bookmarkStart w:id="1042" w:name="_Toc296346695"/>
      <w:bookmarkStart w:id="1043" w:name="_Toc292559904"/>
      <w:bookmarkStart w:id="1044" w:name="_Toc297216200"/>
      <w:bookmarkStart w:id="1045" w:name="_Toc297123541"/>
      <w:bookmarkStart w:id="1046" w:name="_Toc303539147"/>
      <w:bookmarkStart w:id="1047" w:name="_Toc296944533"/>
      <w:bookmarkStart w:id="1048" w:name="_Toc296891234"/>
      <w:bookmarkStart w:id="1049" w:name="_Toc292559399"/>
      <w:bookmarkStart w:id="1050" w:name="_Toc296347193"/>
      <w:bookmarkStart w:id="1051" w:name="_Toc297120494"/>
      <w:bookmarkStart w:id="1052" w:name="_Toc296891022"/>
      <w:r>
        <w:rPr>
          <w:rFonts w:hint="eastAsia" w:ascii="宋体" w:cs="宋体"/>
          <w:color w:val="auto"/>
          <w:highlight w:val="none"/>
        </w:rPr>
        <w:t>0.1 变更的范围</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649EFDF4">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关于变更的范围的约定：</w:t>
      </w:r>
      <w:r>
        <w:rPr>
          <w:rFonts w:hint="eastAsia" w:ascii="宋体" w:hAnsi="宋体" w:cs="宋体"/>
          <w:color w:val="auto"/>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cs="宋体"/>
          <w:color w:val="auto"/>
          <w:szCs w:val="21"/>
          <w:highlight w:val="none"/>
        </w:rPr>
        <w:t>。</w:t>
      </w:r>
      <w:bookmarkStart w:id="1053" w:name="_Toc395382544"/>
      <w:bookmarkStart w:id="1054" w:name="_Toc373227741"/>
      <w:bookmarkStart w:id="1055" w:name="_Toc373478388"/>
      <w:bookmarkStart w:id="1056" w:name="_Toc406522262"/>
      <w:bookmarkStart w:id="1057" w:name="_Toc389065307"/>
    </w:p>
    <w:p w14:paraId="0A680668">
      <w:pPr>
        <w:pStyle w:val="36"/>
        <w:spacing w:line="380" w:lineRule="exact"/>
        <w:ind w:firstLine="422" w:firstLineChars="200"/>
        <w:rPr>
          <w:rFonts w:ascii="宋体" w:cs="宋体"/>
          <w:color w:val="auto"/>
          <w:highlight w:val="none"/>
        </w:rPr>
      </w:pPr>
      <w:bookmarkStart w:id="1058" w:name="_Toc256000220"/>
      <w:r>
        <w:rPr>
          <w:rFonts w:hint="eastAsia" w:ascii="宋体" w:cs="宋体"/>
          <w:color w:val="auto"/>
          <w:highlight w:val="none"/>
        </w:rPr>
        <w:t>10.3 变更程序</w:t>
      </w:r>
      <w:bookmarkEnd w:id="1053"/>
      <w:bookmarkEnd w:id="1054"/>
      <w:bookmarkEnd w:id="1055"/>
      <w:bookmarkEnd w:id="1056"/>
      <w:bookmarkEnd w:id="1057"/>
      <w:bookmarkEnd w:id="1058"/>
    </w:p>
    <w:p w14:paraId="67FD7F7A">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10.3.1 国有投资项目：</w:t>
      </w:r>
    </w:p>
    <w:p w14:paraId="5F3E2A45">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⑴设计变更和工程签证，按各市政府或相关部门的规定办理。属不可抗力（自然灾害、突发事件等）造成变更的，按特事特办原则予以办理。</w:t>
      </w:r>
    </w:p>
    <w:p w14:paraId="0B35B9C6">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⑵发包人在实施项目过程中，若发生单价变动，由发包人、监理单位、承包人及其他相关单位共同商定并签字确认。</w:t>
      </w:r>
    </w:p>
    <w:p w14:paraId="57F78103">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14:paraId="1FB10D1C">
      <w:pPr>
        <w:pStyle w:val="21"/>
        <w:spacing w:line="380" w:lineRule="exact"/>
        <w:ind w:firstLine="411" w:firstLineChars="196"/>
        <w:rPr>
          <w:rFonts w:ascii="宋体" w:hAnsi="宋体" w:cs="宋体"/>
          <w:color w:val="auto"/>
          <w:szCs w:val="21"/>
          <w:highlight w:val="none"/>
        </w:rPr>
      </w:pPr>
      <w:r>
        <w:rPr>
          <w:rFonts w:hint="eastAsia" w:ascii="宋体" w:hAnsi="宋体" w:cs="宋体"/>
          <w:color w:val="auto"/>
          <w:szCs w:val="21"/>
          <w:highlight w:val="none"/>
        </w:rPr>
        <w:t>10.3.2 非国有投资项目： 同通用条款。</w:t>
      </w:r>
    </w:p>
    <w:p w14:paraId="27198A59">
      <w:pPr>
        <w:pStyle w:val="36"/>
        <w:spacing w:line="380" w:lineRule="exact"/>
        <w:ind w:firstLine="422" w:firstLineChars="200"/>
        <w:rPr>
          <w:rFonts w:ascii="宋体" w:cs="宋体"/>
          <w:color w:val="auto"/>
          <w:highlight w:val="none"/>
        </w:rPr>
      </w:pPr>
      <w:bookmarkStart w:id="1059" w:name="_Toc373478389"/>
      <w:bookmarkStart w:id="1060" w:name="_Toc418751839"/>
      <w:bookmarkStart w:id="1061" w:name="_Toc522201770"/>
      <w:bookmarkStart w:id="1062" w:name="_Toc418752285"/>
      <w:bookmarkStart w:id="1063" w:name="_Toc373227742"/>
      <w:bookmarkStart w:id="1064" w:name="_Toc418518389"/>
      <w:bookmarkStart w:id="1065" w:name="_Toc418061354"/>
      <w:bookmarkStart w:id="1066" w:name="_Toc256000221"/>
      <w:bookmarkStart w:id="1067" w:name="_Toc403578977"/>
      <w:bookmarkStart w:id="1068" w:name="_Toc497747221"/>
      <w:bookmarkStart w:id="1069" w:name="_Toc497746824"/>
      <w:bookmarkStart w:id="1070" w:name="_Toc389065308"/>
      <w:bookmarkStart w:id="1071" w:name="_Toc418518153"/>
      <w:r>
        <w:rPr>
          <w:rFonts w:hint="eastAsia" w:ascii="宋体" w:cs="宋体"/>
          <w:color w:val="auto"/>
          <w:highlight w:val="none"/>
        </w:rPr>
        <w:t>10.4 变更估价</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10161C06">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10.4.1 变更估价原则</w:t>
      </w:r>
    </w:p>
    <w:p w14:paraId="57005E79">
      <w:pPr>
        <w:pStyle w:val="21"/>
        <w:spacing w:line="380" w:lineRule="exact"/>
        <w:ind w:firstLine="426"/>
        <w:rPr>
          <w:rFonts w:ascii="宋体" w:hAnsi="宋体" w:cs="宋体"/>
          <w:color w:val="auto"/>
          <w:szCs w:val="21"/>
          <w:highlight w:val="none"/>
          <w:u w:val="single"/>
        </w:rPr>
      </w:pPr>
      <w:r>
        <w:rPr>
          <w:rFonts w:hint="eastAsia" w:ascii="宋体" w:hAnsi="宋体" w:cs="宋体"/>
          <w:color w:val="auto"/>
          <w:szCs w:val="21"/>
          <w:highlight w:val="none"/>
        </w:rPr>
        <w:t xml:space="preserve">关于变更估价的约定: </w:t>
      </w:r>
      <w:r>
        <w:rPr>
          <w:rFonts w:hint="eastAsia" w:ascii="宋体" w:hAnsi="宋体" w:cs="宋体"/>
          <w:color w:val="auto"/>
          <w:szCs w:val="21"/>
          <w:highlight w:val="none"/>
          <w:u w:val="single"/>
        </w:rPr>
        <w:t>（1）、投标报价中已有适用于变更工程的综合单价，按已有的综合单价；（2）、投标报价中有类似变更工程的综合单价，可参照投标报价中类似的综合单价确定；（3）、</w:t>
      </w:r>
      <w:r>
        <w:rPr>
          <w:rFonts w:ascii="宋体" w:hAnsi="宋体" w:cs="宋体"/>
          <w:color w:val="auto"/>
          <w:szCs w:val="21"/>
          <w:highlight w:val="none"/>
          <w:u w:val="single"/>
        </w:rPr>
        <w:t>投标报价中没有适用或类似于变更工程的综合单价，则有定额的套用定额计算，执行本工程编制招标控制价的参考依据，其中材料价格有信息价的按合同该新增子项实施期间《桂林市建设工程造价信息》中的平均价计取（信息价无相关信息的参照信息价中桂林市的平均价），无信息价时按市场价格共同协商初步确定；此类工程结算综合单价=按现行定额计算（管理费、利润取中值）的综合单价×中标下浮系数（中标人的投标</w:t>
      </w:r>
      <w:r>
        <w:rPr>
          <w:rFonts w:ascii="宋体" w:hAnsi="宋体" w:cs="宋体"/>
          <w:color w:val="auto"/>
          <w:szCs w:val="21"/>
          <w:highlight w:val="none"/>
          <w:u w:val="single"/>
          <w:lang w:val="en-US"/>
        </w:rPr>
        <w:t>总</w:t>
      </w:r>
      <w:r>
        <w:rPr>
          <w:rFonts w:ascii="宋体" w:hAnsi="宋体" w:cs="宋体"/>
          <w:color w:val="auto"/>
          <w:szCs w:val="21"/>
          <w:highlight w:val="none"/>
          <w:u w:val="single"/>
        </w:rPr>
        <w:t>价÷</w:t>
      </w:r>
      <w:r>
        <w:rPr>
          <w:rFonts w:ascii="宋体" w:hAnsi="宋体" w:cs="宋体"/>
          <w:color w:val="auto"/>
          <w:szCs w:val="21"/>
          <w:highlight w:val="none"/>
          <w:u w:val="single"/>
          <w:lang w:val="en-US"/>
        </w:rPr>
        <w:t>采购</w:t>
      </w:r>
      <w:r>
        <w:rPr>
          <w:rFonts w:ascii="宋体" w:hAnsi="宋体" w:cs="宋体"/>
          <w:color w:val="auto"/>
          <w:szCs w:val="21"/>
          <w:highlight w:val="none"/>
          <w:u w:val="single"/>
        </w:rPr>
        <w:t>预算价），新增项目无定额可套用时，由发包人、承包人及监理三方共同协商初步确定，最终以</w:t>
      </w:r>
      <w:r>
        <w:rPr>
          <w:rFonts w:hint="eastAsia"/>
          <w:color w:val="auto"/>
          <w:highlight w:val="none"/>
          <w:lang w:val="en-US" w:eastAsia="zh-CN"/>
        </w:rPr>
        <w:t>桂林市财政局</w:t>
      </w:r>
      <w:r>
        <w:rPr>
          <w:rFonts w:ascii="宋体" w:hAnsi="宋体" w:cs="宋体"/>
          <w:color w:val="auto"/>
          <w:szCs w:val="21"/>
          <w:highlight w:val="none"/>
          <w:u w:val="single"/>
        </w:rPr>
        <w:t>审定或审计单位审定</w:t>
      </w:r>
      <w:r>
        <w:rPr>
          <w:rFonts w:hint="eastAsia" w:ascii="宋体" w:hAnsi="宋体" w:cs="宋体"/>
          <w:color w:val="auto"/>
          <w:szCs w:val="21"/>
          <w:highlight w:val="none"/>
          <w:u w:val="single"/>
        </w:rPr>
        <w:t>并经发包人及承包人双方确认的金额</w:t>
      </w:r>
      <w:r>
        <w:rPr>
          <w:rFonts w:ascii="宋体" w:hAnsi="宋体" w:cs="宋体"/>
          <w:color w:val="auto"/>
          <w:szCs w:val="21"/>
          <w:highlight w:val="none"/>
          <w:u w:val="single"/>
        </w:rPr>
        <w:t>为准</w:t>
      </w:r>
      <w:r>
        <w:rPr>
          <w:rFonts w:hint="eastAsia" w:ascii="宋体" w:hAnsi="宋体" w:cs="宋体"/>
          <w:color w:val="auto"/>
          <w:szCs w:val="21"/>
          <w:highlight w:val="none"/>
          <w:u w:val="single"/>
        </w:rPr>
        <w:t>。（4）</w:t>
      </w:r>
      <w:r>
        <w:rPr>
          <w:rFonts w:ascii="宋体" w:hAnsi="宋体" w:cs="宋体"/>
          <w:color w:val="auto"/>
          <w:szCs w:val="21"/>
          <w:highlight w:val="none"/>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r>
        <w:rPr>
          <w:rFonts w:hint="eastAsia" w:ascii="宋体" w:hAnsi="宋体" w:cs="宋体"/>
          <w:color w:val="auto"/>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6）无约定的参照我区现行《建设工程工程量清单计价规范》及配套定额相关规定执行。（7） 本工程最终结算以</w:t>
      </w:r>
      <w:r>
        <w:rPr>
          <w:rFonts w:hint="eastAsia"/>
          <w:color w:val="auto"/>
          <w:highlight w:val="none"/>
          <w:lang w:val="en-US" w:eastAsia="zh-CN"/>
        </w:rPr>
        <w:t>桂林市财政局</w:t>
      </w:r>
      <w:r>
        <w:rPr>
          <w:rFonts w:hint="eastAsia" w:ascii="宋体" w:hAnsi="宋体" w:cs="宋体"/>
          <w:color w:val="auto"/>
          <w:szCs w:val="21"/>
          <w:highlight w:val="none"/>
          <w:u w:val="single"/>
        </w:rPr>
        <w:t>或发包人委托的造价咨询机构审定并经发包人及承包人双方确认的金额为准。</w:t>
      </w:r>
    </w:p>
    <w:p w14:paraId="5EB48CF6">
      <w:pPr>
        <w:pStyle w:val="36"/>
        <w:spacing w:line="380" w:lineRule="exact"/>
        <w:ind w:firstLine="422" w:firstLineChars="200"/>
        <w:rPr>
          <w:rFonts w:ascii="宋体" w:cs="宋体"/>
          <w:color w:val="auto"/>
          <w:highlight w:val="none"/>
        </w:rPr>
      </w:pPr>
      <w:bookmarkStart w:id="1072" w:name="_Toc418751840"/>
      <w:bookmarkStart w:id="1073" w:name="_Toc373478390"/>
      <w:bookmarkStart w:id="1074" w:name="_Toc522201771"/>
      <w:bookmarkStart w:id="1075" w:name="_Toc418518390"/>
      <w:bookmarkStart w:id="1076" w:name="_Toc418518154"/>
      <w:bookmarkStart w:id="1077" w:name="_Toc373227743"/>
      <w:bookmarkStart w:id="1078" w:name="_Toc389065309"/>
      <w:bookmarkStart w:id="1079" w:name="_Toc418061355"/>
      <w:bookmarkStart w:id="1080" w:name="_Toc403578978"/>
      <w:bookmarkStart w:id="1081" w:name="_Toc497747222"/>
      <w:bookmarkStart w:id="1082" w:name="_Toc497746825"/>
      <w:bookmarkStart w:id="1083" w:name="_Toc418752286"/>
      <w:bookmarkStart w:id="1084" w:name="_Toc256000222"/>
      <w:r>
        <w:rPr>
          <w:rFonts w:hint="eastAsia" w:ascii="宋体" w:cs="宋体"/>
          <w:color w:val="auto"/>
          <w:highlight w:val="none"/>
        </w:rPr>
        <w:t>1</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Start w:id="1085" w:name="_Toc296347196"/>
      <w:bookmarkStart w:id="1086" w:name="_Toc297123544"/>
      <w:bookmarkStart w:id="1087" w:name="_Toc296944536"/>
      <w:bookmarkStart w:id="1088" w:name="_Toc292559907"/>
      <w:bookmarkStart w:id="1089" w:name="_Toc300934993"/>
      <w:bookmarkStart w:id="1090" w:name="_Toc303539150"/>
      <w:bookmarkStart w:id="1091" w:name="_Toc297120497"/>
      <w:bookmarkStart w:id="1092" w:name="_Toc296891025"/>
      <w:bookmarkStart w:id="1093" w:name="_Toc297216203"/>
      <w:bookmarkStart w:id="1094" w:name="_Toc292559402"/>
      <w:bookmarkStart w:id="1095" w:name="_Toc296891237"/>
      <w:bookmarkStart w:id="1096" w:name="_Toc297048383"/>
      <w:bookmarkStart w:id="1097" w:name="_Toc296346698"/>
      <w:bookmarkStart w:id="1098" w:name="_Toc296503197"/>
      <w:bookmarkStart w:id="1099" w:name="_Toc312678029"/>
      <w:bookmarkStart w:id="1100" w:name="_Toc312677503"/>
      <w:bookmarkStart w:id="1101" w:name="_Toc304295570"/>
      <w:r>
        <w:rPr>
          <w:rFonts w:hint="eastAsia" w:ascii="宋体" w:cs="宋体"/>
          <w:color w:val="auto"/>
          <w:highlight w:val="none"/>
        </w:rPr>
        <w:t>0.5 承</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Start w:id="1102" w:name="_Toc292559913"/>
      <w:bookmarkStart w:id="1103" w:name="_Toc296346704"/>
      <w:bookmarkStart w:id="1104" w:name="_Toc297123545"/>
      <w:bookmarkStart w:id="1105" w:name="_Toc296891031"/>
      <w:bookmarkStart w:id="1106" w:name="_Toc296347202"/>
      <w:bookmarkStart w:id="1107" w:name="_Toc296944542"/>
      <w:bookmarkStart w:id="1108" w:name="_Toc300934994"/>
      <w:bookmarkStart w:id="1109" w:name="_Toc296503203"/>
      <w:bookmarkStart w:id="1110" w:name="_Toc292559408"/>
      <w:bookmarkStart w:id="1111" w:name="_Toc297216204"/>
      <w:bookmarkStart w:id="1112" w:name="_Toc297120503"/>
      <w:bookmarkStart w:id="1113" w:name="_Toc297048389"/>
      <w:bookmarkStart w:id="1114" w:name="_Toc296891243"/>
      <w:bookmarkStart w:id="1115" w:name="_Toc303539151"/>
      <w:r>
        <w:rPr>
          <w:rFonts w:hint="eastAsia" w:ascii="宋体" w:cs="宋体"/>
          <w:color w:val="auto"/>
          <w:highlight w:val="none"/>
        </w:rPr>
        <w:t>包人的合理化建议</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p>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14:paraId="424C99D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监理人审查承包人合理化建议的期限：</w:t>
      </w:r>
      <w:r>
        <w:rPr>
          <w:rFonts w:hint="eastAsia" w:ascii="宋体" w:hAnsi="宋体" w:cs="宋体"/>
          <w:color w:val="auto"/>
          <w:szCs w:val="21"/>
          <w:highlight w:val="none"/>
          <w:u w:val="single"/>
        </w:rPr>
        <w:t>监理人应在收到承包人提交的合理化建议后7天内审查完毕并报送发包人，发现其中存在技术上的缺陷，应通知承包人修改</w:t>
      </w:r>
      <w:r>
        <w:rPr>
          <w:rFonts w:hint="eastAsia" w:ascii="宋体" w:hAnsi="宋体" w:cs="宋体"/>
          <w:color w:val="auto"/>
          <w:szCs w:val="21"/>
          <w:highlight w:val="none"/>
        </w:rPr>
        <w:t>。</w:t>
      </w:r>
    </w:p>
    <w:p w14:paraId="43C2DB9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发包人审批承包人合理化建议的期限：</w:t>
      </w:r>
      <w:r>
        <w:rPr>
          <w:rFonts w:hint="eastAsia" w:ascii="宋体" w:hAnsi="宋体" w:cs="宋体"/>
          <w:color w:val="auto"/>
          <w:szCs w:val="21"/>
          <w:highlight w:val="none"/>
          <w:u w:val="single"/>
        </w:rPr>
        <w:t>发包人应在收到监理人报送的合理化建议后7天内审批完毕</w:t>
      </w:r>
      <w:r>
        <w:rPr>
          <w:rFonts w:hint="eastAsia" w:ascii="宋体" w:hAnsi="宋体" w:cs="宋体"/>
          <w:color w:val="auto"/>
          <w:szCs w:val="21"/>
          <w:highlight w:val="none"/>
        </w:rPr>
        <w:t>。</w:t>
      </w:r>
    </w:p>
    <w:p w14:paraId="788A787A">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w:t>
      </w:r>
      <w:bookmarkStart w:id="1116" w:name="_Toc296346705"/>
      <w:bookmarkStart w:id="1117" w:name="_Toc300934995"/>
      <w:bookmarkStart w:id="1118" w:name="_Toc297048390"/>
      <w:bookmarkStart w:id="1119" w:name="_Toc296347203"/>
      <w:bookmarkStart w:id="1120" w:name="_Toc296891032"/>
      <w:bookmarkStart w:id="1121" w:name="_Toc297123546"/>
      <w:bookmarkStart w:id="1122" w:name="_Toc292559914"/>
      <w:bookmarkStart w:id="1123" w:name="_Toc296503204"/>
      <w:bookmarkStart w:id="1124" w:name="_Toc292559409"/>
      <w:bookmarkStart w:id="1125" w:name="_Toc304295571"/>
      <w:bookmarkStart w:id="1126" w:name="_Toc296891244"/>
      <w:bookmarkStart w:id="1127" w:name="_Toc297216205"/>
      <w:bookmarkStart w:id="1128" w:name="_Toc318581175"/>
      <w:bookmarkStart w:id="1129" w:name="_Toc312678030"/>
      <w:bookmarkStart w:id="1130" w:name="_Toc297120504"/>
      <w:bookmarkStart w:id="1131" w:name="_Toc312677504"/>
      <w:bookmarkStart w:id="1132" w:name="_Toc303539152"/>
      <w:bookmarkStart w:id="1133" w:name="_Toc296944543"/>
      <w:r>
        <w:rPr>
          <w:rFonts w:hint="eastAsia" w:ascii="宋体" w:hAnsi="宋体" w:cs="宋体"/>
          <w:color w:val="auto"/>
          <w:szCs w:val="21"/>
          <w:highlight w:val="none"/>
        </w:rPr>
        <w:t>包人提出的合理化建议降低了合同价格或者提高了工程经济效益的奖励的方法和金额为：</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14:paraId="75FAC33A">
      <w:pPr>
        <w:pStyle w:val="36"/>
        <w:spacing w:line="380" w:lineRule="exact"/>
        <w:ind w:firstLine="422" w:firstLineChars="200"/>
        <w:rPr>
          <w:rFonts w:ascii="宋体" w:cs="宋体"/>
          <w:color w:val="auto"/>
          <w:highlight w:val="none"/>
        </w:rPr>
      </w:pPr>
      <w:bookmarkStart w:id="1134" w:name="_Toc418061356"/>
      <w:bookmarkStart w:id="1135" w:name="_Toc418518391"/>
      <w:bookmarkStart w:id="1136" w:name="_Toc497746826"/>
      <w:bookmarkStart w:id="1137" w:name="_Toc418752287"/>
      <w:bookmarkStart w:id="1138" w:name="_Toc418751841"/>
      <w:bookmarkStart w:id="1139" w:name="_Toc418518155"/>
      <w:bookmarkStart w:id="1140" w:name="_Toc389065310"/>
      <w:bookmarkStart w:id="1141" w:name="_Toc256000223"/>
      <w:bookmarkStart w:id="1142" w:name="_Toc497747223"/>
      <w:bookmarkStart w:id="1143" w:name="_Toc373227744"/>
      <w:bookmarkStart w:id="1144" w:name="_Toc403578979"/>
      <w:bookmarkStart w:id="1145" w:name="_Toc373478391"/>
      <w:bookmarkStart w:id="1146" w:name="_Toc522201772"/>
      <w:r>
        <w:rPr>
          <w:rFonts w:hint="eastAsia" w:ascii="宋体" w:cs="宋体"/>
          <w:color w:val="auto"/>
          <w:highlight w:val="none"/>
        </w:rPr>
        <w:t>1</w:t>
      </w:r>
      <w:bookmarkStart w:id="1147" w:name="_Toc292559909"/>
      <w:bookmarkStart w:id="1148" w:name="_Toc297048385"/>
      <w:bookmarkStart w:id="1149" w:name="_Toc296503199"/>
      <w:bookmarkStart w:id="1150" w:name="_Toc292559404"/>
      <w:bookmarkStart w:id="1151" w:name="_Toc296347198"/>
      <w:bookmarkStart w:id="1152" w:name="_Toc297216207"/>
      <w:bookmarkStart w:id="1153" w:name="_Toc312677507"/>
      <w:bookmarkStart w:id="1154" w:name="_Toc297123548"/>
      <w:bookmarkStart w:id="1155" w:name="_Toc304295574"/>
      <w:bookmarkStart w:id="1156" w:name="_Toc303539154"/>
      <w:bookmarkStart w:id="1157" w:name="_Toc296944538"/>
      <w:bookmarkStart w:id="1158" w:name="_Toc300934997"/>
      <w:bookmarkStart w:id="1159" w:name="_Toc296346700"/>
      <w:bookmarkStart w:id="1160" w:name="_Toc312678033"/>
      <w:bookmarkStart w:id="1161" w:name="_Toc296891027"/>
      <w:bookmarkStart w:id="1162" w:name="_Toc296891239"/>
      <w:bookmarkStart w:id="1163" w:name="_Toc297120499"/>
      <w:r>
        <w:rPr>
          <w:rFonts w:hint="eastAsia" w:ascii="宋体" w:cs="宋体"/>
          <w:color w:val="auto"/>
          <w:highlight w:val="none"/>
        </w:rPr>
        <w:t>0.7 暂估价</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14:paraId="71664DE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暂</w:t>
      </w:r>
      <w:bookmarkStart w:id="1164" w:name="_Toc318581176"/>
      <w:bookmarkStart w:id="1165" w:name="_Toc312677508"/>
      <w:bookmarkStart w:id="1166" w:name="_Toc312678034"/>
      <w:r>
        <w:rPr>
          <w:rFonts w:hint="eastAsia" w:ascii="宋体" w:hAnsi="宋体" w:cs="宋体"/>
          <w:color w:val="auto"/>
          <w:kern w:val="0"/>
          <w:szCs w:val="21"/>
          <w:highlight w:val="none"/>
        </w:rPr>
        <w:t>估价材料和工程设备的明细详见已标价工程量清单《</w:t>
      </w:r>
      <w:r>
        <w:rPr>
          <w:rFonts w:hint="eastAsia" w:ascii="宋体" w:hAnsi="宋体" w:cs="宋体"/>
          <w:color w:val="auto"/>
          <w:szCs w:val="21"/>
          <w:highlight w:val="none"/>
        </w:rPr>
        <w:t>材料（工程设备）暂估价格及调整表》</w:t>
      </w:r>
      <w:r>
        <w:rPr>
          <w:rFonts w:hint="eastAsia" w:ascii="宋体" w:hAnsi="宋体" w:cs="宋体"/>
          <w:color w:val="auto"/>
          <w:kern w:val="0"/>
          <w:szCs w:val="21"/>
          <w:highlight w:val="none"/>
        </w:rPr>
        <w:t>（表12-2）和《</w:t>
      </w:r>
      <w:r>
        <w:rPr>
          <w:rFonts w:hint="eastAsia" w:ascii="宋体" w:hAnsi="宋体" w:cs="宋体"/>
          <w:color w:val="auto"/>
          <w:szCs w:val="21"/>
          <w:highlight w:val="none"/>
        </w:rPr>
        <w:t>专业工程暂估价表》（</w:t>
      </w:r>
      <w:r>
        <w:rPr>
          <w:rFonts w:hint="eastAsia" w:ascii="宋体" w:hAnsi="宋体" w:cs="宋体"/>
          <w:color w:val="auto"/>
          <w:kern w:val="0"/>
          <w:szCs w:val="21"/>
          <w:highlight w:val="none"/>
        </w:rPr>
        <w:t>表12-3）。</w:t>
      </w:r>
    </w:p>
    <w:bookmarkEnd w:id="1164"/>
    <w:bookmarkEnd w:id="1165"/>
    <w:bookmarkEnd w:id="1166"/>
    <w:p w14:paraId="5ADDD6E4">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Start w:id="1167" w:name="_Toc312677509"/>
      <w:bookmarkStart w:id="1168" w:name="_Toc318581177"/>
      <w:bookmarkStart w:id="1169" w:name="_Toc312678035"/>
      <w:r>
        <w:rPr>
          <w:rFonts w:hint="eastAsia" w:ascii="宋体" w:hAnsi="宋体" w:cs="宋体"/>
          <w:color w:val="auto"/>
          <w:szCs w:val="21"/>
          <w:highlight w:val="none"/>
        </w:rPr>
        <w:t>0.7.1 依法必须招标的暂估价项目</w:t>
      </w:r>
    </w:p>
    <w:bookmarkEnd w:id="1167"/>
    <w:bookmarkEnd w:id="1168"/>
    <w:bookmarkEnd w:id="1169"/>
    <w:p w14:paraId="62FAA0D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对于依法必须招标的暂估价项目的确认和批准采取第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种方式确定。</w:t>
      </w:r>
    </w:p>
    <w:p w14:paraId="4616851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10.7.2 不属于依法必须招标的暂估价项目</w:t>
      </w:r>
    </w:p>
    <w:p w14:paraId="5F1AE19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对于不属于依法必须招标的暂估价项目的确认和批准采取第</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 xml:space="preserve"> 种方式确定。</w:t>
      </w:r>
    </w:p>
    <w:p w14:paraId="41491FB1">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kern w:val="0"/>
          <w:szCs w:val="21"/>
          <w:highlight w:val="none"/>
        </w:rPr>
        <w:t>承包人直接实施的暂估价项目</w:t>
      </w:r>
    </w:p>
    <w:p w14:paraId="755402A9">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承包人直接实施的暂估价项目的约定：</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721409C1">
      <w:pPr>
        <w:pStyle w:val="36"/>
        <w:spacing w:line="380" w:lineRule="exact"/>
        <w:ind w:firstLine="422" w:firstLineChars="200"/>
        <w:rPr>
          <w:rFonts w:ascii="宋体" w:cs="宋体"/>
          <w:color w:val="auto"/>
          <w:highlight w:val="none"/>
        </w:rPr>
      </w:pPr>
      <w:bookmarkStart w:id="1170" w:name="_Toc418518156"/>
      <w:bookmarkStart w:id="1171" w:name="_Toc497747224"/>
      <w:bookmarkStart w:id="1172" w:name="_Toc373478392"/>
      <w:bookmarkStart w:id="1173" w:name="_Toc373227745"/>
      <w:bookmarkStart w:id="1174" w:name="_Toc418751842"/>
      <w:bookmarkStart w:id="1175" w:name="_Toc418752288"/>
      <w:bookmarkStart w:id="1176" w:name="_Toc522201773"/>
      <w:bookmarkStart w:id="1177" w:name="_Toc418061357"/>
      <w:bookmarkStart w:id="1178" w:name="_Toc403578980"/>
      <w:bookmarkStart w:id="1179" w:name="_Toc418518392"/>
      <w:bookmarkStart w:id="1180" w:name="_Toc389065311"/>
      <w:bookmarkStart w:id="1181" w:name="_Toc256000224"/>
      <w:bookmarkStart w:id="1182" w:name="_Toc497746827"/>
      <w:r>
        <w:rPr>
          <w:rFonts w:hint="eastAsia" w:ascii="宋体" w:cs="宋体"/>
          <w:color w:val="auto"/>
          <w:highlight w:val="none"/>
        </w:rPr>
        <w:t>10.8 暂列金额</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61A551D2">
      <w:pPr>
        <w:pStyle w:val="21"/>
        <w:autoSpaceDE w:val="0"/>
        <w:autoSpaceDN w:val="0"/>
        <w:adjustRightInd w:val="0"/>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合同当事人关于暂列金额使用的约定：</w:t>
      </w:r>
      <w:r>
        <w:rPr>
          <w:rFonts w:hint="eastAsia" w:ascii="宋体" w:hAnsi="宋体" w:cs="宋体"/>
          <w:color w:val="auto"/>
          <w:szCs w:val="21"/>
          <w:highlight w:val="none"/>
          <w:u w:val="single"/>
        </w:rPr>
        <w:t xml:space="preserve">（1）已签约合同价中的暂列金额由发包人掌握使用。（2）发包人按照规定所作支付后，暂列金额如有余额归发包人 </w:t>
      </w:r>
      <w:r>
        <w:rPr>
          <w:rFonts w:hint="eastAsia" w:ascii="宋体" w:hAnsi="宋体" w:cs="宋体"/>
          <w:color w:val="auto"/>
          <w:kern w:val="0"/>
          <w:szCs w:val="21"/>
          <w:highlight w:val="none"/>
        </w:rPr>
        <w:t>。</w:t>
      </w:r>
    </w:p>
    <w:p w14:paraId="4BA19C63">
      <w:pPr>
        <w:pStyle w:val="36"/>
        <w:spacing w:line="380" w:lineRule="exact"/>
        <w:rPr>
          <w:rFonts w:ascii="宋体" w:cs="宋体"/>
          <w:color w:val="auto"/>
          <w:highlight w:val="none"/>
        </w:rPr>
      </w:pPr>
      <w:bookmarkStart w:id="1183" w:name="_Toc418061358"/>
      <w:bookmarkStart w:id="1184" w:name="_Toc418518157"/>
      <w:bookmarkStart w:id="1185" w:name="_Toc418752289"/>
      <w:bookmarkStart w:id="1186" w:name="_Toc497747225"/>
      <w:bookmarkStart w:id="1187" w:name="_Toc351203643"/>
      <w:bookmarkStart w:id="1188" w:name="_Toc497746828"/>
      <w:bookmarkStart w:id="1189" w:name="_Toc373227746"/>
      <w:bookmarkStart w:id="1190" w:name="_Toc256000225"/>
      <w:bookmarkStart w:id="1191" w:name="_Toc389065312"/>
      <w:bookmarkStart w:id="1192" w:name="_Toc373478393"/>
      <w:bookmarkStart w:id="1193" w:name="_Toc522201774"/>
      <w:bookmarkStart w:id="1194" w:name="_Toc403578981"/>
      <w:bookmarkStart w:id="1195" w:name="_Toc418751843"/>
      <w:bookmarkStart w:id="1196" w:name="_Toc418518393"/>
      <w:r>
        <w:rPr>
          <w:rFonts w:hint="eastAsia" w:ascii="宋体" w:cs="宋体"/>
          <w:color w:val="auto"/>
          <w:highlight w:val="none"/>
        </w:rPr>
        <w:t>11. 价格调整</w:t>
      </w:r>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14:paraId="478F5A4A">
      <w:pPr>
        <w:pStyle w:val="36"/>
        <w:spacing w:line="380" w:lineRule="exact"/>
        <w:ind w:firstLine="422" w:firstLineChars="200"/>
        <w:rPr>
          <w:rFonts w:ascii="宋体" w:cs="宋体"/>
          <w:color w:val="auto"/>
          <w:highlight w:val="none"/>
        </w:rPr>
      </w:pPr>
      <w:bookmarkStart w:id="1197" w:name="_Toc418518394"/>
      <w:bookmarkStart w:id="1198" w:name="_Toc403578982"/>
      <w:bookmarkStart w:id="1199" w:name="_Toc497746829"/>
      <w:bookmarkStart w:id="1200" w:name="_Toc256000226"/>
      <w:bookmarkStart w:id="1201" w:name="_Toc373478394"/>
      <w:bookmarkStart w:id="1202" w:name="_Toc389065313"/>
      <w:bookmarkStart w:id="1203" w:name="_Toc522201775"/>
      <w:bookmarkStart w:id="1204" w:name="_Toc418061359"/>
      <w:bookmarkStart w:id="1205" w:name="_Toc373227747"/>
      <w:bookmarkStart w:id="1206" w:name="_Toc418518158"/>
      <w:bookmarkStart w:id="1207" w:name="_Toc418751844"/>
      <w:bookmarkStart w:id="1208" w:name="_Toc497747226"/>
      <w:bookmarkStart w:id="1209" w:name="_Toc418752290"/>
      <w:bookmarkStart w:id="1210" w:name="_Toc297216209"/>
      <w:bookmarkStart w:id="1211" w:name="_Toc296944540"/>
      <w:bookmarkStart w:id="1212" w:name="_Toc303539157"/>
      <w:bookmarkStart w:id="1213" w:name="_Toc296891241"/>
      <w:bookmarkStart w:id="1214" w:name="_Toc297123550"/>
      <w:bookmarkStart w:id="1215" w:name="_Toc292559911"/>
      <w:bookmarkStart w:id="1216" w:name="_Toc292559406"/>
      <w:bookmarkStart w:id="1217" w:name="_Toc300935000"/>
      <w:bookmarkStart w:id="1218" w:name="_Toc296503201"/>
      <w:bookmarkStart w:id="1219" w:name="_Toc297048387"/>
      <w:bookmarkStart w:id="1220" w:name="_Toc297120501"/>
      <w:bookmarkStart w:id="1221" w:name="_Toc304295577"/>
      <w:bookmarkStart w:id="1222" w:name="_Toc296346702"/>
      <w:bookmarkStart w:id="1223" w:name="_Toc296347200"/>
      <w:bookmarkStart w:id="1224" w:name="_Toc312678039"/>
      <w:bookmarkStart w:id="1225" w:name="_Toc296891029"/>
      <w:r>
        <w:rPr>
          <w:rFonts w:hint="eastAsia" w:ascii="宋体" w:cs="宋体"/>
          <w:color w:val="auto"/>
          <w:highlight w:val="none"/>
        </w:rPr>
        <w:t>11.1 市场价格波动引起的调整</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p>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14:paraId="3CEE1CF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市场价格波动是否调整合同价格的约定：</w:t>
      </w:r>
      <w:r>
        <w:rPr>
          <w:rFonts w:hint="eastAsia" w:ascii="宋体" w:hAnsi="宋体" w:cs="宋体"/>
          <w:color w:val="auto"/>
          <w:szCs w:val="21"/>
          <w:highlight w:val="none"/>
          <w:u w:val="single"/>
          <w:lang w:val="en-US" w:eastAsia="zh-CN"/>
        </w:rPr>
        <w:t>不</w:t>
      </w:r>
      <w:r>
        <w:rPr>
          <w:rFonts w:hint="eastAsia" w:ascii="宋体" w:hAnsi="宋体" w:cs="宋体"/>
          <w:color w:val="auto"/>
          <w:szCs w:val="21"/>
          <w:highlight w:val="none"/>
          <w:u w:val="single"/>
        </w:rPr>
        <w:t xml:space="preserve">调整 </w:t>
      </w:r>
      <w:r>
        <w:rPr>
          <w:rFonts w:hint="eastAsia" w:ascii="宋体" w:hAnsi="宋体" w:cs="宋体"/>
          <w:color w:val="auto"/>
          <w:szCs w:val="21"/>
          <w:highlight w:val="none"/>
        </w:rPr>
        <w:t>。</w:t>
      </w:r>
    </w:p>
    <w:p w14:paraId="4DDABFE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因市场价格波动调整合同价格，采用以下第</w:t>
      </w:r>
      <w:r>
        <w:rPr>
          <w:rFonts w:hint="eastAsia" w:ascii="宋体" w:hAnsi="宋体" w:cs="宋体"/>
          <w:color w:val="auto"/>
          <w:szCs w:val="21"/>
          <w:highlight w:val="none"/>
          <w:u w:val="single"/>
        </w:rPr>
        <w:t>2</w:t>
      </w:r>
      <w:r>
        <w:rPr>
          <w:rFonts w:hint="eastAsia" w:ascii="宋体" w:hAnsi="宋体" w:cs="宋体"/>
          <w:color w:val="auto"/>
          <w:szCs w:val="21"/>
          <w:highlight w:val="none"/>
        </w:rPr>
        <w:t>种方式对合同价格进行调整：</w:t>
      </w:r>
    </w:p>
    <w:p w14:paraId="73472BC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第1种方式：采用价格指数进行价格调整。</w:t>
      </w:r>
    </w:p>
    <w:p w14:paraId="2A9D623A">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关于各可调因子、定值和变值权重，以及基本价格指数及其来源的约定：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w:t>
      </w:r>
    </w:p>
    <w:p w14:paraId="7A5D8CE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第2种方式：采用造价信息进行价格调整。</w:t>
      </w:r>
    </w:p>
    <w:p w14:paraId="45858868">
      <w:pPr>
        <w:pStyle w:val="21"/>
        <w:spacing w:line="38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（1）关于基准价格的约定： </w:t>
      </w:r>
      <w:r>
        <w:rPr>
          <w:rFonts w:hint="eastAsia" w:ascii="宋体" w:hAnsi="宋体"/>
          <w:color w:val="auto"/>
          <w:szCs w:val="21"/>
          <w:highlight w:val="none"/>
          <w:u w:val="single"/>
          <w:lang w:val="en-US" w:eastAsia="zh-CN"/>
        </w:rPr>
        <w:t>2025</w:t>
      </w:r>
      <w:r>
        <w:rPr>
          <w:rFonts w:hint="eastAsia" w:ascii="宋体" w:hAnsi="宋体"/>
          <w:color w:val="auto"/>
          <w:szCs w:val="21"/>
          <w:highlight w:val="none"/>
          <w:u w:val="single"/>
        </w:rPr>
        <w:t>年第</w:t>
      </w:r>
      <w:r>
        <w:rPr>
          <w:rFonts w:hint="eastAsia" w:ascii="宋体" w:hAnsi="宋体"/>
          <w:color w:val="auto"/>
          <w:szCs w:val="21"/>
          <w:highlight w:val="none"/>
          <w:u w:val="single"/>
          <w:lang w:val="en-US" w:eastAsia="zh-CN"/>
        </w:rPr>
        <w:t xml:space="preserve">5 </w:t>
      </w:r>
      <w:r>
        <w:rPr>
          <w:rFonts w:hint="eastAsia" w:ascii="宋体" w:hAnsi="宋体"/>
          <w:color w:val="auto"/>
          <w:szCs w:val="21"/>
          <w:highlight w:val="none"/>
          <w:u w:val="single"/>
        </w:rPr>
        <w:t>期《桂林市建设工程造价信息》。</w:t>
      </w:r>
    </w:p>
    <w:p w14:paraId="1C58EE02">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投</w:t>
      </w:r>
      <w:r>
        <w:rPr>
          <w:rFonts w:hint="eastAsia" w:ascii="宋体" w:hAnsi="宋体" w:cs="宋体"/>
          <w:color w:val="auto"/>
          <w:kern w:val="0"/>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14:paraId="23869D01">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①承包人在已标价工程量清单或预算书中载明的材料单价低于基准价格的，合同履行期间材料单价涨幅以基准价格为基础超过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%时，或材料单价跌幅以已标价工程量清单或预算书中载明材料单价为基础超过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1FF52E87">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%时，材料单价涨幅以已标价工程量清单或预算书中载明材料单价为基础超过</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%时，其超过部分据实调整。</w:t>
      </w:r>
    </w:p>
    <w:p w14:paraId="2FAAEAB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highlight w:val="none"/>
          <w:lang w:eastAsia="zh-CN"/>
        </w:rPr>
        <w:t>5</w:t>
      </w:r>
      <w:r>
        <w:rPr>
          <w:rFonts w:hint="eastAsia" w:ascii="宋体" w:hAnsi="宋体" w:cs="宋体"/>
          <w:color w:val="auto"/>
          <w:szCs w:val="21"/>
          <w:highlight w:val="none"/>
        </w:rPr>
        <w:t>%时，其超过部分据实调整。</w:t>
      </w:r>
    </w:p>
    <w:p w14:paraId="0469921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④除专用合同约定的钢筋、水泥、商品混凝土、沥青混凝土、碎石、砂、片石、沥青、管材、石材、土方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等项材料外，其余材料价格不做调整。调整方法：钢筋、水泥、商品混凝土、沥青混凝土、碎石、砂、片石、沥青、管材、石材、土方</w:t>
      </w:r>
      <w:r>
        <w:rPr>
          <w:rFonts w:hint="eastAsia" w:ascii="宋体" w:hAnsi="宋体" w:cs="宋体"/>
          <w:color w:val="auto"/>
          <w:kern w:val="0"/>
          <w:szCs w:val="21"/>
          <w:highlight w:val="none"/>
        </w:rPr>
        <w:t>（含购土与弃土）</w:t>
      </w:r>
      <w:r>
        <w:rPr>
          <w:rFonts w:hint="eastAsia" w:ascii="宋体" w:hAnsi="宋体" w:cs="宋体"/>
          <w:color w:val="auto"/>
          <w:szCs w:val="21"/>
          <w:highlight w:val="none"/>
        </w:rPr>
        <w:t>价格超过部分×中标下浮系数（中标人的投标报价÷预算价），该部分费用列入税前独立费。</w:t>
      </w:r>
    </w:p>
    <w:p w14:paraId="642204E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在工程施工期间，国家及地区如有新的人工费调整政策文件出台，可按国家及地区相关文件进行人工费调差。</w:t>
      </w:r>
    </w:p>
    <w:p w14:paraId="08FCB3C1">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第3种方式：</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24C7FD3">
      <w:pPr>
        <w:pStyle w:val="36"/>
        <w:spacing w:line="380" w:lineRule="exact"/>
        <w:rPr>
          <w:rFonts w:ascii="宋体" w:cs="宋体"/>
          <w:color w:val="auto"/>
          <w:highlight w:val="none"/>
        </w:rPr>
      </w:pPr>
      <w:bookmarkStart w:id="1226" w:name="_Toc292559410"/>
      <w:bookmarkStart w:id="1227" w:name="_Toc296944544"/>
      <w:bookmarkStart w:id="1228" w:name="_Toc296346706"/>
      <w:bookmarkStart w:id="1229" w:name="_Toc296347204"/>
      <w:bookmarkStart w:id="1230" w:name="_Toc296891033"/>
      <w:bookmarkStart w:id="1231" w:name="_Toc297048391"/>
      <w:bookmarkStart w:id="1232" w:name="_Toc296891245"/>
      <w:bookmarkStart w:id="1233" w:name="_Toc292559915"/>
      <w:bookmarkStart w:id="1234" w:name="_Toc297120505"/>
      <w:bookmarkStart w:id="1235" w:name="_Toc296503205"/>
      <w:bookmarkStart w:id="1236" w:name="_Toc418518159"/>
      <w:bookmarkStart w:id="1237" w:name="_Toc418518395"/>
      <w:bookmarkStart w:id="1238" w:name="_Toc373227748"/>
      <w:bookmarkStart w:id="1239" w:name="_Toc418061360"/>
      <w:bookmarkStart w:id="1240" w:name="_Toc403578983"/>
      <w:bookmarkStart w:id="1241" w:name="_Toc522201776"/>
      <w:bookmarkStart w:id="1242" w:name="_Toc373478395"/>
      <w:bookmarkStart w:id="1243" w:name="_Toc418751845"/>
      <w:bookmarkStart w:id="1244" w:name="_Toc497747227"/>
      <w:bookmarkStart w:id="1245" w:name="_Toc351203644"/>
      <w:bookmarkStart w:id="1246" w:name="_Toc418752291"/>
      <w:bookmarkStart w:id="1247" w:name="_Toc497746830"/>
      <w:bookmarkStart w:id="1248" w:name="_Toc256000227"/>
      <w:bookmarkStart w:id="1249" w:name="_Toc303539159"/>
      <w:bookmarkStart w:id="1250" w:name="_Toc312678040"/>
      <w:bookmarkStart w:id="1251" w:name="_Toc297216211"/>
      <w:bookmarkStart w:id="1252" w:name="_Toc304295579"/>
      <w:bookmarkStart w:id="1253" w:name="_Toc297123552"/>
      <w:bookmarkStart w:id="1254" w:name="_Toc300935002"/>
      <w:r>
        <w:rPr>
          <w:rFonts w:hint="eastAsia" w:ascii="宋体" w:cs="宋体"/>
          <w:color w:val="auto"/>
          <w:highlight w:val="none"/>
        </w:rPr>
        <w:t xml:space="preserve">12. </w:t>
      </w:r>
      <w:bookmarkEnd w:id="1226"/>
      <w:bookmarkEnd w:id="1227"/>
      <w:bookmarkEnd w:id="1228"/>
      <w:bookmarkEnd w:id="1229"/>
      <w:bookmarkEnd w:id="1230"/>
      <w:bookmarkEnd w:id="1231"/>
      <w:bookmarkEnd w:id="1232"/>
      <w:bookmarkEnd w:id="1233"/>
      <w:bookmarkEnd w:id="1234"/>
      <w:bookmarkEnd w:id="1235"/>
      <w:r>
        <w:rPr>
          <w:rFonts w:hint="eastAsia" w:ascii="宋体" w:cs="宋体"/>
          <w:color w:val="auto"/>
          <w:highlight w:val="none"/>
        </w:rPr>
        <w:t>合同价格、计量与支付</w:t>
      </w:r>
      <w:bookmarkEnd w:id="1236"/>
      <w:bookmarkEnd w:id="1237"/>
      <w:bookmarkEnd w:id="1238"/>
      <w:bookmarkEnd w:id="1239"/>
      <w:bookmarkEnd w:id="1240"/>
      <w:bookmarkEnd w:id="1241"/>
      <w:bookmarkEnd w:id="1242"/>
      <w:bookmarkEnd w:id="1243"/>
      <w:bookmarkEnd w:id="1244"/>
      <w:bookmarkEnd w:id="1245"/>
      <w:bookmarkEnd w:id="1246"/>
      <w:bookmarkEnd w:id="1247"/>
      <w:bookmarkEnd w:id="1248"/>
    </w:p>
    <w:bookmarkEnd w:id="1249"/>
    <w:bookmarkEnd w:id="1250"/>
    <w:bookmarkEnd w:id="1251"/>
    <w:bookmarkEnd w:id="1252"/>
    <w:bookmarkEnd w:id="1253"/>
    <w:bookmarkEnd w:id="1254"/>
    <w:p w14:paraId="2C8C3399">
      <w:pPr>
        <w:pStyle w:val="36"/>
        <w:spacing w:line="380" w:lineRule="exact"/>
        <w:ind w:firstLine="422" w:firstLineChars="200"/>
        <w:rPr>
          <w:rFonts w:ascii="宋体" w:cs="宋体"/>
          <w:color w:val="auto"/>
          <w:highlight w:val="none"/>
        </w:rPr>
      </w:pPr>
      <w:bookmarkStart w:id="1255" w:name="_Toc292559411"/>
      <w:bookmarkStart w:id="1256" w:name="_Toc292559916"/>
      <w:bookmarkStart w:id="1257" w:name="_Toc267251461"/>
      <w:bookmarkStart w:id="1258" w:name="_Toc296347205"/>
      <w:bookmarkStart w:id="1259" w:name="_Toc297048392"/>
      <w:bookmarkStart w:id="1260" w:name="_Toc296944545"/>
      <w:bookmarkStart w:id="1261" w:name="_Toc296891246"/>
      <w:bookmarkStart w:id="1262" w:name="_Toc296891034"/>
      <w:bookmarkStart w:id="1263" w:name="_Toc297120506"/>
      <w:bookmarkStart w:id="1264" w:name="_Toc296346707"/>
      <w:bookmarkStart w:id="1265" w:name="_Toc296503206"/>
      <w:bookmarkStart w:id="1266" w:name="_Toc497747228"/>
      <w:bookmarkStart w:id="1267" w:name="_Toc403578984"/>
      <w:bookmarkStart w:id="1268" w:name="_Toc256000228"/>
      <w:bookmarkStart w:id="1269" w:name="_Toc497746831"/>
      <w:bookmarkStart w:id="1270" w:name="_Toc389065314"/>
      <w:bookmarkStart w:id="1271" w:name="_Toc418751846"/>
      <w:bookmarkStart w:id="1272" w:name="_Toc373227749"/>
      <w:bookmarkStart w:id="1273" w:name="_Toc418518396"/>
      <w:bookmarkStart w:id="1274" w:name="_Toc522201777"/>
      <w:bookmarkStart w:id="1275" w:name="_Toc418061361"/>
      <w:bookmarkStart w:id="1276" w:name="_Toc418752292"/>
      <w:bookmarkStart w:id="1277" w:name="_Toc373478396"/>
      <w:bookmarkStart w:id="1278" w:name="_Toc418518160"/>
      <w:bookmarkStart w:id="1279" w:name="_Toc303539160"/>
      <w:bookmarkStart w:id="1280" w:name="_Toc297216212"/>
      <w:bookmarkStart w:id="1281" w:name="_Toc312678041"/>
      <w:bookmarkStart w:id="1282" w:name="_Toc297123553"/>
      <w:bookmarkStart w:id="1283" w:name="_Toc300935003"/>
      <w:bookmarkStart w:id="1284" w:name="_Toc304295580"/>
      <w:r>
        <w:rPr>
          <w:rFonts w:hint="eastAsia" w:ascii="宋体" w:cs="宋体"/>
          <w:color w:val="auto"/>
          <w:highlight w:val="none"/>
        </w:rPr>
        <w:t>12.1 合</w:t>
      </w:r>
      <w:bookmarkEnd w:id="1255"/>
      <w:bookmarkEnd w:id="1256"/>
      <w:bookmarkEnd w:id="1257"/>
      <w:r>
        <w:rPr>
          <w:rFonts w:hint="eastAsia" w:ascii="宋体" w:cs="宋体"/>
          <w:color w:val="auto"/>
          <w:highlight w:val="none"/>
        </w:rPr>
        <w:t>同价</w:t>
      </w:r>
      <w:bookmarkEnd w:id="1258"/>
      <w:bookmarkEnd w:id="1259"/>
      <w:bookmarkEnd w:id="1260"/>
      <w:bookmarkEnd w:id="1261"/>
      <w:bookmarkEnd w:id="1262"/>
      <w:bookmarkEnd w:id="1263"/>
      <w:bookmarkEnd w:id="1264"/>
      <w:bookmarkEnd w:id="1265"/>
      <w:r>
        <w:rPr>
          <w:rFonts w:hint="eastAsia" w:ascii="宋体" w:cs="宋体"/>
          <w:color w:val="auto"/>
          <w:highlight w:val="none"/>
        </w:rPr>
        <w:t>格形式</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p>
    <w:bookmarkEnd w:id="1279"/>
    <w:bookmarkEnd w:id="1280"/>
    <w:bookmarkEnd w:id="1281"/>
    <w:bookmarkEnd w:id="1282"/>
    <w:bookmarkEnd w:id="1283"/>
    <w:bookmarkEnd w:id="1284"/>
    <w:p w14:paraId="56BCFE4F">
      <w:pPr>
        <w:pStyle w:val="21"/>
        <w:spacing w:line="380" w:lineRule="exact"/>
        <w:ind w:firstLine="420" w:firstLineChars="200"/>
        <w:jc w:val="left"/>
        <w:rPr>
          <w:rFonts w:ascii="宋体" w:hAnsi="宋体" w:cs="宋体"/>
          <w:color w:val="auto"/>
          <w:szCs w:val="21"/>
          <w:highlight w:val="none"/>
        </w:rPr>
      </w:pPr>
      <w:bookmarkStart w:id="1285" w:name="_Toc373478397"/>
      <w:bookmarkStart w:id="1286" w:name="_Toc389065315"/>
      <w:bookmarkStart w:id="1287" w:name="_Toc373227750"/>
      <w:bookmarkStart w:id="1288" w:name="_Toc297123554"/>
      <w:bookmarkStart w:id="1289" w:name="_Toc312678042"/>
      <w:bookmarkStart w:id="1290" w:name="_Toc300935004"/>
      <w:bookmarkStart w:id="1291" w:name="_Toc303539161"/>
      <w:bookmarkStart w:id="1292" w:name="_Toc297216213"/>
      <w:bookmarkStart w:id="1293" w:name="_Toc304295581"/>
      <w:bookmarkStart w:id="1294" w:name="_Toc296944546"/>
      <w:bookmarkStart w:id="1295" w:name="_Toc296503207"/>
      <w:bookmarkStart w:id="1296" w:name="_Toc297048393"/>
      <w:bookmarkStart w:id="1297" w:name="_Toc296891035"/>
      <w:bookmarkStart w:id="1298" w:name="_Toc296347206"/>
      <w:bookmarkStart w:id="1299" w:name="_Toc296346708"/>
      <w:bookmarkStart w:id="1300" w:name="_Toc296891247"/>
      <w:bookmarkStart w:id="1301" w:name="_Toc292559917"/>
      <w:bookmarkStart w:id="1302" w:name="_Toc292559412"/>
      <w:bookmarkStart w:id="1303" w:name="_Toc297120507"/>
      <w:r>
        <w:rPr>
          <w:rFonts w:hint="eastAsia" w:ascii="宋体" w:hAnsi="宋体" w:cs="宋体"/>
          <w:color w:val="auto"/>
          <w:szCs w:val="21"/>
          <w:highlight w:val="none"/>
        </w:rPr>
        <w:t>（1）单价合同。</w:t>
      </w:r>
    </w:p>
    <w:p w14:paraId="34A1AE3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本合同价款采用</w:t>
      </w:r>
      <w:r>
        <w:rPr>
          <w:rFonts w:hint="eastAsia" w:ascii="宋体" w:hAnsi="宋体" w:cs="宋体"/>
          <w:color w:val="auto"/>
          <w:szCs w:val="21"/>
          <w:highlight w:val="none"/>
          <w:u w:val="single"/>
        </w:rPr>
        <w:t>固定综合单价方式</w:t>
      </w:r>
      <w:r>
        <w:rPr>
          <w:rFonts w:hint="eastAsia" w:ascii="宋体" w:hAnsi="宋体" w:cs="宋体"/>
          <w:color w:val="auto"/>
          <w:szCs w:val="21"/>
          <w:highlight w:val="none"/>
        </w:rPr>
        <w:t>确定。</w:t>
      </w:r>
    </w:p>
    <w:p w14:paraId="62B19BD4">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综合单价包含的风险范围：</w:t>
      </w:r>
      <w:r>
        <w:rPr>
          <w:rFonts w:hint="eastAsia" w:ascii="宋体" w:hAnsi="宋体" w:cs="宋体"/>
          <w:color w:val="auto"/>
          <w:szCs w:val="21"/>
          <w:highlight w:val="none"/>
          <w:u w:val="single"/>
        </w:rPr>
        <w:t>除工程变更、政策性调整、本合同约定的材料、设备价格变动风险以外因素。</w:t>
      </w:r>
    </w:p>
    <w:p w14:paraId="59256C15">
      <w:pPr>
        <w:pStyle w:val="51"/>
        <w:spacing w:line="380" w:lineRule="exact"/>
        <w:ind w:firstLine="441" w:firstLineChars="210"/>
        <w:rPr>
          <w:rFonts w:hAnsi="宋体" w:cs="宋体"/>
          <w:color w:val="auto"/>
          <w:szCs w:val="21"/>
          <w:highlight w:val="none"/>
        </w:rPr>
      </w:pPr>
      <w:r>
        <w:rPr>
          <w:rFonts w:hint="eastAsia" w:hAnsi="宋体" w:cs="宋体"/>
          <w:color w:val="auto"/>
          <w:szCs w:val="21"/>
          <w:highlight w:val="none"/>
        </w:rPr>
        <w:t>风险范围以外合同价格的调整方法：</w:t>
      </w:r>
    </w:p>
    <w:p w14:paraId="1D31B8D6">
      <w:pPr>
        <w:pStyle w:val="51"/>
        <w:spacing w:line="380" w:lineRule="exact"/>
        <w:ind w:firstLine="441" w:firstLineChars="210"/>
        <w:rPr>
          <w:rFonts w:hAnsi="宋体" w:cs="宋体"/>
          <w:color w:val="auto"/>
          <w:szCs w:val="21"/>
          <w:highlight w:val="none"/>
        </w:rPr>
      </w:pPr>
      <w:r>
        <w:rPr>
          <w:rFonts w:hint="eastAsia" w:hAnsi="宋体" w:cs="宋体"/>
          <w:color w:val="auto"/>
          <w:szCs w:val="21"/>
          <w:highlight w:val="none"/>
        </w:rPr>
        <w:t>①工程变更：按10.4.1变更估价原则的约定调整。</w:t>
      </w:r>
    </w:p>
    <w:p w14:paraId="1DDA1C57">
      <w:pPr>
        <w:pStyle w:val="51"/>
        <w:spacing w:line="380" w:lineRule="exact"/>
        <w:ind w:firstLine="441" w:firstLineChars="210"/>
        <w:rPr>
          <w:rFonts w:hAnsi="宋体" w:cs="宋体"/>
          <w:color w:val="auto"/>
          <w:szCs w:val="21"/>
          <w:highlight w:val="none"/>
        </w:rPr>
      </w:pPr>
      <w:r>
        <w:rPr>
          <w:rFonts w:hint="eastAsia" w:hAnsi="宋体" w:cs="宋体"/>
          <w:color w:val="auto"/>
          <w:szCs w:val="21"/>
          <w:highlight w:val="none"/>
        </w:rPr>
        <w:t>②政策性调整：按自治区建设行政主管部门颁布的文件执行。</w:t>
      </w:r>
    </w:p>
    <w:p w14:paraId="532E0A09">
      <w:pPr>
        <w:pStyle w:val="51"/>
        <w:spacing w:line="380" w:lineRule="exact"/>
        <w:ind w:firstLine="441" w:firstLineChars="210"/>
        <w:rPr>
          <w:rFonts w:hAnsi="宋体" w:cs="宋体"/>
          <w:color w:val="auto"/>
          <w:szCs w:val="21"/>
          <w:highlight w:val="none"/>
        </w:rPr>
      </w:pPr>
      <w:r>
        <w:rPr>
          <w:rFonts w:hint="eastAsia" w:hAnsi="宋体" w:cs="宋体"/>
          <w:color w:val="auto"/>
          <w:szCs w:val="21"/>
          <w:highlight w:val="none"/>
        </w:rPr>
        <w:t>③材料、设备价格变动风险：按11.1的约定调整。</w:t>
      </w:r>
    </w:p>
    <w:p w14:paraId="084039D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④其它：</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7D75995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w:t>
      </w:r>
    </w:p>
    <w:p w14:paraId="123E3F0A">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总价包含的风险范围：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67BBED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风险范围以外合同价格的调整方法：</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E96228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（3）其他价格方式：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18B5808">
      <w:pPr>
        <w:pStyle w:val="36"/>
        <w:spacing w:line="380" w:lineRule="exact"/>
        <w:ind w:firstLine="422" w:firstLineChars="200"/>
        <w:rPr>
          <w:rFonts w:ascii="宋体" w:cs="宋体"/>
          <w:color w:val="auto"/>
          <w:highlight w:val="none"/>
        </w:rPr>
      </w:pPr>
      <w:bookmarkStart w:id="1304" w:name="_Toc497747229"/>
      <w:bookmarkStart w:id="1305" w:name="_Toc418061362"/>
      <w:bookmarkStart w:id="1306" w:name="_Toc522201778"/>
      <w:bookmarkStart w:id="1307" w:name="_Toc418752293"/>
      <w:bookmarkStart w:id="1308" w:name="_Toc418518161"/>
      <w:bookmarkStart w:id="1309" w:name="_Toc418518397"/>
      <w:bookmarkStart w:id="1310" w:name="_Toc497746832"/>
      <w:bookmarkStart w:id="1311" w:name="_Toc403578985"/>
      <w:bookmarkStart w:id="1312" w:name="_Toc418751847"/>
      <w:bookmarkStart w:id="1313" w:name="_Toc256000229"/>
      <w:r>
        <w:rPr>
          <w:rFonts w:hint="eastAsia" w:ascii="宋体" w:cs="宋体"/>
          <w:color w:val="auto"/>
          <w:highlight w:val="none"/>
        </w:rPr>
        <w:t>12.2 预付款</w:t>
      </w:r>
      <w:bookmarkEnd w:id="1285"/>
      <w:bookmarkEnd w:id="1286"/>
      <w:bookmarkEnd w:id="1287"/>
      <w:bookmarkEnd w:id="1304"/>
      <w:bookmarkEnd w:id="1305"/>
      <w:bookmarkEnd w:id="1306"/>
      <w:bookmarkEnd w:id="1307"/>
      <w:bookmarkEnd w:id="1308"/>
      <w:bookmarkEnd w:id="1309"/>
      <w:bookmarkEnd w:id="1310"/>
      <w:bookmarkEnd w:id="1311"/>
      <w:bookmarkEnd w:id="1312"/>
      <w:bookmarkEnd w:id="1313"/>
    </w:p>
    <w:bookmarkEnd w:id="1288"/>
    <w:bookmarkEnd w:id="1289"/>
    <w:bookmarkEnd w:id="1290"/>
    <w:bookmarkEnd w:id="1291"/>
    <w:bookmarkEnd w:id="1292"/>
    <w:bookmarkEnd w:id="1293"/>
    <w:p w14:paraId="420AE98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12.2.1 预付款的支付</w:t>
      </w:r>
    </w:p>
    <w:p w14:paraId="03282AFF">
      <w:pPr>
        <w:pStyle w:val="50"/>
        <w:spacing w:line="360" w:lineRule="auto"/>
        <w:rPr>
          <w:rFonts w:hint="eastAsia" w:ascii="宋体" w:hAnsi="宋体"/>
          <w:color w:val="auto"/>
          <w:highlight w:val="none"/>
        </w:rPr>
      </w:pPr>
      <w:r>
        <w:rPr>
          <w:rFonts w:hint="eastAsia" w:ascii="宋体" w:hAnsi="宋体"/>
          <w:color w:val="auto"/>
          <w:highlight w:val="none"/>
        </w:rPr>
        <w:t>预付款支付比例或金额：</w:t>
      </w:r>
      <w:r>
        <w:rPr>
          <w:rFonts w:hint="eastAsia" w:ascii="宋体" w:hAnsi="宋体"/>
          <w:color w:val="auto"/>
          <w:highlight w:val="none"/>
          <w:u w:val="single"/>
          <w:lang w:val="en-US" w:eastAsia="zh-CN"/>
        </w:rPr>
        <w:t>无</w:t>
      </w:r>
      <w:r>
        <w:rPr>
          <w:rFonts w:hint="eastAsia" w:ascii="宋体" w:hAnsi="宋体"/>
          <w:color w:val="auto"/>
          <w:highlight w:val="none"/>
          <w:u w:val="single"/>
        </w:rPr>
        <w:t>。</w:t>
      </w:r>
    </w:p>
    <w:p w14:paraId="0A96AB02">
      <w:pPr>
        <w:pStyle w:val="50"/>
        <w:spacing w:line="360" w:lineRule="auto"/>
        <w:rPr>
          <w:rFonts w:hint="eastAsia" w:ascii="宋体" w:hAnsi="宋体"/>
          <w:color w:val="auto"/>
          <w:highlight w:val="none"/>
        </w:rPr>
      </w:pPr>
      <w:r>
        <w:rPr>
          <w:rFonts w:hint="eastAsia" w:ascii="宋体" w:hAnsi="宋体"/>
          <w:color w:val="auto"/>
          <w:highlight w:val="none"/>
        </w:rPr>
        <w:t>预付款支付期限：</w:t>
      </w:r>
      <w:r>
        <w:rPr>
          <w:rFonts w:hint="eastAsia" w:ascii="宋体" w:hAnsi="宋体"/>
          <w:color w:val="auto"/>
          <w:highlight w:val="none"/>
          <w:u w:val="single"/>
          <w:lang w:val="en-US" w:eastAsia="zh-CN"/>
        </w:rPr>
        <w:t>无</w:t>
      </w:r>
      <w:r>
        <w:rPr>
          <w:rFonts w:hint="eastAsia" w:ascii="宋体" w:hAnsi="宋体"/>
          <w:color w:val="auto"/>
          <w:highlight w:val="none"/>
        </w:rPr>
        <w:t>。</w:t>
      </w:r>
    </w:p>
    <w:p w14:paraId="50CE51C0">
      <w:pPr>
        <w:pStyle w:val="52"/>
        <w:spacing w:line="360" w:lineRule="auto"/>
        <w:rPr>
          <w:rFonts w:hint="eastAsia" w:ascii="宋体" w:hAnsi="宋体"/>
          <w:color w:val="auto"/>
          <w:highlight w:val="none"/>
        </w:rPr>
      </w:pPr>
      <w:r>
        <w:rPr>
          <w:rFonts w:hint="eastAsia" w:ascii="宋体" w:hAnsi="宋体"/>
          <w:color w:val="auto"/>
          <w:highlight w:val="none"/>
        </w:rPr>
        <w:t>预付款扣回的方式：</w:t>
      </w:r>
      <w:r>
        <w:rPr>
          <w:rFonts w:hint="eastAsia" w:ascii="宋体" w:hAnsi="宋体"/>
          <w:color w:val="auto"/>
          <w:highlight w:val="none"/>
          <w:u w:val="single"/>
          <w:lang w:val="en-US" w:eastAsia="zh-CN"/>
        </w:rPr>
        <w:t>无</w:t>
      </w:r>
      <w:r>
        <w:rPr>
          <w:rFonts w:hint="eastAsia" w:ascii="宋体" w:hAnsi="宋体"/>
          <w:color w:val="auto"/>
          <w:highlight w:val="none"/>
          <w:u w:val="single"/>
        </w:rPr>
        <w:t>。</w:t>
      </w:r>
    </w:p>
    <w:p w14:paraId="47470862">
      <w:pPr>
        <w:pStyle w:val="23"/>
        <w:spacing w:line="360" w:lineRule="auto"/>
        <w:ind w:firstLine="420" w:firstLineChars="200"/>
        <w:rPr>
          <w:rFonts w:hint="eastAsia" w:ascii="宋体" w:hAnsi="宋体"/>
          <w:color w:val="auto"/>
          <w:highlight w:val="none"/>
        </w:rPr>
      </w:pPr>
      <w:bookmarkStart w:id="1314" w:name="_Toc406522273"/>
      <w:bookmarkEnd w:id="1314"/>
      <w:bookmarkStart w:id="1315" w:name="_Toc406419397"/>
      <w:r>
        <w:rPr>
          <w:rFonts w:hint="eastAsia" w:ascii="宋体" w:hAnsi="宋体"/>
          <w:color w:val="auto"/>
          <w:highlight w:val="none"/>
        </w:rPr>
        <w:t>12.2.2预付款担保</w:t>
      </w:r>
      <w:bookmarkEnd w:id="1315"/>
    </w:p>
    <w:p w14:paraId="196689A3">
      <w:pPr>
        <w:pStyle w:val="50"/>
        <w:spacing w:line="360" w:lineRule="auto"/>
        <w:rPr>
          <w:rFonts w:hint="eastAsia" w:ascii="宋体" w:hAnsi="宋体"/>
          <w:color w:val="auto"/>
          <w:highlight w:val="none"/>
        </w:rPr>
      </w:pPr>
      <w:r>
        <w:rPr>
          <w:rFonts w:hint="eastAsia" w:ascii="宋体" w:hAnsi="宋体"/>
          <w:color w:val="auto"/>
          <w:highlight w:val="none"/>
        </w:rPr>
        <w:t>承包人提交预付款担保的期限：</w:t>
      </w:r>
      <w:r>
        <w:rPr>
          <w:rFonts w:hint="eastAsia" w:ascii="宋体" w:hAnsi="宋体"/>
          <w:color w:val="auto"/>
          <w:highlight w:val="none"/>
          <w:u w:val="single"/>
          <w:lang w:val="en-US" w:eastAsia="zh-CN"/>
        </w:rPr>
        <w:t>/</w:t>
      </w:r>
      <w:r>
        <w:rPr>
          <w:rFonts w:hint="eastAsia" w:ascii="宋体" w:hAnsi="宋体"/>
          <w:color w:val="auto"/>
          <w:highlight w:val="none"/>
        </w:rPr>
        <w:t>。</w:t>
      </w:r>
    </w:p>
    <w:p w14:paraId="7FCF2B4B">
      <w:pPr>
        <w:pStyle w:val="50"/>
        <w:spacing w:line="360" w:lineRule="auto"/>
        <w:rPr>
          <w:rFonts w:hint="eastAsia" w:ascii="宋体" w:hAnsi="宋体"/>
          <w:color w:val="auto"/>
          <w:highlight w:val="none"/>
        </w:rPr>
      </w:pPr>
      <w:r>
        <w:rPr>
          <w:rFonts w:hint="eastAsia" w:ascii="宋体" w:hAnsi="宋体"/>
          <w:color w:val="auto"/>
          <w:highlight w:val="none"/>
        </w:rPr>
        <w:t>预付款担保的形式为：</w:t>
      </w:r>
      <w:r>
        <w:rPr>
          <w:rFonts w:hint="eastAsia" w:ascii="宋体" w:hAnsi="宋体"/>
          <w:color w:val="auto"/>
          <w:highlight w:val="none"/>
          <w:u w:val="single"/>
          <w:lang w:val="en-US" w:eastAsia="zh-CN"/>
        </w:rPr>
        <w:t>/</w:t>
      </w:r>
      <w:r>
        <w:rPr>
          <w:rFonts w:hint="eastAsia" w:ascii="宋体" w:hAnsi="宋体"/>
          <w:color w:val="auto"/>
          <w:highlight w:val="none"/>
        </w:rPr>
        <w:t>。</w:t>
      </w:r>
    </w:p>
    <w:bookmarkEnd w:id="1294"/>
    <w:bookmarkEnd w:id="1295"/>
    <w:bookmarkEnd w:id="1296"/>
    <w:bookmarkEnd w:id="1297"/>
    <w:bookmarkEnd w:id="1298"/>
    <w:bookmarkEnd w:id="1299"/>
    <w:bookmarkEnd w:id="1300"/>
    <w:bookmarkEnd w:id="1301"/>
    <w:bookmarkEnd w:id="1302"/>
    <w:bookmarkEnd w:id="1303"/>
    <w:p w14:paraId="39BDEF07">
      <w:pPr>
        <w:pStyle w:val="36"/>
        <w:spacing w:line="380" w:lineRule="exact"/>
        <w:ind w:firstLine="422" w:firstLineChars="200"/>
        <w:rPr>
          <w:rFonts w:ascii="宋体" w:cs="宋体"/>
          <w:color w:val="auto"/>
          <w:highlight w:val="none"/>
        </w:rPr>
      </w:pPr>
      <w:bookmarkStart w:id="1316" w:name="_Toc418518398"/>
      <w:bookmarkStart w:id="1317" w:name="_Toc256000230"/>
      <w:bookmarkStart w:id="1318" w:name="_Toc373227751"/>
      <w:bookmarkStart w:id="1319" w:name="_Toc418061363"/>
      <w:bookmarkStart w:id="1320" w:name="_Toc389065316"/>
      <w:bookmarkStart w:id="1321" w:name="_Toc418751848"/>
      <w:bookmarkStart w:id="1322" w:name="_Toc522201779"/>
      <w:bookmarkStart w:id="1323" w:name="_Toc373478398"/>
      <w:bookmarkStart w:id="1324" w:name="_Toc497747230"/>
      <w:bookmarkStart w:id="1325" w:name="_Toc418518162"/>
      <w:bookmarkStart w:id="1326" w:name="_Toc497746833"/>
      <w:bookmarkStart w:id="1327" w:name="_Toc418752294"/>
      <w:bookmarkStart w:id="1328" w:name="_Toc403578986"/>
      <w:r>
        <w:rPr>
          <w:rFonts w:hint="eastAsia" w:ascii="宋体" w:cs="宋体"/>
          <w:color w:val="auto"/>
          <w:highlight w:val="none"/>
        </w:rPr>
        <w:t>12.3 计量</w:t>
      </w:r>
      <w:bookmarkEnd w:id="1316"/>
      <w:bookmarkEnd w:id="1317"/>
      <w:bookmarkEnd w:id="1318"/>
      <w:bookmarkEnd w:id="1319"/>
      <w:bookmarkEnd w:id="1320"/>
      <w:bookmarkEnd w:id="1321"/>
      <w:bookmarkEnd w:id="1322"/>
      <w:bookmarkEnd w:id="1323"/>
      <w:bookmarkEnd w:id="1324"/>
      <w:bookmarkEnd w:id="1325"/>
      <w:bookmarkEnd w:id="1326"/>
      <w:bookmarkEnd w:id="1327"/>
      <w:bookmarkEnd w:id="1328"/>
    </w:p>
    <w:p w14:paraId="44242413">
      <w:pPr>
        <w:pStyle w:val="21"/>
        <w:spacing w:line="380" w:lineRule="exact"/>
        <w:ind w:firstLine="420" w:firstLineChars="200"/>
        <w:jc w:val="left"/>
        <w:rPr>
          <w:rFonts w:ascii="宋体" w:hAnsi="宋体" w:cs="宋体"/>
          <w:color w:val="auto"/>
          <w:szCs w:val="21"/>
          <w:highlight w:val="none"/>
        </w:rPr>
      </w:pPr>
      <w:bookmarkStart w:id="1329" w:name="_Toc497747231"/>
      <w:bookmarkStart w:id="1330" w:name="_Toc373227752"/>
      <w:bookmarkStart w:id="1331" w:name="_Toc418061364"/>
      <w:bookmarkStart w:id="1332" w:name="_Toc497746834"/>
      <w:bookmarkStart w:id="1333" w:name="_Toc418518163"/>
      <w:bookmarkStart w:id="1334" w:name="_Toc373478399"/>
      <w:bookmarkStart w:id="1335" w:name="_Toc418518399"/>
      <w:bookmarkStart w:id="1336" w:name="_Toc403578987"/>
      <w:bookmarkStart w:id="1337" w:name="_Toc418752295"/>
      <w:bookmarkStart w:id="1338" w:name="_Toc418751849"/>
      <w:bookmarkStart w:id="1339" w:name="_Toc389065317"/>
      <w:r>
        <w:rPr>
          <w:rFonts w:hint="eastAsia" w:ascii="宋体" w:hAnsi="宋体" w:cs="宋体"/>
          <w:color w:val="auto"/>
          <w:szCs w:val="21"/>
          <w:highlight w:val="none"/>
        </w:rPr>
        <w:t xml:space="preserve">12.3.1 计量原则 </w:t>
      </w:r>
    </w:p>
    <w:p w14:paraId="6422FDCA">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工程量计算规则：</w:t>
      </w:r>
      <w:r>
        <w:rPr>
          <w:rFonts w:hint="eastAsia" w:ascii="宋体" w:hAnsi="宋体" w:cs="宋体"/>
          <w:color w:val="auto"/>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cs="宋体"/>
          <w:color w:val="auto"/>
          <w:szCs w:val="21"/>
          <w:highlight w:val="none"/>
        </w:rPr>
        <w:t xml:space="preserve"> </w:t>
      </w:r>
    </w:p>
    <w:p w14:paraId="25932EFA">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12.3.2 计量周期 </w:t>
      </w:r>
    </w:p>
    <w:p w14:paraId="7D125AE5">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关于计量周期的约定：</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承包人每月25日前向监理人报送上月20日至本月19日完成的工程量报告，并附具进度款申请单、已完成工程量报表和有关资料</w:t>
      </w:r>
      <w:r>
        <w:rPr>
          <w:rFonts w:hint="eastAsia" w:ascii="宋体" w:hAnsi="宋体" w:cs="宋体"/>
          <w:color w:val="auto"/>
          <w:szCs w:val="21"/>
          <w:highlight w:val="none"/>
          <w:u w:val="single"/>
        </w:rPr>
        <w:t>。</w:t>
      </w:r>
      <w:r>
        <w:rPr>
          <w:rFonts w:hint="eastAsia" w:ascii="宋体" w:hAnsi="宋体" w:cs="宋体"/>
          <w:color w:val="auto"/>
          <w:szCs w:val="21"/>
          <w:highlight w:val="none"/>
        </w:rPr>
        <w:t xml:space="preserve"> </w:t>
      </w:r>
    </w:p>
    <w:p w14:paraId="2189F40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12.3.3 单价合同的计量 </w:t>
      </w:r>
    </w:p>
    <w:p w14:paraId="179B7F7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关于单价合同计量的约定：</w:t>
      </w:r>
      <w:r>
        <w:rPr>
          <w:rFonts w:hint="eastAsia" w:ascii="宋体" w:hAnsi="宋体" w:cs="宋体"/>
          <w:color w:val="auto"/>
          <w:szCs w:val="21"/>
          <w:highlight w:val="none"/>
          <w:u w:val="single"/>
        </w:rPr>
        <w:t xml:space="preserve"> (1) </w:t>
      </w:r>
      <w:r>
        <w:rPr>
          <w:rFonts w:ascii="宋体" w:hAnsi="宋体" w:cs="宋体"/>
          <w:color w:val="auto"/>
          <w:szCs w:val="21"/>
          <w:highlight w:val="none"/>
          <w:u w:val="single"/>
        </w:rPr>
        <w:t>工程量清单所列的工程量，不能作为承包人按合同履行其责任依据，实际施工中发生的工程量增加或减少并不影响承包人履行合同的责任，工程结算以完成的实际工程量为准</w:t>
      </w:r>
      <w:r>
        <w:rPr>
          <w:rFonts w:hint="eastAsia" w:ascii="宋体" w:hAnsi="宋体" w:cs="宋体"/>
          <w:color w:val="auto"/>
          <w:szCs w:val="21"/>
          <w:highlight w:val="none"/>
          <w:u w:val="single"/>
        </w:rPr>
        <w:t xml:space="preserve">。(2) </w:t>
      </w:r>
      <w:r>
        <w:rPr>
          <w:rFonts w:ascii="宋体" w:hAnsi="宋体" w:cs="宋体"/>
          <w:color w:val="auto"/>
          <w:szCs w:val="21"/>
          <w:highlight w:val="none"/>
          <w:u w:val="single"/>
        </w:rPr>
        <w:t>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cs="宋体"/>
          <w:color w:val="auto"/>
          <w:szCs w:val="21"/>
          <w:highlight w:val="none"/>
        </w:rPr>
        <w:t xml:space="preserve">。 </w:t>
      </w:r>
    </w:p>
    <w:p w14:paraId="711322B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12.3.4 总价合同的计量 </w:t>
      </w:r>
    </w:p>
    <w:p w14:paraId="71AD7F75">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关于总价合同计量的约定：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8F0B79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12.3.5 总价合同采用支付分解表计量支付的，是否适用第 12.3.4 项〔总价合同的计量〕约定进行计量：</w:t>
      </w:r>
      <w:r>
        <w:rPr>
          <w:rFonts w:hint="eastAsia" w:ascii="宋体" w:hAnsi="宋体" w:cs="宋体"/>
          <w:color w:val="auto"/>
          <w:szCs w:val="21"/>
          <w:highlight w:val="none"/>
          <w:u w:val="single"/>
        </w:rPr>
        <w:t xml:space="preserve">无 </w:t>
      </w:r>
      <w:r>
        <w:rPr>
          <w:rFonts w:hint="eastAsia" w:ascii="宋体" w:hAnsi="宋体" w:cs="宋体"/>
          <w:color w:val="auto"/>
          <w:szCs w:val="21"/>
          <w:highlight w:val="none"/>
        </w:rPr>
        <w:t xml:space="preserve">。 </w:t>
      </w:r>
    </w:p>
    <w:p w14:paraId="5E90A268">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12.3.6 其他价格形式合同的计量 </w:t>
      </w:r>
    </w:p>
    <w:p w14:paraId="5585B6D5">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其他价格形式的计量方式和程序：</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 xml:space="preserve">。 </w:t>
      </w:r>
    </w:p>
    <w:p w14:paraId="4CEB24E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 工程进度款支付</w:t>
      </w:r>
      <w:bookmarkEnd w:id="1329"/>
      <w:bookmarkEnd w:id="1330"/>
      <w:bookmarkEnd w:id="1331"/>
      <w:bookmarkEnd w:id="1332"/>
      <w:bookmarkEnd w:id="1333"/>
      <w:bookmarkEnd w:id="1334"/>
      <w:bookmarkEnd w:id="1335"/>
      <w:bookmarkEnd w:id="1336"/>
      <w:bookmarkEnd w:id="1337"/>
      <w:bookmarkEnd w:id="1338"/>
      <w:bookmarkEnd w:id="1339"/>
    </w:p>
    <w:p w14:paraId="6628B027">
      <w:pPr>
        <w:pStyle w:val="21"/>
        <w:spacing w:line="380" w:lineRule="exact"/>
        <w:ind w:firstLine="420" w:firstLineChars="200"/>
        <w:jc w:val="left"/>
        <w:rPr>
          <w:rFonts w:ascii="宋体" w:hAnsi="宋体" w:cs="宋体"/>
          <w:color w:val="auto"/>
          <w:szCs w:val="21"/>
          <w:highlight w:val="none"/>
        </w:rPr>
      </w:pPr>
      <w:bookmarkStart w:id="1340" w:name="_Toc297048397"/>
      <w:bookmarkStart w:id="1341" w:name="_Toc296346712"/>
      <w:bookmarkStart w:id="1342" w:name="_Toc296891251"/>
      <w:bookmarkStart w:id="1343" w:name="_Toc292559416"/>
      <w:bookmarkStart w:id="1344" w:name="_Toc297123556"/>
      <w:bookmarkStart w:id="1345" w:name="_Toc296503211"/>
      <w:bookmarkStart w:id="1346" w:name="_Toc297120511"/>
      <w:bookmarkStart w:id="1347" w:name="_Toc300935006"/>
      <w:bookmarkStart w:id="1348" w:name="_Toc297216215"/>
      <w:bookmarkStart w:id="1349" w:name="_Toc292559921"/>
      <w:bookmarkStart w:id="1350" w:name="_Toc303539163"/>
      <w:bookmarkStart w:id="1351" w:name="_Toc296347210"/>
      <w:bookmarkStart w:id="1352" w:name="_Toc296944550"/>
      <w:bookmarkStart w:id="1353" w:name="_Toc296891039"/>
      <w:r>
        <w:rPr>
          <w:rFonts w:hint="eastAsia" w:ascii="宋体" w:hAnsi="宋体" w:cs="宋体"/>
          <w:color w:val="auto"/>
          <w:szCs w:val="21"/>
          <w:highlight w:val="none"/>
        </w:rPr>
        <w:t>12.4.1 付款周期</w:t>
      </w:r>
    </w:p>
    <w:p w14:paraId="545FE7E8">
      <w:pPr>
        <w:pStyle w:val="21"/>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关于付款周期的约定：</w:t>
      </w:r>
    </w:p>
    <w:p w14:paraId="1B5C482C">
      <w:pPr>
        <w:pStyle w:val="20"/>
        <w:spacing w:line="360" w:lineRule="auto"/>
        <w:ind w:firstLine="400"/>
        <w:jc w:val="left"/>
        <w:rPr>
          <w:rFonts w:hint="eastAsia" w:ascii="宋体" w:hAnsi="宋体" w:cs="宋体"/>
          <w:bCs/>
          <w:color w:val="auto"/>
          <w:szCs w:val="21"/>
          <w:highlight w:val="none"/>
          <w:u w:val="single"/>
        </w:rPr>
      </w:pPr>
      <w:r>
        <w:rPr>
          <w:rFonts w:hint="eastAsia" w:ascii="宋体" w:hAnsi="宋体" w:eastAsia="宋体" w:cs="宋体"/>
          <w:bCs/>
          <w:i w:val="0"/>
          <w:caps w:val="0"/>
          <w:color w:val="auto"/>
          <w:spacing w:val="0"/>
          <w:sz w:val="20"/>
          <w:szCs w:val="21"/>
          <w:highlight w:val="none"/>
          <w:u w:val="single"/>
          <w:shd w:val="clear" w:color="auto" w:fill="auto"/>
          <w:lang w:val="en-US" w:eastAsia="zh-CN"/>
        </w:rPr>
        <w:t>工程完工100%后支付至合同价的80%;结算经桂林市财政局或第三方审核单位审定后，工程款支付至结算总价的97%(承包人同时开具含质保金在内的符合相关法律规定的正规发票);发包人按工程价款结算总额的3%预留工程质量保证金，待工程缺陷责任期满后，双方确认无质量返修问题后返还(无息)。</w:t>
      </w:r>
    </w:p>
    <w:p w14:paraId="020E101E">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每次付款前，承包人应按发包人的要求提供符合相关法律法规的增值税发票，如发票不符合要求，发包人有权拒收，承包人应承担因不合格发票产生的所有责任。</w:t>
      </w:r>
    </w:p>
    <w:p w14:paraId="6F52088D">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根据自治区办公厅 《关于全面治理拖欠农民工工资问题的实施意见》(桂政办发[2016]113号)、《关于印发广西壮族自治区工程建设领域工人工资支付专用账户管理办法的通知》(桂薪联发[2016]1号)、《桂林市财政局关于落实政府投资工程项目工程款与农民工工资分帐拨款的通知》市财建【2018】73号等文件规定，在全区工程建设领域，实行人工费用和其他工程款分账管理。双方约定：发包人在每次拨付工程进度款或结算款时，按拨付工程款数额的    %比例将人工费用拨付到承包人的农民工工资专用账户，用于发放农民工工资。（农民工工资专用账户开户名称： ；开户银行： ；账号：  ）。</w:t>
      </w:r>
    </w:p>
    <w:p w14:paraId="5593CC19">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12.4.2 进度付款申请单的编制</w:t>
      </w:r>
    </w:p>
    <w:p w14:paraId="29045D28">
      <w:pPr>
        <w:pStyle w:val="21"/>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关于进度付款申请单编制的约定：</w:t>
      </w:r>
      <w:r>
        <w:rPr>
          <w:rFonts w:hint="eastAsia" w:ascii="宋体" w:hAnsi="宋体" w:cs="宋体"/>
          <w:bCs/>
          <w:color w:val="auto"/>
          <w:szCs w:val="21"/>
          <w:highlight w:val="none"/>
          <w:u w:val="single"/>
        </w:rPr>
        <w:t>承包人应在每个计量周期到期后的7天内向发包人提交已完工程进度款支付申请一式四份，详细说明此周期自己认为有权得到的款额，包括分包人已完工程的价款，内容包括已完工程预算书、工程量计算式及劳务队组提供的民工工资支付证明。</w:t>
      </w:r>
    </w:p>
    <w:p w14:paraId="4FF05CC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Pr>
          <w:rFonts w:hint="eastAsia" w:ascii="宋体" w:hAnsi="宋体" w:cs="宋体"/>
          <w:color w:val="auto"/>
          <w:szCs w:val="21"/>
          <w:highlight w:val="none"/>
        </w:rPr>
        <w:t>2.4.3 进度付款申请单的提交</w:t>
      </w:r>
    </w:p>
    <w:p w14:paraId="5AE70D3E">
      <w:pPr>
        <w:pStyle w:val="21"/>
        <w:spacing w:line="380" w:lineRule="exact"/>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（1）单价合同进度付款申请单提交的约定：</w:t>
      </w:r>
      <w:r>
        <w:rPr>
          <w:rFonts w:hint="eastAsia" w:ascii="宋体" w:hAnsi="宋体" w:cs="宋体"/>
          <w:bCs/>
          <w:color w:val="auto"/>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14:paraId="1E8C3054">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（2）总价合同进度付款申请单提交的约定：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52699744">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（3）其他价格形式合同进度付款申请单提交的约定：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DF3EE41">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12.4.4 进度款审核和支付</w:t>
      </w:r>
    </w:p>
    <w:p w14:paraId="339452C1">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（1）监理人审查并报送发包人的期限：</w:t>
      </w:r>
      <w:r>
        <w:rPr>
          <w:rFonts w:hint="eastAsia" w:ascii="宋体" w:hAnsi="宋体" w:cs="宋体"/>
          <w:color w:val="auto"/>
          <w:szCs w:val="21"/>
          <w:highlight w:val="none"/>
          <w:u w:val="single"/>
        </w:rPr>
        <w:t>监理人收到承包人进度付款申请单以及相关资料后 7 天内完成审查并报送发包人</w:t>
      </w:r>
      <w:r>
        <w:rPr>
          <w:rFonts w:hint="eastAsia" w:ascii="宋体" w:hAnsi="宋体" w:cs="宋体"/>
          <w:color w:val="auto"/>
          <w:szCs w:val="21"/>
          <w:highlight w:val="none"/>
        </w:rPr>
        <w:t>。</w:t>
      </w:r>
    </w:p>
    <w:p w14:paraId="725F12E4">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发包人完成审批并签发进度款支付证书的期限：</w:t>
      </w:r>
      <w:r>
        <w:rPr>
          <w:rFonts w:hint="eastAsia" w:ascii="宋体" w:hAnsi="宋体" w:cs="宋体"/>
          <w:color w:val="auto"/>
          <w:szCs w:val="21"/>
          <w:highlight w:val="none"/>
          <w:u w:val="single"/>
        </w:rPr>
        <w:t>收到后 7 天内完成审批并签发</w:t>
      </w:r>
      <w:r>
        <w:rPr>
          <w:rFonts w:hint="eastAsia" w:ascii="宋体" w:hAnsi="宋体" w:cs="宋体"/>
          <w:color w:val="auto"/>
          <w:szCs w:val="21"/>
          <w:highlight w:val="none"/>
        </w:rPr>
        <w:t>。</w:t>
      </w:r>
    </w:p>
    <w:p w14:paraId="043C8E8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（2）发包人支付进度款的期限：</w:t>
      </w:r>
      <w:r>
        <w:rPr>
          <w:rFonts w:hint="eastAsia" w:ascii="宋体" w:hAnsi="宋体" w:cs="宋体"/>
          <w:color w:val="auto"/>
          <w:szCs w:val="21"/>
          <w:highlight w:val="none"/>
          <w:u w:val="single"/>
        </w:rPr>
        <w:t xml:space="preserve">办理相关付款手续后的7天内 </w:t>
      </w:r>
      <w:r>
        <w:rPr>
          <w:rFonts w:hint="eastAsia" w:ascii="宋体" w:hAnsi="宋体" w:cs="宋体"/>
          <w:color w:val="auto"/>
          <w:szCs w:val="21"/>
          <w:highlight w:val="none"/>
        </w:rPr>
        <w:t>。</w:t>
      </w:r>
    </w:p>
    <w:p w14:paraId="70CAFBF7">
      <w:pPr>
        <w:pStyle w:val="21"/>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发包人逾期支付进度款的违约金的计算方式：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B6B2913">
      <w:pPr>
        <w:pStyle w:val="21"/>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进度款支付方式：</w:t>
      </w:r>
      <w:r>
        <w:rPr>
          <w:rFonts w:hint="eastAsia" w:ascii="宋体" w:hAnsi="宋体" w:cs="宋体"/>
          <w:color w:val="auto"/>
          <w:szCs w:val="21"/>
          <w:highlight w:val="none"/>
          <w:u w:val="single"/>
        </w:rPr>
        <w:t>银行转账</w:t>
      </w:r>
      <w:r>
        <w:rPr>
          <w:rFonts w:hint="eastAsia" w:ascii="宋体" w:hAnsi="宋体" w:cs="宋体"/>
          <w:color w:val="auto"/>
          <w:szCs w:val="21"/>
          <w:highlight w:val="none"/>
        </w:rPr>
        <w:t>。</w:t>
      </w:r>
    </w:p>
    <w:p w14:paraId="59354F66">
      <w:pPr>
        <w:pStyle w:val="21"/>
        <w:spacing w:line="380" w:lineRule="exact"/>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12.4.6 支付分解表的编制</w:t>
      </w:r>
    </w:p>
    <w:p w14:paraId="3D37E170">
      <w:pPr>
        <w:pStyle w:val="21"/>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2. 总价合同支付分解表的编制与审批：</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p w14:paraId="18605830">
      <w:pPr>
        <w:pStyle w:val="21"/>
        <w:spacing w:line="380" w:lineRule="exact"/>
        <w:ind w:firstLine="525" w:firstLineChars="250"/>
        <w:jc w:val="left"/>
        <w:rPr>
          <w:rFonts w:ascii="宋体" w:hAnsi="宋体" w:cs="宋体"/>
          <w:color w:val="auto"/>
          <w:szCs w:val="21"/>
          <w:highlight w:val="none"/>
          <w:u w:val="single"/>
        </w:rPr>
      </w:pPr>
      <w:r>
        <w:rPr>
          <w:rFonts w:hint="eastAsia" w:ascii="宋体" w:hAnsi="宋体" w:cs="宋体"/>
          <w:color w:val="auto"/>
          <w:szCs w:val="21"/>
          <w:highlight w:val="none"/>
        </w:rPr>
        <w:t>3. 单价合同的总价项目支付分解表的编制与审批：</w:t>
      </w:r>
      <w:r>
        <w:rPr>
          <w:rFonts w:hint="eastAsia" w:ascii="宋体" w:hAnsi="宋体" w:cs="宋体"/>
          <w:color w:val="auto"/>
          <w:szCs w:val="21"/>
          <w:highlight w:val="none"/>
          <w:u w:val="single"/>
        </w:rPr>
        <w:t>单价项目不采用支付分解表的方式计算，而按《建设工程工程量清单计价规范（GB50500-2013）广西壮族自治区实施细则（修订本）》的规定执行。</w:t>
      </w:r>
    </w:p>
    <w:bookmarkEnd w:id="1022"/>
    <w:p w14:paraId="26057816">
      <w:pPr>
        <w:pStyle w:val="36"/>
        <w:spacing w:line="380" w:lineRule="exact"/>
        <w:rPr>
          <w:rFonts w:ascii="宋体" w:cs="宋体"/>
          <w:color w:val="auto"/>
          <w:highlight w:val="none"/>
        </w:rPr>
      </w:pPr>
      <w:bookmarkStart w:id="1354" w:name="_Toc403578988"/>
      <w:bookmarkStart w:id="1355" w:name="_Toc389065318"/>
      <w:bookmarkStart w:id="1356" w:name="_Toc256000231"/>
      <w:bookmarkStart w:id="1357" w:name="_Toc418518164"/>
      <w:bookmarkStart w:id="1358" w:name="_Toc522201780"/>
      <w:bookmarkStart w:id="1359" w:name="_Toc373478400"/>
      <w:bookmarkStart w:id="1360" w:name="_Toc418061365"/>
      <w:bookmarkStart w:id="1361" w:name="_Toc373227753"/>
      <w:bookmarkStart w:id="1362" w:name="_Toc418518400"/>
      <w:bookmarkStart w:id="1363" w:name="_Toc351203645"/>
      <w:bookmarkStart w:id="1364" w:name="_Toc418751850"/>
      <w:bookmarkStart w:id="1365" w:name="_Toc418752296"/>
      <w:bookmarkStart w:id="1366" w:name="_Toc497746835"/>
      <w:bookmarkStart w:id="1367" w:name="_Toc497747232"/>
      <w:bookmarkStart w:id="1368" w:name="_Toc296891259"/>
      <w:bookmarkStart w:id="1369" w:name="_Toc296891047"/>
      <w:bookmarkStart w:id="1370" w:name="_Toc292559424"/>
      <w:bookmarkStart w:id="1371" w:name="_Toc292559929"/>
      <w:bookmarkStart w:id="1372" w:name="_Toc296346720"/>
      <w:bookmarkStart w:id="1373" w:name="_Toc300935015"/>
      <w:bookmarkStart w:id="1374" w:name="_Toc297216223"/>
      <w:bookmarkStart w:id="1375" w:name="_Toc312678053"/>
      <w:bookmarkStart w:id="1376" w:name="_Toc303539172"/>
      <w:bookmarkStart w:id="1377" w:name="_Toc296503219"/>
      <w:bookmarkStart w:id="1378" w:name="_Toc297123564"/>
      <w:bookmarkStart w:id="1379" w:name="_Toc296347218"/>
      <w:bookmarkStart w:id="1380" w:name="_Toc304295593"/>
      <w:bookmarkStart w:id="1381" w:name="_Toc296944558"/>
      <w:bookmarkStart w:id="1382" w:name="_Toc297120519"/>
      <w:bookmarkStart w:id="1383" w:name="_Toc297048405"/>
      <w:r>
        <w:rPr>
          <w:rFonts w:hint="eastAsia" w:ascii="宋体" w:cs="宋体"/>
          <w:color w:val="auto"/>
          <w:highlight w:val="none"/>
        </w:rPr>
        <w:t>13. 验收和工程试车</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14:paraId="6CC0C0F7">
      <w:pPr>
        <w:pStyle w:val="36"/>
        <w:spacing w:line="380" w:lineRule="exact"/>
        <w:ind w:firstLine="422" w:firstLineChars="200"/>
        <w:rPr>
          <w:rFonts w:ascii="宋体" w:cs="宋体"/>
          <w:color w:val="auto"/>
          <w:highlight w:val="none"/>
        </w:rPr>
      </w:pPr>
      <w:bookmarkStart w:id="1384" w:name="_Toc497747233"/>
      <w:bookmarkStart w:id="1385" w:name="_Toc418752297"/>
      <w:bookmarkStart w:id="1386" w:name="_Toc497746836"/>
      <w:bookmarkStart w:id="1387" w:name="_Toc256000232"/>
      <w:bookmarkStart w:id="1388" w:name="_Toc373227754"/>
      <w:bookmarkStart w:id="1389" w:name="_Toc418518165"/>
      <w:bookmarkStart w:id="1390" w:name="_Toc373478401"/>
      <w:bookmarkStart w:id="1391" w:name="_Toc389065319"/>
      <w:bookmarkStart w:id="1392" w:name="_Toc522201781"/>
      <w:bookmarkStart w:id="1393" w:name="_Toc418061366"/>
      <w:bookmarkStart w:id="1394" w:name="_Toc418518401"/>
      <w:bookmarkStart w:id="1395" w:name="_Toc403578989"/>
      <w:bookmarkStart w:id="1396" w:name="_Toc418751851"/>
      <w:r>
        <w:rPr>
          <w:rFonts w:hint="eastAsia" w:ascii="宋体" w:cs="宋体"/>
          <w:color w:val="auto"/>
          <w:highlight w:val="none"/>
        </w:rPr>
        <w:t>13.1 分部分项工程验收</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1BF35826">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13.1.2监理人不能按时进行验收时，应提前</w:t>
      </w:r>
      <w:r>
        <w:rPr>
          <w:rFonts w:hint="eastAsia" w:ascii="宋体" w:hAnsi="宋体" w:cs="宋体"/>
          <w:color w:val="auto"/>
          <w:szCs w:val="21"/>
          <w:highlight w:val="none"/>
          <w:u w:val="single"/>
        </w:rPr>
        <w:t xml:space="preserve"> 24 </w:t>
      </w:r>
      <w:r>
        <w:rPr>
          <w:rFonts w:hint="eastAsia" w:ascii="宋体" w:hAnsi="宋体" w:cs="宋体"/>
          <w:color w:val="auto"/>
          <w:szCs w:val="21"/>
          <w:highlight w:val="none"/>
        </w:rPr>
        <w:t>小时提交书面延期要求。</w:t>
      </w:r>
    </w:p>
    <w:p w14:paraId="2B409A04">
      <w:pPr>
        <w:pStyle w:val="21"/>
        <w:spacing w:line="38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关于延期最长不得超过：</w:t>
      </w:r>
      <w:r>
        <w:rPr>
          <w:rFonts w:hint="eastAsia" w:ascii="宋体" w:hAnsi="宋体" w:cs="宋体"/>
          <w:color w:val="auto"/>
          <w:szCs w:val="21"/>
          <w:highlight w:val="none"/>
          <w:u w:val="single"/>
        </w:rPr>
        <w:t xml:space="preserve"> 48 </w:t>
      </w:r>
      <w:r>
        <w:rPr>
          <w:rFonts w:hint="eastAsia" w:ascii="宋体" w:hAnsi="宋体" w:cs="宋体"/>
          <w:color w:val="auto"/>
          <w:szCs w:val="21"/>
          <w:highlight w:val="none"/>
        </w:rPr>
        <w:t>小时。</w:t>
      </w:r>
    </w:p>
    <w:p w14:paraId="2876A777">
      <w:pPr>
        <w:pStyle w:val="36"/>
        <w:spacing w:line="380" w:lineRule="exact"/>
        <w:ind w:firstLine="422" w:firstLineChars="200"/>
        <w:rPr>
          <w:rFonts w:ascii="宋体" w:cs="宋体"/>
          <w:color w:val="auto"/>
          <w:highlight w:val="none"/>
        </w:rPr>
      </w:pPr>
      <w:bookmarkStart w:id="1397" w:name="_Toc418518402"/>
      <w:bookmarkStart w:id="1398" w:name="_Toc403578990"/>
      <w:bookmarkStart w:id="1399" w:name="_Toc418061367"/>
      <w:bookmarkStart w:id="1400" w:name="_Toc373227755"/>
      <w:bookmarkStart w:id="1401" w:name="_Toc497747234"/>
      <w:bookmarkStart w:id="1402" w:name="_Toc389065320"/>
      <w:bookmarkStart w:id="1403" w:name="_Toc418752298"/>
      <w:bookmarkStart w:id="1404" w:name="_Toc418751852"/>
      <w:bookmarkStart w:id="1405" w:name="_Toc497746837"/>
      <w:bookmarkStart w:id="1406" w:name="_Toc256000233"/>
      <w:bookmarkStart w:id="1407" w:name="_Toc418518166"/>
      <w:bookmarkStart w:id="1408" w:name="_Toc522201782"/>
      <w:bookmarkStart w:id="1409" w:name="_Toc373478402"/>
      <w:bookmarkStart w:id="1410" w:name="_Toc292559933"/>
      <w:bookmarkStart w:id="1411" w:name="_Toc296891263"/>
      <w:bookmarkStart w:id="1412" w:name="_Toc303539173"/>
      <w:bookmarkStart w:id="1413" w:name="_Toc297216224"/>
      <w:bookmarkStart w:id="1414" w:name="_Toc292559428"/>
      <w:bookmarkStart w:id="1415" w:name="_Toc297048409"/>
      <w:bookmarkStart w:id="1416" w:name="_Toc297123565"/>
      <w:bookmarkStart w:id="1417" w:name="_Toc297120523"/>
      <w:bookmarkStart w:id="1418" w:name="_Toc296891051"/>
      <w:bookmarkStart w:id="1419" w:name="_Toc296346724"/>
      <w:bookmarkStart w:id="1420" w:name="_Toc296944562"/>
      <w:bookmarkStart w:id="1421" w:name="_Toc296347222"/>
      <w:bookmarkStart w:id="1422" w:name="_Toc312678056"/>
      <w:bookmarkStart w:id="1423" w:name="_Toc300935016"/>
      <w:bookmarkStart w:id="1424" w:name="_Toc304295596"/>
      <w:bookmarkStart w:id="1425" w:name="_Toc296503223"/>
      <w:bookmarkStart w:id="1426" w:name="_Toc267251473"/>
      <w:bookmarkStart w:id="1427" w:name="_Toc267251471"/>
      <w:bookmarkStart w:id="1428" w:name="_Toc267251475"/>
      <w:bookmarkStart w:id="1429" w:name="_Toc267251476"/>
      <w:bookmarkStart w:id="1430" w:name="_Toc267251472"/>
      <w:bookmarkStart w:id="1431" w:name="_Toc267251470"/>
      <w:bookmarkStart w:id="1432" w:name="_Toc267251474"/>
      <w:r>
        <w:rPr>
          <w:rFonts w:hint="eastAsia" w:ascii="宋体" w:cs="宋体"/>
          <w:color w:val="auto"/>
          <w:highlight w:val="none"/>
        </w:rPr>
        <w:t>13.2 竣工验收</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p>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p w14:paraId="05DFC968">
      <w:pPr>
        <w:pStyle w:val="21"/>
        <w:spacing w:line="380" w:lineRule="exact"/>
        <w:ind w:firstLine="420" w:firstLineChars="200"/>
        <w:jc w:val="left"/>
        <w:rPr>
          <w:rFonts w:ascii="宋体" w:hAnsi="宋体" w:cs="宋体"/>
          <w:color w:val="auto"/>
          <w:szCs w:val="21"/>
          <w:highlight w:val="none"/>
        </w:rPr>
      </w:pPr>
      <w:bookmarkStart w:id="1433" w:name="_Toc280868704"/>
      <w:bookmarkStart w:id="1434" w:name="_Toc280868705"/>
      <w:bookmarkStart w:id="1435" w:name="_Toc280868706"/>
      <w:bookmarkStart w:id="1436" w:name="_Toc280868707"/>
      <w:bookmarkStart w:id="1437" w:name="_Toc280868708"/>
      <w:bookmarkStart w:id="1438" w:name="_Toc280868709"/>
      <w:r>
        <w:rPr>
          <w:rFonts w:hint="eastAsia" w:ascii="宋体" w:hAnsi="宋体" w:cs="宋体"/>
          <w:color w:val="auto"/>
          <w:szCs w:val="21"/>
          <w:highlight w:val="none"/>
        </w:rPr>
        <w:t>13.2.1竣工验收条件</w:t>
      </w:r>
    </w:p>
    <w:p w14:paraId="7D1BB95B">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cs="宋体"/>
          <w:color w:val="auto"/>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cs="宋体"/>
          <w:color w:val="auto"/>
          <w:szCs w:val="21"/>
          <w:highlight w:val="none"/>
        </w:rPr>
        <w:t>。</w:t>
      </w:r>
    </w:p>
    <w:p w14:paraId="69511C4A">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竣工验收资料的份数：</w:t>
      </w:r>
      <w:r>
        <w:rPr>
          <w:rFonts w:hint="eastAsia" w:ascii="宋体" w:hAnsi="宋体" w:cs="宋体"/>
          <w:color w:val="auto"/>
          <w:szCs w:val="21"/>
          <w:highlight w:val="none"/>
          <w:u w:val="single"/>
        </w:rPr>
        <w:t>肆份，承包人承担竣工验收资料编制、立卷及至档案馆归档等一切费用</w:t>
      </w:r>
      <w:r>
        <w:rPr>
          <w:rFonts w:hint="eastAsia" w:ascii="宋体" w:hAnsi="宋体" w:cs="宋体"/>
          <w:color w:val="auto"/>
          <w:szCs w:val="21"/>
          <w:highlight w:val="none"/>
        </w:rPr>
        <w:t>。</w:t>
      </w:r>
    </w:p>
    <w:p w14:paraId="047F459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承包人提供竣工图的约定：</w:t>
      </w:r>
      <w:r>
        <w:rPr>
          <w:rFonts w:hint="eastAsia" w:ascii="宋体" w:hAnsi="宋体" w:cs="宋体"/>
          <w:bCs/>
          <w:color w:val="auto"/>
          <w:szCs w:val="21"/>
          <w:highlight w:val="none"/>
          <w:u w:val="single"/>
        </w:rPr>
        <w:t>竣工验收正式通过后15天，提供4套竣工图。</w:t>
      </w:r>
    </w:p>
    <w:p w14:paraId="2796B38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13.2.2竣工验收程序</w:t>
      </w:r>
    </w:p>
    <w:bookmarkEnd w:id="1433"/>
    <w:p w14:paraId="22A6D7A7">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关于竣工验收程序的约定</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14:paraId="450D1C7B">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发包人不按照本项约定组织竣工验收、颁发工程接收证书的违约金的计算方法：</w:t>
      </w:r>
      <w:r>
        <w:rPr>
          <w:rFonts w:hint="eastAsia" w:ascii="宋体" w:hAnsi="宋体" w:cs="宋体"/>
          <w:color w:val="auto"/>
          <w:szCs w:val="21"/>
          <w:highlight w:val="none"/>
          <w:u w:val="single"/>
        </w:rPr>
        <w:t xml:space="preserve"> 无  </w:t>
      </w:r>
      <w:r>
        <w:rPr>
          <w:rFonts w:hint="eastAsia" w:ascii="宋体" w:hAnsi="宋体" w:cs="宋体"/>
          <w:color w:val="auto"/>
          <w:szCs w:val="21"/>
          <w:highlight w:val="none"/>
        </w:rPr>
        <w:t>。</w:t>
      </w:r>
    </w:p>
    <w:bookmarkEnd w:id="1434"/>
    <w:p w14:paraId="0EE22139">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13.2.5移交、接收全部与部分工程</w:t>
      </w:r>
    </w:p>
    <w:bookmarkEnd w:id="1435"/>
    <w:p w14:paraId="159841EA">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承包人向发包人移交工程的期限：</w:t>
      </w:r>
      <w:r>
        <w:rPr>
          <w:rFonts w:hint="eastAsia" w:ascii="宋体" w:hAnsi="宋体" w:cs="宋体"/>
          <w:color w:val="auto"/>
          <w:szCs w:val="21"/>
          <w:highlight w:val="none"/>
          <w:u w:val="single"/>
        </w:rPr>
        <w:t xml:space="preserve"> 竣工验收整改完毕三日内 </w:t>
      </w:r>
      <w:r>
        <w:rPr>
          <w:rFonts w:hint="eastAsia" w:ascii="宋体" w:hAnsi="宋体" w:cs="宋体"/>
          <w:color w:val="auto"/>
          <w:szCs w:val="21"/>
          <w:highlight w:val="none"/>
        </w:rPr>
        <w:t>。</w:t>
      </w:r>
    </w:p>
    <w:p w14:paraId="25F922E6">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发包人未按本合同约定接收全部或部分工程的，违约金的计算方法为：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款扣除发包人材料价款、暂估专业工程、暂列金额后的万分之四/天</w:t>
      </w:r>
      <w:r>
        <w:rPr>
          <w:rFonts w:hint="eastAsia" w:ascii="宋体" w:hAnsi="宋体" w:cs="宋体"/>
          <w:bCs/>
          <w:color w:val="auto"/>
          <w:szCs w:val="21"/>
          <w:highlight w:val="none"/>
          <w:u w:val="single"/>
        </w:rPr>
        <w:t xml:space="preserve">支付违约金，最高限额为结算价的3% </w:t>
      </w:r>
      <w:r>
        <w:rPr>
          <w:rFonts w:hint="eastAsia" w:ascii="宋体" w:hAnsi="宋体" w:cs="宋体"/>
          <w:color w:val="auto"/>
          <w:szCs w:val="21"/>
          <w:highlight w:val="none"/>
        </w:rPr>
        <w:t>。</w:t>
      </w:r>
    </w:p>
    <w:bookmarkEnd w:id="1436"/>
    <w:p w14:paraId="250E92E8">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承包人未按时移交工程的，违约金的计算方法为：</w:t>
      </w: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u w:val="single"/>
        </w:rPr>
        <w:t>每逾期一天</w:t>
      </w: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zh-CN"/>
        </w:rPr>
        <w:t>签约合同价</w:t>
      </w:r>
      <w:r>
        <w:rPr>
          <w:rFonts w:hint="eastAsia" w:ascii="宋体" w:hAnsi="宋体" w:cs="宋体"/>
          <w:color w:val="auto"/>
          <w:szCs w:val="21"/>
          <w:highlight w:val="none"/>
          <w:u w:val="single"/>
        </w:rPr>
        <w:t xml:space="preserve">款扣除发包人材料价款、暂估专业工程、暂列金额后的万分之四/天支付违约金，最高限额为结算价的3%  </w:t>
      </w:r>
      <w:r>
        <w:rPr>
          <w:rFonts w:hint="eastAsia" w:ascii="宋体" w:hAnsi="宋体" w:cs="宋体"/>
          <w:color w:val="auto"/>
          <w:szCs w:val="21"/>
          <w:highlight w:val="none"/>
        </w:rPr>
        <w:t>。</w:t>
      </w:r>
    </w:p>
    <w:p w14:paraId="01C3521F">
      <w:pPr>
        <w:pStyle w:val="36"/>
        <w:spacing w:line="380" w:lineRule="exact"/>
        <w:ind w:firstLine="422" w:firstLineChars="200"/>
        <w:rPr>
          <w:rFonts w:ascii="宋体" w:cs="宋体"/>
          <w:color w:val="auto"/>
          <w:highlight w:val="none"/>
        </w:rPr>
      </w:pPr>
      <w:bookmarkStart w:id="1439" w:name="_Toc389065321"/>
      <w:bookmarkStart w:id="1440" w:name="_Toc256000234"/>
      <w:bookmarkStart w:id="1441" w:name="_Toc373478403"/>
      <w:bookmarkStart w:id="1442" w:name="_Toc373227756"/>
      <w:bookmarkStart w:id="1443" w:name="_Toc403578991"/>
      <w:bookmarkStart w:id="1444" w:name="_Toc497747235"/>
      <w:bookmarkStart w:id="1445" w:name="_Toc418061368"/>
      <w:bookmarkStart w:id="1446" w:name="_Toc418751853"/>
      <w:bookmarkStart w:id="1447" w:name="_Toc418518167"/>
      <w:bookmarkStart w:id="1448" w:name="_Toc418518403"/>
      <w:bookmarkStart w:id="1449" w:name="_Toc522201783"/>
      <w:bookmarkStart w:id="1450" w:name="_Toc497746838"/>
      <w:bookmarkStart w:id="1451" w:name="_Toc418752299"/>
      <w:r>
        <w:rPr>
          <w:rFonts w:hint="eastAsia" w:ascii="宋体" w:cs="宋体"/>
          <w:color w:val="auto"/>
          <w:highlight w:val="none"/>
        </w:rPr>
        <w:t>13.3 工程试车</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bookmarkEnd w:id="1437"/>
    <w:p w14:paraId="6E3FB8EA">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13.3.1 试车程序</w:t>
      </w:r>
    </w:p>
    <w:p w14:paraId="3FDE955D">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工程试车内容：</w:t>
      </w:r>
      <w:r>
        <w:rPr>
          <w:rFonts w:hint="eastAsia" w:ascii="宋体" w:hAnsi="宋体" w:cs="宋体"/>
          <w:color w:val="auto"/>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cs="宋体"/>
          <w:color w:val="auto"/>
          <w:szCs w:val="21"/>
          <w:highlight w:val="none"/>
        </w:rPr>
        <w:t>。</w:t>
      </w:r>
    </w:p>
    <w:p w14:paraId="0D6FD858">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（1）单机无负荷试车费用由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1B32FD87">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（2）无负荷联动试车费用由</w:t>
      </w:r>
      <w:r>
        <w:rPr>
          <w:rFonts w:hint="eastAsia" w:ascii="宋体" w:hAnsi="宋体" w:cs="宋体"/>
          <w:color w:val="auto"/>
          <w:szCs w:val="21"/>
          <w:highlight w:val="none"/>
          <w:u w:val="single"/>
        </w:rPr>
        <w:t xml:space="preserve">  承包人组织试运行，费用由承包人</w:t>
      </w:r>
      <w:r>
        <w:rPr>
          <w:rFonts w:hint="eastAsia" w:ascii="宋体" w:hAnsi="宋体" w:cs="宋体"/>
          <w:color w:val="auto"/>
          <w:kern w:val="0"/>
          <w:szCs w:val="21"/>
          <w:highlight w:val="none"/>
        </w:rPr>
        <w:t>承担。</w:t>
      </w:r>
    </w:p>
    <w:p w14:paraId="79E3C9A5">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13.3.3 投料试车</w:t>
      </w:r>
    </w:p>
    <w:p w14:paraId="14DC9634">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关于投料试车相关事项的约定：</w:t>
      </w:r>
      <w:r>
        <w:rPr>
          <w:rFonts w:hint="eastAsia" w:ascii="宋体" w:hAnsi="宋体" w:cs="宋体"/>
          <w:color w:val="auto"/>
          <w:szCs w:val="21"/>
          <w:highlight w:val="none"/>
          <w:u w:val="single"/>
        </w:rPr>
        <w:t xml:space="preserve"> 由承包人组织试运行，费用由承包人承担 </w:t>
      </w:r>
      <w:r>
        <w:rPr>
          <w:rFonts w:hint="eastAsia" w:ascii="宋体" w:hAnsi="宋体" w:cs="宋体"/>
          <w:color w:val="auto"/>
          <w:szCs w:val="21"/>
          <w:highlight w:val="none"/>
        </w:rPr>
        <w:t>。</w:t>
      </w:r>
    </w:p>
    <w:p w14:paraId="24C29140">
      <w:pPr>
        <w:pStyle w:val="36"/>
        <w:spacing w:line="380" w:lineRule="exact"/>
        <w:ind w:firstLine="422" w:firstLineChars="200"/>
        <w:rPr>
          <w:rFonts w:ascii="宋体" w:cs="宋体"/>
          <w:color w:val="auto"/>
          <w:highlight w:val="none"/>
        </w:rPr>
      </w:pPr>
      <w:bookmarkStart w:id="1452" w:name="_Toc256000235"/>
      <w:bookmarkStart w:id="1453" w:name="_Toc418518168"/>
      <w:bookmarkStart w:id="1454" w:name="_Toc497747236"/>
      <w:bookmarkStart w:id="1455" w:name="_Toc418751854"/>
      <w:bookmarkStart w:id="1456" w:name="_Toc418752300"/>
      <w:bookmarkStart w:id="1457" w:name="_Toc418061369"/>
      <w:bookmarkStart w:id="1458" w:name="_Toc373478404"/>
      <w:bookmarkStart w:id="1459" w:name="_Toc497746839"/>
      <w:bookmarkStart w:id="1460" w:name="_Toc418518404"/>
      <w:bookmarkStart w:id="1461" w:name="_Toc403578992"/>
      <w:bookmarkStart w:id="1462" w:name="_Toc522201784"/>
      <w:bookmarkStart w:id="1463" w:name="_Toc373227757"/>
      <w:bookmarkStart w:id="1464" w:name="_Toc389065322"/>
      <w:r>
        <w:rPr>
          <w:rFonts w:hint="eastAsia" w:ascii="宋体" w:cs="宋体"/>
          <w:color w:val="auto"/>
          <w:highlight w:val="none"/>
        </w:rPr>
        <w:t>13.6 竣工退场</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14:paraId="779E809E">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13.6.1 竣工退场</w:t>
      </w:r>
    </w:p>
    <w:p w14:paraId="47B9D86C">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承包人完成竣工退场的期限：</w:t>
      </w:r>
      <w:r>
        <w:rPr>
          <w:rFonts w:hint="eastAsia" w:ascii="宋体" w:hAnsi="宋体" w:cs="宋体"/>
          <w:color w:val="auto"/>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14:paraId="12C1B721">
      <w:pPr>
        <w:pStyle w:val="36"/>
        <w:spacing w:line="380" w:lineRule="exact"/>
        <w:rPr>
          <w:rFonts w:ascii="宋体" w:cs="宋体"/>
          <w:color w:val="auto"/>
          <w:highlight w:val="none"/>
        </w:rPr>
      </w:pPr>
      <w:bookmarkStart w:id="1465" w:name="_Toc522201785"/>
      <w:bookmarkStart w:id="1466" w:name="_Toc351203646"/>
      <w:bookmarkStart w:id="1467" w:name="_Toc373478405"/>
      <w:bookmarkStart w:id="1468" w:name="_Toc418061370"/>
      <w:bookmarkStart w:id="1469" w:name="_Toc418752301"/>
      <w:bookmarkStart w:id="1470" w:name="_Toc497746840"/>
      <w:bookmarkStart w:id="1471" w:name="_Toc373227758"/>
      <w:bookmarkStart w:id="1472" w:name="_Toc389065323"/>
      <w:bookmarkStart w:id="1473" w:name="_Toc418751855"/>
      <w:bookmarkStart w:id="1474" w:name="_Toc497747237"/>
      <w:bookmarkStart w:id="1475" w:name="_Toc403578993"/>
      <w:bookmarkStart w:id="1476" w:name="_Toc418518169"/>
      <w:bookmarkStart w:id="1477" w:name="_Toc418518405"/>
      <w:bookmarkStart w:id="1478" w:name="_Toc256000236"/>
      <w:r>
        <w:rPr>
          <w:rFonts w:hint="eastAsia" w:ascii="宋体" w:cs="宋体"/>
          <w:color w:val="auto"/>
          <w:highlight w:val="none"/>
        </w:rPr>
        <w:t>14. 竣工结算</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0F723717">
      <w:pPr>
        <w:pStyle w:val="36"/>
        <w:spacing w:line="380" w:lineRule="exact"/>
        <w:ind w:firstLine="422" w:firstLineChars="200"/>
        <w:rPr>
          <w:rFonts w:ascii="宋体" w:cs="宋体"/>
          <w:color w:val="auto"/>
          <w:highlight w:val="none"/>
        </w:rPr>
      </w:pPr>
      <w:bookmarkStart w:id="1479" w:name="_Toc418752302"/>
      <w:bookmarkStart w:id="1480" w:name="_Toc522201786"/>
      <w:bookmarkStart w:id="1481" w:name="_Toc403578994"/>
      <w:bookmarkStart w:id="1482" w:name="_Toc418518170"/>
      <w:bookmarkStart w:id="1483" w:name="_Toc497747238"/>
      <w:bookmarkStart w:id="1484" w:name="_Toc418061371"/>
      <w:bookmarkStart w:id="1485" w:name="_Toc418751856"/>
      <w:bookmarkStart w:id="1486" w:name="_Toc373227759"/>
      <w:bookmarkStart w:id="1487" w:name="_Toc418518406"/>
      <w:bookmarkStart w:id="1488" w:name="_Toc373478406"/>
      <w:bookmarkStart w:id="1489" w:name="_Toc497746841"/>
      <w:bookmarkStart w:id="1490" w:name="_Toc256000237"/>
      <w:bookmarkStart w:id="1491" w:name="_Toc389065324"/>
      <w:r>
        <w:rPr>
          <w:rFonts w:hint="eastAsia" w:ascii="宋体" w:cs="宋体"/>
          <w:color w:val="auto"/>
          <w:highlight w:val="none"/>
        </w:rPr>
        <w:t>14.1 竣工结算申请</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14:paraId="6A74F22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承包人提交竣工结算申请单的期限：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具备竣工收条件后28天内</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E791CF3">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竣工结算申请单应包括的内容：</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竣工结算由承包人提交相关结算资料（主要包括合同、工程量计算书、结算书、变更设计通知单、签证单、竣工图）齐全后经监理初审、发包人审核后，</w:t>
      </w:r>
      <w:r>
        <w:rPr>
          <w:rFonts w:hint="eastAsia"/>
          <w:color w:val="auto"/>
          <w:highlight w:val="none"/>
          <w:u w:val="single"/>
          <w:lang w:val="en-US" w:eastAsia="zh-CN"/>
        </w:rPr>
        <w:t>最终结算以桂林市财政局</w:t>
      </w:r>
      <w:r>
        <w:rPr>
          <w:rFonts w:hint="eastAsia" w:ascii="宋体" w:hAnsi="宋体" w:cs="宋体"/>
          <w:color w:val="auto"/>
          <w:szCs w:val="21"/>
          <w:highlight w:val="none"/>
          <w:u w:val="single"/>
        </w:rPr>
        <w:t>或发包人委托的造价咨询机构审定并经发包人及承包人双方确认的金额为准</w:t>
      </w:r>
      <w:r>
        <w:rPr>
          <w:rFonts w:hint="eastAsia" w:ascii="宋体" w:hAnsi="宋体" w:cs="宋体"/>
          <w:color w:val="auto"/>
          <w:szCs w:val="21"/>
          <w:highlight w:val="none"/>
        </w:rPr>
        <w:t>。</w:t>
      </w:r>
    </w:p>
    <w:p w14:paraId="3291D516">
      <w:pPr>
        <w:pStyle w:val="36"/>
        <w:spacing w:line="380" w:lineRule="exact"/>
        <w:ind w:firstLine="422" w:firstLineChars="200"/>
        <w:rPr>
          <w:rFonts w:ascii="宋体" w:cs="宋体"/>
          <w:color w:val="auto"/>
          <w:highlight w:val="none"/>
        </w:rPr>
      </w:pPr>
      <w:bookmarkStart w:id="1492" w:name="_Toc418518407"/>
      <w:bookmarkStart w:id="1493" w:name="_Toc418751857"/>
      <w:bookmarkStart w:id="1494" w:name="_Toc256000238"/>
      <w:bookmarkStart w:id="1495" w:name="_Toc373478407"/>
      <w:bookmarkStart w:id="1496" w:name="_Toc497746842"/>
      <w:bookmarkStart w:id="1497" w:name="_Toc418518171"/>
      <w:bookmarkStart w:id="1498" w:name="_Toc373227760"/>
      <w:bookmarkStart w:id="1499" w:name="_Toc497747239"/>
      <w:bookmarkStart w:id="1500" w:name="_Toc418061372"/>
      <w:bookmarkStart w:id="1501" w:name="_Toc418752303"/>
      <w:bookmarkStart w:id="1502" w:name="_Toc389065325"/>
      <w:bookmarkStart w:id="1503" w:name="_Toc403578995"/>
      <w:bookmarkStart w:id="1504" w:name="_Toc522201787"/>
      <w:r>
        <w:rPr>
          <w:rFonts w:hint="eastAsia" w:ascii="宋体" w:cs="宋体"/>
          <w:color w:val="auto"/>
          <w:highlight w:val="none"/>
        </w:rPr>
        <w:t>14.2 竣工结算审核</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p>
    <w:p w14:paraId="135C511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发包人审批竣工付款申请单的期限：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14:paraId="1770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6FE633C7">
            <w:pPr>
              <w:pStyle w:val="21"/>
              <w:spacing w:line="380" w:lineRule="exact"/>
              <w:jc w:val="center"/>
              <w:rPr>
                <w:rFonts w:ascii="宋体" w:hAnsi="宋体" w:cs="宋体"/>
                <w:bCs/>
                <w:color w:val="auto"/>
                <w:szCs w:val="21"/>
                <w:highlight w:val="none"/>
              </w:rPr>
            </w:pPr>
          </w:p>
        </w:tc>
        <w:tc>
          <w:tcPr>
            <w:tcW w:w="2616" w:type="dxa"/>
            <w:vAlign w:val="center"/>
          </w:tcPr>
          <w:p w14:paraId="26C91EE1">
            <w:pPr>
              <w:pStyle w:val="21"/>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工程竣工结算报告金额</w:t>
            </w:r>
          </w:p>
        </w:tc>
        <w:tc>
          <w:tcPr>
            <w:tcW w:w="5817" w:type="dxa"/>
            <w:vAlign w:val="center"/>
          </w:tcPr>
          <w:p w14:paraId="5C1F8BC9">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发包人审查时间</w:t>
            </w:r>
          </w:p>
        </w:tc>
      </w:tr>
      <w:tr w14:paraId="71B5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C059388">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2616" w:type="dxa"/>
            <w:vAlign w:val="center"/>
          </w:tcPr>
          <w:p w14:paraId="33F35746">
            <w:pPr>
              <w:pStyle w:val="21"/>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500万元以下</w:t>
            </w:r>
          </w:p>
        </w:tc>
        <w:tc>
          <w:tcPr>
            <w:tcW w:w="5817" w:type="dxa"/>
            <w:vAlign w:val="center"/>
          </w:tcPr>
          <w:p w14:paraId="1AFE3725">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从接到竣工结算报告和完整的竣工结算资料之日起20天</w:t>
            </w:r>
          </w:p>
        </w:tc>
      </w:tr>
      <w:tr w14:paraId="1181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3FB438A9">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2616" w:type="dxa"/>
            <w:vAlign w:val="center"/>
          </w:tcPr>
          <w:p w14:paraId="6F63B1DF">
            <w:pPr>
              <w:pStyle w:val="21"/>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500万元-2000万元</w:t>
            </w:r>
          </w:p>
        </w:tc>
        <w:tc>
          <w:tcPr>
            <w:tcW w:w="5817" w:type="dxa"/>
            <w:vAlign w:val="center"/>
          </w:tcPr>
          <w:p w14:paraId="6FA13A11">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从接到竣工结算报告和完整的竣工结算资料之日起30天</w:t>
            </w:r>
          </w:p>
        </w:tc>
      </w:tr>
      <w:tr w14:paraId="6946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E05C1A6">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2616" w:type="dxa"/>
            <w:vAlign w:val="center"/>
          </w:tcPr>
          <w:p w14:paraId="7C09790F">
            <w:pPr>
              <w:pStyle w:val="21"/>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2000万元-5000万元</w:t>
            </w:r>
          </w:p>
        </w:tc>
        <w:tc>
          <w:tcPr>
            <w:tcW w:w="5817" w:type="dxa"/>
            <w:vAlign w:val="center"/>
          </w:tcPr>
          <w:p w14:paraId="4ADB63BA">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从接到竣工结算报告和完整的竣工结算资料之日起45天</w:t>
            </w:r>
          </w:p>
        </w:tc>
      </w:tr>
      <w:tr w14:paraId="23DA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FB63473">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4</w:t>
            </w:r>
          </w:p>
        </w:tc>
        <w:tc>
          <w:tcPr>
            <w:tcW w:w="2616" w:type="dxa"/>
            <w:vAlign w:val="center"/>
          </w:tcPr>
          <w:p w14:paraId="1115F61D">
            <w:pPr>
              <w:pStyle w:val="21"/>
              <w:spacing w:line="380" w:lineRule="exact"/>
              <w:ind w:firstLine="27" w:firstLineChars="13"/>
              <w:jc w:val="center"/>
              <w:rPr>
                <w:rFonts w:ascii="宋体" w:hAnsi="宋体" w:cs="宋体"/>
                <w:bCs/>
                <w:color w:val="auto"/>
                <w:szCs w:val="21"/>
                <w:highlight w:val="none"/>
              </w:rPr>
            </w:pPr>
            <w:r>
              <w:rPr>
                <w:rFonts w:hint="eastAsia" w:ascii="宋体" w:hAnsi="宋体" w:cs="宋体"/>
                <w:bCs/>
                <w:color w:val="auto"/>
                <w:szCs w:val="21"/>
                <w:highlight w:val="none"/>
              </w:rPr>
              <w:t>5000万元以上</w:t>
            </w:r>
          </w:p>
        </w:tc>
        <w:tc>
          <w:tcPr>
            <w:tcW w:w="5817" w:type="dxa"/>
            <w:vAlign w:val="center"/>
          </w:tcPr>
          <w:p w14:paraId="79126D2C">
            <w:pPr>
              <w:pStyle w:val="21"/>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从接到竣工结算报告和完整的竣工结算资料之日起60天</w:t>
            </w:r>
          </w:p>
        </w:tc>
      </w:tr>
    </w:tbl>
    <w:p w14:paraId="13BF7DC8">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因承包人提供的结算资料不完整而需要补充或承包人不按时对账耽误时间时，审查时间应相应顺延</w:t>
      </w:r>
      <w:r>
        <w:rPr>
          <w:rFonts w:hint="eastAsia" w:ascii="宋体" w:hAnsi="宋体" w:cs="宋体"/>
          <w:color w:val="auto"/>
          <w:szCs w:val="21"/>
          <w:highlight w:val="none"/>
        </w:rPr>
        <w:t>。</w:t>
      </w:r>
    </w:p>
    <w:p w14:paraId="5EF132C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发包人完成竣工付款的期限：</w:t>
      </w:r>
      <w:r>
        <w:rPr>
          <w:rFonts w:ascii="宋体" w:hAnsi="宋体" w:cs="宋体"/>
          <w:color w:val="auto"/>
          <w:szCs w:val="21"/>
          <w:highlight w:val="none"/>
          <w:u w:val="single"/>
        </w:rPr>
        <w:t>结算审核报告出具</w:t>
      </w:r>
      <w:r>
        <w:rPr>
          <w:rFonts w:hint="eastAsia" w:ascii="宋体" w:hAnsi="宋体" w:cs="宋体"/>
          <w:color w:val="auto"/>
          <w:szCs w:val="21"/>
          <w:highlight w:val="none"/>
          <w:u w:val="single"/>
        </w:rPr>
        <w:t>后且</w:t>
      </w:r>
      <w:r>
        <w:rPr>
          <w:rFonts w:hint="eastAsia" w:ascii="宋体" w:hAnsi="宋体"/>
          <w:color w:val="auto"/>
          <w:szCs w:val="21"/>
          <w:highlight w:val="none"/>
          <w:u w:val="single"/>
        </w:rPr>
        <w:t>审核完承包人的竣工付款申请单30天内</w:t>
      </w:r>
      <w:r>
        <w:rPr>
          <w:rFonts w:hint="eastAsia" w:ascii="宋体" w:hAnsi="宋体" w:cs="宋体"/>
          <w:color w:val="auto"/>
          <w:szCs w:val="21"/>
          <w:highlight w:val="none"/>
        </w:rPr>
        <w:t>。</w:t>
      </w:r>
    </w:p>
    <w:p w14:paraId="0EFB3B88">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关于竣工付款证书异议部分复核的方式和程序：</w:t>
      </w:r>
      <w:r>
        <w:rPr>
          <w:rFonts w:hint="eastAsia" w:ascii="宋体" w:hAnsi="宋体" w:cs="宋体"/>
          <w:color w:val="auto"/>
          <w:szCs w:val="21"/>
          <w:highlight w:val="none"/>
          <w:u w:val="single"/>
        </w:rPr>
        <w:t>存在异议的部分，由承包人核对后对异议部分进行书面描叙，并交由发包人再次审定。</w:t>
      </w:r>
    </w:p>
    <w:p w14:paraId="617DC055">
      <w:pPr>
        <w:pStyle w:val="36"/>
        <w:spacing w:line="380" w:lineRule="exact"/>
        <w:ind w:firstLine="422" w:firstLineChars="200"/>
        <w:rPr>
          <w:rFonts w:ascii="宋体" w:cs="宋体"/>
          <w:color w:val="auto"/>
          <w:highlight w:val="none"/>
        </w:rPr>
      </w:pPr>
      <w:bookmarkStart w:id="1505" w:name="_Toc497747240"/>
      <w:bookmarkStart w:id="1506" w:name="_Toc418518408"/>
      <w:bookmarkStart w:id="1507" w:name="_Toc418751858"/>
      <w:bookmarkStart w:id="1508" w:name="_Toc403578996"/>
      <w:bookmarkStart w:id="1509" w:name="_Toc522201788"/>
      <w:bookmarkStart w:id="1510" w:name="_Toc497746843"/>
      <w:bookmarkStart w:id="1511" w:name="_Toc418752304"/>
      <w:bookmarkStart w:id="1512" w:name="_Toc418518172"/>
      <w:bookmarkStart w:id="1513" w:name="_Toc256000239"/>
      <w:bookmarkStart w:id="1514" w:name="_Toc373478408"/>
      <w:bookmarkStart w:id="1515" w:name="_Toc418061373"/>
      <w:bookmarkStart w:id="1516" w:name="_Toc389065326"/>
      <w:bookmarkStart w:id="1517" w:name="_Toc373227761"/>
      <w:r>
        <w:rPr>
          <w:rFonts w:hint="eastAsia" w:ascii="宋体" w:cs="宋体"/>
          <w:color w:val="auto"/>
          <w:highlight w:val="none"/>
        </w:rPr>
        <w:t>14.4 最终结清</w:t>
      </w:r>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288E28E2">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14.4.1 最终结清申请单</w:t>
      </w:r>
    </w:p>
    <w:p w14:paraId="34DAE541">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承包人提交最终结清申请单的份数：</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一式四份 </w:t>
      </w:r>
      <w:r>
        <w:rPr>
          <w:rFonts w:hint="eastAsia" w:ascii="宋体" w:hAnsi="宋体" w:cs="宋体"/>
          <w:color w:val="auto"/>
          <w:szCs w:val="21"/>
          <w:highlight w:val="none"/>
        </w:rPr>
        <w:t>。</w:t>
      </w:r>
    </w:p>
    <w:p w14:paraId="011D4119">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承包人提交最终结算申请单的期限：</w:t>
      </w:r>
      <w:r>
        <w:rPr>
          <w:rFonts w:hint="eastAsia" w:ascii="宋体" w:hAnsi="宋体" w:cs="宋体"/>
          <w:color w:val="auto"/>
          <w:kern w:val="0"/>
          <w:szCs w:val="21"/>
          <w:highlight w:val="none"/>
          <w:u w:val="single"/>
        </w:rPr>
        <w:t>缺陷责任期终止证书签发后14天内向监理人提交4份竣工付款申请单及相关证明材料</w:t>
      </w:r>
      <w:r>
        <w:rPr>
          <w:rFonts w:hint="eastAsia" w:ascii="宋体" w:hAnsi="宋体" w:cs="宋体"/>
          <w:color w:val="auto"/>
          <w:szCs w:val="21"/>
          <w:highlight w:val="none"/>
        </w:rPr>
        <w:t xml:space="preserve">。 </w:t>
      </w:r>
    </w:p>
    <w:p w14:paraId="230B9D98">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14.4.2 最终结清证书和支付</w:t>
      </w:r>
    </w:p>
    <w:p w14:paraId="6CD31114">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（1）发包人完成最终结清申请单的审批并颁发最终结清证书的期限：</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szCs w:val="21"/>
          <w:highlight w:val="none"/>
        </w:rPr>
        <w:t>。</w:t>
      </w:r>
    </w:p>
    <w:p w14:paraId="030EDC3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（2）发包人完成支付的期限：</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在颁发最终结清证书后的30天内 </w:t>
      </w:r>
      <w:r>
        <w:rPr>
          <w:rFonts w:hint="eastAsia" w:ascii="宋体" w:hAnsi="宋体" w:cs="宋体"/>
          <w:color w:val="auto"/>
          <w:szCs w:val="21"/>
          <w:highlight w:val="none"/>
        </w:rPr>
        <w:t>。</w:t>
      </w:r>
    </w:p>
    <w:bookmarkEnd w:id="1426"/>
    <w:bookmarkEnd w:id="1427"/>
    <w:bookmarkEnd w:id="1428"/>
    <w:bookmarkEnd w:id="1429"/>
    <w:bookmarkEnd w:id="1430"/>
    <w:bookmarkEnd w:id="1431"/>
    <w:bookmarkEnd w:id="1432"/>
    <w:bookmarkEnd w:id="1438"/>
    <w:p w14:paraId="5E201938">
      <w:pPr>
        <w:pStyle w:val="36"/>
        <w:spacing w:line="380" w:lineRule="exact"/>
        <w:rPr>
          <w:rFonts w:ascii="宋体" w:cs="宋体"/>
          <w:color w:val="auto"/>
          <w:highlight w:val="none"/>
        </w:rPr>
      </w:pPr>
      <w:bookmarkStart w:id="1518" w:name="_Toc418518409"/>
      <w:bookmarkStart w:id="1519" w:name="_Toc256000240"/>
      <w:bookmarkStart w:id="1520" w:name="_Toc497746844"/>
      <w:bookmarkStart w:id="1521" w:name="_Toc497747241"/>
      <w:bookmarkStart w:id="1522" w:name="_Toc418518173"/>
      <w:bookmarkStart w:id="1523" w:name="_Toc522201789"/>
      <w:bookmarkStart w:id="1524" w:name="_Toc418752305"/>
      <w:bookmarkStart w:id="1525" w:name="_Toc389065327"/>
      <w:bookmarkStart w:id="1526" w:name="_Toc351203647"/>
      <w:bookmarkStart w:id="1527" w:name="_Toc403578997"/>
      <w:bookmarkStart w:id="1528" w:name="_Toc418061374"/>
      <w:bookmarkStart w:id="1529" w:name="_Toc373227762"/>
      <w:bookmarkStart w:id="1530" w:name="_Toc373478409"/>
      <w:bookmarkStart w:id="1531" w:name="_Toc418751859"/>
      <w:bookmarkStart w:id="1532" w:name="_Toc267251483"/>
      <w:bookmarkStart w:id="1533" w:name="_Toc267251482"/>
      <w:bookmarkStart w:id="1534" w:name="_Toc267251484"/>
      <w:bookmarkStart w:id="1535" w:name="_Toc267251485"/>
      <w:bookmarkStart w:id="1536" w:name="_Toc267251486"/>
      <w:bookmarkStart w:id="1537" w:name="_Toc267251489"/>
      <w:bookmarkStart w:id="1538" w:name="_Toc267251488"/>
      <w:bookmarkStart w:id="1539" w:name="_Toc267251490"/>
      <w:bookmarkStart w:id="1540" w:name="_Toc267251491"/>
      <w:bookmarkStart w:id="1541" w:name="_Toc267251501"/>
      <w:bookmarkStart w:id="1542" w:name="_Toc267251493"/>
      <w:bookmarkStart w:id="1543" w:name="_Toc267251495"/>
      <w:bookmarkStart w:id="1544" w:name="_Toc267251503"/>
      <w:bookmarkStart w:id="1545" w:name="_Toc267251502"/>
      <w:bookmarkStart w:id="1546" w:name="_Toc267251499"/>
      <w:bookmarkStart w:id="1547" w:name="_Toc267251492"/>
      <w:bookmarkStart w:id="1548" w:name="_Toc267251498"/>
      <w:bookmarkStart w:id="1549" w:name="_Toc267251494"/>
      <w:bookmarkStart w:id="1550" w:name="_Toc267251497"/>
      <w:bookmarkStart w:id="1551" w:name="_Toc267251496"/>
      <w:bookmarkStart w:id="1552" w:name="_Toc267251506"/>
      <w:bookmarkStart w:id="1553" w:name="_Toc267251504"/>
      <w:bookmarkStart w:id="1554" w:name="_Toc267251507"/>
      <w:bookmarkStart w:id="1555" w:name="_Toc267251508"/>
      <w:bookmarkStart w:id="1556" w:name="_Toc267251510"/>
      <w:bookmarkStart w:id="1557" w:name="_Toc267251513"/>
      <w:bookmarkStart w:id="1558" w:name="_Toc267251515"/>
      <w:bookmarkStart w:id="1559" w:name="_Toc267251509"/>
      <w:bookmarkStart w:id="1560" w:name="_Toc267251511"/>
      <w:bookmarkStart w:id="1561" w:name="_Toc267251514"/>
      <w:r>
        <w:rPr>
          <w:rFonts w:hint="eastAsia" w:ascii="宋体" w:cs="宋体"/>
          <w:color w:val="auto"/>
          <w:highlight w:val="none"/>
        </w:rPr>
        <w:t>15. 缺陷责任期与保修</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14:paraId="2F2E360E">
      <w:pPr>
        <w:pStyle w:val="36"/>
        <w:spacing w:line="380" w:lineRule="exact"/>
        <w:ind w:firstLine="422" w:firstLineChars="200"/>
        <w:rPr>
          <w:rFonts w:ascii="宋体" w:cs="宋体"/>
          <w:color w:val="auto"/>
          <w:highlight w:val="none"/>
        </w:rPr>
      </w:pPr>
      <w:bookmarkStart w:id="1562" w:name="_Toc418518410"/>
      <w:bookmarkStart w:id="1563" w:name="_Toc522201790"/>
      <w:bookmarkStart w:id="1564" w:name="_Toc418061375"/>
      <w:bookmarkStart w:id="1565" w:name="_Toc403578998"/>
      <w:bookmarkStart w:id="1566" w:name="_Toc418752306"/>
      <w:bookmarkStart w:id="1567" w:name="_Toc418518174"/>
      <w:bookmarkStart w:id="1568" w:name="_Toc497747242"/>
      <w:bookmarkStart w:id="1569" w:name="_Toc256000241"/>
      <w:bookmarkStart w:id="1570" w:name="_Toc497746845"/>
      <w:bookmarkStart w:id="1571" w:name="_Toc373227763"/>
      <w:bookmarkStart w:id="1572" w:name="_Toc373478410"/>
      <w:bookmarkStart w:id="1573" w:name="_Toc418751860"/>
      <w:bookmarkStart w:id="1574" w:name="_Toc389065328"/>
      <w:r>
        <w:rPr>
          <w:rFonts w:hint="eastAsia" w:ascii="宋体" w:cs="宋体"/>
          <w:color w:val="auto"/>
          <w:highlight w:val="none"/>
        </w:rPr>
        <w:t>15.2 缺陷责任期</w:t>
      </w:r>
      <w:bookmarkEnd w:id="1532"/>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14:paraId="38AB4C53">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缺陷责任期的具体期限：</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个月，</w:t>
      </w:r>
      <w:r>
        <w:rPr>
          <w:rFonts w:hint="eastAsia" w:ascii="宋体" w:hAnsi="宋体" w:cs="宋体"/>
          <w:color w:val="auto"/>
          <w:kern w:val="0"/>
          <w:szCs w:val="21"/>
          <w:highlight w:val="none"/>
          <w:u w:val="single"/>
        </w:rPr>
        <w:t>工程竣工验收合格，自交付使用之日起计算</w:t>
      </w:r>
      <w:r>
        <w:rPr>
          <w:rFonts w:hint="eastAsia" w:ascii="宋体" w:hAnsi="宋体" w:cs="宋体"/>
          <w:color w:val="auto"/>
          <w:szCs w:val="21"/>
          <w:highlight w:val="none"/>
          <w:u w:val="single"/>
        </w:rPr>
        <w:t xml:space="preserve"> ，按照《建设工程质量管理条例》执行，</w:t>
      </w:r>
      <w:r>
        <w:rPr>
          <w:rFonts w:hint="eastAsia" w:ascii="宋体" w:hAnsi="宋体" w:cs="宋体"/>
          <w:bCs/>
          <w:color w:val="auto"/>
          <w:szCs w:val="21"/>
          <w:highlight w:val="none"/>
          <w:u w:val="single"/>
        </w:rPr>
        <w:t xml:space="preserve">详见本合同附件3：《工程质量保修书》 </w:t>
      </w:r>
      <w:r>
        <w:rPr>
          <w:rFonts w:hint="eastAsia" w:ascii="宋体" w:hAnsi="宋体" w:cs="宋体"/>
          <w:color w:val="auto"/>
          <w:szCs w:val="21"/>
          <w:highlight w:val="none"/>
        </w:rPr>
        <w:t>。</w:t>
      </w:r>
    </w:p>
    <w:p w14:paraId="675E6A1B">
      <w:pPr>
        <w:pStyle w:val="36"/>
        <w:spacing w:line="380" w:lineRule="exact"/>
        <w:ind w:firstLine="422" w:firstLineChars="200"/>
        <w:rPr>
          <w:rFonts w:ascii="宋体" w:cs="宋体"/>
          <w:color w:val="auto"/>
          <w:highlight w:val="none"/>
        </w:rPr>
      </w:pPr>
      <w:bookmarkStart w:id="1575" w:name="_Toc418518411"/>
      <w:bookmarkStart w:id="1576" w:name="_Toc522201791"/>
      <w:bookmarkStart w:id="1577" w:name="_Toc497747243"/>
      <w:bookmarkStart w:id="1578" w:name="_Toc403578999"/>
      <w:bookmarkStart w:id="1579" w:name="_Toc418751861"/>
      <w:bookmarkStart w:id="1580" w:name="_Toc373227764"/>
      <w:bookmarkStart w:id="1581" w:name="_Toc418518175"/>
      <w:bookmarkStart w:id="1582" w:name="_Toc418752307"/>
      <w:bookmarkStart w:id="1583" w:name="_Toc497746846"/>
      <w:bookmarkStart w:id="1584" w:name="_Toc418061376"/>
      <w:bookmarkStart w:id="1585" w:name="_Toc373478411"/>
      <w:bookmarkStart w:id="1586" w:name="_Toc256000242"/>
      <w:bookmarkStart w:id="1587" w:name="_Toc389065329"/>
      <w:r>
        <w:rPr>
          <w:rFonts w:hint="eastAsia" w:ascii="宋体" w:cs="宋体"/>
          <w:color w:val="auto"/>
          <w:highlight w:val="none"/>
        </w:rPr>
        <w:t>15.3 质量保证金</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p>
    <w:p w14:paraId="540887E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关于是否扣留质量保证金的约定：</w:t>
      </w:r>
      <w:r>
        <w:rPr>
          <w:rFonts w:hint="eastAsia" w:ascii="宋体" w:hAnsi="宋体" w:cs="宋体"/>
          <w:color w:val="auto"/>
          <w:kern w:val="0"/>
          <w:szCs w:val="21"/>
          <w:highlight w:val="none"/>
          <w:u w:val="single"/>
        </w:rPr>
        <w:t>按工程价款结算总额的</w:t>
      </w:r>
      <w:r>
        <w:rPr>
          <w:rFonts w:hint="eastAsia" w:ascii="宋体" w:hAnsi="宋体" w:cs="宋体"/>
          <w:color w:val="auto"/>
          <w:kern w:val="0"/>
          <w:szCs w:val="21"/>
          <w:highlight w:val="none"/>
          <w:u w:val="single"/>
          <w:lang w:val="en-US" w:eastAsia="zh-CN"/>
        </w:rPr>
        <w:t>3</w:t>
      </w:r>
      <w:r>
        <w:rPr>
          <w:rFonts w:hint="eastAsia" w:ascii="宋体" w:hAnsi="宋体" w:cs="宋体"/>
          <w:color w:val="auto"/>
          <w:kern w:val="0"/>
          <w:szCs w:val="21"/>
          <w:highlight w:val="none"/>
          <w:u w:val="single"/>
        </w:rPr>
        <w:t xml:space="preserve">%作为质保金 </w:t>
      </w:r>
      <w:r>
        <w:rPr>
          <w:rFonts w:hint="eastAsia" w:ascii="宋体" w:hAnsi="宋体" w:cs="宋体"/>
          <w:color w:val="auto"/>
          <w:szCs w:val="21"/>
          <w:highlight w:val="none"/>
        </w:rPr>
        <w:t>。</w:t>
      </w:r>
    </w:p>
    <w:p w14:paraId="3568D41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43B3369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质量保证金采用以下第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5D78F335">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（1）质量保证金保函，保证金额为：</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3C49FE76">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szCs w:val="21"/>
          <w:highlight w:val="none"/>
        </w:rPr>
        <w:t>发包人按工程价款结算总额的</w:t>
      </w:r>
      <w:r>
        <w:rPr>
          <w:rFonts w:hint="eastAsia" w:ascii="宋体" w:hAnsi="宋体" w:cs="宋体"/>
          <w:bCs/>
          <w:color w:val="auto"/>
          <w:szCs w:val="21"/>
          <w:highlight w:val="none"/>
          <w:u w:val="single"/>
        </w:rPr>
        <w:t xml:space="preserve"> 3 </w:t>
      </w:r>
      <w:r>
        <w:rPr>
          <w:rFonts w:hint="eastAsia" w:ascii="宋体" w:hAnsi="宋体" w:cs="宋体"/>
          <w:bCs/>
          <w:color w:val="auto"/>
          <w:szCs w:val="21"/>
          <w:highlight w:val="none"/>
        </w:rPr>
        <w:t>%预留工程</w:t>
      </w:r>
      <w:r>
        <w:rPr>
          <w:rFonts w:hint="eastAsia" w:ascii="宋体" w:hAnsi="宋体" w:cs="宋体"/>
          <w:bCs/>
          <w:color w:val="auto"/>
          <w:szCs w:val="21"/>
          <w:highlight w:val="none"/>
          <w:lang w:eastAsia="zh-CN"/>
        </w:rPr>
        <w:t>质量保证金</w:t>
      </w:r>
      <w:r>
        <w:rPr>
          <w:rFonts w:hint="eastAsia" w:ascii="宋体" w:hAnsi="宋体" w:cs="宋体"/>
          <w:bCs/>
          <w:color w:val="auto"/>
          <w:szCs w:val="21"/>
          <w:highlight w:val="none"/>
        </w:rPr>
        <w:t>，待缺陷责任期满后返还</w:t>
      </w:r>
      <w:r>
        <w:rPr>
          <w:rFonts w:hint="eastAsia" w:ascii="宋体" w:hAnsi="宋体" w:cs="宋体"/>
          <w:color w:val="auto"/>
          <w:kern w:val="0"/>
          <w:szCs w:val="21"/>
          <w:highlight w:val="none"/>
        </w:rPr>
        <w:t>；</w:t>
      </w:r>
    </w:p>
    <w:p w14:paraId="751E6BDB">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（3）其他方式：</w:t>
      </w:r>
      <w:r>
        <w:rPr>
          <w:rFonts w:hint="eastAsia" w:ascii="宋体" w:hAnsi="宋体" w:cs="宋体"/>
          <w:bCs/>
          <w:color w:val="auto"/>
          <w:szCs w:val="21"/>
          <w:highlight w:val="none"/>
          <w:u w:val="single"/>
        </w:rPr>
        <w:t xml:space="preserve">   /        </w:t>
      </w:r>
      <w:r>
        <w:rPr>
          <w:rFonts w:hint="eastAsia" w:ascii="宋体" w:hAnsi="宋体" w:cs="宋体"/>
          <w:bCs/>
          <w:color w:val="auto"/>
          <w:szCs w:val="21"/>
          <w:highlight w:val="none"/>
        </w:rPr>
        <w:t>。</w:t>
      </w:r>
    </w:p>
    <w:p w14:paraId="75861A0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15.3.2 质量保证金的扣留</w:t>
      </w:r>
    </w:p>
    <w:p w14:paraId="5521433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质量保证金的扣留采取以下第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w:t>
      </w:r>
    </w:p>
    <w:p w14:paraId="7E36A28E">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（1）在支付工程进度款时逐次扣留，在此情形下，质量保证金的计算基数不包括预付款的支付、扣回以及价格调整的金额；</w:t>
      </w:r>
    </w:p>
    <w:p w14:paraId="02E2A235">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（2）工程竣工结算时一次性扣留质量保证金；</w:t>
      </w:r>
    </w:p>
    <w:p w14:paraId="4C937B56">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（3）其他扣留方式:</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0FDDE260">
      <w:pPr>
        <w:pStyle w:val="21"/>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szCs w:val="21"/>
          <w:highlight w:val="none"/>
        </w:rPr>
        <w:t>关于质量保证金的补充约定：</w:t>
      </w:r>
      <w:r>
        <w:rPr>
          <w:rFonts w:hint="eastAsia" w:ascii="宋体" w:hAnsi="宋体" w:cs="宋体"/>
          <w:color w:val="auto"/>
          <w:szCs w:val="21"/>
          <w:highlight w:val="none"/>
          <w:u w:val="single"/>
        </w:rPr>
        <w:t>承包人未按照法律法规有关规定和合同约定履行质量保修义务的，发包人有权从质量保证金中扣留用于质量保修的各项支出。</w:t>
      </w:r>
      <w:r>
        <w:rPr>
          <w:rFonts w:hint="eastAsia" w:ascii="宋体" w:hAnsi="宋体" w:cs="宋体"/>
          <w:color w:val="auto"/>
          <w:kern w:val="0"/>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533"/>
    <w:bookmarkEnd w:id="1534"/>
    <w:p w14:paraId="265B1173">
      <w:pPr>
        <w:pStyle w:val="36"/>
        <w:spacing w:line="380" w:lineRule="exact"/>
        <w:ind w:firstLine="422" w:firstLineChars="200"/>
        <w:rPr>
          <w:rFonts w:ascii="宋体" w:cs="宋体"/>
          <w:color w:val="auto"/>
          <w:highlight w:val="none"/>
        </w:rPr>
      </w:pPr>
      <w:bookmarkStart w:id="1588" w:name="_Toc418751862"/>
      <w:bookmarkStart w:id="1589" w:name="_Toc373478412"/>
      <w:bookmarkStart w:id="1590" w:name="_Toc418518412"/>
      <w:bookmarkStart w:id="1591" w:name="_Toc389065330"/>
      <w:bookmarkStart w:id="1592" w:name="_Toc418518176"/>
      <w:bookmarkStart w:id="1593" w:name="_Toc256000243"/>
      <w:bookmarkStart w:id="1594" w:name="_Toc418752308"/>
      <w:bookmarkStart w:id="1595" w:name="_Toc418061377"/>
      <w:bookmarkStart w:id="1596" w:name="_Toc497747244"/>
      <w:bookmarkStart w:id="1597" w:name="_Toc497746847"/>
      <w:bookmarkStart w:id="1598" w:name="_Toc403579000"/>
      <w:bookmarkStart w:id="1599" w:name="_Toc522201792"/>
      <w:bookmarkStart w:id="1600" w:name="_Toc373227765"/>
      <w:r>
        <w:rPr>
          <w:rFonts w:hint="eastAsia" w:ascii="宋体" w:cs="宋体"/>
          <w:color w:val="auto"/>
          <w:highlight w:val="none"/>
        </w:rPr>
        <w:t>15.4 保修</w:t>
      </w:r>
      <w:bookmarkEnd w:id="1588"/>
      <w:bookmarkEnd w:id="1589"/>
      <w:bookmarkEnd w:id="1590"/>
      <w:bookmarkEnd w:id="1591"/>
      <w:bookmarkEnd w:id="1592"/>
      <w:bookmarkEnd w:id="1593"/>
      <w:bookmarkEnd w:id="1594"/>
      <w:bookmarkEnd w:id="1595"/>
      <w:bookmarkEnd w:id="1596"/>
      <w:bookmarkEnd w:id="1597"/>
      <w:bookmarkEnd w:id="1598"/>
      <w:bookmarkEnd w:id="1599"/>
      <w:bookmarkEnd w:id="1600"/>
    </w:p>
    <w:bookmarkEnd w:id="1535"/>
    <w:p w14:paraId="0CC6A962">
      <w:pPr>
        <w:pStyle w:val="21"/>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15.4.1 保修责任</w:t>
      </w:r>
    </w:p>
    <w:p w14:paraId="717673A1">
      <w:pPr>
        <w:pStyle w:val="21"/>
        <w:spacing w:line="380" w:lineRule="exact"/>
        <w:ind w:firstLine="409" w:firstLineChars="195"/>
        <w:jc w:val="left"/>
        <w:rPr>
          <w:rFonts w:ascii="宋体" w:hAnsi="宋体" w:cs="宋体"/>
          <w:color w:val="auto"/>
          <w:kern w:val="0"/>
          <w:szCs w:val="21"/>
          <w:highlight w:val="none"/>
        </w:rPr>
      </w:pPr>
      <w:r>
        <w:rPr>
          <w:rFonts w:hint="eastAsia" w:ascii="宋体" w:hAnsi="宋体" w:cs="宋体"/>
          <w:color w:val="auto"/>
          <w:szCs w:val="21"/>
          <w:highlight w:val="none"/>
        </w:rPr>
        <w:t>工程保修期为：</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根据《建设工程质量管理条例》及有关规定，约定本工程的保修期详见《工程质量保修书》。</w:t>
      </w:r>
    </w:p>
    <w:p w14:paraId="5F9D20F4">
      <w:pPr>
        <w:pStyle w:val="21"/>
        <w:spacing w:line="380" w:lineRule="exact"/>
        <w:ind w:firstLine="409" w:firstLineChars="195"/>
        <w:jc w:val="left"/>
        <w:rPr>
          <w:rFonts w:ascii="宋体" w:hAnsi="宋体" w:cs="宋体"/>
          <w:color w:val="auto"/>
          <w:kern w:val="0"/>
          <w:szCs w:val="21"/>
          <w:highlight w:val="none"/>
          <w:u w:val="single"/>
        </w:rPr>
      </w:pPr>
      <w:r>
        <w:rPr>
          <w:rFonts w:hint="eastAsia" w:ascii="宋体" w:hAnsi="宋体" w:cs="宋体"/>
          <w:color w:val="auto"/>
          <w:szCs w:val="21"/>
          <w:highlight w:val="none"/>
        </w:rPr>
        <w:t>工程保修书具体内容见合同附件3。</w:t>
      </w:r>
    </w:p>
    <w:p w14:paraId="46CE56E8">
      <w:pPr>
        <w:pStyle w:val="21"/>
        <w:spacing w:line="380" w:lineRule="exact"/>
        <w:ind w:firstLine="409" w:firstLineChars="195"/>
        <w:jc w:val="left"/>
        <w:rPr>
          <w:rFonts w:ascii="宋体" w:hAnsi="宋体" w:cs="宋体"/>
          <w:color w:val="auto"/>
          <w:szCs w:val="21"/>
          <w:highlight w:val="none"/>
        </w:rPr>
      </w:pPr>
      <w:r>
        <w:rPr>
          <w:rFonts w:hint="eastAsia" w:ascii="宋体" w:hAnsi="宋体" w:cs="宋体"/>
          <w:color w:val="auto"/>
          <w:szCs w:val="21"/>
          <w:highlight w:val="none"/>
        </w:rPr>
        <w:t>15.4.3 修复通知</w:t>
      </w:r>
    </w:p>
    <w:p w14:paraId="7E0C9601">
      <w:pPr>
        <w:pStyle w:val="21"/>
        <w:spacing w:line="380" w:lineRule="exact"/>
        <w:ind w:firstLine="409" w:firstLineChars="195"/>
        <w:jc w:val="left"/>
        <w:rPr>
          <w:rFonts w:ascii="宋体" w:hAnsi="宋体" w:cs="宋体"/>
          <w:color w:val="auto"/>
          <w:szCs w:val="21"/>
          <w:highlight w:val="none"/>
          <w:u w:val="single"/>
        </w:rPr>
      </w:pPr>
      <w:r>
        <w:rPr>
          <w:rFonts w:hint="eastAsia" w:ascii="宋体" w:hAnsi="宋体" w:cs="宋体"/>
          <w:color w:val="auto"/>
          <w:kern w:val="0"/>
          <w:szCs w:val="21"/>
          <w:highlight w:val="none"/>
        </w:rPr>
        <w:t>承包人收到保修通知并到达工程现场的合理时间：</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536"/>
    <w:bookmarkEnd w:id="1537"/>
    <w:bookmarkEnd w:id="1538"/>
    <w:bookmarkEnd w:id="1539"/>
    <w:p w14:paraId="76DB67DF">
      <w:pPr>
        <w:pStyle w:val="36"/>
        <w:spacing w:line="380" w:lineRule="exact"/>
        <w:rPr>
          <w:rFonts w:ascii="宋体" w:cs="宋体"/>
          <w:color w:val="auto"/>
          <w:highlight w:val="none"/>
        </w:rPr>
      </w:pPr>
      <w:bookmarkStart w:id="1601" w:name="_Toc373478413"/>
      <w:bookmarkStart w:id="1602" w:name="_Toc418518177"/>
      <w:bookmarkStart w:id="1603" w:name="_Toc256000244"/>
      <w:bookmarkStart w:id="1604" w:name="_Toc418061378"/>
      <w:bookmarkStart w:id="1605" w:name="_Toc418518413"/>
      <w:bookmarkStart w:id="1606" w:name="_Toc522201793"/>
      <w:bookmarkStart w:id="1607" w:name="_Toc497747245"/>
      <w:bookmarkStart w:id="1608" w:name="_Toc497746848"/>
      <w:bookmarkStart w:id="1609" w:name="_Toc418752309"/>
      <w:bookmarkStart w:id="1610" w:name="_Toc418751863"/>
      <w:bookmarkStart w:id="1611" w:name="_Toc351203648"/>
      <w:bookmarkStart w:id="1612" w:name="_Toc403579001"/>
      <w:bookmarkStart w:id="1613" w:name="_Toc373227766"/>
      <w:bookmarkStart w:id="1614" w:name="_Toc389065331"/>
      <w:bookmarkStart w:id="1615" w:name="_Toc280868717"/>
      <w:bookmarkStart w:id="1616" w:name="_Toc280868718"/>
      <w:r>
        <w:rPr>
          <w:rFonts w:hint="eastAsia" w:ascii="宋体" w:cs="宋体"/>
          <w:color w:val="auto"/>
          <w:highlight w:val="none"/>
        </w:rPr>
        <w:t>16. 违约</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300F2CF0">
      <w:pPr>
        <w:pStyle w:val="36"/>
        <w:spacing w:line="380" w:lineRule="exact"/>
        <w:ind w:firstLine="422" w:firstLineChars="200"/>
        <w:rPr>
          <w:rFonts w:ascii="宋体" w:cs="宋体"/>
          <w:color w:val="auto"/>
          <w:highlight w:val="none"/>
        </w:rPr>
      </w:pPr>
      <w:bookmarkStart w:id="1617" w:name="_Toc418518414"/>
      <w:bookmarkStart w:id="1618" w:name="_Toc497747246"/>
      <w:bookmarkStart w:id="1619" w:name="_Toc373478414"/>
      <w:bookmarkStart w:id="1620" w:name="_Toc418751864"/>
      <w:bookmarkStart w:id="1621" w:name="_Toc418752310"/>
      <w:bookmarkStart w:id="1622" w:name="_Toc418518178"/>
      <w:bookmarkStart w:id="1623" w:name="_Toc373227767"/>
      <w:bookmarkStart w:id="1624" w:name="_Toc389065332"/>
      <w:bookmarkStart w:id="1625" w:name="_Toc418061379"/>
      <w:bookmarkStart w:id="1626" w:name="_Toc403579002"/>
      <w:bookmarkStart w:id="1627" w:name="_Toc256000245"/>
      <w:bookmarkStart w:id="1628" w:name="_Toc522201794"/>
      <w:bookmarkStart w:id="1629" w:name="_Toc497746849"/>
      <w:r>
        <w:rPr>
          <w:rFonts w:hint="eastAsia" w:ascii="宋体" w:cs="宋体"/>
          <w:color w:val="auto"/>
          <w:highlight w:val="none"/>
        </w:rPr>
        <w:t>16.1 发包人违约</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14:paraId="02A1DE2C">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16.1.1发包人违约的情形</w:t>
      </w:r>
    </w:p>
    <w:p w14:paraId="72364A7D">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发包人违约的其他情形：</w:t>
      </w:r>
      <w:r>
        <w:rPr>
          <w:rFonts w:hint="eastAsia" w:ascii="宋体" w:hAnsi="宋体" w:cs="宋体"/>
          <w:color w:val="auto"/>
          <w:kern w:val="0"/>
          <w:szCs w:val="21"/>
          <w:highlight w:val="none"/>
          <w:u w:val="single"/>
        </w:rPr>
        <w:t xml:space="preserve">    无   </w:t>
      </w:r>
      <w:r>
        <w:rPr>
          <w:rFonts w:hint="eastAsia" w:ascii="宋体" w:hAnsi="宋体" w:cs="宋体"/>
          <w:color w:val="auto"/>
          <w:kern w:val="0"/>
          <w:szCs w:val="21"/>
          <w:highlight w:val="none"/>
        </w:rPr>
        <w:t>。</w:t>
      </w:r>
    </w:p>
    <w:p w14:paraId="0915AC5C">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16.1.2 发包人违约的责任</w:t>
      </w:r>
    </w:p>
    <w:p w14:paraId="4BDC0B7C">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发包人违约责任的承担方式和计算方法：</w:t>
      </w:r>
    </w:p>
    <w:p w14:paraId="2A067ED9">
      <w:pPr>
        <w:pStyle w:val="21"/>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（1）因发包人原因未能在计划开工日期前7天内下达开工通知的违约责任：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4902D815">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（2）因发包人原因未能按合同约定支付合同价款的违约责任：</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6F8C346D">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（3）发包人违反第10.1款〔变更的范围〕第（2）项约定，自行实施被取消的工作或转由他人实施的违约责任：</w:t>
      </w:r>
      <w:r>
        <w:rPr>
          <w:rFonts w:hint="eastAsia" w:ascii="宋体" w:hAnsi="宋体" w:cs="宋体"/>
          <w:color w:val="auto"/>
          <w:kern w:val="0"/>
          <w:szCs w:val="21"/>
          <w:highlight w:val="none"/>
          <w:u w:val="single"/>
        </w:rPr>
        <w:t xml:space="preserve">  按通用条款执行  </w:t>
      </w:r>
      <w:r>
        <w:rPr>
          <w:rFonts w:hint="eastAsia" w:ascii="宋体" w:hAnsi="宋体" w:cs="宋体"/>
          <w:color w:val="auto"/>
          <w:kern w:val="0"/>
          <w:szCs w:val="21"/>
          <w:highlight w:val="none"/>
        </w:rPr>
        <w:t>。</w:t>
      </w:r>
    </w:p>
    <w:p w14:paraId="4C68215C">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cs="宋体"/>
          <w:color w:val="auto"/>
          <w:kern w:val="0"/>
          <w:szCs w:val="21"/>
          <w:highlight w:val="none"/>
          <w:u w:val="single"/>
        </w:rPr>
        <w:t>工期相应顺延</w:t>
      </w:r>
      <w:r>
        <w:rPr>
          <w:rFonts w:hint="eastAsia" w:ascii="宋体" w:hAnsi="宋体" w:cs="宋体"/>
          <w:color w:val="auto"/>
          <w:kern w:val="0"/>
          <w:szCs w:val="21"/>
          <w:highlight w:val="none"/>
        </w:rPr>
        <w:t>。</w:t>
      </w:r>
    </w:p>
    <w:p w14:paraId="21140906">
      <w:pPr>
        <w:pStyle w:val="21"/>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（5）因发包人违反合同约定造成暂停施工的违约责任：</w:t>
      </w:r>
      <w:r>
        <w:rPr>
          <w:rFonts w:hint="eastAsia" w:ascii="宋体" w:hAnsi="宋体" w:cs="宋体"/>
          <w:color w:val="auto"/>
          <w:kern w:val="0"/>
          <w:szCs w:val="21"/>
          <w:highlight w:val="none"/>
          <w:u w:val="single"/>
        </w:rPr>
        <w:t>按通用条款执行</w:t>
      </w:r>
      <w:r>
        <w:rPr>
          <w:rFonts w:hint="eastAsia" w:ascii="宋体" w:hAnsi="宋体" w:cs="宋体"/>
          <w:color w:val="auto"/>
          <w:kern w:val="0"/>
          <w:szCs w:val="21"/>
          <w:highlight w:val="none"/>
        </w:rPr>
        <w:t>。</w:t>
      </w:r>
    </w:p>
    <w:p w14:paraId="1F334D66">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（6）发包人无正当理由没有在约定期限内发出复工指示，导致承包人无法复工的违约责任：</w:t>
      </w:r>
      <w:r>
        <w:rPr>
          <w:rFonts w:hint="eastAsia" w:ascii="宋体" w:hAnsi="宋体" w:cs="宋体"/>
          <w:color w:val="auto"/>
          <w:kern w:val="0"/>
          <w:szCs w:val="21"/>
          <w:highlight w:val="none"/>
          <w:u w:val="single"/>
        </w:rPr>
        <w:t xml:space="preserve">   按通用条款执行</w:t>
      </w:r>
      <w:r>
        <w:rPr>
          <w:rFonts w:hint="eastAsia" w:ascii="宋体" w:hAnsi="宋体" w:cs="宋体"/>
          <w:color w:val="auto"/>
          <w:kern w:val="0"/>
          <w:szCs w:val="21"/>
          <w:highlight w:val="none"/>
        </w:rPr>
        <w:t>。</w:t>
      </w:r>
    </w:p>
    <w:p w14:paraId="29D44A3E">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（7）其他：</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w:t>
      </w:r>
    </w:p>
    <w:p w14:paraId="1AD86422">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16.1.3 因发包人违约解除合同</w:t>
      </w:r>
    </w:p>
    <w:p w14:paraId="3780DD51">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承包人按16.1.1项〔发包人违约的情形〕约定暂停施工满</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天后发包人仍不纠正其违约行为并致使合同目的不能实现的，承包人有权解除合同。</w:t>
      </w:r>
    </w:p>
    <w:p w14:paraId="29AF301C">
      <w:pPr>
        <w:pStyle w:val="36"/>
        <w:spacing w:line="380" w:lineRule="exact"/>
        <w:ind w:firstLine="422" w:firstLineChars="200"/>
        <w:rPr>
          <w:rFonts w:ascii="宋体" w:cs="宋体"/>
          <w:color w:val="auto"/>
          <w:highlight w:val="none"/>
        </w:rPr>
      </w:pPr>
      <w:bookmarkStart w:id="1630" w:name="_Toc373478415"/>
      <w:bookmarkStart w:id="1631" w:name="_Toc418061380"/>
      <w:bookmarkStart w:id="1632" w:name="_Toc418518179"/>
      <w:bookmarkStart w:id="1633" w:name="_Toc522201795"/>
      <w:bookmarkStart w:id="1634" w:name="_Toc256000246"/>
      <w:bookmarkStart w:id="1635" w:name="_Toc418518415"/>
      <w:bookmarkStart w:id="1636" w:name="_Toc418752311"/>
      <w:bookmarkStart w:id="1637" w:name="_Toc389065333"/>
      <w:bookmarkStart w:id="1638" w:name="_Toc497746850"/>
      <w:bookmarkStart w:id="1639" w:name="_Toc497747247"/>
      <w:bookmarkStart w:id="1640" w:name="_Toc403579003"/>
      <w:bookmarkStart w:id="1641" w:name="_Toc418751865"/>
      <w:bookmarkStart w:id="1642" w:name="_Toc373227768"/>
      <w:r>
        <w:rPr>
          <w:rFonts w:hint="eastAsia" w:ascii="宋体" w:cs="宋体"/>
          <w:color w:val="auto"/>
          <w:highlight w:val="none"/>
        </w:rPr>
        <w:t>16.2 承包人违约</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p>
    <w:p w14:paraId="269C7504">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16.2.1 承包人违约的情形</w:t>
      </w:r>
    </w:p>
    <w:p w14:paraId="170AFE89">
      <w:pPr>
        <w:pStyle w:val="21"/>
        <w:spacing w:line="38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承包人违约的其他情形：</w:t>
      </w:r>
      <w:r>
        <w:rPr>
          <w:rFonts w:hint="eastAsia" w:ascii="宋体" w:hAnsi="宋体" w:cs="宋体"/>
          <w:color w:val="auto"/>
          <w:kern w:val="0"/>
          <w:szCs w:val="21"/>
          <w:highlight w:val="none"/>
          <w:u w:val="single"/>
        </w:rPr>
        <w:t xml:space="preserve">按通用条款执行 </w:t>
      </w:r>
      <w:r>
        <w:rPr>
          <w:rFonts w:hint="eastAsia" w:ascii="宋体" w:hAnsi="宋体" w:cs="宋体"/>
          <w:color w:val="auto"/>
          <w:kern w:val="0"/>
          <w:szCs w:val="21"/>
          <w:highlight w:val="none"/>
        </w:rPr>
        <w:t>。</w:t>
      </w:r>
    </w:p>
    <w:p w14:paraId="43972FEE">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16.2.2承包人违约的责任</w:t>
      </w:r>
    </w:p>
    <w:p w14:paraId="193C71A2">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承包人违约责任的承担方式和计算方法：</w:t>
      </w:r>
    </w:p>
    <w:p w14:paraId="3243395E">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5C98F8A5">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（2）承包人有本合同通用条款第16.2.1（6）条情形的，或经监理人检验认为修复质量不合格而承包人拒绝再进行修补的，发包人将扣除承包人全部</w:t>
      </w:r>
      <w:r>
        <w:rPr>
          <w:rFonts w:hint="eastAsia" w:ascii="宋体" w:hAnsi="宋体" w:cs="宋体"/>
          <w:color w:val="auto"/>
          <w:kern w:val="0"/>
          <w:szCs w:val="21"/>
          <w:highlight w:val="none"/>
          <w:lang w:eastAsia="zh-CN"/>
        </w:rPr>
        <w:t>质量保证金</w:t>
      </w:r>
      <w:r>
        <w:rPr>
          <w:rFonts w:hint="eastAsia" w:ascii="宋体" w:hAnsi="宋体" w:cs="宋体"/>
          <w:color w:val="auto"/>
          <w:kern w:val="0"/>
          <w:szCs w:val="21"/>
          <w:highlight w:val="none"/>
        </w:rPr>
        <w:t>。</w:t>
      </w:r>
    </w:p>
    <w:p w14:paraId="29AFF36F">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cs="宋体"/>
          <w:color w:val="auto"/>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cs="宋体"/>
          <w:color w:val="auto"/>
          <w:kern w:val="0"/>
          <w:szCs w:val="21"/>
          <w:highlight w:val="none"/>
        </w:rPr>
        <w:t>承包人履约保证金被罚款后由发包人从最后一次计量支付时扣除相应金额补足履约保证金。</w:t>
      </w:r>
    </w:p>
    <w:p w14:paraId="34FE922F">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16.2.3 因承包人违约解除合同</w:t>
      </w:r>
    </w:p>
    <w:p w14:paraId="0FD21ADE">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关于承包人违约解除合同的特别约定：</w:t>
      </w:r>
      <w:r>
        <w:rPr>
          <w:rFonts w:hint="eastAsia" w:ascii="宋体" w:hAnsi="宋体" w:cs="宋体"/>
          <w:color w:val="auto"/>
          <w:kern w:val="0"/>
          <w:szCs w:val="21"/>
          <w:highlight w:val="none"/>
          <w:u w:val="single"/>
        </w:rPr>
        <w:t>承包人有违反以下情况之一的，发包人有权解除合同，并没收其全部履约保证金</w:t>
      </w:r>
      <w:r>
        <w:rPr>
          <w:rFonts w:hint="eastAsia" w:ascii="宋体" w:hAnsi="宋体" w:cs="宋体"/>
          <w:color w:val="auto"/>
          <w:kern w:val="0"/>
          <w:szCs w:val="21"/>
          <w:highlight w:val="none"/>
        </w:rPr>
        <w:t>。</w:t>
      </w:r>
    </w:p>
    <w:p w14:paraId="268570F9">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(1)承包人无正当理由不按开工通知的要求及时进场组织施工和不按签订协议书时商定的进度计划有效地开展施工准备，造成工期延误的；</w:t>
      </w:r>
    </w:p>
    <w:p w14:paraId="24FC1BD9">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(2)承包人违反本合同通用条款第3.5条规定私自将合同或合同的任何部分或任何权利转让给其他人，或私自将工程或工程的一部分分包出去的；</w:t>
      </w:r>
    </w:p>
    <w:p w14:paraId="6AD09118">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(3)未经监理人批准，承包人私自将已按投标文件承诺进入工地的工程设备、施工设备、临时工程或材料撤离工地的；</w:t>
      </w:r>
    </w:p>
    <w:p w14:paraId="456648A5">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(4)由于承包人原因拒绝按合同进度计划及时完成合同规定的工程，而又未采取有效措施赶上进度，造成工期延误的；</w:t>
      </w:r>
    </w:p>
    <w:p w14:paraId="613DD1C9">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(5)承包人否认合同有效或拒绝履行合同规定的承包人义务，或由于法律、财务等原因导致承包人无法继续履行或实质上已停止履行合同的义务的；</w:t>
      </w:r>
    </w:p>
    <w:p w14:paraId="5B61B020">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(6)合同签订之日起十五日内，承包人无法按合同规定及投标文件的承诺进场经监理工程师认可的全部人员和机械的。</w:t>
      </w:r>
    </w:p>
    <w:p w14:paraId="63D70A58">
      <w:pPr>
        <w:pStyle w:val="21"/>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cs="宋体"/>
          <w:color w:val="auto"/>
          <w:kern w:val="0"/>
          <w:szCs w:val="21"/>
          <w:highlight w:val="none"/>
          <w:u w:val="single"/>
        </w:rPr>
        <w:t xml:space="preserve">   协商决定   </w:t>
      </w:r>
      <w:r>
        <w:rPr>
          <w:rFonts w:hint="eastAsia" w:ascii="宋体" w:hAnsi="宋体" w:cs="宋体"/>
          <w:color w:val="auto"/>
          <w:kern w:val="0"/>
          <w:szCs w:val="21"/>
          <w:highlight w:val="none"/>
        </w:rPr>
        <w:t>。</w:t>
      </w:r>
    </w:p>
    <w:p w14:paraId="31886811">
      <w:pPr>
        <w:pStyle w:val="36"/>
        <w:spacing w:line="380" w:lineRule="exact"/>
        <w:rPr>
          <w:rFonts w:ascii="宋体" w:cs="宋体"/>
          <w:color w:val="auto"/>
          <w:highlight w:val="none"/>
        </w:rPr>
      </w:pPr>
      <w:bookmarkStart w:id="1643" w:name="_Toc373227769"/>
      <w:bookmarkStart w:id="1644" w:name="_Toc497746851"/>
      <w:bookmarkStart w:id="1645" w:name="_Toc418061381"/>
      <w:bookmarkStart w:id="1646" w:name="_Toc418518180"/>
      <w:bookmarkStart w:id="1647" w:name="_Toc351203649"/>
      <w:bookmarkStart w:id="1648" w:name="_Toc389065334"/>
      <w:bookmarkStart w:id="1649" w:name="_Toc403579004"/>
      <w:bookmarkStart w:id="1650" w:name="_Toc373478416"/>
      <w:bookmarkStart w:id="1651" w:name="_Toc418751866"/>
      <w:bookmarkStart w:id="1652" w:name="_Toc418752312"/>
      <w:bookmarkStart w:id="1653" w:name="_Toc497747248"/>
      <w:bookmarkStart w:id="1654" w:name="_Toc522201796"/>
      <w:bookmarkStart w:id="1655" w:name="_Toc256000247"/>
      <w:bookmarkStart w:id="1656" w:name="_Toc418518416"/>
      <w:r>
        <w:rPr>
          <w:rFonts w:hint="eastAsia" w:ascii="宋体" w:cs="宋体"/>
          <w:color w:val="auto"/>
          <w:highlight w:val="none"/>
        </w:rPr>
        <w:t>17. 不可抗力</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Pr>
          <w:rFonts w:hint="eastAsia" w:ascii="宋体" w:cs="宋体"/>
          <w:color w:val="auto"/>
          <w:highlight w:val="none"/>
        </w:rPr>
        <w:t xml:space="preserve"> </w:t>
      </w:r>
      <w:bookmarkEnd w:id="1615"/>
    </w:p>
    <w:p w14:paraId="1A37633D">
      <w:pPr>
        <w:pStyle w:val="36"/>
        <w:spacing w:line="380" w:lineRule="exact"/>
        <w:ind w:firstLine="422" w:firstLineChars="200"/>
        <w:rPr>
          <w:rFonts w:ascii="宋体" w:cs="宋体"/>
          <w:color w:val="auto"/>
          <w:highlight w:val="none"/>
        </w:rPr>
      </w:pPr>
      <w:bookmarkStart w:id="1657" w:name="_Toc389065335"/>
      <w:bookmarkStart w:id="1658" w:name="_Toc522201797"/>
      <w:bookmarkStart w:id="1659" w:name="_Toc418518417"/>
      <w:bookmarkStart w:id="1660" w:name="_Toc418752313"/>
      <w:bookmarkStart w:id="1661" w:name="_Toc418751867"/>
      <w:bookmarkStart w:id="1662" w:name="_Toc497746852"/>
      <w:bookmarkStart w:id="1663" w:name="_Toc497747249"/>
      <w:bookmarkStart w:id="1664" w:name="_Toc418518181"/>
      <w:bookmarkStart w:id="1665" w:name="_Toc256000248"/>
      <w:bookmarkStart w:id="1666" w:name="_Toc373478417"/>
      <w:bookmarkStart w:id="1667" w:name="_Toc373227770"/>
      <w:bookmarkStart w:id="1668" w:name="_Toc418061382"/>
      <w:bookmarkStart w:id="1669" w:name="_Toc403579005"/>
      <w:r>
        <w:rPr>
          <w:rFonts w:hint="eastAsia" w:ascii="宋体" w:cs="宋体"/>
          <w:color w:val="auto"/>
          <w:highlight w:val="none"/>
        </w:rPr>
        <w:t>17.1 不可抗力的确认</w:t>
      </w:r>
      <w:bookmarkEnd w:id="1657"/>
      <w:bookmarkEnd w:id="1658"/>
      <w:bookmarkEnd w:id="1659"/>
      <w:bookmarkEnd w:id="1660"/>
      <w:bookmarkEnd w:id="1661"/>
      <w:bookmarkEnd w:id="1662"/>
      <w:bookmarkEnd w:id="1663"/>
      <w:bookmarkEnd w:id="1664"/>
      <w:bookmarkEnd w:id="1665"/>
      <w:bookmarkEnd w:id="1666"/>
      <w:bookmarkEnd w:id="1667"/>
      <w:bookmarkEnd w:id="1668"/>
      <w:bookmarkEnd w:id="1669"/>
    </w:p>
    <w:p w14:paraId="5DE2E7BA">
      <w:pPr>
        <w:pStyle w:val="21"/>
        <w:spacing w:line="38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除通用合同条款约定的不可抗力事件之外，视为不可抗力的其他情形：</w:t>
      </w:r>
      <w:r>
        <w:rPr>
          <w:rFonts w:hint="eastAsia" w:ascii="宋体" w:hAnsi="宋体" w:cs="宋体"/>
          <w:color w:val="auto"/>
          <w:kern w:val="0"/>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cs="宋体"/>
          <w:color w:val="auto"/>
          <w:kern w:val="0"/>
          <w:szCs w:val="21"/>
          <w:highlight w:val="none"/>
        </w:rPr>
        <w:t>。</w:t>
      </w:r>
    </w:p>
    <w:p w14:paraId="2621BF88">
      <w:pPr>
        <w:pStyle w:val="36"/>
        <w:spacing w:line="380" w:lineRule="exact"/>
        <w:ind w:firstLine="422" w:firstLineChars="200"/>
        <w:rPr>
          <w:rFonts w:ascii="宋体" w:cs="宋体"/>
          <w:color w:val="auto"/>
          <w:highlight w:val="none"/>
        </w:rPr>
      </w:pPr>
      <w:bookmarkStart w:id="1670" w:name="_Toc418751868"/>
      <w:bookmarkStart w:id="1671" w:name="_Toc389065336"/>
      <w:bookmarkStart w:id="1672" w:name="_Toc373227771"/>
      <w:bookmarkStart w:id="1673" w:name="_Toc418518182"/>
      <w:bookmarkStart w:id="1674" w:name="_Toc418752314"/>
      <w:bookmarkStart w:id="1675" w:name="_Toc373478418"/>
      <w:bookmarkStart w:id="1676" w:name="_Toc418061383"/>
      <w:bookmarkStart w:id="1677" w:name="_Toc403579006"/>
      <w:bookmarkStart w:id="1678" w:name="_Toc522201798"/>
      <w:bookmarkStart w:id="1679" w:name="_Toc418518418"/>
      <w:bookmarkStart w:id="1680" w:name="_Toc256000249"/>
      <w:bookmarkStart w:id="1681" w:name="_Toc497746853"/>
      <w:bookmarkStart w:id="1682" w:name="_Toc497747250"/>
      <w:r>
        <w:rPr>
          <w:rFonts w:hint="eastAsia" w:ascii="宋体" w:cs="宋体"/>
          <w:color w:val="auto"/>
          <w:highlight w:val="none"/>
        </w:rPr>
        <w:t>17.4 因不可抗力解除合同</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14:paraId="243E4FB0">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合同解除后，发包人应在商定或确定发包人应支付款项后</w:t>
      </w:r>
      <w:r>
        <w:rPr>
          <w:rFonts w:hint="eastAsia" w:ascii="宋体" w:hAnsi="宋体" w:cs="宋体"/>
          <w:color w:val="auto"/>
          <w:szCs w:val="21"/>
          <w:highlight w:val="none"/>
          <w:u w:val="single"/>
        </w:rPr>
        <w:t xml:space="preserve"> 30 </w:t>
      </w:r>
      <w:r>
        <w:rPr>
          <w:rFonts w:hint="eastAsia" w:ascii="宋体" w:hAnsi="宋体" w:cs="宋体"/>
          <w:color w:val="auto"/>
          <w:szCs w:val="21"/>
          <w:highlight w:val="none"/>
        </w:rPr>
        <w:t>天内完成款项的支付。</w:t>
      </w:r>
    </w:p>
    <w:p w14:paraId="07A4BAC3">
      <w:pPr>
        <w:pStyle w:val="36"/>
        <w:spacing w:line="380" w:lineRule="exact"/>
        <w:rPr>
          <w:rFonts w:ascii="宋体" w:cs="宋体"/>
          <w:color w:val="auto"/>
          <w:highlight w:val="none"/>
        </w:rPr>
      </w:pPr>
      <w:bookmarkStart w:id="1683" w:name="_Toc522201799"/>
      <w:bookmarkStart w:id="1684" w:name="_Toc256000250"/>
      <w:bookmarkStart w:id="1685" w:name="_Toc403579007"/>
      <w:bookmarkStart w:id="1686" w:name="_Toc418518183"/>
      <w:bookmarkStart w:id="1687" w:name="_Toc418061384"/>
      <w:bookmarkStart w:id="1688" w:name="_Toc389065337"/>
      <w:bookmarkStart w:id="1689" w:name="_Toc373227772"/>
      <w:bookmarkStart w:id="1690" w:name="_Toc418752315"/>
      <w:bookmarkStart w:id="1691" w:name="_Toc373478419"/>
      <w:bookmarkStart w:id="1692" w:name="_Toc351203650"/>
      <w:bookmarkStart w:id="1693" w:name="_Toc418518419"/>
      <w:bookmarkStart w:id="1694" w:name="_Toc497747251"/>
      <w:bookmarkStart w:id="1695" w:name="_Toc418751869"/>
      <w:bookmarkStart w:id="1696" w:name="_Toc497746854"/>
      <w:r>
        <w:rPr>
          <w:rFonts w:hint="eastAsia" w:ascii="宋体" w:cs="宋体"/>
          <w:color w:val="auto"/>
          <w:highlight w:val="none"/>
        </w:rPr>
        <w:t>18. 保险</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p>
    <w:bookmarkEnd w:id="1616"/>
    <w:p w14:paraId="13EFC7AD">
      <w:pPr>
        <w:pStyle w:val="36"/>
        <w:spacing w:line="380" w:lineRule="exact"/>
        <w:ind w:firstLine="422" w:firstLineChars="200"/>
        <w:rPr>
          <w:rFonts w:ascii="宋体" w:cs="宋体"/>
          <w:color w:val="auto"/>
          <w:highlight w:val="none"/>
        </w:rPr>
      </w:pPr>
      <w:bookmarkStart w:id="1697" w:name="_Toc418752316"/>
      <w:bookmarkStart w:id="1698" w:name="_Toc497746855"/>
      <w:bookmarkStart w:id="1699" w:name="_Toc389065338"/>
      <w:bookmarkStart w:id="1700" w:name="_Toc403579008"/>
      <w:bookmarkStart w:id="1701" w:name="_Toc418061385"/>
      <w:bookmarkStart w:id="1702" w:name="_Toc373478420"/>
      <w:bookmarkStart w:id="1703" w:name="_Toc418518420"/>
      <w:bookmarkStart w:id="1704" w:name="_Toc373227773"/>
      <w:bookmarkStart w:id="1705" w:name="_Toc522201800"/>
      <w:bookmarkStart w:id="1706" w:name="_Toc418518184"/>
      <w:bookmarkStart w:id="1707" w:name="_Toc418751870"/>
      <w:bookmarkStart w:id="1708" w:name="_Toc497747252"/>
      <w:bookmarkStart w:id="1709" w:name="_Toc256000251"/>
      <w:r>
        <w:rPr>
          <w:rFonts w:hint="eastAsia" w:ascii="宋体" w:cs="宋体"/>
          <w:color w:val="auto"/>
          <w:highlight w:val="none"/>
        </w:rPr>
        <w:t>18.1 工程保险</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14:paraId="43CD1B0B">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关于工程保险的特别约定：</w:t>
      </w:r>
      <w:r>
        <w:rPr>
          <w:rFonts w:hint="eastAsia" w:ascii="宋体" w:hAnsi="宋体" w:cs="宋体"/>
          <w:color w:val="auto"/>
          <w:kern w:val="0"/>
          <w:szCs w:val="21"/>
          <w:highlight w:val="none"/>
          <w:u w:val="single"/>
        </w:rPr>
        <w:t>承包人应投保建筑工程一切险并承担与之相关的所有费用</w:t>
      </w:r>
      <w:r>
        <w:rPr>
          <w:rFonts w:hint="eastAsia" w:ascii="宋体" w:hAnsi="宋体" w:cs="宋体"/>
          <w:color w:val="auto"/>
          <w:kern w:val="0"/>
          <w:szCs w:val="21"/>
          <w:highlight w:val="none"/>
        </w:rPr>
        <w:t>。</w:t>
      </w:r>
    </w:p>
    <w:p w14:paraId="16EBD2F1">
      <w:pPr>
        <w:pStyle w:val="36"/>
        <w:spacing w:line="380" w:lineRule="exact"/>
        <w:ind w:firstLine="422" w:firstLineChars="200"/>
        <w:rPr>
          <w:rFonts w:ascii="宋体" w:cs="宋体"/>
          <w:color w:val="auto"/>
          <w:highlight w:val="none"/>
        </w:rPr>
      </w:pPr>
      <w:bookmarkStart w:id="1710" w:name="_Toc256000252"/>
      <w:bookmarkStart w:id="1711" w:name="_Toc497747253"/>
      <w:bookmarkStart w:id="1712" w:name="_Toc418752317"/>
      <w:bookmarkStart w:id="1713" w:name="_Toc418751871"/>
      <w:bookmarkStart w:id="1714" w:name="_Toc373227774"/>
      <w:bookmarkStart w:id="1715" w:name="_Toc389065339"/>
      <w:bookmarkStart w:id="1716" w:name="_Toc497746856"/>
      <w:bookmarkStart w:id="1717" w:name="_Toc418518185"/>
      <w:bookmarkStart w:id="1718" w:name="_Toc373478421"/>
      <w:bookmarkStart w:id="1719" w:name="_Toc522201801"/>
      <w:bookmarkStart w:id="1720" w:name="_Toc418518421"/>
      <w:bookmarkStart w:id="1721" w:name="_Toc403579009"/>
      <w:bookmarkStart w:id="1722" w:name="_Toc418061386"/>
      <w:r>
        <w:rPr>
          <w:rFonts w:hint="eastAsia" w:ascii="宋体" w:cs="宋体"/>
          <w:color w:val="auto"/>
          <w:highlight w:val="none"/>
        </w:rPr>
        <w:t>18.3 其他保险</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14:paraId="5B1FD811">
      <w:pPr>
        <w:pStyle w:val="21"/>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关于其他保险的约定：</w:t>
      </w:r>
      <w:r>
        <w:rPr>
          <w:rFonts w:hint="eastAsia" w:ascii="宋体" w:hAnsi="宋体" w:cs="宋体"/>
          <w:color w:val="auto"/>
          <w:kern w:val="0"/>
          <w:szCs w:val="21"/>
          <w:highlight w:val="none"/>
          <w:u w:val="single"/>
        </w:rPr>
        <w:t>承包人根据市建协字【2009】3号文必须</w:t>
      </w:r>
      <w:r>
        <w:rPr>
          <w:rFonts w:hint="eastAsia" w:ascii="宋体" w:hAnsi="宋体" w:cs="宋体"/>
          <w:color w:val="auto"/>
          <w:szCs w:val="21"/>
          <w:highlight w:val="none"/>
          <w:u w:val="single"/>
        </w:rPr>
        <w:t>为施工现场从事施工的所有作业人员和管理人员办理意外伤害保险，并支付保险费</w:t>
      </w:r>
      <w:r>
        <w:rPr>
          <w:rFonts w:hint="eastAsia" w:ascii="宋体" w:hAnsi="宋体" w:cs="宋体"/>
          <w:bCs/>
          <w:color w:val="auto"/>
          <w:szCs w:val="21"/>
          <w:highlight w:val="none"/>
        </w:rPr>
        <w:t>。</w:t>
      </w:r>
    </w:p>
    <w:p w14:paraId="4C18C57A">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承包人是否应为其施工设备等办理财产保险：</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按通用条款执行，无特殊约定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DE648E">
      <w:pPr>
        <w:pStyle w:val="36"/>
        <w:spacing w:line="380" w:lineRule="exact"/>
        <w:ind w:firstLine="422" w:firstLineChars="200"/>
        <w:rPr>
          <w:rFonts w:ascii="宋体" w:cs="宋体"/>
          <w:color w:val="auto"/>
          <w:highlight w:val="none"/>
        </w:rPr>
      </w:pPr>
      <w:bookmarkStart w:id="1723" w:name="_Toc418752318"/>
      <w:bookmarkStart w:id="1724" w:name="_Toc256000253"/>
      <w:bookmarkStart w:id="1725" w:name="_Toc418061387"/>
      <w:bookmarkStart w:id="1726" w:name="_Toc418751872"/>
      <w:bookmarkStart w:id="1727" w:name="_Toc522201802"/>
      <w:bookmarkStart w:id="1728" w:name="_Toc373227775"/>
      <w:bookmarkStart w:id="1729" w:name="_Toc418518422"/>
      <w:bookmarkStart w:id="1730" w:name="_Toc389065340"/>
      <w:bookmarkStart w:id="1731" w:name="_Toc418518186"/>
      <w:bookmarkStart w:id="1732" w:name="_Toc497747254"/>
      <w:bookmarkStart w:id="1733" w:name="_Toc403579010"/>
      <w:bookmarkStart w:id="1734" w:name="_Toc497746857"/>
      <w:bookmarkStart w:id="1735" w:name="_Toc373478422"/>
      <w:r>
        <w:rPr>
          <w:rFonts w:hint="eastAsia" w:ascii="宋体" w:cs="宋体"/>
          <w:color w:val="auto"/>
          <w:highlight w:val="none"/>
        </w:rPr>
        <w:t>18.7 通知义务</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14:paraId="6683B14D">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关于变更保险合同时的通知义务的约定：</w:t>
      </w:r>
      <w:r>
        <w:rPr>
          <w:rFonts w:hint="eastAsia" w:ascii="宋体" w:hAnsi="宋体" w:cs="宋体"/>
          <w:color w:val="auto"/>
          <w:szCs w:val="21"/>
          <w:highlight w:val="none"/>
          <w:u w:val="single"/>
        </w:rPr>
        <w:t xml:space="preserve">  变更应通知当事人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w:t>
      </w:r>
    </w:p>
    <w:bookmarkEnd w:id="1540"/>
    <w:bookmarkEnd w:id="1541"/>
    <w:bookmarkEnd w:id="1542"/>
    <w:bookmarkEnd w:id="1543"/>
    <w:bookmarkEnd w:id="1544"/>
    <w:bookmarkEnd w:id="1545"/>
    <w:bookmarkEnd w:id="1546"/>
    <w:bookmarkEnd w:id="1547"/>
    <w:bookmarkEnd w:id="1548"/>
    <w:bookmarkEnd w:id="1549"/>
    <w:bookmarkEnd w:id="1550"/>
    <w:bookmarkEnd w:id="1551"/>
    <w:p w14:paraId="17FF476E">
      <w:pPr>
        <w:pStyle w:val="36"/>
        <w:spacing w:line="380" w:lineRule="exact"/>
        <w:rPr>
          <w:rFonts w:ascii="宋体" w:cs="宋体"/>
          <w:color w:val="auto"/>
          <w:highlight w:val="none"/>
        </w:rPr>
      </w:pPr>
      <w:bookmarkStart w:id="1736" w:name="_Toc418518423"/>
      <w:bookmarkStart w:id="1737" w:name="_Toc418752319"/>
      <w:bookmarkStart w:id="1738" w:name="_Toc389065341"/>
      <w:bookmarkStart w:id="1739" w:name="_Toc351203651"/>
      <w:bookmarkStart w:id="1740" w:name="_Toc256000254"/>
      <w:bookmarkStart w:id="1741" w:name="_Toc373478423"/>
      <w:bookmarkStart w:id="1742" w:name="_Toc497747255"/>
      <w:bookmarkStart w:id="1743" w:name="_Toc522201803"/>
      <w:bookmarkStart w:id="1744" w:name="_Toc418518187"/>
      <w:bookmarkStart w:id="1745" w:name="_Toc373227776"/>
      <w:bookmarkStart w:id="1746" w:name="_Toc497746858"/>
      <w:bookmarkStart w:id="1747" w:name="_Toc418061388"/>
      <w:bookmarkStart w:id="1748" w:name="_Toc418751873"/>
      <w:bookmarkStart w:id="1749" w:name="_Toc403579011"/>
      <w:r>
        <w:rPr>
          <w:rFonts w:hint="eastAsia" w:ascii="宋体" w:cs="宋体"/>
          <w:color w:val="auto"/>
          <w:highlight w:val="none"/>
        </w:rPr>
        <w:t>20. 争议解决</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bookmarkEnd w:id="1552"/>
    <w:bookmarkEnd w:id="1553"/>
    <w:p w14:paraId="793CF7FA">
      <w:pPr>
        <w:pStyle w:val="36"/>
        <w:spacing w:line="380" w:lineRule="exact"/>
        <w:ind w:firstLine="422" w:firstLineChars="200"/>
        <w:rPr>
          <w:rFonts w:ascii="宋体" w:cs="宋体"/>
          <w:color w:val="auto"/>
          <w:highlight w:val="none"/>
        </w:rPr>
      </w:pPr>
      <w:bookmarkStart w:id="1750" w:name="_Toc497747256"/>
      <w:bookmarkStart w:id="1751" w:name="_Toc403579012"/>
      <w:bookmarkStart w:id="1752" w:name="_Toc418518424"/>
      <w:bookmarkStart w:id="1753" w:name="_Toc418752320"/>
      <w:bookmarkStart w:id="1754" w:name="_Toc418751874"/>
      <w:bookmarkStart w:id="1755" w:name="_Toc389065342"/>
      <w:bookmarkStart w:id="1756" w:name="_Toc497746859"/>
      <w:bookmarkStart w:id="1757" w:name="_Toc418061389"/>
      <w:bookmarkStart w:id="1758" w:name="_Toc418518188"/>
      <w:bookmarkStart w:id="1759" w:name="_Toc256000255"/>
      <w:bookmarkStart w:id="1760" w:name="_Toc373478424"/>
      <w:bookmarkStart w:id="1761" w:name="_Toc522201804"/>
      <w:bookmarkStart w:id="1762" w:name="_Toc373227777"/>
      <w:r>
        <w:rPr>
          <w:rFonts w:hint="eastAsia" w:ascii="宋体" w:cs="宋体"/>
          <w:color w:val="auto"/>
          <w:highlight w:val="none"/>
        </w:rPr>
        <w:t>20.3 争</w:t>
      </w:r>
      <w:bookmarkEnd w:id="1554"/>
      <w:r>
        <w:rPr>
          <w:rFonts w:hint="eastAsia" w:ascii="宋体" w:cs="宋体"/>
          <w:color w:val="auto"/>
          <w:highlight w:val="none"/>
        </w:rPr>
        <w:t>议评审</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p>
    <w:p w14:paraId="2ED1F00E">
      <w:pPr>
        <w:pStyle w:val="21"/>
        <w:spacing w:line="380" w:lineRule="exact"/>
        <w:ind w:left="149" w:leftChars="71" w:firstLine="315" w:firstLineChars="150"/>
        <w:jc w:val="left"/>
        <w:rPr>
          <w:rFonts w:ascii="宋体" w:hAnsi="宋体" w:cs="宋体"/>
          <w:color w:val="auto"/>
          <w:szCs w:val="21"/>
          <w:highlight w:val="none"/>
          <w:u w:val="single"/>
        </w:rPr>
      </w:pPr>
      <w:r>
        <w:rPr>
          <w:rFonts w:hint="eastAsia" w:ascii="宋体" w:hAnsi="宋体" w:cs="宋体"/>
          <w:color w:val="auto"/>
          <w:szCs w:val="21"/>
          <w:highlight w:val="none"/>
        </w:rPr>
        <w:t>合同当事人是否同意将工程争议提交争议评审小组决定：</w:t>
      </w:r>
      <w:r>
        <w:rPr>
          <w:rFonts w:hint="eastAsia" w:ascii="宋体" w:hAnsi="宋体" w:cs="宋体"/>
          <w:color w:val="auto"/>
          <w:szCs w:val="21"/>
          <w:highlight w:val="none"/>
          <w:u w:val="single"/>
        </w:rPr>
        <w:t xml:space="preserve">  不同意  </w:t>
      </w:r>
      <w:r>
        <w:rPr>
          <w:rFonts w:hint="eastAsia" w:ascii="宋体" w:hAnsi="宋体" w:cs="宋体"/>
          <w:color w:val="auto"/>
          <w:szCs w:val="21"/>
          <w:highlight w:val="none"/>
        </w:rPr>
        <w:t>。</w:t>
      </w:r>
    </w:p>
    <w:p w14:paraId="1C226F91">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20.3.1 争议评审小组的确定</w:t>
      </w:r>
    </w:p>
    <w:p w14:paraId="4411011F">
      <w:pPr>
        <w:pStyle w:val="21"/>
        <w:spacing w:line="380" w:lineRule="exact"/>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争议评审小组成员的确定：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B9FF86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选定争议评审员的期限：</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405BB01E">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争议评审小组成员的报酬承担方式：</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1E1C9C3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其他事项的约定：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66554D65">
      <w:pPr>
        <w:pStyle w:val="21"/>
        <w:autoSpaceDE w:val="0"/>
        <w:autoSpaceDN w:val="0"/>
        <w:adjustRightIn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20.3.2 争议评审小组的决定</w:t>
      </w:r>
    </w:p>
    <w:p w14:paraId="64D592AD">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合同当事人关于本项的约定：</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245460F5">
      <w:pPr>
        <w:pStyle w:val="36"/>
        <w:spacing w:line="380" w:lineRule="exact"/>
        <w:ind w:firstLine="422" w:firstLineChars="200"/>
        <w:rPr>
          <w:rFonts w:ascii="宋体" w:cs="宋体"/>
          <w:color w:val="auto"/>
          <w:highlight w:val="none"/>
        </w:rPr>
      </w:pPr>
      <w:bookmarkStart w:id="1763" w:name="_Toc373227778"/>
      <w:bookmarkStart w:id="1764" w:name="_Toc418752321"/>
      <w:bookmarkStart w:id="1765" w:name="_Toc418518189"/>
      <w:bookmarkStart w:id="1766" w:name="_Toc522201805"/>
      <w:bookmarkStart w:id="1767" w:name="_Toc497747257"/>
      <w:bookmarkStart w:id="1768" w:name="_Toc497746860"/>
      <w:bookmarkStart w:id="1769" w:name="_Toc418751875"/>
      <w:bookmarkStart w:id="1770" w:name="_Toc418061390"/>
      <w:bookmarkStart w:id="1771" w:name="_Toc256000256"/>
      <w:bookmarkStart w:id="1772" w:name="_Toc373478425"/>
      <w:bookmarkStart w:id="1773" w:name="_Toc389065343"/>
      <w:bookmarkStart w:id="1774" w:name="_Toc403579013"/>
      <w:bookmarkStart w:id="1775" w:name="_Toc418518425"/>
      <w:r>
        <w:rPr>
          <w:rFonts w:hint="eastAsia" w:ascii="宋体" w:cs="宋体"/>
          <w:color w:val="auto"/>
          <w:highlight w:val="none"/>
        </w:rPr>
        <w:t>20.4 仲裁或诉讼</w:t>
      </w:r>
      <w:bookmarkEnd w:id="1555"/>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14:paraId="53E1C683">
      <w:pPr>
        <w:pStyle w:val="2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因合同及合同有关事项发生的争议，按下列第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w:t>
      </w:r>
    </w:p>
    <w:p w14:paraId="784704F3">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（1）提请仲裁委员会按照该会仲裁规则进行仲裁，仲裁裁决是终局的，对合同双方均有约束力。</w:t>
      </w:r>
    </w:p>
    <w:p w14:paraId="6C7F6C07">
      <w:pPr>
        <w:pStyle w:val="21"/>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桂林市本工程辖区内</w:t>
      </w:r>
      <w:r>
        <w:rPr>
          <w:rFonts w:hint="eastAsia" w:ascii="宋体" w:hAnsi="宋体" w:cs="宋体"/>
          <w:color w:val="auto"/>
          <w:szCs w:val="21"/>
          <w:highlight w:val="none"/>
        </w:rPr>
        <w:t>人民法院起诉。</w:t>
      </w:r>
      <w:bookmarkEnd w:id="1556"/>
      <w:bookmarkEnd w:id="1557"/>
      <w:bookmarkEnd w:id="1558"/>
      <w:bookmarkEnd w:id="1559"/>
      <w:bookmarkEnd w:id="1560"/>
      <w:bookmarkEnd w:id="1561"/>
    </w:p>
    <w:p w14:paraId="451FF386">
      <w:pPr>
        <w:pStyle w:val="36"/>
        <w:spacing w:line="380" w:lineRule="exact"/>
        <w:rPr>
          <w:rFonts w:ascii="宋体" w:cs="宋体"/>
          <w:color w:val="auto"/>
          <w:highlight w:val="none"/>
        </w:rPr>
      </w:pPr>
      <w:bookmarkStart w:id="1776" w:name="_Toc395382582"/>
      <w:bookmarkStart w:id="1777" w:name="_Toc522201806"/>
      <w:bookmarkStart w:id="1778" w:name="_Toc256000257"/>
      <w:bookmarkStart w:id="1779" w:name="_Toc497747258"/>
      <w:bookmarkStart w:id="1780" w:name="_Toc497746861"/>
      <w:bookmarkStart w:id="1781" w:name="_Toc389065344"/>
      <w:bookmarkStart w:id="1782" w:name="_Toc373227779"/>
      <w:bookmarkStart w:id="1783" w:name="_Toc373478426"/>
      <w:r>
        <w:rPr>
          <w:rFonts w:hint="eastAsia" w:ascii="宋体" w:cs="宋体"/>
          <w:color w:val="auto"/>
          <w:highlight w:val="none"/>
        </w:rPr>
        <w:t>21. 补充条款</w:t>
      </w:r>
      <w:bookmarkEnd w:id="1776"/>
      <w:bookmarkEnd w:id="1777"/>
      <w:bookmarkEnd w:id="1778"/>
      <w:bookmarkEnd w:id="1779"/>
      <w:bookmarkEnd w:id="1780"/>
      <w:bookmarkEnd w:id="1781"/>
      <w:bookmarkEnd w:id="1782"/>
      <w:bookmarkEnd w:id="1783"/>
    </w:p>
    <w:p w14:paraId="6B99747E">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14:paraId="1AA0564E">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14:paraId="6A723A62">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21.3 赶工费、夜间施工费由投标人结合自身企业的实际情况及对施工现场的考察、提供的图纸等各方面的资料自行报价，并包干使用，今后不作任何调整和签证。</w:t>
      </w:r>
    </w:p>
    <w:p w14:paraId="4237A5F1">
      <w:pPr>
        <w:pStyle w:val="21"/>
        <w:autoSpaceDE w:val="0"/>
        <w:autoSpaceDN w:val="0"/>
        <w:adjustRightInd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rPr>
        <w:t>21.4 根据《建设工程质量检测管理办法》（</w:t>
      </w:r>
      <w:r>
        <w:rPr>
          <w:rFonts w:hint="eastAsia" w:hAnsi="宋体" w:cs="宋体"/>
          <w:color w:val="auto"/>
          <w:sz w:val="21"/>
          <w:szCs w:val="21"/>
          <w:highlight w:val="none"/>
          <w:lang w:val="en-US" w:eastAsia="zh-CN"/>
        </w:rPr>
        <w:t>住建部令57</w:t>
      </w:r>
      <w:r>
        <w:rPr>
          <w:rFonts w:hint="eastAsia"/>
          <w:color w:val="auto"/>
          <w:sz w:val="21"/>
          <w:szCs w:val="21"/>
          <w:highlight w:val="none"/>
          <w:lang w:val="en-US" w:eastAsia="zh-CN"/>
        </w:rPr>
        <w:t>号</w:t>
      </w:r>
      <w:r>
        <w:rPr>
          <w:rFonts w:hint="eastAsia" w:ascii="宋体" w:hAnsi="宋体" w:cs="宋体"/>
          <w:color w:val="auto"/>
          <w:szCs w:val="21"/>
          <w:highlight w:val="none"/>
        </w:rPr>
        <w:t>）</w:t>
      </w:r>
      <w:r>
        <w:rPr>
          <w:rFonts w:hint="eastAsia" w:ascii="宋体" w:hAnsi="宋体" w:cs="宋体"/>
          <w:color w:val="auto"/>
          <w:kern w:val="0"/>
          <w:szCs w:val="21"/>
          <w:highlight w:val="none"/>
        </w:rPr>
        <w:t>以及《广西壮族自治区建设工程质量检测管理规定》（桂建管〔2013〕11 号）规定，工程质量检测业务由招标人委托有相应资质的检测机</w:t>
      </w:r>
      <w:r>
        <w:rPr>
          <w:rFonts w:hint="eastAsia" w:ascii="宋体" w:hAnsi="宋体" w:eastAsia="宋体" w:cs="宋体"/>
          <w:color w:val="auto"/>
          <w:kern w:val="0"/>
          <w:szCs w:val="21"/>
          <w:highlight w:val="none"/>
        </w:rPr>
        <w:t xml:space="preserve">构检测。费用从招标人的项目建设经费中支出并直接支付给检测机构，不计入合同价款内。 </w:t>
      </w:r>
    </w:p>
    <w:p w14:paraId="48BB9E32">
      <w:pPr>
        <w:pStyle w:val="21"/>
        <w:autoSpaceDE w:val="0"/>
        <w:autoSpaceDN w:val="0"/>
        <w:spacing w:line="3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 w:val="21"/>
          <w:szCs w:val="21"/>
          <w:highlight w:val="none"/>
          <w:u w:val="none"/>
          <w:lang w:val="en-US" w:eastAsia="zh-CN"/>
        </w:rPr>
        <w:t>21.5承包人的结算申报价的核减额（即：结算送审价-审定的结算价）超过审定的结算价的8%时，</w:t>
      </w:r>
      <w:r>
        <w:rPr>
          <w:rFonts w:hint="eastAsia" w:ascii="宋体" w:hAnsi="宋体" w:eastAsia="宋体" w:cs="宋体"/>
          <w:color w:val="auto"/>
          <w:kern w:val="0"/>
          <w:szCs w:val="21"/>
          <w:highlight w:val="none"/>
          <w:u w:val="none"/>
        </w:rPr>
        <w:t>则超出送审价</w:t>
      </w:r>
      <w:r>
        <w:rPr>
          <w:rFonts w:hint="eastAsia" w:ascii="宋体" w:hAnsi="宋体" w:eastAsia="宋体" w:cs="宋体"/>
          <w:color w:val="auto"/>
          <w:kern w:val="0"/>
          <w:szCs w:val="21"/>
          <w:highlight w:val="none"/>
          <w:u w:val="none"/>
          <w:lang w:val="en-US" w:eastAsia="zh-CN"/>
        </w:rPr>
        <w:t>8</w:t>
      </w:r>
      <w:r>
        <w:rPr>
          <w:rFonts w:hint="eastAsia" w:ascii="宋体" w:hAnsi="宋体" w:eastAsia="宋体" w:cs="宋体"/>
          <w:color w:val="auto"/>
          <w:kern w:val="0"/>
          <w:szCs w:val="21"/>
          <w:highlight w:val="none"/>
          <w:u w:val="none"/>
        </w:rPr>
        <w:t>%部分审减</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lang w:val="en-US" w:eastAsia="zh-CN"/>
        </w:rPr>
        <w:t>增</w:t>
      </w:r>
      <w:r>
        <w:rPr>
          <w:rFonts w:hint="eastAsia" w:ascii="宋体" w:hAnsi="宋体" w:eastAsia="宋体" w:cs="宋体"/>
          <w:color w:val="auto"/>
          <w:kern w:val="0"/>
          <w:szCs w:val="21"/>
          <w:highlight w:val="none"/>
          <w:u w:val="none"/>
          <w:lang w:eastAsia="zh-CN"/>
        </w:rPr>
        <w:t>）</w:t>
      </w:r>
      <w:r>
        <w:rPr>
          <w:rFonts w:hint="eastAsia" w:ascii="宋体" w:hAnsi="宋体" w:eastAsia="宋体" w:cs="宋体"/>
          <w:color w:val="auto"/>
          <w:kern w:val="0"/>
          <w:szCs w:val="21"/>
          <w:highlight w:val="none"/>
          <w:u w:val="none"/>
        </w:rPr>
        <w:t>额的审核服务费由承包人承担</w:t>
      </w:r>
      <w:r>
        <w:rPr>
          <w:rFonts w:hint="eastAsia" w:ascii="宋体" w:hAnsi="宋体" w:eastAsia="宋体" w:cs="宋体"/>
          <w:color w:val="auto"/>
          <w:kern w:val="0"/>
          <w:sz w:val="21"/>
          <w:szCs w:val="21"/>
          <w:highlight w:val="none"/>
          <w:u w:val="none"/>
          <w:lang w:val="en-US" w:eastAsia="zh-CN"/>
        </w:rPr>
        <w:t>，承担费用计算式为：[（结算送审价-审定的结算价）-结算送审价×8%]×【发包人相关部门规定结算审核计取的费率（或发包人与造价咨询机构签订的造价咨询合同中的约定的费率）】，由发包人从承包人的工程价款中予以扣除后支付给中介机构（或由承包人自行支付至相关单位指定账户）</w:t>
      </w:r>
    </w:p>
    <w:p w14:paraId="0B0E57BB">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eastAsia="宋体" w:cs="宋体"/>
          <w:color w:val="auto"/>
          <w:kern w:val="0"/>
          <w:szCs w:val="21"/>
          <w:highlight w:val="none"/>
        </w:rPr>
        <w:t>21.6 发包人需要持散装水泥、多孔砖、砼砌块的材料发票原件到政府有关部门办理退款手续，承包人必须及时提供。否则，发包人有权按政府有关部门收缴标准及数额在承包人</w:t>
      </w:r>
      <w:r>
        <w:rPr>
          <w:rFonts w:hint="eastAsia" w:ascii="宋体" w:hAnsi="宋体" w:cs="宋体"/>
          <w:color w:val="auto"/>
          <w:kern w:val="0"/>
          <w:szCs w:val="21"/>
          <w:highlight w:val="none"/>
        </w:rPr>
        <w:t xml:space="preserve">工程款中扣罚。 </w:t>
      </w:r>
    </w:p>
    <w:p w14:paraId="2B786482">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14:paraId="71551B8A">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14:paraId="15815D99">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21.9 材料严格保证质量，相同类型材料质量应一致，若发现有材料以次品冒充，则该部分所有材料均按次品处理且须重新更换合格材料才能使用。 </w:t>
      </w:r>
    </w:p>
    <w:p w14:paraId="165F385B">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14:paraId="45FCB496">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21.11 承包人有以下情形之一者，视为违约，发包人有权依法解除合同，没收其全部履约保证金，承包人还应承担相应的法律责任。  </w:t>
      </w:r>
    </w:p>
    <w:p w14:paraId="3F9DDDD1">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① 经有关建设主管部门鉴定确认，承包人有挂靠行为。 </w:t>
      </w:r>
    </w:p>
    <w:p w14:paraId="1EFE31BA">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② 转包工程，以牟取转让费、管理费。  </w:t>
      </w:r>
    </w:p>
    <w:p w14:paraId="79726384">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③ 自签订合同之日起 15 日内，因承包人责任无法组织合同规定的人员、机械进场或进场人员机械与合同严重不符。 </w:t>
      </w:r>
    </w:p>
    <w:p w14:paraId="2A0FBD41">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21.12 工程竣工验收通过后 14 天之内，承包人必须将临时工棚、建筑垃圾等全部清理出现场，否则从第15天起，每天处以1000元罚款且不办理结算。</w:t>
      </w:r>
    </w:p>
    <w:p w14:paraId="7AD66892">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21.13 凡进入本工程工作的妇女应持有计生证、否则不准安排工作，禁止使用童工。</w:t>
      </w:r>
    </w:p>
    <w:p w14:paraId="7FBE344D">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21.14 如因政策性原因或者项目暂时（或永久）取消导致开工延误或无法开工，发包人不支付承包人任何赔偿或补偿，并可根据政策要求或项目情况延时开工或取消部分合同内容。</w:t>
      </w:r>
    </w:p>
    <w:p w14:paraId="2D1155DC">
      <w:pPr>
        <w:pStyle w:val="21"/>
        <w:autoSpaceDE w:val="0"/>
        <w:autoSpaceDN w:val="0"/>
        <w:adjustRightIn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14:paraId="4740BB30">
      <w:pPr>
        <w:pStyle w:val="20"/>
        <w:ind w:left="63" w:right="63"/>
        <w:rPr>
          <w:color w:val="auto"/>
          <w:highlight w:val="none"/>
        </w:rPr>
      </w:pPr>
    </w:p>
    <w:p w14:paraId="1D1F21F5">
      <w:pPr>
        <w:pStyle w:val="20"/>
        <w:ind w:left="63" w:right="63"/>
        <w:rPr>
          <w:color w:val="auto"/>
          <w:highlight w:val="none"/>
        </w:rPr>
      </w:pPr>
    </w:p>
    <w:p w14:paraId="2A253CCC">
      <w:pPr>
        <w:pStyle w:val="20"/>
        <w:ind w:left="63" w:right="63"/>
        <w:rPr>
          <w:color w:val="auto"/>
          <w:highlight w:val="none"/>
        </w:rPr>
      </w:pPr>
    </w:p>
    <w:p w14:paraId="41D1A792">
      <w:pPr>
        <w:pStyle w:val="20"/>
        <w:ind w:left="63" w:right="63"/>
        <w:rPr>
          <w:color w:val="auto"/>
          <w:highlight w:val="none"/>
        </w:rPr>
      </w:pPr>
    </w:p>
    <w:p w14:paraId="4B44CDBE">
      <w:pPr>
        <w:pStyle w:val="20"/>
        <w:ind w:left="63" w:right="63"/>
        <w:rPr>
          <w:color w:val="auto"/>
          <w:highlight w:val="none"/>
        </w:rPr>
      </w:pPr>
    </w:p>
    <w:p w14:paraId="6D9DA073">
      <w:pPr>
        <w:pStyle w:val="20"/>
        <w:ind w:left="63" w:right="63"/>
        <w:rPr>
          <w:color w:val="auto"/>
          <w:highlight w:val="none"/>
        </w:rPr>
      </w:pPr>
    </w:p>
    <w:p w14:paraId="5CF3E838">
      <w:pPr>
        <w:pStyle w:val="20"/>
        <w:ind w:left="63" w:right="63"/>
        <w:rPr>
          <w:color w:val="auto"/>
          <w:highlight w:val="none"/>
        </w:rPr>
      </w:pPr>
    </w:p>
    <w:p w14:paraId="3A163C28">
      <w:pPr>
        <w:pStyle w:val="20"/>
        <w:ind w:left="63" w:right="63"/>
        <w:rPr>
          <w:color w:val="auto"/>
          <w:highlight w:val="none"/>
        </w:rPr>
      </w:pPr>
    </w:p>
    <w:p w14:paraId="52E6E457">
      <w:pPr>
        <w:pStyle w:val="20"/>
        <w:ind w:left="63" w:right="63"/>
        <w:rPr>
          <w:color w:val="auto"/>
          <w:highlight w:val="none"/>
        </w:rPr>
      </w:pPr>
    </w:p>
    <w:p w14:paraId="62B76E9B">
      <w:pPr>
        <w:pStyle w:val="50"/>
        <w:tabs>
          <w:tab w:val="left" w:pos="0"/>
        </w:tabs>
        <w:spacing w:line="276" w:lineRule="auto"/>
        <w:ind w:firstLine="0" w:firstLineChars="0"/>
        <w:rPr>
          <w:color w:val="auto"/>
          <w:sz w:val="30"/>
          <w:szCs w:val="30"/>
          <w:highlight w:val="none"/>
        </w:rPr>
      </w:pPr>
      <w:r>
        <w:rPr>
          <w:color w:val="auto"/>
          <w:sz w:val="30"/>
          <w:szCs w:val="30"/>
          <w:highlight w:val="none"/>
        </w:rPr>
        <w:br w:type="page"/>
      </w:r>
      <w:r>
        <w:rPr>
          <w:color w:val="auto"/>
          <w:sz w:val="30"/>
          <w:szCs w:val="30"/>
          <w:highlight w:val="none"/>
        </w:rPr>
        <w:t xml:space="preserve">附件：    </w:t>
      </w:r>
    </w:p>
    <w:p w14:paraId="43C3DDAA">
      <w:pPr>
        <w:pStyle w:val="21"/>
        <w:jc w:val="center"/>
        <w:rPr>
          <w:rFonts w:ascii="宋体" w:hAnsi="宋体"/>
          <w:color w:val="auto"/>
          <w:sz w:val="28"/>
          <w:szCs w:val="28"/>
          <w:highlight w:val="none"/>
        </w:rPr>
      </w:pPr>
      <w:r>
        <w:rPr>
          <w:rFonts w:ascii="宋体" w:hAnsi="宋体"/>
          <w:color w:val="auto"/>
          <w:sz w:val="28"/>
          <w:szCs w:val="28"/>
          <w:highlight w:val="none"/>
        </w:rPr>
        <w:t>工程质量保修书</w:t>
      </w:r>
    </w:p>
    <w:p w14:paraId="47704A95">
      <w:pPr>
        <w:pStyle w:val="50"/>
        <w:spacing w:line="320" w:lineRule="exact"/>
        <w:ind w:firstLine="0" w:firstLineChars="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01B27DE2">
      <w:pPr>
        <w:pStyle w:val="50"/>
        <w:spacing w:line="320" w:lineRule="exact"/>
        <w:ind w:firstLine="0" w:firstLineChars="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 xml:space="preserve"> </w:t>
      </w:r>
    </w:p>
    <w:p w14:paraId="39E40A69">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为保证</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lang w:eastAsia="zh-CN"/>
        </w:rPr>
        <w:t>工程</w:t>
      </w:r>
      <w:r>
        <w:rPr>
          <w:rFonts w:hint="eastAsia" w:ascii="宋体" w:hAnsi="宋体" w:cs="宋体"/>
          <w:color w:val="auto"/>
          <w:szCs w:val="21"/>
          <w:highlight w:val="none"/>
        </w:rPr>
        <w:t>在合理使用期限内正常使用，经发包人、承包人协商一致签订本工程质量保修书。承包人在质量保修期内按照有关管理规定及双方约定承担工程质量保修责任。</w:t>
      </w:r>
    </w:p>
    <w:p w14:paraId="061E8697">
      <w:pPr>
        <w:pStyle w:val="54"/>
        <w:spacing w:line="400" w:lineRule="exact"/>
        <w:ind w:firstLine="420" w:firstLineChars="200"/>
        <w:outlineLvl w:val="0"/>
        <w:rPr>
          <w:rFonts w:ascii="宋体" w:hAnsi="宋体" w:cs="宋体"/>
          <w:color w:val="auto"/>
          <w:szCs w:val="21"/>
          <w:highlight w:val="none"/>
        </w:rPr>
      </w:pPr>
      <w:bookmarkStart w:id="1784" w:name="_Toc522201808"/>
      <w:r>
        <w:rPr>
          <w:rFonts w:hint="eastAsia" w:ascii="宋体" w:hAnsi="宋体" w:cs="宋体"/>
          <w:color w:val="auto"/>
          <w:szCs w:val="21"/>
          <w:highlight w:val="none"/>
        </w:rPr>
        <w:t>一、工程保修范围和内容</w:t>
      </w:r>
      <w:bookmarkEnd w:id="1784"/>
    </w:p>
    <w:p w14:paraId="0BCE190B">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highlight w:val="none"/>
        </w:rPr>
        <w:t>质量保修范围为施工图纸所包括的工程内容</w:t>
      </w:r>
      <w:r>
        <w:rPr>
          <w:rFonts w:hint="eastAsia" w:ascii="宋体" w:hAnsi="宋体" w:cs="宋体"/>
          <w:color w:val="auto"/>
          <w:highlight w:val="none"/>
          <w:lang w:eastAsia="zh-CN"/>
        </w:rPr>
        <w:t>，</w:t>
      </w:r>
      <w:r>
        <w:rPr>
          <w:rFonts w:hint="eastAsia" w:ascii="宋体" w:hAnsi="宋体" w:cs="宋体"/>
          <w:color w:val="auto"/>
          <w:szCs w:val="21"/>
          <w:highlight w:val="none"/>
        </w:rPr>
        <w:t>具体质量保修内容双方约定如下：</w:t>
      </w:r>
      <w:r>
        <w:rPr>
          <w:rFonts w:hint="eastAsia" w:ascii="宋体" w:hAnsi="宋体" w:cs="宋体"/>
          <w:color w:val="auto"/>
          <w:szCs w:val="21"/>
          <w:highlight w:val="none"/>
          <w:u w:val="single"/>
        </w:rPr>
        <w:t xml:space="preserve"> 承包方所承包施工的全部工程内容 </w:t>
      </w:r>
      <w:r>
        <w:rPr>
          <w:rFonts w:hint="eastAsia" w:ascii="宋体" w:hAnsi="宋体" w:cs="宋体"/>
          <w:color w:val="auto"/>
          <w:szCs w:val="21"/>
          <w:highlight w:val="none"/>
        </w:rPr>
        <w:t>。</w:t>
      </w:r>
    </w:p>
    <w:p w14:paraId="6511879B">
      <w:pPr>
        <w:pStyle w:val="54"/>
        <w:spacing w:line="400" w:lineRule="exact"/>
        <w:ind w:firstLine="420" w:firstLineChars="200"/>
        <w:outlineLvl w:val="0"/>
        <w:rPr>
          <w:rFonts w:ascii="宋体" w:hAnsi="宋体" w:cs="宋体"/>
          <w:color w:val="auto"/>
          <w:szCs w:val="21"/>
          <w:highlight w:val="none"/>
        </w:rPr>
      </w:pPr>
      <w:bookmarkStart w:id="1785" w:name="_Toc522201809"/>
      <w:r>
        <w:rPr>
          <w:rFonts w:hint="eastAsia" w:ascii="宋体" w:hAnsi="宋体" w:cs="宋体"/>
          <w:color w:val="auto"/>
          <w:szCs w:val="21"/>
          <w:highlight w:val="none"/>
        </w:rPr>
        <w:t>二、</w:t>
      </w:r>
      <w:r>
        <w:rPr>
          <w:rFonts w:hint="eastAsia" w:ascii="宋体" w:hAnsi="宋体" w:cs="宋体"/>
          <w:color w:val="auto"/>
          <w:szCs w:val="21"/>
          <w:highlight w:val="none"/>
          <w:lang w:eastAsia="zh-CN"/>
        </w:rPr>
        <w:t>质量</w:t>
      </w:r>
      <w:r>
        <w:rPr>
          <w:rFonts w:hint="eastAsia" w:ascii="宋体" w:hAnsi="宋体" w:cs="宋体"/>
          <w:color w:val="auto"/>
          <w:szCs w:val="21"/>
          <w:highlight w:val="none"/>
        </w:rPr>
        <w:t>保修期</w:t>
      </w:r>
      <w:bookmarkEnd w:id="1785"/>
    </w:p>
    <w:p w14:paraId="6E459EC5">
      <w:pPr>
        <w:pStyle w:val="38"/>
        <w:spacing w:line="360" w:lineRule="auto"/>
        <w:ind w:firstLine="540"/>
        <w:rPr>
          <w:rFonts w:hint="eastAsia" w:ascii="宋体" w:hAnsi="宋体" w:cs="宋体"/>
          <w:color w:val="auto"/>
          <w:highlight w:val="none"/>
        </w:rPr>
      </w:pPr>
      <w:r>
        <w:rPr>
          <w:rFonts w:hint="eastAsia" w:ascii="宋体" w:hAnsi="宋体" w:cs="宋体"/>
          <w:color w:val="auto"/>
          <w:highlight w:val="none"/>
        </w:rPr>
        <w:t>质量保修期从工程实际竣工验收通过之日算起。分单项竣工验收的工程，按单项工程分别计算质量保修期。</w:t>
      </w:r>
    </w:p>
    <w:p w14:paraId="771288FB">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根据《建设工程质量管理条例》及有关规定，工程的质量保修期如下：</w:t>
      </w:r>
    </w:p>
    <w:p w14:paraId="00E66A3A">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1．地基基础工程和主体结构工程为设计文件规定的工程合理使用年限；</w:t>
      </w:r>
    </w:p>
    <w:p w14:paraId="3BD7F503">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2．屋面防水工程、有防水要求的卫生间、房间和外墙面的防渗为</w:t>
      </w:r>
      <w:r>
        <w:rPr>
          <w:rFonts w:hint="eastAsia" w:hAnsi="宋体" w:eastAsia="宋体" w:cs="宋体"/>
          <w:color w:val="auto"/>
          <w:highlight w:val="none"/>
          <w:u w:val="single"/>
        </w:rPr>
        <w:t xml:space="preserve"> 5 </w:t>
      </w:r>
      <w:r>
        <w:rPr>
          <w:rFonts w:hint="eastAsia" w:hAnsi="宋体" w:eastAsia="宋体" w:cs="宋体"/>
          <w:color w:val="auto"/>
          <w:highlight w:val="none"/>
        </w:rPr>
        <w:t>年；</w:t>
      </w:r>
    </w:p>
    <w:p w14:paraId="6DE81C47">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3．装修工程为</w:t>
      </w:r>
      <w:r>
        <w:rPr>
          <w:rFonts w:hint="eastAsia" w:hAnsi="宋体" w:eastAsia="宋体" w:cs="宋体"/>
          <w:color w:val="auto"/>
          <w:highlight w:val="none"/>
          <w:u w:val="single"/>
        </w:rPr>
        <w:t xml:space="preserve"> 2 </w:t>
      </w:r>
      <w:r>
        <w:rPr>
          <w:rFonts w:hint="eastAsia" w:hAnsi="宋体" w:eastAsia="宋体" w:cs="宋体"/>
          <w:color w:val="auto"/>
          <w:highlight w:val="none"/>
        </w:rPr>
        <w:t>年；</w:t>
      </w:r>
    </w:p>
    <w:p w14:paraId="78F6449E">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4．电气管线、给排水管道、设备安装工程为</w:t>
      </w:r>
      <w:r>
        <w:rPr>
          <w:rFonts w:hint="eastAsia" w:hAnsi="宋体" w:eastAsia="宋体" w:cs="宋体"/>
          <w:color w:val="auto"/>
          <w:highlight w:val="none"/>
          <w:u w:val="single"/>
        </w:rPr>
        <w:t xml:space="preserve"> 2 </w:t>
      </w:r>
      <w:r>
        <w:rPr>
          <w:rFonts w:hint="eastAsia" w:hAnsi="宋体" w:eastAsia="宋体" w:cs="宋体"/>
          <w:color w:val="auto"/>
          <w:highlight w:val="none"/>
        </w:rPr>
        <w:t>年；</w:t>
      </w:r>
    </w:p>
    <w:p w14:paraId="3DBED9E2">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5．供热与供冷系统为</w:t>
      </w:r>
      <w:r>
        <w:rPr>
          <w:rFonts w:hint="eastAsia" w:hAnsi="宋体" w:eastAsia="宋体" w:cs="宋体"/>
          <w:color w:val="auto"/>
          <w:highlight w:val="none"/>
          <w:u w:val="single"/>
        </w:rPr>
        <w:t xml:space="preserve"> 2 </w:t>
      </w:r>
      <w:r>
        <w:rPr>
          <w:rFonts w:hint="eastAsia" w:hAnsi="宋体" w:eastAsia="宋体" w:cs="宋体"/>
          <w:color w:val="auto"/>
          <w:highlight w:val="none"/>
        </w:rPr>
        <w:t>个采暖期、供冷期；</w:t>
      </w:r>
    </w:p>
    <w:p w14:paraId="1C268F9D">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6．住宅小区内的给排水设施、道路等配套工程为</w:t>
      </w:r>
      <w:r>
        <w:rPr>
          <w:rFonts w:hint="eastAsia" w:hAnsi="宋体" w:eastAsia="宋体" w:cs="宋体"/>
          <w:color w:val="auto"/>
          <w:highlight w:val="none"/>
          <w:u w:val="single"/>
        </w:rPr>
        <w:t xml:space="preserve"> 2 </w:t>
      </w:r>
      <w:r>
        <w:rPr>
          <w:rFonts w:hint="eastAsia" w:hAnsi="宋体" w:eastAsia="宋体" w:cs="宋体"/>
          <w:color w:val="auto"/>
          <w:highlight w:val="none"/>
        </w:rPr>
        <w:t>年；</w:t>
      </w:r>
    </w:p>
    <w:p w14:paraId="06BA015A">
      <w:pPr>
        <w:spacing w:line="360" w:lineRule="auto"/>
        <w:ind w:firstLine="420"/>
        <w:rPr>
          <w:rFonts w:hint="eastAsia" w:hAnsi="宋体" w:eastAsia="宋体" w:cs="宋体"/>
          <w:color w:val="auto"/>
          <w:highlight w:val="none"/>
        </w:rPr>
      </w:pPr>
      <w:r>
        <w:rPr>
          <w:rFonts w:hint="eastAsia" w:hAnsi="宋体" w:eastAsia="宋体" w:cs="宋体"/>
          <w:color w:val="auto"/>
          <w:highlight w:val="none"/>
        </w:rPr>
        <w:t>7．其他项目保修期限约定如下：建筑幕墙工程为</w:t>
      </w:r>
      <w:r>
        <w:rPr>
          <w:rFonts w:hint="eastAsia" w:hAnsi="宋体" w:eastAsia="宋体" w:cs="宋体"/>
          <w:color w:val="auto"/>
          <w:highlight w:val="none"/>
          <w:u w:val="single"/>
        </w:rPr>
        <w:t>3</w:t>
      </w:r>
      <w:r>
        <w:rPr>
          <w:rFonts w:hint="eastAsia" w:hAnsi="宋体" w:eastAsia="宋体" w:cs="宋体"/>
          <w:color w:val="auto"/>
          <w:highlight w:val="none"/>
        </w:rPr>
        <w:t>年；园林绿化工程为</w:t>
      </w:r>
      <w:r>
        <w:rPr>
          <w:rFonts w:hint="eastAsia" w:hAnsi="宋体" w:eastAsia="宋体" w:cs="宋体"/>
          <w:color w:val="auto"/>
          <w:highlight w:val="none"/>
          <w:u w:val="single"/>
        </w:rPr>
        <w:t>1</w:t>
      </w:r>
      <w:r>
        <w:rPr>
          <w:rFonts w:hint="eastAsia" w:hAnsi="宋体" w:eastAsia="宋体" w:cs="宋体"/>
          <w:color w:val="auto"/>
          <w:highlight w:val="none"/>
        </w:rPr>
        <w:t>年。</w:t>
      </w:r>
    </w:p>
    <w:p w14:paraId="7BF28163">
      <w:pPr>
        <w:spacing w:line="360" w:lineRule="auto"/>
        <w:ind w:firstLine="420"/>
        <w:rPr>
          <w:rFonts w:hint="eastAsia" w:hAnsi="宋体" w:cs="宋体"/>
          <w:color w:val="auto"/>
          <w:highlight w:val="none"/>
        </w:rPr>
      </w:pPr>
      <w:r>
        <w:rPr>
          <w:rFonts w:hint="eastAsia" w:hAnsi="宋体" w:cs="宋体"/>
          <w:color w:val="auto"/>
          <w:highlight w:val="none"/>
        </w:rPr>
        <w:t>质量保修期自工程竣工验收合格之日起计算。</w:t>
      </w:r>
    </w:p>
    <w:p w14:paraId="79B8E4C5">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质量保修期自工程竣工验收合格之日起计算。 </w:t>
      </w:r>
    </w:p>
    <w:p w14:paraId="56988838">
      <w:pPr>
        <w:pStyle w:val="54"/>
        <w:spacing w:line="40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三、缺陷责任期</w:t>
      </w:r>
    </w:p>
    <w:p w14:paraId="09165AC3">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工程缺陷责任期为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个月（最长不超过24个月），缺陷责任期自工程竣工验收合格之日起计算。单位工程先于全部工程进行验收，单位工程缺陷责任期自单位工程验收合格之日起算。</w:t>
      </w:r>
    </w:p>
    <w:p w14:paraId="5BF069E2">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缺陷责任期终止后，发包人应退还剩余的质量保证金。</w:t>
      </w:r>
    </w:p>
    <w:p w14:paraId="1C1BD5F6">
      <w:pPr>
        <w:pStyle w:val="54"/>
        <w:spacing w:line="40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四、质量保修责任</w:t>
      </w:r>
    </w:p>
    <w:p w14:paraId="6863EF77">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1．属于保修范围、内容的项目，承包人应当在接到保修通知之日起</w:t>
      </w:r>
      <w:r>
        <w:rPr>
          <w:rFonts w:hint="eastAsia" w:ascii="宋体" w:hAnsi="宋体" w:cs="宋体"/>
          <w:color w:val="auto"/>
          <w:szCs w:val="21"/>
          <w:highlight w:val="none"/>
          <w:u w:val="single"/>
        </w:rPr>
        <w:t xml:space="preserve">  三 </w:t>
      </w:r>
      <w:r>
        <w:rPr>
          <w:rFonts w:hint="eastAsia" w:ascii="宋体" w:hAnsi="宋体" w:cs="宋体"/>
          <w:color w:val="auto"/>
          <w:szCs w:val="21"/>
          <w:highlight w:val="none"/>
        </w:rPr>
        <w:t>天内派人保修。承包人不在约定期限内派人保修的，发包人可以委托他人修理，修理费用从</w:t>
      </w:r>
      <w:r>
        <w:rPr>
          <w:rFonts w:hint="eastAsia" w:ascii="宋体" w:hAnsi="宋体" w:cs="宋体"/>
          <w:color w:val="auto"/>
          <w:szCs w:val="21"/>
          <w:highlight w:val="none"/>
          <w:lang w:eastAsia="zh-CN"/>
        </w:rPr>
        <w:t>质量保证金</w:t>
      </w:r>
      <w:r>
        <w:rPr>
          <w:rFonts w:hint="eastAsia" w:ascii="宋体" w:hAnsi="宋体" w:cs="宋体"/>
          <w:color w:val="auto"/>
          <w:szCs w:val="21"/>
          <w:highlight w:val="none"/>
        </w:rPr>
        <w:t>内扣除。</w:t>
      </w:r>
    </w:p>
    <w:p w14:paraId="154806E3">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2．发生紧急事故需抢修的，承包人在接到事故通知后，应当立即到达事故现场抢修。</w:t>
      </w:r>
    </w:p>
    <w:p w14:paraId="1E22D692">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DD5CB8A">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4．质量保修完成后，由发包人组织验收。</w:t>
      </w:r>
    </w:p>
    <w:p w14:paraId="57AB8722">
      <w:pPr>
        <w:pStyle w:val="54"/>
        <w:spacing w:line="400" w:lineRule="exact"/>
        <w:ind w:firstLine="420" w:firstLineChars="200"/>
        <w:outlineLvl w:val="0"/>
        <w:rPr>
          <w:rFonts w:ascii="宋体" w:hAnsi="宋体" w:cs="宋体"/>
          <w:color w:val="auto"/>
          <w:szCs w:val="21"/>
          <w:highlight w:val="none"/>
        </w:rPr>
      </w:pPr>
      <w:r>
        <w:rPr>
          <w:rFonts w:hint="eastAsia" w:ascii="宋体" w:hAnsi="宋体" w:cs="宋体"/>
          <w:color w:val="auto"/>
          <w:szCs w:val="21"/>
          <w:highlight w:val="none"/>
        </w:rPr>
        <w:t>五、保修费用</w:t>
      </w:r>
    </w:p>
    <w:p w14:paraId="0ECE3E17">
      <w:pPr>
        <w:pStyle w:val="21"/>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保修费用由造成质量缺陷的责任方承担。</w:t>
      </w:r>
    </w:p>
    <w:p w14:paraId="3FE56B18">
      <w:pPr>
        <w:pStyle w:val="50"/>
        <w:numPr>
          <w:ilvl w:val="0"/>
          <w:numId w:val="9"/>
        </w:numPr>
        <w:spacing w:line="400" w:lineRule="exact"/>
        <w:rPr>
          <w:rFonts w:ascii="宋体" w:hAnsi="宋体" w:cs="宋体"/>
          <w:color w:val="auto"/>
          <w:highlight w:val="none"/>
          <w:u w:val="single"/>
        </w:rPr>
      </w:pPr>
      <w:r>
        <w:rPr>
          <w:rFonts w:hint="eastAsia" w:ascii="宋体" w:hAnsi="宋体" w:cs="宋体"/>
          <w:color w:val="auto"/>
          <w:highlight w:val="none"/>
        </w:rPr>
        <w:t xml:space="preserve">双方约定的其他工程质量保修事项：  1. </w:t>
      </w:r>
      <w:r>
        <w:rPr>
          <w:rFonts w:hint="eastAsia" w:ascii="宋体" w:hAnsi="宋体" w:cs="宋体"/>
          <w:color w:val="auto"/>
          <w:highlight w:val="none"/>
          <w:u w:val="single"/>
        </w:rPr>
        <w:t>承包人未按照法律法规有关规定和合同约定履行质量保修义务的，发包人有权从质量保证金中扣留用于质量保修的各项支出。</w:t>
      </w:r>
    </w:p>
    <w:p w14:paraId="71E19207">
      <w:pPr>
        <w:pStyle w:val="50"/>
        <w:numPr>
          <w:ilvl w:val="0"/>
          <w:numId w:val="10"/>
        </w:numPr>
        <w:spacing w:line="400" w:lineRule="exact"/>
        <w:rPr>
          <w:rFonts w:ascii="宋体" w:hAnsi="宋体" w:cs="宋体"/>
          <w:color w:val="auto"/>
          <w:highlight w:val="none"/>
          <w:u w:val="singl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比例：工程结算价的</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w:t>
      </w:r>
    </w:p>
    <w:p w14:paraId="52557FBA">
      <w:pPr>
        <w:pStyle w:val="50"/>
        <w:numPr>
          <w:ilvl w:val="0"/>
          <w:numId w:val="10"/>
        </w:numPr>
        <w:spacing w:line="400" w:lineRule="exact"/>
        <w:rPr>
          <w:rFonts w:ascii="宋体" w:hAnsi="宋体" w:cs="宋体"/>
          <w:color w:val="auto"/>
          <w:highlight w:val="none"/>
        </w:rPr>
      </w:pP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返还：发包人在工程竣工验收合格之日起满</w:t>
      </w:r>
      <w:r>
        <w:rPr>
          <w:rFonts w:hint="eastAsia" w:cs="宋体"/>
          <w:color w:val="auto"/>
          <w:highlight w:val="none"/>
          <w:u w:val="single"/>
          <w:lang w:val="en-US" w:eastAsia="zh-CN"/>
        </w:rPr>
        <w:t>2</w:t>
      </w:r>
      <w:r>
        <w:rPr>
          <w:rFonts w:hint="eastAsia" w:ascii="宋体" w:hAnsi="宋体" w:cs="宋体"/>
          <w:color w:val="auto"/>
          <w:highlight w:val="none"/>
          <w:u w:val="single"/>
        </w:rPr>
        <w:t>年后14天内将保修金（无息）的返回给承包人，</w:t>
      </w:r>
      <w:r>
        <w:rPr>
          <w:rFonts w:hint="eastAsia" w:ascii="宋体" w:hAnsi="宋体" w:cs="宋体"/>
          <w:color w:val="auto"/>
          <w:highlight w:val="none"/>
          <w:u w:val="single"/>
          <w:lang w:eastAsia="zh-CN"/>
        </w:rPr>
        <w:t>质量保证金</w:t>
      </w:r>
      <w:r>
        <w:rPr>
          <w:rFonts w:hint="eastAsia" w:ascii="宋体" w:hAnsi="宋体" w:cs="宋体"/>
          <w:color w:val="auto"/>
          <w:highlight w:val="none"/>
          <w:u w:val="single"/>
        </w:rPr>
        <w:t xml:space="preserve">的返还，并不能免除承包人按照合同约定应承担的质量保修责任和应履行的质量保修义务  </w:t>
      </w:r>
      <w:r>
        <w:rPr>
          <w:rFonts w:hint="eastAsia" w:ascii="宋体" w:hAnsi="宋体" w:cs="宋体"/>
          <w:color w:val="auto"/>
          <w:highlight w:val="none"/>
        </w:rPr>
        <w:t>。</w:t>
      </w:r>
    </w:p>
    <w:p w14:paraId="3EC43E54">
      <w:pPr>
        <w:pStyle w:val="21"/>
        <w:spacing w:line="3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工程质量保修书由发包人、承包人在工程竣工验收前共同签署，作为施工合同附件，其有效期限至保修期满。</w:t>
      </w:r>
    </w:p>
    <w:p w14:paraId="4D056624">
      <w:pPr>
        <w:pStyle w:val="21"/>
        <w:spacing w:line="320" w:lineRule="exact"/>
        <w:ind w:firstLine="420" w:firstLineChars="200"/>
        <w:rPr>
          <w:rFonts w:ascii="宋体" w:hAnsi="宋体" w:cs="宋体"/>
          <w:color w:val="auto"/>
          <w:szCs w:val="21"/>
          <w:highlight w:val="none"/>
        </w:rPr>
      </w:pPr>
    </w:p>
    <w:p w14:paraId="50CAE3AC">
      <w:pPr>
        <w:pStyle w:val="20"/>
        <w:ind w:left="63" w:right="63"/>
        <w:rPr>
          <w:rFonts w:hint="eastAsia"/>
          <w:color w:val="auto"/>
          <w:highlight w:val="none"/>
          <w:lang w:val="en-US" w:eastAsia="zh-CN"/>
        </w:rPr>
      </w:pPr>
    </w:p>
    <w:p w14:paraId="09454116">
      <w:pPr>
        <w:pStyle w:val="50"/>
        <w:spacing w:line="320" w:lineRule="exact"/>
        <w:ind w:left="0" w:leftChars="0" w:firstLine="0" w:firstLineChars="0"/>
        <w:rPr>
          <w:rFonts w:hint="default" w:ascii="宋体" w:hAnsi="宋体" w:eastAsia="宋体" w:cs="宋体"/>
          <w:color w:val="auto"/>
          <w:highlight w:val="none"/>
          <w:u w:val="single"/>
          <w:lang w:val="en-US" w:eastAsia="zh-CN"/>
        </w:rPr>
      </w:pPr>
      <w:r>
        <w:rPr>
          <w:rFonts w:hint="eastAsia" w:ascii="宋体" w:hAnsi="宋体" w:cs="宋体"/>
          <w:color w:val="auto"/>
          <w:highlight w:val="none"/>
        </w:rPr>
        <w:t>发包人(公章)：</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 xml:space="preserve">                              </w:t>
      </w:r>
      <w:r>
        <w:rPr>
          <w:rFonts w:hint="eastAsia" w:ascii="宋体" w:hAnsi="宋体" w:cs="宋体"/>
          <w:color w:val="auto"/>
          <w:highlight w:val="none"/>
        </w:rPr>
        <w:t>承包人(公章)：</w:t>
      </w:r>
      <w:r>
        <w:rPr>
          <w:rFonts w:hint="eastAsia" w:ascii="宋体" w:hAnsi="宋体" w:cs="宋体"/>
          <w:color w:val="auto"/>
          <w:highlight w:val="none"/>
          <w:u w:val="single"/>
          <w:lang w:val="en-US" w:eastAsia="zh-CN"/>
        </w:rPr>
        <w:t xml:space="preserve">  </w:t>
      </w:r>
    </w:p>
    <w:p w14:paraId="572B04CB">
      <w:pPr>
        <w:pStyle w:val="50"/>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 xml:space="preserve"> </w:t>
      </w:r>
    </w:p>
    <w:p w14:paraId="008DBBE6">
      <w:pPr>
        <w:pStyle w:val="50"/>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 xml:space="preserve">地  址：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地  址：</w:t>
      </w:r>
      <w:r>
        <w:rPr>
          <w:rFonts w:hint="eastAsia" w:ascii="宋体" w:hAnsi="宋体"/>
          <w:color w:val="auto"/>
          <w:highlight w:val="none"/>
          <w:u w:val="single"/>
          <w:lang w:val="en-US" w:eastAsia="zh-CN"/>
        </w:rPr>
        <w:t xml:space="preserve"> </w:t>
      </w:r>
    </w:p>
    <w:p w14:paraId="4BF7D2C9">
      <w:pPr>
        <w:pStyle w:val="50"/>
        <w:spacing w:line="320" w:lineRule="exact"/>
        <w:ind w:left="0" w:leftChars="0"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法定代表人</w:t>
      </w:r>
      <w:r>
        <w:rPr>
          <w:rFonts w:hint="eastAsia" w:ascii="宋体" w:hAnsi="宋体" w:cs="宋体"/>
          <w:color w:val="auto"/>
          <w:highlight w:val="none"/>
          <w:lang w:eastAsia="zh-CN"/>
        </w:rPr>
        <w:t>或</w:t>
      </w:r>
      <w:r>
        <w:rPr>
          <w:rFonts w:hint="eastAsia" w:ascii="宋体" w:hAnsi="宋体" w:cs="宋体"/>
          <w:color w:val="auto"/>
          <w:highlight w:val="none"/>
        </w:rPr>
        <w:t xml:space="preserve">委托代理人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法定代表人</w:t>
      </w:r>
      <w:r>
        <w:rPr>
          <w:rFonts w:hint="eastAsia" w:ascii="宋体" w:hAnsi="宋体" w:cs="宋体"/>
          <w:color w:val="auto"/>
          <w:highlight w:val="none"/>
          <w:lang w:eastAsia="zh-CN"/>
        </w:rPr>
        <w:t>或</w:t>
      </w:r>
      <w:r>
        <w:rPr>
          <w:rFonts w:hint="eastAsia" w:ascii="宋体" w:hAnsi="宋体" w:cs="宋体"/>
          <w:color w:val="auto"/>
          <w:highlight w:val="none"/>
        </w:rPr>
        <w:t>委托代理人</w:t>
      </w:r>
    </w:p>
    <w:p w14:paraId="677F4273">
      <w:pPr>
        <w:pStyle w:val="50"/>
        <w:spacing w:line="320" w:lineRule="exact"/>
        <w:ind w:left="0" w:leftChars="0"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(签字</w:t>
      </w:r>
      <w:r>
        <w:rPr>
          <w:rFonts w:hint="eastAsia" w:ascii="宋体" w:hAnsi="宋体" w:cs="宋体"/>
          <w:color w:val="auto"/>
          <w:highlight w:val="none"/>
          <w:lang w:eastAsia="zh-CN"/>
        </w:rPr>
        <w:t>或盖章</w:t>
      </w:r>
      <w:r>
        <w:rPr>
          <w:rFonts w:hint="eastAsia" w:ascii="宋体" w:hAnsi="宋体" w:cs="宋体"/>
          <w:color w:val="auto"/>
          <w:highlight w:val="none"/>
        </w:rPr>
        <w:t>)：</w:t>
      </w:r>
      <w:r>
        <w:rPr>
          <w:rFonts w:hint="eastAsia" w:ascii="宋体" w:hAnsi="宋体" w:cs="宋体"/>
          <w:color w:val="auto"/>
          <w:highlight w:val="none"/>
          <w:u w:val="single"/>
          <w:lang w:val="en-US" w:eastAsia="zh-CN"/>
        </w:rPr>
        <w:t xml:space="preserve">   </w:t>
      </w:r>
    </w:p>
    <w:p w14:paraId="14E1C95F">
      <w:pPr>
        <w:pStyle w:val="50"/>
        <w:spacing w:line="320" w:lineRule="exact"/>
        <w:ind w:left="0" w:leftChars="0" w:firstLine="0" w:firstLineChars="0"/>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w:t>
      </w:r>
    </w:p>
    <w:p w14:paraId="3CEB034E">
      <w:pPr>
        <w:autoSpaceDE/>
        <w:autoSpaceDN/>
        <w:spacing w:line="480" w:lineRule="auto"/>
        <w:jc w:val="both"/>
        <w:rPr>
          <w:rFonts w:ascii="Times New Roman" w:hAnsi="宋体" w:eastAsia="宋体" w:cs="Times New Roman"/>
          <w:color w:val="auto"/>
          <w:kern w:val="2"/>
          <w:sz w:val="21"/>
          <w:szCs w:val="24"/>
          <w:highlight w:val="none"/>
          <w:lang w:val="en-US" w:bidi="ar-SA"/>
        </w:rPr>
      </w:pPr>
    </w:p>
    <w:p w14:paraId="16509725">
      <w:pPr>
        <w:pStyle w:val="39"/>
        <w:numPr>
          <w:ilvl w:val="0"/>
          <w:numId w:val="11"/>
        </w:numPr>
        <w:tabs>
          <w:tab w:val="left" w:pos="812"/>
        </w:tabs>
        <w:spacing w:line="554" w:lineRule="auto"/>
        <w:ind w:right="4083" w:firstLine="400"/>
        <w:rPr>
          <w:color w:val="auto"/>
          <w:spacing w:val="0"/>
          <w:w w:val="100"/>
          <w:position w:val="0"/>
          <w:sz w:val="21"/>
          <w:highlight w:val="none"/>
        </w:rPr>
        <w:sectPr>
          <w:footerReference r:id="rId7" w:type="default"/>
          <w:pgSz w:w="11911" w:h="16838"/>
          <w:pgMar w:top="1134" w:right="1134" w:bottom="850" w:left="1134" w:header="0" w:footer="1003" w:gutter="0"/>
          <w:pgNumType w:fmt="numberInDash"/>
          <w:cols w:space="0" w:num="1"/>
          <w:rtlGutter w:val="0"/>
          <w:docGrid w:linePitch="0" w:charSpace="0"/>
        </w:sectPr>
      </w:pPr>
    </w:p>
    <w:p w14:paraId="1E2E6CA2">
      <w:pPr>
        <w:pStyle w:val="2"/>
        <w:tabs>
          <w:tab w:val="left" w:pos="567"/>
        </w:tabs>
        <w:ind w:left="0" w:leftChars="0" w:firstLine="0" w:firstLineChars="0"/>
        <w:jc w:val="center"/>
        <w:rPr>
          <w:rFonts w:hint="eastAsia" w:ascii="宋体" w:hAnsi="宋体" w:eastAsia="宋体" w:cs="宋体"/>
          <w:b/>
          <w:bCs/>
          <w:color w:val="auto"/>
          <w:highlight w:val="none"/>
        </w:rPr>
      </w:pPr>
      <w:bookmarkStart w:id="1786" w:name="_Toc2274"/>
      <w:bookmarkStart w:id="1787" w:name="_Toc25671"/>
      <w:r>
        <w:rPr>
          <w:rFonts w:hint="eastAsia" w:ascii="宋体" w:hAnsi="宋体" w:eastAsia="宋体" w:cs="宋体"/>
          <w:b/>
          <w:bCs/>
          <w:color w:val="auto"/>
          <w:kern w:val="44"/>
          <w:sz w:val="32"/>
          <w:szCs w:val="32"/>
          <w:highlight w:val="none"/>
        </w:rPr>
        <w:t xml:space="preserve">第六章  </w:t>
      </w:r>
      <w:bookmarkEnd w:id="164"/>
      <w:bookmarkEnd w:id="165"/>
      <w:bookmarkStart w:id="1788" w:name="_Toc13185"/>
      <w:r>
        <w:rPr>
          <w:rFonts w:hint="eastAsia" w:ascii="宋体" w:hAnsi="宋体" w:eastAsia="宋体" w:cs="宋体"/>
          <w:b/>
          <w:bCs/>
          <w:color w:val="auto"/>
          <w:sz w:val="32"/>
          <w:szCs w:val="32"/>
          <w:highlight w:val="none"/>
        </w:rPr>
        <w:t>响应文件（格式）</w:t>
      </w:r>
      <w:bookmarkEnd w:id="1786"/>
      <w:bookmarkEnd w:id="1787"/>
      <w:bookmarkEnd w:id="1788"/>
    </w:p>
    <w:p w14:paraId="25A9A9B4">
      <w:pPr>
        <w:rPr>
          <w:rFonts w:hint="eastAsia" w:ascii="宋体" w:hAnsi="宋体" w:eastAsia="宋体" w:cs="宋体"/>
          <w:color w:val="auto"/>
          <w:highlight w:val="none"/>
        </w:rPr>
      </w:pPr>
    </w:p>
    <w:p w14:paraId="607E1CF0">
      <w:pPr>
        <w:pStyle w:val="11"/>
        <w:jc w:val="both"/>
        <w:rPr>
          <w:rFonts w:hint="eastAsia" w:ascii="宋体" w:hAnsi="宋体" w:eastAsia="宋体" w:cs="宋体"/>
          <w:b/>
          <w:color w:val="auto"/>
          <w:sz w:val="32"/>
          <w:highlight w:val="none"/>
          <w:lang w:eastAsia="zh-CN"/>
        </w:rPr>
      </w:pPr>
      <w:bookmarkStart w:id="1789" w:name="_Toc497927069"/>
      <w:bookmarkStart w:id="1790" w:name="_Toc21496"/>
      <w:bookmarkStart w:id="1791" w:name="_Toc18351"/>
      <w:r>
        <w:rPr>
          <w:rFonts w:hint="eastAsia" w:ascii="宋体" w:hAnsi="宋体" w:eastAsia="宋体" w:cs="宋体"/>
          <w:b/>
          <w:color w:val="auto"/>
          <w:sz w:val="32"/>
          <w:highlight w:val="none"/>
          <w:lang w:eastAsia="zh-CN"/>
        </w:rPr>
        <w:t>一、响应文件标记</w:t>
      </w:r>
      <w:bookmarkEnd w:id="1789"/>
      <w:bookmarkEnd w:id="1790"/>
      <w:bookmarkEnd w:id="1791"/>
    </w:p>
    <w:p w14:paraId="50B9E10F">
      <w:pPr>
        <w:adjustRightInd w:val="0"/>
        <w:snapToGrid w:val="0"/>
        <w:rPr>
          <w:rFonts w:hint="eastAsia" w:ascii="宋体" w:hAnsi="宋体" w:eastAsia="宋体" w:cs="宋体"/>
          <w:b/>
          <w:color w:val="auto"/>
          <w:sz w:val="44"/>
          <w:szCs w:val="44"/>
          <w:highlight w:val="none"/>
        </w:rPr>
      </w:pPr>
    </w:p>
    <w:p w14:paraId="5584B6D4">
      <w:pPr>
        <w:pStyle w:val="30"/>
        <w:rPr>
          <w:rFonts w:hint="eastAsia" w:ascii="宋体" w:hAnsi="宋体" w:eastAsia="宋体" w:cs="宋体"/>
          <w:color w:val="auto"/>
          <w:highlight w:val="none"/>
        </w:rPr>
      </w:pPr>
    </w:p>
    <w:p w14:paraId="1226475A">
      <w:pPr>
        <w:snapToGrid w:val="0"/>
        <w:spacing w:before="156" w:beforeLines="50" w:after="5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响 应 文 件</w:t>
      </w:r>
    </w:p>
    <w:p w14:paraId="546DF54D">
      <w:pPr>
        <w:snapToGrid w:val="0"/>
        <w:spacing w:before="156" w:beforeLines="50" w:after="50"/>
        <w:ind w:firstLine="480" w:firstLineChars="150"/>
        <w:jc w:val="both"/>
        <w:rPr>
          <w:rFonts w:hint="eastAsia" w:ascii="宋体" w:hAnsi="宋体" w:eastAsia="宋体" w:cs="宋体"/>
          <w:b/>
          <w:color w:val="auto"/>
          <w:sz w:val="28"/>
          <w:szCs w:val="28"/>
          <w:highlight w:val="none"/>
        </w:rPr>
      </w:pPr>
      <w:r>
        <w:rPr>
          <w:rFonts w:hint="eastAsia" w:ascii="宋体" w:hAnsi="宋体" w:eastAsia="宋体" w:cs="宋体"/>
          <w:color w:val="auto"/>
          <w:sz w:val="32"/>
          <w:szCs w:val="32"/>
          <w:highlight w:val="none"/>
          <w:lang w:val="en-US" w:eastAsia="zh-CN"/>
        </w:rPr>
        <w:t xml:space="preserve">                       </w:t>
      </w:r>
    </w:p>
    <w:p w14:paraId="385C9EA6">
      <w:pPr>
        <w:snapToGrid w:val="0"/>
        <w:spacing w:before="156" w:beforeLines="50" w:after="50"/>
        <w:ind w:firstLine="422" w:firstLineChars="150"/>
        <w:rPr>
          <w:rFonts w:hint="eastAsia" w:ascii="宋体" w:hAnsi="宋体" w:eastAsia="宋体" w:cs="宋体"/>
          <w:b/>
          <w:color w:val="auto"/>
          <w:sz w:val="28"/>
          <w:szCs w:val="28"/>
          <w:highlight w:val="none"/>
        </w:rPr>
      </w:pPr>
    </w:p>
    <w:p w14:paraId="0AB80BB9">
      <w:pPr>
        <w:snapToGrid w:val="0"/>
        <w:spacing w:before="156" w:beforeLines="50" w:after="50"/>
        <w:ind w:firstLine="422" w:firstLineChars="150"/>
        <w:rPr>
          <w:rFonts w:hint="eastAsia" w:ascii="宋体" w:hAnsi="宋体" w:eastAsia="宋体" w:cs="宋体"/>
          <w:b/>
          <w:color w:val="auto"/>
          <w:sz w:val="28"/>
          <w:szCs w:val="28"/>
          <w:highlight w:val="none"/>
        </w:rPr>
      </w:pPr>
    </w:p>
    <w:p w14:paraId="2D33A639">
      <w:pPr>
        <w:snapToGrid w:val="0"/>
        <w:spacing w:before="156" w:beforeLines="50" w:after="50"/>
        <w:ind w:firstLine="2530" w:firstLineChars="900"/>
        <w:rPr>
          <w:rFonts w:hint="eastAsia" w:ascii="宋体" w:hAnsi="宋体" w:eastAsia="宋体" w:cs="宋体"/>
          <w:b/>
          <w:bCs w:val="0"/>
          <w:color w:val="auto"/>
          <w:sz w:val="28"/>
          <w:szCs w:val="28"/>
          <w:highlight w:val="none"/>
          <w:u w:val="single"/>
          <w:lang w:eastAsia="zh-CN"/>
        </w:rPr>
      </w:pPr>
      <w:r>
        <w:rPr>
          <w:rFonts w:hint="eastAsia" w:ascii="宋体" w:hAnsi="宋体" w:eastAsia="宋体" w:cs="宋体"/>
          <w:b/>
          <w:bCs w:val="0"/>
          <w:color w:val="auto"/>
          <w:sz w:val="28"/>
          <w:szCs w:val="28"/>
          <w:highlight w:val="none"/>
        </w:rPr>
        <w:t>项目名称：</w:t>
      </w:r>
      <w:r>
        <w:rPr>
          <w:rFonts w:hint="eastAsia" w:ascii="宋体" w:hAnsi="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18"/>
          <w:szCs w:val="18"/>
          <w:highlight w:val="none"/>
        </w:rPr>
        <w:t xml:space="preserve">  </w:t>
      </w:r>
    </w:p>
    <w:p w14:paraId="43A1BA9C">
      <w:pPr>
        <w:snapToGrid w:val="0"/>
        <w:spacing w:before="156" w:beforeLines="50" w:after="50"/>
        <w:ind w:firstLine="2704" w:firstLineChars="962"/>
        <w:rPr>
          <w:rFonts w:hint="eastAsia" w:ascii="宋体" w:hAnsi="宋体" w:eastAsia="宋体" w:cs="宋体"/>
          <w:b/>
          <w:bCs w:val="0"/>
          <w:color w:val="auto"/>
          <w:sz w:val="28"/>
          <w:szCs w:val="28"/>
          <w:highlight w:val="none"/>
        </w:rPr>
      </w:pPr>
    </w:p>
    <w:p w14:paraId="564D72C0">
      <w:pPr>
        <w:snapToGrid w:val="0"/>
        <w:spacing w:before="156" w:beforeLines="50" w:after="50"/>
        <w:ind w:firstLine="2530" w:firstLineChars="900"/>
        <w:rPr>
          <w:rFonts w:hint="default"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rPr>
        <w:t>项目编号：</w:t>
      </w:r>
      <w:r>
        <w:rPr>
          <w:rFonts w:hint="eastAsia" w:ascii="宋体" w:hAnsi="宋体" w:cs="宋体"/>
          <w:b/>
          <w:bCs w:val="0"/>
          <w:color w:val="auto"/>
          <w:sz w:val="28"/>
          <w:szCs w:val="28"/>
          <w:highlight w:val="none"/>
          <w:u w:val="single"/>
          <w:lang w:val="en-US" w:eastAsia="zh-CN"/>
        </w:rPr>
        <w:t xml:space="preserve">                       </w:t>
      </w:r>
    </w:p>
    <w:p w14:paraId="78C478FD">
      <w:pPr>
        <w:rPr>
          <w:rFonts w:hint="eastAsia" w:ascii="宋体" w:hAnsi="宋体" w:eastAsia="宋体" w:cs="宋体"/>
          <w:b/>
          <w:color w:val="auto"/>
          <w:highlight w:val="none"/>
        </w:rPr>
      </w:pPr>
    </w:p>
    <w:p w14:paraId="278FF94C">
      <w:pPr>
        <w:spacing w:line="400" w:lineRule="exact"/>
        <w:ind w:firstLine="2704" w:firstLineChars="962"/>
        <w:rPr>
          <w:rFonts w:hint="eastAsia" w:ascii="宋体" w:hAnsi="宋体" w:eastAsia="宋体" w:cs="宋体"/>
          <w:b/>
          <w:color w:val="auto"/>
          <w:sz w:val="28"/>
          <w:szCs w:val="28"/>
          <w:highlight w:val="none"/>
        </w:rPr>
      </w:pPr>
    </w:p>
    <w:p w14:paraId="5D14B945">
      <w:pPr>
        <w:pStyle w:val="30"/>
        <w:rPr>
          <w:rFonts w:hint="eastAsia" w:ascii="宋体" w:hAnsi="宋体" w:eastAsia="宋体" w:cs="宋体"/>
          <w:b/>
          <w:color w:val="auto"/>
          <w:sz w:val="28"/>
          <w:szCs w:val="28"/>
          <w:highlight w:val="none"/>
        </w:rPr>
      </w:pPr>
    </w:p>
    <w:p w14:paraId="14F7BDFC">
      <w:pPr>
        <w:pStyle w:val="30"/>
        <w:rPr>
          <w:rFonts w:hint="eastAsia" w:ascii="宋体" w:hAnsi="宋体" w:eastAsia="宋体" w:cs="宋体"/>
          <w:b/>
          <w:color w:val="auto"/>
          <w:sz w:val="28"/>
          <w:szCs w:val="28"/>
          <w:highlight w:val="none"/>
        </w:rPr>
      </w:pPr>
    </w:p>
    <w:p w14:paraId="2FCD4D5A">
      <w:pPr>
        <w:snapToGrid w:val="0"/>
        <w:spacing w:before="156" w:beforeLines="50" w:after="50"/>
        <w:rPr>
          <w:rFonts w:hint="eastAsia" w:ascii="宋体" w:hAnsi="宋体" w:eastAsia="宋体" w:cs="宋体"/>
          <w:b/>
          <w:color w:val="auto"/>
          <w:sz w:val="28"/>
          <w:szCs w:val="28"/>
          <w:highlight w:val="none"/>
        </w:rPr>
      </w:pPr>
    </w:p>
    <w:p w14:paraId="4FA4D0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6720D9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7305B6E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p>
    <w:p w14:paraId="2DD19A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购代理机构：</w:t>
      </w:r>
      <w:r>
        <w:rPr>
          <w:rFonts w:hint="eastAsia" w:ascii="宋体" w:hAnsi="宋体" w:eastAsia="宋体" w:cs="宋体"/>
          <w:bCs/>
          <w:color w:val="auto"/>
          <w:kern w:val="2"/>
          <w:sz w:val="24"/>
          <w:szCs w:val="24"/>
          <w:highlight w:val="none"/>
          <w:u w:val="single"/>
          <w:lang w:val="en-US" w:eastAsia="zh-CN" w:bidi="ar-SA"/>
        </w:rPr>
        <w:t xml:space="preserve"> </w:t>
      </w:r>
      <w:r>
        <w:rPr>
          <w:rFonts w:hint="eastAsia" w:ascii="宋体" w:hAnsi="宋体" w:cs="宋体"/>
          <w:bCs/>
          <w:color w:val="auto"/>
          <w:kern w:val="2"/>
          <w:sz w:val="24"/>
          <w:szCs w:val="24"/>
          <w:highlight w:val="none"/>
          <w:u w:val="single"/>
          <w:lang w:val="en-US" w:eastAsia="zh-CN" w:bidi="ar-SA"/>
        </w:rPr>
        <w:t>广西中承建设工程咨询有限公司</w:t>
      </w:r>
      <w:r>
        <w:rPr>
          <w:rFonts w:hint="eastAsia" w:ascii="宋体" w:hAnsi="宋体" w:eastAsia="宋体" w:cs="宋体"/>
          <w:bCs/>
          <w:color w:val="auto"/>
          <w:kern w:val="2"/>
          <w:sz w:val="24"/>
          <w:szCs w:val="24"/>
          <w:highlight w:val="none"/>
          <w:lang w:val="en-US" w:eastAsia="zh-CN" w:bidi="ar-SA"/>
        </w:rPr>
        <w:t xml:space="preserve">  </w:t>
      </w:r>
    </w:p>
    <w:p w14:paraId="6B26A400">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highlight w:val="none"/>
        </w:rPr>
      </w:pPr>
      <w:bookmarkStart w:id="1792" w:name="_Toc20319_WPSOffice_Level2"/>
      <w:bookmarkStart w:id="1793" w:name="_Toc4932_WPSOffice_Level2"/>
      <w:r>
        <w:rPr>
          <w:rFonts w:hint="eastAsia" w:ascii="宋体" w:hAnsi="宋体" w:eastAsia="宋体" w:cs="宋体"/>
          <w:bCs/>
          <w:color w:val="auto"/>
          <w:kern w:val="2"/>
          <w:sz w:val="24"/>
          <w:szCs w:val="24"/>
          <w:highlight w:val="none"/>
          <w:lang w:val="en-US" w:eastAsia="zh-CN" w:bidi="ar-SA"/>
        </w:rPr>
        <w:t xml:space="preserve">磋商供应商[公章(CA签章)、自然人除外]：  </w:t>
      </w:r>
      <w:r>
        <w:rPr>
          <w:rFonts w:hint="eastAsia" w:ascii="宋体" w:hAnsi="宋体" w:eastAsia="宋体" w:cs="宋体"/>
          <w:bCs/>
          <w:color w:val="auto"/>
          <w:sz w:val="24"/>
          <w:szCs w:val="24"/>
          <w:highlight w:val="none"/>
          <w:u w:val="single"/>
        </w:rPr>
        <w:t xml:space="preserve">                     </w:t>
      </w:r>
      <w:bookmarkEnd w:id="1792"/>
      <w:bookmarkEnd w:id="1793"/>
      <w:r>
        <w:rPr>
          <w:rFonts w:hint="eastAsia" w:ascii="宋体" w:hAnsi="宋体" w:eastAsia="宋体" w:cs="宋体"/>
          <w:bCs/>
          <w:color w:val="auto"/>
          <w:sz w:val="24"/>
          <w:szCs w:val="24"/>
          <w:highlight w:val="none"/>
          <w:u w:val="single"/>
        </w:rPr>
        <w:t xml:space="preserve">    </w:t>
      </w:r>
    </w:p>
    <w:p w14:paraId="389AA4BC">
      <w:pPr>
        <w:pStyle w:val="11"/>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1794" w:name="_Toc9622_WPSOffice_Level2"/>
      <w:bookmarkStart w:id="1795"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14:paraId="443B8919">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14:paraId="028FCF36">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794"/>
      <w:bookmarkEnd w:id="1795"/>
      <w:r>
        <w:rPr>
          <w:rFonts w:hint="eastAsia" w:ascii="宋体" w:hAnsi="宋体" w:eastAsia="宋体" w:cs="宋体"/>
          <w:bCs/>
          <w:color w:val="auto"/>
          <w:sz w:val="24"/>
          <w:szCs w:val="24"/>
          <w:highlight w:val="none"/>
          <w:u w:val="single"/>
        </w:rPr>
        <w:t xml:space="preserve">                         </w:t>
      </w:r>
    </w:p>
    <w:p w14:paraId="35D0FD7F">
      <w:pPr>
        <w:pStyle w:val="9"/>
        <w:keepNext w:val="0"/>
        <w:keepLines w:val="0"/>
        <w:pageBreakBefore w:val="0"/>
        <w:widowControl w:val="0"/>
        <w:kinsoku/>
        <w:wordWrap/>
        <w:overflowPunct/>
        <w:topLinePunct w:val="0"/>
        <w:autoSpaceDE/>
        <w:autoSpaceDN/>
        <w:bidi w:val="0"/>
        <w:adjustRightInd/>
        <w:snapToGrid/>
        <w:spacing w:line="360" w:lineRule="auto"/>
        <w:ind w:left="980" w:hanging="480" w:hangingChars="200"/>
        <w:textAlignment w:val="auto"/>
        <w:rPr>
          <w:rFonts w:hint="eastAsia" w:ascii="宋体" w:hAnsi="宋体" w:eastAsia="宋体" w:cs="宋体"/>
          <w:bCs/>
          <w:color w:val="auto"/>
          <w:sz w:val="24"/>
          <w:szCs w:val="24"/>
          <w:highlight w:val="none"/>
        </w:rPr>
      </w:pPr>
      <w:bookmarkStart w:id="1796" w:name="_Toc15933_WPSOffice_Level2"/>
      <w:bookmarkStart w:id="1797"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796"/>
      <w:bookmarkEnd w:id="1797"/>
    </w:p>
    <w:p w14:paraId="2B498CB7">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63E80BA0">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14:paraId="7FD95E61">
      <w:pPr>
        <w:numPr>
          <w:ilvl w:val="0"/>
          <w:numId w:val="12"/>
        </w:numPr>
        <w:rPr>
          <w:rFonts w:hint="eastAsia" w:ascii="宋体" w:hAnsi="宋体" w:eastAsia="宋体" w:cs="宋体"/>
          <w:b/>
          <w:bCs/>
          <w:color w:val="auto"/>
          <w:sz w:val="32"/>
          <w:szCs w:val="32"/>
          <w:highlight w:val="none"/>
        </w:rPr>
      </w:pPr>
      <w:bookmarkStart w:id="1798" w:name="_Toc497927070"/>
      <w:bookmarkStart w:id="1799" w:name="_Toc19430"/>
      <w:bookmarkStart w:id="1800" w:name="_Toc21615"/>
      <w:r>
        <w:rPr>
          <w:rFonts w:hint="eastAsia" w:ascii="宋体" w:hAnsi="宋体" w:eastAsia="宋体" w:cs="宋体"/>
          <w:b/>
          <w:bCs/>
          <w:color w:val="auto"/>
          <w:sz w:val="32"/>
          <w:szCs w:val="32"/>
          <w:highlight w:val="none"/>
        </w:rPr>
        <w:t>响应文件组成</w:t>
      </w:r>
      <w:bookmarkEnd w:id="1798"/>
      <w:bookmarkEnd w:id="1799"/>
      <w:bookmarkEnd w:id="1800"/>
    </w:p>
    <w:p w14:paraId="36ADF851">
      <w:pPr>
        <w:pStyle w:val="8"/>
        <w:numPr>
          <w:ilvl w:val="0"/>
          <w:numId w:val="0"/>
        </w:numPr>
        <w:rPr>
          <w:rFonts w:hint="eastAsia" w:ascii="宋体" w:hAnsi="宋体" w:eastAsia="宋体" w:cs="宋体"/>
          <w:color w:val="auto"/>
          <w:highlight w:val="none"/>
        </w:rPr>
      </w:pPr>
    </w:p>
    <w:p w14:paraId="5459A309">
      <w:pPr>
        <w:pStyle w:val="8"/>
        <w:numPr>
          <w:ilvl w:val="0"/>
          <w:numId w:val="0"/>
        </w:numPr>
        <w:rPr>
          <w:rFonts w:hint="eastAsia" w:ascii="宋体" w:hAnsi="宋体" w:eastAsia="宋体" w:cs="宋体"/>
          <w:color w:val="auto"/>
          <w:highlight w:val="none"/>
        </w:rPr>
      </w:pPr>
    </w:p>
    <w:p w14:paraId="3C12E616">
      <w:pPr>
        <w:numPr>
          <w:ilvl w:val="0"/>
          <w:numId w:val="0"/>
        </w:numPr>
        <w:spacing w:line="400" w:lineRule="exact"/>
        <w:rPr>
          <w:rFonts w:hint="eastAsia" w:ascii="宋体" w:hAnsi="宋体" w:eastAsia="宋体" w:cs="宋体"/>
          <w:b/>
          <w:bCs/>
          <w:color w:val="auto"/>
          <w:sz w:val="28"/>
          <w:szCs w:val="28"/>
          <w:highlight w:val="none"/>
        </w:rPr>
      </w:pPr>
    </w:p>
    <w:p w14:paraId="37A23D38">
      <w:pPr>
        <w:pStyle w:val="8"/>
        <w:rPr>
          <w:rFonts w:hint="eastAsia" w:ascii="宋体" w:hAnsi="宋体" w:eastAsia="宋体" w:cs="宋体"/>
          <w:b/>
          <w:bCs/>
          <w:color w:val="auto"/>
          <w:sz w:val="28"/>
          <w:szCs w:val="28"/>
          <w:highlight w:val="none"/>
          <w:lang w:eastAsia="zh-CN"/>
        </w:rPr>
      </w:pPr>
    </w:p>
    <w:p w14:paraId="7F58D840">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资格性响应证明材料</w:t>
      </w:r>
    </w:p>
    <w:p w14:paraId="51AA3B06">
      <w:pPr>
        <w:pStyle w:val="8"/>
        <w:rPr>
          <w:rFonts w:hint="eastAsia" w:ascii="宋体" w:hAnsi="宋体" w:eastAsia="宋体" w:cs="宋体"/>
          <w:b/>
          <w:bCs/>
          <w:color w:val="auto"/>
          <w:sz w:val="28"/>
          <w:szCs w:val="28"/>
          <w:highlight w:val="none"/>
        </w:rPr>
      </w:pPr>
    </w:p>
    <w:p w14:paraId="165FD479">
      <w:pPr>
        <w:pStyle w:val="8"/>
        <w:rPr>
          <w:rFonts w:hint="eastAsia" w:ascii="宋体" w:hAnsi="宋体" w:eastAsia="宋体" w:cs="宋体"/>
          <w:b/>
          <w:bCs/>
          <w:color w:val="auto"/>
          <w:sz w:val="28"/>
          <w:szCs w:val="28"/>
          <w:highlight w:val="none"/>
        </w:rPr>
      </w:pPr>
    </w:p>
    <w:p w14:paraId="1C611728">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符合性响应证明材料</w:t>
      </w:r>
    </w:p>
    <w:p w14:paraId="1892BC43">
      <w:pPr>
        <w:pStyle w:val="8"/>
        <w:rPr>
          <w:rFonts w:hint="eastAsia" w:ascii="宋体" w:hAnsi="宋体" w:eastAsia="宋体" w:cs="宋体"/>
          <w:b/>
          <w:bCs/>
          <w:color w:val="auto"/>
          <w:sz w:val="28"/>
          <w:szCs w:val="28"/>
          <w:highlight w:val="none"/>
        </w:rPr>
      </w:pPr>
    </w:p>
    <w:p w14:paraId="5A795E50">
      <w:pPr>
        <w:pStyle w:val="8"/>
        <w:rPr>
          <w:rFonts w:hint="eastAsia" w:ascii="宋体" w:hAnsi="宋体" w:eastAsia="宋体" w:cs="宋体"/>
          <w:b/>
          <w:bCs/>
          <w:color w:val="auto"/>
          <w:sz w:val="28"/>
          <w:szCs w:val="28"/>
          <w:highlight w:val="none"/>
        </w:rPr>
      </w:pPr>
    </w:p>
    <w:p w14:paraId="051A3E09">
      <w:pPr>
        <w:numPr>
          <w:ilvl w:val="0"/>
          <w:numId w:val="9"/>
        </w:numPr>
        <w:spacing w:line="400" w:lineRule="exact"/>
        <w:ind w:firstLine="568" w:firstLineChars="20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w:t>
      </w:r>
      <w:r>
        <w:rPr>
          <w:rFonts w:hint="eastAsia" w:ascii="宋体" w:hAnsi="宋体" w:eastAsia="宋体" w:cs="宋体"/>
          <w:b/>
          <w:bCs/>
          <w:color w:val="auto"/>
          <w:sz w:val="28"/>
          <w:szCs w:val="28"/>
          <w:highlight w:val="none"/>
          <w:lang w:eastAsia="zh-CN"/>
        </w:rPr>
        <w:t>他</w:t>
      </w:r>
      <w:r>
        <w:rPr>
          <w:rFonts w:hint="eastAsia" w:ascii="宋体" w:hAnsi="宋体" w:eastAsia="宋体" w:cs="宋体"/>
          <w:b/>
          <w:bCs/>
          <w:color w:val="auto"/>
          <w:sz w:val="28"/>
          <w:szCs w:val="28"/>
          <w:highlight w:val="none"/>
        </w:rPr>
        <w:t>有效证明材料</w:t>
      </w:r>
    </w:p>
    <w:p w14:paraId="0763DBB2">
      <w:pPr>
        <w:pStyle w:val="30"/>
        <w:rPr>
          <w:rFonts w:hint="eastAsia" w:ascii="宋体" w:hAnsi="宋体" w:eastAsia="宋体" w:cs="宋体"/>
          <w:color w:val="auto"/>
          <w:highlight w:val="none"/>
        </w:rPr>
      </w:pPr>
    </w:p>
    <w:p w14:paraId="5EBAE58E">
      <w:pPr>
        <w:tabs>
          <w:tab w:val="left" w:pos="5040"/>
        </w:tabs>
        <w:spacing w:line="400" w:lineRule="exact"/>
        <w:rPr>
          <w:rFonts w:hint="eastAsia" w:ascii="宋体" w:hAnsi="宋体" w:eastAsia="宋体" w:cs="宋体"/>
          <w:color w:val="auto"/>
          <w:szCs w:val="21"/>
          <w:highlight w:val="none"/>
        </w:rPr>
      </w:pPr>
    </w:p>
    <w:p w14:paraId="1AD3B57F">
      <w:pPr>
        <w:pStyle w:val="8"/>
        <w:rPr>
          <w:rFonts w:hint="eastAsia" w:ascii="宋体" w:hAnsi="宋体" w:eastAsia="宋体" w:cs="宋体"/>
          <w:color w:val="auto"/>
          <w:szCs w:val="21"/>
          <w:highlight w:val="none"/>
        </w:rPr>
      </w:pPr>
    </w:p>
    <w:p w14:paraId="1A57D374">
      <w:pPr>
        <w:pStyle w:val="8"/>
        <w:rPr>
          <w:rFonts w:hint="eastAsia" w:ascii="宋体" w:hAnsi="宋体" w:eastAsia="宋体" w:cs="宋体"/>
          <w:color w:val="auto"/>
          <w:szCs w:val="21"/>
          <w:highlight w:val="none"/>
        </w:rPr>
      </w:pPr>
    </w:p>
    <w:p w14:paraId="73A32183">
      <w:pPr>
        <w:pStyle w:val="8"/>
        <w:rPr>
          <w:rFonts w:hint="eastAsia" w:ascii="宋体" w:hAnsi="宋体" w:eastAsia="宋体" w:cs="宋体"/>
          <w:color w:val="auto"/>
          <w:szCs w:val="21"/>
          <w:highlight w:val="none"/>
        </w:rPr>
      </w:pPr>
    </w:p>
    <w:p w14:paraId="568BD1FA">
      <w:pPr>
        <w:pStyle w:val="8"/>
        <w:rPr>
          <w:rFonts w:hint="eastAsia" w:ascii="宋体" w:hAnsi="宋体" w:eastAsia="宋体" w:cs="宋体"/>
          <w:color w:val="auto"/>
          <w:szCs w:val="21"/>
          <w:highlight w:val="none"/>
        </w:rPr>
      </w:pPr>
    </w:p>
    <w:p w14:paraId="2F080A21">
      <w:pPr>
        <w:rPr>
          <w:rFonts w:hint="eastAsia" w:ascii="宋体" w:hAnsi="宋体" w:eastAsia="宋体" w:cs="宋体"/>
          <w:color w:val="auto"/>
          <w:szCs w:val="21"/>
          <w:highlight w:val="none"/>
        </w:rPr>
      </w:pPr>
    </w:p>
    <w:p w14:paraId="325EC86C">
      <w:pPr>
        <w:pStyle w:val="30"/>
        <w:rPr>
          <w:rFonts w:hint="eastAsia" w:ascii="宋体" w:hAnsi="宋体" w:eastAsia="宋体" w:cs="宋体"/>
          <w:color w:val="auto"/>
          <w:szCs w:val="21"/>
          <w:highlight w:val="none"/>
        </w:rPr>
      </w:pPr>
    </w:p>
    <w:p w14:paraId="4644628C">
      <w:pPr>
        <w:pStyle w:val="30"/>
        <w:rPr>
          <w:rFonts w:hint="eastAsia" w:ascii="宋体" w:hAnsi="宋体" w:eastAsia="宋体" w:cs="宋体"/>
          <w:color w:val="auto"/>
          <w:szCs w:val="21"/>
          <w:highlight w:val="none"/>
        </w:rPr>
      </w:pPr>
    </w:p>
    <w:p w14:paraId="5B3F6616">
      <w:pPr>
        <w:pStyle w:val="30"/>
        <w:rPr>
          <w:rFonts w:hint="eastAsia" w:ascii="宋体" w:hAnsi="宋体" w:eastAsia="宋体" w:cs="宋体"/>
          <w:color w:val="auto"/>
          <w:szCs w:val="21"/>
          <w:highlight w:val="none"/>
        </w:rPr>
      </w:pPr>
    </w:p>
    <w:p w14:paraId="53BC5248">
      <w:pPr>
        <w:pStyle w:val="30"/>
        <w:rPr>
          <w:rFonts w:hint="eastAsia" w:ascii="宋体" w:hAnsi="宋体" w:eastAsia="宋体" w:cs="宋体"/>
          <w:color w:val="auto"/>
          <w:szCs w:val="21"/>
          <w:highlight w:val="none"/>
        </w:rPr>
      </w:pPr>
    </w:p>
    <w:p w14:paraId="16A83889">
      <w:pPr>
        <w:pStyle w:val="30"/>
        <w:rPr>
          <w:rFonts w:hint="eastAsia" w:ascii="宋体" w:hAnsi="宋体" w:eastAsia="宋体" w:cs="宋体"/>
          <w:color w:val="auto"/>
          <w:szCs w:val="21"/>
          <w:highlight w:val="none"/>
        </w:rPr>
      </w:pPr>
    </w:p>
    <w:p w14:paraId="262E5553">
      <w:pPr>
        <w:pStyle w:val="30"/>
        <w:rPr>
          <w:rFonts w:hint="eastAsia" w:ascii="宋体" w:hAnsi="宋体" w:eastAsia="宋体" w:cs="宋体"/>
          <w:color w:val="auto"/>
          <w:szCs w:val="21"/>
          <w:highlight w:val="none"/>
        </w:rPr>
      </w:pPr>
    </w:p>
    <w:p w14:paraId="21441E8D">
      <w:pPr>
        <w:pStyle w:val="30"/>
        <w:rPr>
          <w:rFonts w:hint="eastAsia" w:ascii="宋体" w:hAnsi="宋体" w:eastAsia="宋体" w:cs="宋体"/>
          <w:color w:val="auto"/>
          <w:szCs w:val="21"/>
          <w:highlight w:val="none"/>
        </w:rPr>
      </w:pPr>
    </w:p>
    <w:p w14:paraId="420D94AB">
      <w:pPr>
        <w:pStyle w:val="30"/>
        <w:rPr>
          <w:rFonts w:hint="eastAsia" w:ascii="宋体" w:hAnsi="宋体" w:eastAsia="宋体" w:cs="宋体"/>
          <w:color w:val="auto"/>
          <w:szCs w:val="21"/>
          <w:highlight w:val="none"/>
        </w:rPr>
      </w:pPr>
    </w:p>
    <w:p w14:paraId="12C2371A">
      <w:pPr>
        <w:pStyle w:val="30"/>
        <w:rPr>
          <w:rFonts w:hint="eastAsia" w:ascii="宋体" w:hAnsi="宋体" w:eastAsia="宋体" w:cs="宋体"/>
          <w:color w:val="auto"/>
          <w:szCs w:val="21"/>
          <w:highlight w:val="none"/>
        </w:rPr>
      </w:pPr>
    </w:p>
    <w:p w14:paraId="321D85C6">
      <w:pPr>
        <w:pStyle w:val="30"/>
        <w:rPr>
          <w:rFonts w:hint="eastAsia" w:ascii="宋体" w:hAnsi="宋体" w:eastAsia="宋体" w:cs="宋体"/>
          <w:color w:val="auto"/>
          <w:szCs w:val="21"/>
          <w:highlight w:val="none"/>
        </w:rPr>
      </w:pPr>
    </w:p>
    <w:p w14:paraId="6D8E4220">
      <w:pPr>
        <w:pStyle w:val="30"/>
        <w:rPr>
          <w:rFonts w:hint="eastAsia" w:ascii="宋体" w:hAnsi="宋体" w:eastAsia="宋体" w:cs="宋体"/>
          <w:color w:val="auto"/>
          <w:szCs w:val="21"/>
          <w:highlight w:val="none"/>
        </w:rPr>
      </w:pPr>
    </w:p>
    <w:p w14:paraId="1E3316A5">
      <w:pPr>
        <w:pStyle w:val="30"/>
        <w:rPr>
          <w:rFonts w:hint="eastAsia" w:ascii="宋体" w:hAnsi="宋体" w:eastAsia="宋体" w:cs="宋体"/>
          <w:color w:val="auto"/>
          <w:szCs w:val="21"/>
          <w:highlight w:val="none"/>
        </w:rPr>
      </w:pPr>
    </w:p>
    <w:p w14:paraId="1454651D">
      <w:pPr>
        <w:pStyle w:val="30"/>
        <w:rPr>
          <w:rFonts w:hint="eastAsia" w:ascii="宋体" w:hAnsi="宋体" w:eastAsia="宋体" w:cs="宋体"/>
          <w:color w:val="auto"/>
          <w:szCs w:val="21"/>
          <w:highlight w:val="none"/>
        </w:rPr>
      </w:pPr>
    </w:p>
    <w:p w14:paraId="5286BBA7">
      <w:pPr>
        <w:pStyle w:val="30"/>
        <w:rPr>
          <w:rFonts w:hint="eastAsia" w:ascii="宋体" w:hAnsi="宋体" w:eastAsia="宋体" w:cs="宋体"/>
          <w:color w:val="auto"/>
          <w:szCs w:val="21"/>
          <w:highlight w:val="none"/>
        </w:rPr>
      </w:pPr>
    </w:p>
    <w:p w14:paraId="38291A68">
      <w:pPr>
        <w:pStyle w:val="30"/>
        <w:rPr>
          <w:rFonts w:hint="eastAsia" w:ascii="宋体" w:hAnsi="宋体" w:eastAsia="宋体" w:cs="宋体"/>
          <w:color w:val="auto"/>
          <w:szCs w:val="21"/>
          <w:highlight w:val="none"/>
        </w:rPr>
      </w:pPr>
    </w:p>
    <w:p w14:paraId="5D713176">
      <w:pPr>
        <w:pStyle w:val="30"/>
        <w:rPr>
          <w:rFonts w:hint="eastAsia" w:ascii="宋体" w:hAnsi="宋体" w:eastAsia="宋体" w:cs="宋体"/>
          <w:color w:val="auto"/>
          <w:szCs w:val="21"/>
          <w:highlight w:val="none"/>
        </w:rPr>
      </w:pPr>
    </w:p>
    <w:p w14:paraId="13CB6A39">
      <w:pPr>
        <w:pStyle w:val="30"/>
        <w:rPr>
          <w:rFonts w:hint="eastAsia" w:ascii="宋体" w:hAnsi="宋体" w:eastAsia="宋体" w:cs="宋体"/>
          <w:color w:val="auto"/>
          <w:szCs w:val="21"/>
          <w:highlight w:val="none"/>
        </w:rPr>
      </w:pPr>
    </w:p>
    <w:p w14:paraId="0BE54D1F">
      <w:pPr>
        <w:pStyle w:val="30"/>
        <w:rPr>
          <w:rFonts w:hint="eastAsia" w:ascii="宋体" w:hAnsi="宋体" w:eastAsia="宋体" w:cs="宋体"/>
          <w:color w:val="auto"/>
          <w:szCs w:val="21"/>
          <w:highlight w:val="none"/>
        </w:rPr>
      </w:pPr>
    </w:p>
    <w:p w14:paraId="778C3DA6">
      <w:pPr>
        <w:pStyle w:val="5"/>
        <w:numPr>
          <w:ilvl w:val="0"/>
          <w:numId w:val="0"/>
        </w:numPr>
        <w:jc w:val="center"/>
        <w:rPr>
          <w:rFonts w:hint="eastAsia" w:ascii="宋体" w:hAnsi="宋体" w:eastAsia="宋体" w:cs="宋体"/>
          <w:color w:val="auto"/>
          <w:sz w:val="32"/>
          <w:szCs w:val="32"/>
          <w:highlight w:val="none"/>
          <w:lang w:eastAsia="zh-CN"/>
        </w:rPr>
      </w:pPr>
      <w:bookmarkStart w:id="1801" w:name="_Toc7185"/>
      <w:bookmarkStart w:id="1802" w:name="_Toc11067"/>
      <w:bookmarkStart w:id="1803" w:name="_Toc497927071"/>
      <w:r>
        <w:rPr>
          <w:rFonts w:hint="eastAsia" w:ascii="宋体" w:hAnsi="宋体" w:eastAsia="宋体" w:cs="宋体"/>
          <w:color w:val="auto"/>
          <w:sz w:val="32"/>
          <w:szCs w:val="32"/>
          <w:highlight w:val="none"/>
          <w:lang w:eastAsia="zh-CN"/>
        </w:rPr>
        <w:t>（</w:t>
      </w:r>
      <w:r>
        <w:rPr>
          <w:rFonts w:hint="eastAsia" w:ascii="宋体" w:hAnsi="宋体" w:cs="宋体"/>
          <w:color w:val="auto"/>
          <w:sz w:val="32"/>
          <w:szCs w:val="32"/>
          <w:highlight w:val="none"/>
          <w:lang w:eastAsia="zh-CN"/>
        </w:rPr>
        <w:t>一</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资格性响应证明材料目录</w:t>
      </w:r>
      <w:bookmarkEnd w:id="1801"/>
      <w:bookmarkEnd w:id="1802"/>
      <w:bookmarkEnd w:id="1803"/>
      <w:r>
        <w:rPr>
          <w:rFonts w:hint="eastAsia" w:ascii="宋体" w:hAnsi="宋体" w:eastAsia="宋体" w:cs="宋体"/>
          <w:color w:val="auto"/>
          <w:sz w:val="32"/>
          <w:szCs w:val="32"/>
          <w:highlight w:val="none"/>
          <w:lang w:eastAsia="zh-CN"/>
        </w:rPr>
        <w:t>（根据所提供内容自行编写）</w:t>
      </w:r>
    </w:p>
    <w:p w14:paraId="61FCE4CB">
      <w:pPr>
        <w:rPr>
          <w:rFonts w:hint="eastAsia" w:ascii="宋体" w:hAnsi="宋体" w:eastAsia="宋体" w:cs="宋体"/>
          <w:color w:val="auto"/>
          <w:highlight w:val="none"/>
        </w:rPr>
      </w:pPr>
    </w:p>
    <w:p w14:paraId="228BC364">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0961CDA7">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14:paraId="6210BB20">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14:paraId="71B2F12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14:paraId="67F36BF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14:paraId="0B8C00A3">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14:paraId="455E9BDA">
      <w:pPr>
        <w:keepLines w:val="0"/>
        <w:pageBreakBefore w:val="0"/>
        <w:widowControl w:val="0"/>
        <w:tabs>
          <w:tab w:val="left" w:pos="357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14:paraId="2B6BB989">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供应商的法人或者其他组织营业执照等证明文件复印件</w:t>
      </w:r>
      <w:r>
        <w:rPr>
          <w:rFonts w:hint="eastAsia" w:ascii="宋体" w:hAnsi="宋体" w:eastAsia="宋体" w:cs="宋体"/>
          <w:b/>
          <w:bCs w:val="0"/>
          <w:color w:val="auto"/>
          <w:kern w:val="0"/>
          <w:szCs w:val="21"/>
          <w:highlight w:val="none"/>
        </w:rPr>
        <w:t>（必须提供，自然人除外）</w:t>
      </w:r>
      <w:r>
        <w:rPr>
          <w:rFonts w:hint="eastAsia" w:ascii="宋体" w:hAnsi="宋体" w:eastAsia="宋体" w:cs="宋体"/>
          <w:bCs/>
          <w:color w:val="auto"/>
          <w:kern w:val="0"/>
          <w:szCs w:val="21"/>
          <w:highlight w:val="none"/>
        </w:rPr>
        <w:t>；</w:t>
      </w:r>
    </w:p>
    <w:p w14:paraId="368ED862">
      <w:pPr>
        <w:numPr>
          <w:ilvl w:val="0"/>
          <w:numId w:val="0"/>
        </w:numPr>
        <w:spacing w:line="360" w:lineRule="auto"/>
        <w:ind w:leftChars="200"/>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供应商有效的资质证书复印件</w:t>
      </w:r>
      <w:r>
        <w:rPr>
          <w:rFonts w:hint="eastAsia" w:ascii="宋体" w:hAnsi="宋体" w:eastAsia="宋体" w:cs="宋体"/>
          <w:b/>
          <w:bCs w:val="0"/>
          <w:color w:val="auto"/>
          <w:kern w:val="0"/>
          <w:szCs w:val="21"/>
          <w:highlight w:val="none"/>
          <w:lang w:val="en-US" w:eastAsia="zh-CN"/>
        </w:rPr>
        <w:t>（必须提供）</w:t>
      </w:r>
      <w:r>
        <w:rPr>
          <w:rFonts w:hint="eastAsia" w:ascii="宋体" w:hAnsi="宋体" w:eastAsia="宋体" w:cs="宋体"/>
          <w:bCs/>
          <w:color w:val="auto"/>
          <w:kern w:val="0"/>
          <w:szCs w:val="21"/>
          <w:highlight w:val="none"/>
          <w:lang w:val="en-US" w:eastAsia="zh-CN"/>
        </w:rPr>
        <w:t>；</w:t>
      </w:r>
    </w:p>
    <w:p w14:paraId="02CB9AE7">
      <w:pPr>
        <w:numPr>
          <w:ilvl w:val="0"/>
          <w:numId w:val="0"/>
        </w:numPr>
        <w:spacing w:line="360" w:lineRule="auto"/>
        <w:ind w:leftChars="200"/>
        <w:rPr>
          <w:rFonts w:hint="eastAsia" w:ascii="宋体" w:hAnsi="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r>
        <w:rPr>
          <w:rFonts w:hint="eastAsia" w:ascii="宋体" w:hAnsi="宋体" w:eastAsia="宋体" w:cs="宋体"/>
          <w:bCs/>
          <w:color w:val="auto"/>
          <w:kern w:val="0"/>
          <w:szCs w:val="21"/>
          <w:highlight w:val="none"/>
        </w:rPr>
        <w:t>；</w:t>
      </w:r>
    </w:p>
    <w:p w14:paraId="3D579043">
      <w:pPr>
        <w:numPr>
          <w:ilvl w:val="0"/>
          <w:numId w:val="0"/>
        </w:numPr>
        <w:spacing w:line="360" w:lineRule="auto"/>
        <w:ind w:leftChars="200"/>
        <w:rPr>
          <w:rFonts w:hint="eastAsia" w:ascii="宋体" w:hAnsi="宋体" w:cs="宋体"/>
          <w:color w:val="auto"/>
          <w:sz w:val="21"/>
          <w:szCs w:val="21"/>
          <w:highlight w:val="none"/>
          <w:lang w:val="en-US" w:eastAsia="zh-CN"/>
        </w:rPr>
      </w:pPr>
      <w:r>
        <w:rPr>
          <w:rFonts w:hint="eastAsia" w:ascii="宋体" w:hAnsi="宋体" w:cs="宋体"/>
          <w:bCs/>
          <w:color w:val="auto"/>
          <w:kern w:val="0"/>
          <w:szCs w:val="21"/>
          <w:highlight w:val="none"/>
          <w:lang w:val="en-US" w:eastAsia="zh-CN"/>
        </w:rPr>
        <w:t>7.</w:t>
      </w:r>
      <w:r>
        <w:rPr>
          <w:rFonts w:hint="eastAsia" w:ascii="宋体" w:hAnsi="宋体" w:cs="宋体"/>
          <w:bCs/>
          <w:color w:val="auto"/>
          <w:kern w:val="0"/>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4B7F11AA">
      <w:pPr>
        <w:numPr>
          <w:ilvl w:val="0"/>
          <w:numId w:val="0"/>
        </w:numPr>
        <w:spacing w:line="360" w:lineRule="auto"/>
        <w:ind w:left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Cs w:val="21"/>
          <w:highlight w:val="none"/>
          <w:lang w:eastAsia="zh-CN"/>
        </w:rPr>
        <w:t>供应商2023年度以来财务状况报告</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Cs w:val="21"/>
          <w:highlight w:val="none"/>
          <w:lang w:eastAsia="zh-CN"/>
        </w:rPr>
        <w:t>，</w:t>
      </w:r>
      <w:r>
        <w:rPr>
          <w:rFonts w:ascii="宋体" w:hAnsi="宋体" w:cs="宋体"/>
          <w:b/>
          <w:bCs/>
          <w:color w:val="auto"/>
          <w:szCs w:val="21"/>
          <w:highlight w:val="none"/>
        </w:rPr>
        <w:t>可</w:t>
      </w:r>
      <w:r>
        <w:rPr>
          <w:rFonts w:hint="eastAsia" w:ascii="宋体" w:hAnsi="宋体" w:cs="宋体"/>
          <w:b/>
          <w:bCs/>
          <w:color w:val="auto"/>
          <w:szCs w:val="21"/>
          <w:highlight w:val="none"/>
          <w:lang w:eastAsia="zh-CN"/>
        </w:rPr>
        <w:t>以是磋商供应商</w:t>
      </w:r>
      <w:r>
        <w:rPr>
          <w:rFonts w:ascii="宋体" w:hAnsi="宋体" w:cs="宋体"/>
          <w:b/>
          <w:bCs/>
          <w:color w:val="auto"/>
          <w:szCs w:val="21"/>
          <w:highlight w:val="none"/>
        </w:rPr>
        <w:t>自行编制也可</w:t>
      </w:r>
      <w:r>
        <w:rPr>
          <w:rFonts w:hint="eastAsia" w:ascii="宋体" w:hAnsi="宋体" w:cs="宋体"/>
          <w:b/>
          <w:bCs/>
          <w:color w:val="auto"/>
          <w:szCs w:val="21"/>
          <w:highlight w:val="none"/>
          <w:lang w:eastAsia="zh-CN"/>
        </w:rPr>
        <w:t>是</w:t>
      </w:r>
      <w:r>
        <w:rPr>
          <w:rFonts w:ascii="宋体" w:hAnsi="宋体" w:cs="宋体"/>
          <w:b/>
          <w:bCs/>
          <w:color w:val="auto"/>
          <w:szCs w:val="21"/>
          <w:highlight w:val="none"/>
        </w:rPr>
        <w:t>通过</w:t>
      </w:r>
      <w:r>
        <w:rPr>
          <w:rFonts w:hint="eastAsia" w:ascii="宋体" w:hAnsi="宋体" w:cs="宋体"/>
          <w:b/>
          <w:bCs/>
          <w:color w:val="auto"/>
          <w:szCs w:val="21"/>
          <w:highlight w:val="none"/>
          <w:lang w:eastAsia="zh-CN"/>
        </w:rPr>
        <w:t>第三方</w:t>
      </w:r>
      <w:r>
        <w:rPr>
          <w:rFonts w:ascii="宋体" w:hAnsi="宋体" w:cs="宋体"/>
          <w:b/>
          <w:bCs/>
          <w:color w:val="auto"/>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14:paraId="096EFC7A">
      <w:pPr>
        <w:numPr>
          <w:ilvl w:val="0"/>
          <w:numId w:val="0"/>
        </w:num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14:paraId="2403751F">
      <w:pPr>
        <w:spacing w:line="440" w:lineRule="atLeast"/>
        <w:rPr>
          <w:rFonts w:hint="eastAsia" w:ascii="宋体" w:hAnsi="宋体" w:eastAsia="宋体" w:cs="宋体"/>
          <w:b/>
          <w:color w:val="auto"/>
          <w:sz w:val="28"/>
          <w:szCs w:val="28"/>
          <w:highlight w:val="none"/>
          <w:lang w:val="en-US" w:eastAsia="zh-CN"/>
        </w:rPr>
      </w:pPr>
    </w:p>
    <w:p w14:paraId="0D4E50F5">
      <w:pPr>
        <w:spacing w:line="440" w:lineRule="atLeast"/>
        <w:rPr>
          <w:rFonts w:hint="eastAsia" w:ascii="宋体" w:hAnsi="宋体" w:eastAsia="宋体" w:cs="宋体"/>
          <w:b/>
          <w:color w:val="auto"/>
          <w:sz w:val="28"/>
          <w:szCs w:val="28"/>
          <w:highlight w:val="none"/>
          <w:lang w:val="en-US" w:eastAsia="zh-CN"/>
        </w:rPr>
      </w:pPr>
    </w:p>
    <w:p w14:paraId="6210933D">
      <w:pPr>
        <w:spacing w:line="440" w:lineRule="atLeast"/>
        <w:rPr>
          <w:rFonts w:hint="eastAsia" w:ascii="宋体" w:hAnsi="宋体" w:eastAsia="宋体" w:cs="宋体"/>
          <w:b/>
          <w:color w:val="auto"/>
          <w:sz w:val="28"/>
          <w:szCs w:val="28"/>
          <w:highlight w:val="none"/>
          <w:lang w:val="en-US" w:eastAsia="zh-CN"/>
        </w:rPr>
      </w:pPr>
    </w:p>
    <w:p w14:paraId="10AD8EC1">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09A89891">
      <w:pPr>
        <w:numPr>
          <w:ilvl w:val="0"/>
          <w:numId w:val="13"/>
        </w:num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供应商相应的法定代表人、负责人、自然人身份证正反两面复印件（必须提供）；</w:t>
      </w:r>
    </w:p>
    <w:p w14:paraId="3C54F7FA">
      <w:pPr>
        <w:pStyle w:val="2"/>
        <w:numPr>
          <w:ilvl w:val="0"/>
          <w:numId w:val="0"/>
        </w:numPr>
        <w:rPr>
          <w:rFonts w:hint="eastAsia"/>
          <w:color w:val="auto"/>
          <w:highlight w:val="none"/>
        </w:rPr>
      </w:pPr>
    </w:p>
    <w:p w14:paraId="4061D00C">
      <w:pPr>
        <w:rPr>
          <w:rFonts w:hint="eastAsia"/>
          <w:color w:val="auto"/>
          <w:highlight w:val="none"/>
        </w:rPr>
      </w:pPr>
    </w:p>
    <w:p w14:paraId="087F8253">
      <w:pPr>
        <w:spacing w:line="440" w:lineRule="atLeast"/>
        <w:rPr>
          <w:rFonts w:hint="eastAsia" w:ascii="宋体" w:hAnsi="宋体" w:eastAsia="宋体" w:cs="宋体"/>
          <w:b/>
          <w:color w:val="auto"/>
          <w:sz w:val="28"/>
          <w:szCs w:val="28"/>
          <w:highlight w:val="none"/>
        </w:rPr>
      </w:pPr>
    </w:p>
    <w:p w14:paraId="75150D72">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.供应商的授权委托书</w:t>
      </w:r>
      <w:r>
        <w:rPr>
          <w:rFonts w:hint="eastAsia" w:ascii="宋体" w:hAnsi="宋体" w:eastAsia="宋体" w:cs="宋体"/>
          <w:b/>
          <w:color w:val="auto"/>
          <w:sz w:val="28"/>
          <w:szCs w:val="28"/>
          <w:highlight w:val="none"/>
          <w:lang w:eastAsia="zh-CN"/>
        </w:rPr>
        <w:t>原件</w:t>
      </w:r>
      <w:r>
        <w:rPr>
          <w:rFonts w:hint="eastAsia" w:ascii="宋体" w:hAnsi="宋体" w:eastAsia="宋体" w:cs="宋体"/>
          <w:b/>
          <w:color w:val="auto"/>
          <w:sz w:val="28"/>
          <w:szCs w:val="28"/>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8"/>
          <w:szCs w:val="28"/>
          <w:highlight w:val="none"/>
          <w:lang w:eastAsia="zh-CN"/>
        </w:rPr>
        <w:t>（委托代理时必须提供）。</w:t>
      </w:r>
      <w:r>
        <w:rPr>
          <w:rFonts w:hint="eastAsia" w:ascii="宋体" w:hAnsi="宋体" w:eastAsia="宋体" w:cs="宋体"/>
          <w:b/>
          <w:color w:val="auto"/>
          <w:sz w:val="28"/>
          <w:szCs w:val="28"/>
          <w:highlight w:val="none"/>
        </w:rPr>
        <w:t>除供应商为以下三种情形的：</w:t>
      </w:r>
    </w:p>
    <w:p w14:paraId="55B37CE1">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如供应商为截标时间前60日以内成立的公司，可以提供供应商与委托代理人签订的劳动合同复印件代替社保证明复印件；</w:t>
      </w:r>
    </w:p>
    <w:p w14:paraId="185CEE53">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（2）如供应商为事业单位，可以提供事业单位机构编制管理证复印件或事业单位机构为其发放工资的工资条复印件代替社保证明复印件；</w:t>
      </w:r>
    </w:p>
    <w:p w14:paraId="234ADDD9">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（3）如委托代理人为免缴纳社保人员，提供免缴纳社保的证明材料复印件及供应商与委托代理人签订的劳动合同复印件代替社保证明复印件。</w:t>
      </w:r>
    </w:p>
    <w:p w14:paraId="6A5DC00C">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属</w:t>
      </w:r>
      <w:r>
        <w:rPr>
          <w:rFonts w:hint="eastAsia" w:ascii="宋体" w:hAnsi="宋体" w:eastAsia="宋体" w:cs="宋体"/>
          <w:b/>
          <w:color w:val="auto"/>
          <w:sz w:val="28"/>
          <w:szCs w:val="28"/>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14:paraId="5FD9C6E8">
      <w:pPr>
        <w:spacing w:line="440" w:lineRule="atLeast"/>
        <w:rPr>
          <w:rFonts w:hint="eastAsia" w:ascii="宋体" w:hAnsi="宋体" w:eastAsia="宋体" w:cs="宋体"/>
          <w:b/>
          <w:color w:val="auto"/>
          <w:sz w:val="28"/>
          <w:szCs w:val="28"/>
          <w:highlight w:val="none"/>
        </w:rPr>
      </w:pPr>
    </w:p>
    <w:p w14:paraId="49F47059">
      <w:pPr>
        <w:pStyle w:val="11"/>
        <w:rPr>
          <w:rFonts w:hint="eastAsia" w:ascii="宋体" w:hAnsi="宋体" w:eastAsia="宋体" w:cs="宋体"/>
          <w:b/>
          <w:color w:val="auto"/>
          <w:sz w:val="32"/>
          <w:highlight w:val="none"/>
        </w:rPr>
      </w:pPr>
    </w:p>
    <w:p w14:paraId="67B0DED8">
      <w:pPr>
        <w:rPr>
          <w:rFonts w:hint="eastAsia" w:ascii="宋体" w:hAnsi="宋体" w:eastAsia="宋体" w:cs="宋体"/>
          <w:b/>
          <w:color w:val="auto"/>
          <w:sz w:val="32"/>
          <w:highlight w:val="none"/>
        </w:rPr>
      </w:pPr>
    </w:p>
    <w:p w14:paraId="63C698E4">
      <w:pPr>
        <w:pStyle w:val="2"/>
        <w:tabs>
          <w:tab w:val="left" w:pos="567"/>
        </w:tabs>
        <w:rPr>
          <w:rFonts w:hint="eastAsia"/>
          <w:color w:val="auto"/>
          <w:highlight w:val="none"/>
        </w:rPr>
      </w:pPr>
    </w:p>
    <w:p w14:paraId="11D5C29A">
      <w:pPr>
        <w:rPr>
          <w:rFonts w:hint="eastAsia"/>
          <w:color w:val="auto"/>
          <w:highlight w:val="none"/>
        </w:rPr>
      </w:pPr>
    </w:p>
    <w:p w14:paraId="760EFDF8">
      <w:pPr>
        <w:pStyle w:val="2"/>
        <w:rPr>
          <w:rFonts w:hint="eastAsia"/>
          <w:color w:val="auto"/>
          <w:highlight w:val="none"/>
        </w:rPr>
      </w:pPr>
    </w:p>
    <w:p w14:paraId="37CB4A89">
      <w:pPr>
        <w:rPr>
          <w:rFonts w:hint="eastAsia"/>
          <w:color w:val="auto"/>
          <w:highlight w:val="none"/>
        </w:rPr>
      </w:pPr>
    </w:p>
    <w:p w14:paraId="66402FEA">
      <w:pPr>
        <w:pStyle w:val="11"/>
        <w:rPr>
          <w:rFonts w:hint="eastAsia" w:ascii="宋体" w:hAnsi="宋体" w:eastAsia="宋体" w:cs="宋体"/>
          <w:b/>
          <w:color w:val="auto"/>
          <w:sz w:val="32"/>
          <w:highlight w:val="none"/>
        </w:rPr>
      </w:pPr>
    </w:p>
    <w:p w14:paraId="24CD7765">
      <w:pPr>
        <w:pStyle w:val="11"/>
        <w:rPr>
          <w:rFonts w:hint="eastAsia" w:ascii="宋体" w:hAnsi="宋体" w:eastAsia="宋体" w:cs="宋体"/>
          <w:b/>
          <w:color w:val="auto"/>
          <w:sz w:val="32"/>
          <w:highlight w:val="none"/>
        </w:rPr>
      </w:pPr>
    </w:p>
    <w:p w14:paraId="290FCDFC">
      <w:pPr>
        <w:pStyle w:val="11"/>
        <w:rPr>
          <w:rFonts w:hint="eastAsia" w:ascii="宋体" w:hAnsi="宋体" w:eastAsia="宋体" w:cs="宋体"/>
          <w:b/>
          <w:color w:val="auto"/>
          <w:sz w:val="32"/>
          <w:highlight w:val="none"/>
        </w:rPr>
      </w:pPr>
    </w:p>
    <w:p w14:paraId="77DA5FA9">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 xml:space="preserve">附件：            </w:t>
      </w:r>
    </w:p>
    <w:p w14:paraId="5C7CF755">
      <w:pPr>
        <w:pStyle w:val="11"/>
        <w:ind w:firstLine="630" w:firstLineChars="196"/>
        <w:jc w:val="center"/>
        <w:rPr>
          <w:rFonts w:hint="eastAsia" w:ascii="宋体" w:hAnsi="宋体" w:eastAsia="宋体" w:cs="宋体"/>
          <w:b/>
          <w:color w:val="auto"/>
          <w:sz w:val="32"/>
          <w:highlight w:val="none"/>
        </w:rPr>
      </w:pPr>
      <w:bookmarkStart w:id="1804" w:name="_Toc5420_WPSOffice_Level1"/>
      <w:bookmarkStart w:id="1805" w:name="_Toc964_WPSOffice_Level1"/>
      <w:r>
        <w:rPr>
          <w:rFonts w:hint="eastAsia" w:ascii="宋体" w:hAnsi="宋体" w:eastAsia="宋体" w:cs="宋体"/>
          <w:b/>
          <w:color w:val="auto"/>
          <w:sz w:val="32"/>
          <w:highlight w:val="none"/>
        </w:rPr>
        <w:t>授权委托书（格式一）</w:t>
      </w:r>
      <w:bookmarkEnd w:id="1804"/>
      <w:bookmarkEnd w:id="1805"/>
    </w:p>
    <w:p w14:paraId="469BB76B">
      <w:pPr>
        <w:pStyle w:val="11"/>
        <w:rPr>
          <w:rFonts w:hint="eastAsia" w:ascii="宋体" w:hAnsi="宋体" w:eastAsia="宋体" w:cs="宋体"/>
          <w:color w:val="auto"/>
          <w:highlight w:val="none"/>
        </w:rPr>
      </w:pPr>
    </w:p>
    <w:p w14:paraId="187DDC7B">
      <w:pPr>
        <w:spacing w:line="400" w:lineRule="exact"/>
        <w:rPr>
          <w:rFonts w:hint="eastAsia" w:ascii="宋体" w:hAnsi="宋体" w:eastAsia="宋体" w:cs="宋体"/>
          <w:color w:val="auto"/>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eastAsia="zh-CN"/>
        </w:rPr>
        <w:t>广西中承建设工程咨询有限公司</w:t>
      </w:r>
    </w:p>
    <w:p w14:paraId="14F34A6A">
      <w:pPr>
        <w:spacing w:line="400" w:lineRule="exact"/>
        <w:rPr>
          <w:rFonts w:hint="eastAsia" w:ascii="宋体" w:hAnsi="宋体" w:eastAsia="宋体" w:cs="宋体"/>
          <w:color w:val="auto"/>
          <w:szCs w:val="21"/>
          <w:highlight w:val="none"/>
        </w:rPr>
      </w:pPr>
    </w:p>
    <w:p w14:paraId="46E37AFB">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（供应商名称）的法定代表人（负责人），现授权委托本单位在职职工</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名）以我公司名义参加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项目的磋商活动，并代表我方全权办理针对上述项目的磋商、签约等具体事务和签署相关文件。</w:t>
      </w:r>
    </w:p>
    <w:p w14:paraId="4EE2B172">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我方对被授权人的签字事项负全部责任。</w:t>
      </w:r>
    </w:p>
    <w:p w14:paraId="4D5254A6">
      <w:pPr>
        <w:pStyle w:val="11"/>
        <w:spacing w:line="4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31F696C3">
      <w:pPr>
        <w:pStyle w:val="11"/>
        <w:spacing w:line="40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4FD70BB8">
      <w:pPr>
        <w:spacing w:line="40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77E6A55C">
      <w:pPr>
        <w:spacing w:line="400" w:lineRule="exact"/>
        <w:ind w:firstLine="420" w:firstLineChars="200"/>
        <w:rPr>
          <w:rFonts w:hint="eastAsia" w:ascii="宋体" w:hAnsi="宋体" w:eastAsia="宋体" w:cs="宋体"/>
          <w:color w:val="auto"/>
          <w:kern w:val="0"/>
          <w:highlight w:val="none"/>
        </w:rPr>
      </w:pPr>
    </w:p>
    <w:p w14:paraId="611612C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0CE8162C">
      <w:pPr>
        <w:spacing w:line="400" w:lineRule="exact"/>
        <w:ind w:firstLine="420" w:firstLineChars="200"/>
        <w:rPr>
          <w:rFonts w:hint="eastAsia" w:ascii="宋体" w:hAnsi="宋体" w:eastAsia="宋体" w:cs="宋体"/>
          <w:color w:val="auto"/>
          <w:szCs w:val="21"/>
          <w:highlight w:val="none"/>
        </w:rPr>
      </w:pPr>
    </w:p>
    <w:p w14:paraId="45EBBC1A">
      <w:pPr>
        <w:spacing w:line="400" w:lineRule="exact"/>
        <w:ind w:firstLine="420" w:firstLineChars="200"/>
        <w:rPr>
          <w:rFonts w:hint="eastAsia" w:ascii="宋体" w:hAnsi="宋体" w:eastAsia="宋体" w:cs="宋体"/>
          <w:color w:val="auto"/>
          <w:szCs w:val="21"/>
          <w:highlight w:val="none"/>
        </w:rPr>
      </w:pPr>
    </w:p>
    <w:p w14:paraId="7311F952">
      <w:pPr>
        <w:snapToGrid w:val="0"/>
        <w:spacing w:line="400" w:lineRule="exact"/>
        <w:ind w:firstLine="4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[公章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6902A4A">
      <w:pPr>
        <w:snapToGrid w:val="0"/>
        <w:spacing w:line="400" w:lineRule="exact"/>
        <w:ind w:firstLine="420"/>
        <w:rPr>
          <w:rFonts w:hint="eastAsia" w:ascii="宋体" w:hAnsi="宋体" w:eastAsia="宋体" w:cs="宋体"/>
          <w:color w:val="auto"/>
          <w:szCs w:val="21"/>
          <w:highlight w:val="none"/>
        </w:rPr>
      </w:pPr>
    </w:p>
    <w:p w14:paraId="1CDBB56D">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法定代表人（负责人）签字（或</w:t>
      </w:r>
      <w:r>
        <w:rPr>
          <w:rFonts w:hint="eastAsia" w:ascii="宋体" w:hAnsi="宋体" w:eastAsia="宋体" w:cs="宋体"/>
          <w:color w:val="auto"/>
          <w:szCs w:val="21"/>
          <w:highlight w:val="none"/>
          <w:lang w:eastAsia="zh-CN"/>
        </w:rPr>
        <w:t>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3D5E8A3">
      <w:pPr>
        <w:snapToGrid w:val="0"/>
        <w:spacing w:line="40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33522A59">
      <w:pPr>
        <w:snapToGrid w:val="0"/>
        <w:spacing w:line="400" w:lineRule="exact"/>
        <w:ind w:firstLine="420"/>
        <w:rPr>
          <w:rFonts w:hint="eastAsia" w:ascii="宋体" w:hAnsi="宋体" w:eastAsia="宋体" w:cs="宋体"/>
          <w:color w:val="auto"/>
          <w:szCs w:val="21"/>
          <w:highlight w:val="none"/>
        </w:rPr>
      </w:pPr>
    </w:p>
    <w:p w14:paraId="2966F964">
      <w:pPr>
        <w:pStyle w:val="8"/>
        <w:rPr>
          <w:rFonts w:hint="eastAsia" w:ascii="宋体" w:hAnsi="宋体" w:eastAsia="宋体" w:cs="宋体"/>
          <w:color w:val="auto"/>
          <w:highlight w:val="none"/>
        </w:rPr>
      </w:pPr>
    </w:p>
    <w:p w14:paraId="0A2B0498">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附：供应商的授权委托书</w:t>
      </w:r>
      <w:r>
        <w:rPr>
          <w:rFonts w:hint="eastAsia" w:ascii="宋体" w:hAnsi="宋体" w:eastAsia="宋体" w:cs="宋体"/>
          <w:b/>
          <w:color w:val="auto"/>
          <w:szCs w:val="21"/>
          <w:highlight w:val="none"/>
          <w:lang w:eastAsia="zh-CN"/>
        </w:rPr>
        <w:t>原件</w:t>
      </w:r>
      <w:r>
        <w:rPr>
          <w:rFonts w:hint="eastAsia" w:ascii="宋体" w:hAnsi="宋体" w:eastAsia="宋体" w:cs="宋体"/>
          <w:b/>
          <w:color w:val="auto"/>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除供应商为以下三种情形的：</w:t>
      </w:r>
    </w:p>
    <w:p w14:paraId="79B7BA65">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如供应商为截标时间前60日以内成立的公司，可以提供供应商与委托代理人签订的劳动合同复印件代替社保证明复印件；</w:t>
      </w:r>
    </w:p>
    <w:p w14:paraId="6A343A30">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（2）如供应商为事业单位，可以提供事业单位机构编制管理证复印件或事业单位机构为其发放工资的工资条复印件代替社保证明复印件；</w:t>
      </w:r>
    </w:p>
    <w:p w14:paraId="2ED46E6C">
      <w:pPr>
        <w:spacing w:line="440" w:lineRule="atLeas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（3）如委托代理人为免缴纳社保人员，提供免缴纳社保的证明材料复印件及供应商与委托代理人签订的劳动合同复印件代替社保证明复印件。</w:t>
      </w:r>
    </w:p>
    <w:p w14:paraId="78E4D8EA">
      <w:pPr>
        <w:pStyle w:val="11"/>
        <w:spacing w:line="340" w:lineRule="exact"/>
        <w:ind w:firstLine="420" w:firstLineChars="200"/>
        <w:rPr>
          <w:rFonts w:hint="eastAsia" w:ascii="宋体" w:hAnsi="宋体" w:eastAsia="宋体" w:cs="宋体"/>
          <w:color w:val="auto"/>
          <w:highlight w:val="none"/>
        </w:rPr>
      </w:pPr>
    </w:p>
    <w:p w14:paraId="0BC83ACB">
      <w:pPr>
        <w:pStyle w:val="6"/>
        <w:rPr>
          <w:rFonts w:hint="eastAsia"/>
          <w:color w:val="auto"/>
          <w:highlight w:val="none"/>
        </w:rPr>
      </w:pPr>
    </w:p>
    <w:p w14:paraId="7C87BCE3">
      <w:pPr>
        <w:pStyle w:val="11"/>
        <w:jc w:val="center"/>
        <w:rPr>
          <w:rFonts w:hint="eastAsia" w:ascii="宋体" w:hAnsi="宋体" w:eastAsia="宋体" w:cs="宋体"/>
          <w:b/>
          <w:color w:val="auto"/>
          <w:sz w:val="32"/>
          <w:highlight w:val="none"/>
        </w:rPr>
      </w:pPr>
      <w:bookmarkStart w:id="1806" w:name="_Toc6975_WPSOffice_Level1"/>
      <w:bookmarkStart w:id="1807" w:name="_Toc21370_WPSOffice_Level1"/>
      <w:r>
        <w:rPr>
          <w:rFonts w:hint="eastAsia" w:ascii="宋体" w:hAnsi="宋体" w:eastAsia="宋体" w:cs="宋体"/>
          <w:b/>
          <w:color w:val="auto"/>
          <w:sz w:val="32"/>
          <w:highlight w:val="none"/>
        </w:rPr>
        <w:t>授权委托书（格式二）</w:t>
      </w:r>
      <w:bookmarkEnd w:id="1806"/>
      <w:bookmarkEnd w:id="1807"/>
    </w:p>
    <w:p w14:paraId="62A63F1C">
      <w:pPr>
        <w:pStyle w:val="11"/>
        <w:jc w:val="both"/>
        <w:rPr>
          <w:rFonts w:hint="eastAsia" w:ascii="宋体" w:hAnsi="宋体" w:eastAsia="宋体" w:cs="宋体"/>
          <w:b/>
          <w:color w:val="auto"/>
          <w:sz w:val="32"/>
          <w:highlight w:val="none"/>
        </w:rPr>
      </w:pPr>
    </w:p>
    <w:p w14:paraId="215D9406">
      <w:pPr>
        <w:pStyle w:val="11"/>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281A41B0">
      <w:pPr>
        <w:rPr>
          <w:rFonts w:hint="eastAsia" w:ascii="宋体" w:hAnsi="宋体" w:eastAsia="宋体" w:cs="宋体"/>
          <w:color w:val="auto"/>
          <w:highlight w:val="none"/>
        </w:rPr>
      </w:pPr>
    </w:p>
    <w:p w14:paraId="299B9EC7">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kern w:val="0"/>
          <w:highlight w:val="none"/>
        </w:rPr>
        <w:t>我</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（姓名）系自然人，现授权委托</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kern w:val="0"/>
          <w:highlight w:val="none"/>
        </w:rPr>
        <w:t>（姓 名）以本人名义参加</w:t>
      </w:r>
      <w:r>
        <w:rPr>
          <w:rFonts w:hint="eastAsia" w:ascii="宋体" w:hAnsi="宋体" w:eastAsia="宋体" w:cs="宋体"/>
          <w:color w:val="auto"/>
          <w:kern w:val="0"/>
          <w:highlight w:val="none"/>
          <w:u w:val="single"/>
        </w:rPr>
        <w:t xml:space="preserve">      </w:t>
      </w:r>
      <w:r>
        <w:rPr>
          <w:rFonts w:hint="eastAsia" w:ascii="宋体" w:hAnsi="宋体" w:eastAsia="宋体" w:cs="宋体"/>
          <w:color w:val="auto"/>
          <w:highlight w:val="none"/>
          <w:u w:val="single"/>
        </w:rPr>
        <w:t xml:space="preserve">（项目名称及项目编号）        </w:t>
      </w:r>
      <w:r>
        <w:rPr>
          <w:rFonts w:hint="eastAsia" w:ascii="宋体" w:hAnsi="宋体" w:eastAsia="宋体" w:cs="宋体"/>
          <w:color w:val="auto"/>
          <w:highlight w:val="none"/>
        </w:rPr>
        <w:t>项目的磋商活动，并代表本人全权办理针对上述项目的磋商、签约等具体事务和签署相关文件。</w:t>
      </w:r>
    </w:p>
    <w:p w14:paraId="3A9A8D40">
      <w:pPr>
        <w:pStyle w:val="11"/>
        <w:spacing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本人对被授权人的签字事项负全部责任。</w:t>
      </w:r>
    </w:p>
    <w:p w14:paraId="1AA3DB2C">
      <w:pPr>
        <w:pStyle w:val="11"/>
        <w:spacing w:line="3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授权委托代理期限：从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日起至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月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日止。</w:t>
      </w:r>
    </w:p>
    <w:p w14:paraId="429D0A10">
      <w:pPr>
        <w:pStyle w:val="11"/>
        <w:spacing w:line="3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p>
    <w:p w14:paraId="5981D747">
      <w:pPr>
        <w:spacing w:line="340" w:lineRule="exact"/>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代理人无转委托权,特此委托。 </w:t>
      </w:r>
    </w:p>
    <w:p w14:paraId="13FC0A9C">
      <w:pPr>
        <w:spacing w:line="340" w:lineRule="exact"/>
        <w:ind w:firstLine="420" w:firstLineChars="200"/>
        <w:rPr>
          <w:rFonts w:hint="eastAsia" w:ascii="宋体" w:hAnsi="宋体" w:eastAsia="宋体" w:cs="宋体"/>
          <w:color w:val="auto"/>
          <w:kern w:val="0"/>
          <w:highlight w:val="none"/>
        </w:rPr>
      </w:pPr>
    </w:p>
    <w:p w14:paraId="017DB290">
      <w:pPr>
        <w:spacing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我已在下面签字，以资证明。</w:t>
      </w:r>
    </w:p>
    <w:p w14:paraId="54E6B033">
      <w:pPr>
        <w:spacing w:line="340" w:lineRule="exact"/>
        <w:ind w:firstLine="420" w:firstLineChars="200"/>
        <w:rPr>
          <w:rFonts w:hint="eastAsia" w:ascii="宋体" w:hAnsi="宋体" w:eastAsia="宋体" w:cs="宋体"/>
          <w:color w:val="auto"/>
          <w:szCs w:val="21"/>
          <w:highlight w:val="none"/>
        </w:rPr>
      </w:pPr>
    </w:p>
    <w:p w14:paraId="28EA9261">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自然人签字并在签名处加盖大拇指指印</w:t>
      </w:r>
      <w:r>
        <w:rPr>
          <w:rFonts w:hint="eastAsia" w:ascii="宋体" w:hAnsi="宋体" w:eastAsia="宋体" w:cs="宋体"/>
          <w:color w:val="auto"/>
          <w:szCs w:val="21"/>
          <w:highlight w:val="none"/>
          <w:lang w:eastAsia="zh-CN"/>
        </w:rPr>
        <w:t>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1643718">
      <w:pPr>
        <w:snapToGrid w:val="0"/>
        <w:spacing w:line="34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63F44410">
      <w:pPr>
        <w:pStyle w:val="11"/>
        <w:spacing w:line="400" w:lineRule="exact"/>
        <w:ind w:left="420" w:leftChars="200"/>
        <w:rPr>
          <w:rFonts w:hint="eastAsia" w:ascii="宋体" w:hAnsi="宋体" w:eastAsia="宋体" w:cs="宋体"/>
          <w:color w:val="auto"/>
          <w:szCs w:val="21"/>
          <w:highlight w:val="none"/>
        </w:rPr>
      </w:pPr>
    </w:p>
    <w:p w14:paraId="44E92D47">
      <w:pPr>
        <w:pStyle w:val="11"/>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附：委托代理人身份证正反面复印件</w:t>
      </w:r>
    </w:p>
    <w:p w14:paraId="52FA5A16">
      <w:pPr>
        <w:rPr>
          <w:rFonts w:hint="eastAsia" w:ascii="宋体" w:hAnsi="宋体" w:eastAsia="宋体" w:cs="宋体"/>
          <w:b/>
          <w:color w:val="auto"/>
          <w:szCs w:val="21"/>
          <w:highlight w:val="none"/>
        </w:rPr>
      </w:pPr>
    </w:p>
    <w:p w14:paraId="1F00CA15">
      <w:pPr>
        <w:pStyle w:val="8"/>
        <w:rPr>
          <w:rFonts w:hint="eastAsia" w:ascii="宋体" w:hAnsi="宋体" w:eastAsia="宋体" w:cs="宋体"/>
          <w:b/>
          <w:color w:val="auto"/>
          <w:szCs w:val="21"/>
          <w:highlight w:val="none"/>
        </w:rPr>
      </w:pPr>
    </w:p>
    <w:p w14:paraId="4958AAA6">
      <w:pPr>
        <w:pStyle w:val="8"/>
        <w:rPr>
          <w:rFonts w:hint="eastAsia" w:ascii="宋体" w:hAnsi="宋体" w:eastAsia="宋体" w:cs="宋体"/>
          <w:b/>
          <w:color w:val="auto"/>
          <w:szCs w:val="21"/>
          <w:highlight w:val="none"/>
        </w:rPr>
      </w:pPr>
    </w:p>
    <w:p w14:paraId="459657FB">
      <w:pPr>
        <w:pStyle w:val="8"/>
        <w:rPr>
          <w:rFonts w:hint="eastAsia" w:ascii="宋体" w:hAnsi="宋体" w:eastAsia="宋体" w:cs="宋体"/>
          <w:b/>
          <w:color w:val="auto"/>
          <w:szCs w:val="21"/>
          <w:highlight w:val="none"/>
        </w:rPr>
      </w:pPr>
    </w:p>
    <w:p w14:paraId="3DCD84BB">
      <w:pPr>
        <w:pStyle w:val="8"/>
        <w:rPr>
          <w:rFonts w:hint="eastAsia" w:ascii="宋体" w:hAnsi="宋体" w:eastAsia="宋体" w:cs="宋体"/>
          <w:b/>
          <w:color w:val="auto"/>
          <w:szCs w:val="21"/>
          <w:highlight w:val="none"/>
        </w:rPr>
      </w:pPr>
    </w:p>
    <w:p w14:paraId="50572595">
      <w:pPr>
        <w:pStyle w:val="8"/>
        <w:rPr>
          <w:rFonts w:hint="eastAsia" w:ascii="宋体" w:hAnsi="宋体" w:eastAsia="宋体" w:cs="宋体"/>
          <w:b/>
          <w:color w:val="auto"/>
          <w:szCs w:val="21"/>
          <w:highlight w:val="none"/>
        </w:rPr>
      </w:pPr>
    </w:p>
    <w:p w14:paraId="3682EAEC">
      <w:pPr>
        <w:pStyle w:val="8"/>
        <w:rPr>
          <w:rFonts w:hint="eastAsia" w:ascii="宋体" w:hAnsi="宋体" w:eastAsia="宋体" w:cs="宋体"/>
          <w:b/>
          <w:color w:val="auto"/>
          <w:szCs w:val="21"/>
          <w:highlight w:val="none"/>
        </w:rPr>
      </w:pPr>
    </w:p>
    <w:p w14:paraId="21E63EA6">
      <w:pPr>
        <w:pStyle w:val="8"/>
        <w:rPr>
          <w:rFonts w:hint="eastAsia" w:ascii="宋体" w:hAnsi="宋体" w:eastAsia="宋体" w:cs="宋体"/>
          <w:b/>
          <w:color w:val="auto"/>
          <w:szCs w:val="21"/>
          <w:highlight w:val="none"/>
        </w:rPr>
      </w:pPr>
    </w:p>
    <w:p w14:paraId="49B5B8D8">
      <w:pPr>
        <w:pStyle w:val="8"/>
        <w:rPr>
          <w:rFonts w:hint="eastAsia" w:ascii="宋体" w:hAnsi="宋体" w:eastAsia="宋体" w:cs="宋体"/>
          <w:b/>
          <w:color w:val="auto"/>
          <w:szCs w:val="21"/>
          <w:highlight w:val="none"/>
        </w:rPr>
      </w:pPr>
    </w:p>
    <w:p w14:paraId="5D920B77">
      <w:pPr>
        <w:pStyle w:val="8"/>
        <w:rPr>
          <w:rFonts w:hint="eastAsia" w:ascii="宋体" w:hAnsi="宋体" w:eastAsia="宋体" w:cs="宋体"/>
          <w:b/>
          <w:color w:val="auto"/>
          <w:szCs w:val="21"/>
          <w:highlight w:val="none"/>
        </w:rPr>
      </w:pPr>
    </w:p>
    <w:p w14:paraId="4CEBE104">
      <w:pPr>
        <w:pStyle w:val="8"/>
        <w:rPr>
          <w:rFonts w:hint="eastAsia" w:ascii="宋体" w:hAnsi="宋体" w:eastAsia="宋体" w:cs="宋体"/>
          <w:b/>
          <w:color w:val="auto"/>
          <w:szCs w:val="21"/>
          <w:highlight w:val="none"/>
        </w:rPr>
      </w:pPr>
    </w:p>
    <w:p w14:paraId="7C2FD507">
      <w:pPr>
        <w:pStyle w:val="8"/>
        <w:rPr>
          <w:rFonts w:hint="eastAsia" w:ascii="宋体" w:hAnsi="宋体" w:eastAsia="宋体" w:cs="宋体"/>
          <w:b/>
          <w:color w:val="auto"/>
          <w:szCs w:val="21"/>
          <w:highlight w:val="none"/>
        </w:rPr>
      </w:pPr>
    </w:p>
    <w:p w14:paraId="6A0573FB">
      <w:pPr>
        <w:pStyle w:val="8"/>
        <w:rPr>
          <w:rFonts w:hint="eastAsia" w:ascii="宋体" w:hAnsi="宋体" w:eastAsia="宋体" w:cs="宋体"/>
          <w:b/>
          <w:color w:val="auto"/>
          <w:szCs w:val="21"/>
          <w:highlight w:val="none"/>
        </w:rPr>
      </w:pPr>
    </w:p>
    <w:p w14:paraId="55C4AA7F">
      <w:pPr>
        <w:pStyle w:val="8"/>
        <w:rPr>
          <w:rFonts w:hint="eastAsia" w:ascii="宋体" w:hAnsi="宋体" w:eastAsia="宋体" w:cs="宋体"/>
          <w:b/>
          <w:color w:val="auto"/>
          <w:szCs w:val="21"/>
          <w:highlight w:val="none"/>
        </w:rPr>
      </w:pPr>
    </w:p>
    <w:p w14:paraId="677B47A9">
      <w:pPr>
        <w:pStyle w:val="8"/>
        <w:rPr>
          <w:rFonts w:hint="eastAsia" w:ascii="宋体" w:hAnsi="宋体" w:eastAsia="宋体" w:cs="宋体"/>
          <w:b/>
          <w:color w:val="auto"/>
          <w:szCs w:val="21"/>
          <w:highlight w:val="none"/>
        </w:rPr>
      </w:pPr>
    </w:p>
    <w:p w14:paraId="23323A4C">
      <w:pPr>
        <w:rPr>
          <w:rFonts w:hint="eastAsia" w:ascii="宋体" w:hAnsi="宋体" w:eastAsia="宋体" w:cs="宋体"/>
          <w:b/>
          <w:color w:val="auto"/>
          <w:szCs w:val="21"/>
          <w:highlight w:val="none"/>
        </w:rPr>
      </w:pPr>
    </w:p>
    <w:p w14:paraId="56D001E2">
      <w:pPr>
        <w:pStyle w:val="2"/>
        <w:rPr>
          <w:rFonts w:hint="eastAsia"/>
          <w:color w:val="auto"/>
          <w:highlight w:val="none"/>
        </w:rPr>
      </w:pPr>
    </w:p>
    <w:p w14:paraId="2FF8F66E">
      <w:pPr>
        <w:pStyle w:val="8"/>
        <w:rPr>
          <w:rFonts w:hint="eastAsia" w:ascii="宋体" w:hAnsi="宋体" w:eastAsia="宋体" w:cs="宋体"/>
          <w:b/>
          <w:color w:val="auto"/>
          <w:szCs w:val="21"/>
          <w:highlight w:val="none"/>
        </w:rPr>
      </w:pPr>
    </w:p>
    <w:p w14:paraId="613AB956">
      <w:pPr>
        <w:spacing w:line="44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.供应商参加政府采购活动前3年内在经营活动中没有重大违法记录及有关信用信息的书面声明（必须提供）；</w:t>
      </w:r>
    </w:p>
    <w:p w14:paraId="3C0B27BB">
      <w:pPr>
        <w:pStyle w:val="11"/>
        <w:spacing w:line="400" w:lineRule="exact"/>
        <w:ind w:left="420" w:leftChars="200" w:firstLine="157" w:firstLineChars="4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 xml:space="preserve">                       </w:t>
      </w:r>
    </w:p>
    <w:p w14:paraId="76BB29CE">
      <w:pPr>
        <w:pStyle w:val="11"/>
        <w:spacing w:line="400" w:lineRule="exact"/>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p>
    <w:p w14:paraId="708735DF">
      <w:pPr>
        <w:pStyle w:val="11"/>
        <w:spacing w:line="400" w:lineRule="exact"/>
        <w:jc w:val="center"/>
        <w:rPr>
          <w:rFonts w:hint="eastAsia" w:ascii="宋体" w:hAnsi="宋体" w:eastAsia="宋体" w:cs="宋体"/>
          <w:b/>
          <w:color w:val="auto"/>
          <w:sz w:val="32"/>
          <w:szCs w:val="32"/>
          <w:highlight w:val="none"/>
        </w:rPr>
      </w:pPr>
      <w:bookmarkStart w:id="1808" w:name="_Toc30304_WPSOffice_Level1"/>
      <w:bookmarkStart w:id="1809" w:name="_Toc30890_WPSOffice_Level1"/>
      <w:r>
        <w:rPr>
          <w:rFonts w:hint="eastAsia" w:ascii="宋体" w:hAnsi="宋体" w:eastAsia="宋体" w:cs="宋体"/>
          <w:b/>
          <w:color w:val="auto"/>
          <w:sz w:val="32"/>
          <w:szCs w:val="32"/>
          <w:highlight w:val="none"/>
        </w:rPr>
        <w:t>声   明</w:t>
      </w:r>
      <w:bookmarkEnd w:id="1808"/>
      <w:bookmarkEnd w:id="1809"/>
    </w:p>
    <w:p w14:paraId="0DBFB8BD">
      <w:pPr>
        <w:pStyle w:val="11"/>
        <w:spacing w:line="400" w:lineRule="exact"/>
        <w:jc w:val="both"/>
        <w:rPr>
          <w:rFonts w:hint="eastAsia" w:ascii="宋体" w:hAnsi="宋体" w:eastAsia="宋体" w:cs="宋体"/>
          <w:b/>
          <w:color w:val="auto"/>
          <w:sz w:val="32"/>
          <w:szCs w:val="32"/>
          <w:highlight w:val="none"/>
        </w:rPr>
      </w:pPr>
    </w:p>
    <w:p w14:paraId="6B4C5A50">
      <w:pPr>
        <w:pStyle w:val="11"/>
        <w:spacing w:line="400" w:lineRule="exact"/>
        <w:jc w:val="both"/>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hAnsi="宋体" w:cs="宋体"/>
          <w:color w:val="auto"/>
          <w:szCs w:val="21"/>
          <w:highlight w:val="none"/>
          <w:u w:val="single"/>
          <w:lang w:eastAsia="zh-CN"/>
        </w:rPr>
        <w:t>广西中承建设工程咨询有限公司</w:t>
      </w:r>
    </w:p>
    <w:p w14:paraId="6032DFC8">
      <w:pPr>
        <w:rPr>
          <w:rFonts w:hint="eastAsia" w:ascii="宋体" w:hAnsi="宋体" w:eastAsia="宋体" w:cs="宋体"/>
          <w:color w:val="auto"/>
          <w:szCs w:val="21"/>
          <w:highlight w:val="none"/>
          <w:u w:val="single"/>
        </w:rPr>
      </w:pPr>
    </w:p>
    <w:p w14:paraId="0C14FFCC">
      <w:pPr>
        <w:pStyle w:val="8"/>
        <w:rPr>
          <w:rFonts w:hint="eastAsia" w:ascii="宋体" w:hAnsi="宋体" w:eastAsia="宋体" w:cs="宋体"/>
          <w:color w:val="auto"/>
          <w:highlight w:val="none"/>
        </w:rPr>
      </w:pPr>
    </w:p>
    <w:p w14:paraId="0569A2A9">
      <w:pPr>
        <w:pStyle w:val="11"/>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7014EB">
      <w:pPr>
        <w:rPr>
          <w:rFonts w:hint="eastAsia" w:ascii="宋体" w:hAnsi="宋体" w:eastAsia="宋体" w:cs="宋体"/>
          <w:color w:val="auto"/>
          <w:highlight w:val="none"/>
        </w:rPr>
      </w:pPr>
    </w:p>
    <w:p w14:paraId="03153978">
      <w:pPr>
        <w:snapToGrid w:val="0"/>
        <w:spacing w:line="400" w:lineRule="exact"/>
        <w:ind w:firstLine="1890" w:firstLineChars="900"/>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02C5FEE2">
      <w:pPr>
        <w:pStyle w:val="11"/>
        <w:ind w:firstLine="3990" w:firstLineChars="1900"/>
        <w:rPr>
          <w:rFonts w:hint="eastAsia" w:ascii="宋体" w:hAnsi="宋体" w:eastAsia="宋体" w:cs="宋体"/>
          <w:color w:val="auto"/>
          <w:highlight w:val="none"/>
        </w:rPr>
      </w:pPr>
    </w:p>
    <w:p w14:paraId="6C9D7F9D">
      <w:pPr>
        <w:pStyle w:val="11"/>
        <w:ind w:firstLine="3990" w:firstLineChars="19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5E805C1D">
      <w:pPr>
        <w:pStyle w:val="11"/>
        <w:spacing w:line="340" w:lineRule="exact"/>
        <w:rPr>
          <w:rFonts w:hint="eastAsia" w:ascii="宋体" w:hAnsi="宋体" w:eastAsia="宋体" w:cs="宋体"/>
          <w:b/>
          <w:color w:val="auto"/>
          <w:sz w:val="28"/>
          <w:szCs w:val="28"/>
          <w:highlight w:val="none"/>
        </w:rPr>
      </w:pPr>
    </w:p>
    <w:p w14:paraId="0289F4C8">
      <w:pPr>
        <w:pStyle w:val="11"/>
        <w:spacing w:line="340" w:lineRule="exact"/>
        <w:rPr>
          <w:rFonts w:hint="eastAsia" w:ascii="宋体" w:hAnsi="宋体" w:eastAsia="宋体" w:cs="宋体"/>
          <w:b/>
          <w:color w:val="auto"/>
          <w:sz w:val="28"/>
          <w:szCs w:val="28"/>
          <w:highlight w:val="none"/>
          <w:lang w:val="en-US" w:eastAsia="zh-CN"/>
        </w:rPr>
      </w:pPr>
    </w:p>
    <w:p w14:paraId="1A5E5140">
      <w:pPr>
        <w:pStyle w:val="11"/>
        <w:spacing w:line="340" w:lineRule="exact"/>
        <w:rPr>
          <w:rFonts w:hint="eastAsia" w:ascii="宋体" w:hAnsi="宋体" w:eastAsia="宋体" w:cs="宋体"/>
          <w:b/>
          <w:color w:val="auto"/>
          <w:sz w:val="28"/>
          <w:szCs w:val="28"/>
          <w:highlight w:val="none"/>
          <w:lang w:val="en-US" w:eastAsia="zh-CN"/>
        </w:rPr>
      </w:pPr>
    </w:p>
    <w:p w14:paraId="1EB4EE15">
      <w:pPr>
        <w:pStyle w:val="11"/>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.供应商的法人或者其他组织营业执照等证明文件复印件（必须提供，自然人除外）；</w:t>
      </w:r>
    </w:p>
    <w:p w14:paraId="5FE08534">
      <w:pPr>
        <w:tabs>
          <w:tab w:val="left" w:pos="1305"/>
        </w:tabs>
        <w:spacing w:line="340" w:lineRule="exact"/>
        <w:rPr>
          <w:rFonts w:hint="eastAsia" w:ascii="宋体" w:hAnsi="宋体" w:eastAsia="宋体" w:cs="宋体"/>
          <w:b/>
          <w:color w:val="auto"/>
          <w:szCs w:val="21"/>
          <w:highlight w:val="none"/>
        </w:rPr>
      </w:pPr>
    </w:p>
    <w:p w14:paraId="3CC465F3">
      <w:pPr>
        <w:tabs>
          <w:tab w:val="left" w:pos="1305"/>
        </w:tabs>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29F25057">
      <w:pPr>
        <w:rPr>
          <w:rFonts w:hint="eastAsia" w:ascii="宋体" w:hAnsi="宋体" w:eastAsia="宋体" w:cs="宋体"/>
          <w:b/>
          <w:bCs/>
          <w:color w:val="auto"/>
          <w:sz w:val="28"/>
          <w:szCs w:val="28"/>
          <w:highlight w:val="none"/>
        </w:rPr>
      </w:pPr>
    </w:p>
    <w:p w14:paraId="12792742">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2E76D3BB">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5.供应商有效的资质证书复印件（必须提供）；</w:t>
      </w:r>
    </w:p>
    <w:p w14:paraId="21448026">
      <w:pPr>
        <w:pStyle w:val="6"/>
        <w:numPr>
          <w:ilvl w:val="0"/>
          <w:numId w:val="0"/>
        </w:numPr>
        <w:ind w:leftChars="200"/>
        <w:rPr>
          <w:rFonts w:hint="eastAsia"/>
          <w:color w:val="auto"/>
          <w:highlight w:val="none"/>
          <w:lang w:val="en-US" w:eastAsia="zh-CN"/>
        </w:rPr>
      </w:pPr>
    </w:p>
    <w:p w14:paraId="3E94A222">
      <w:pPr>
        <w:pStyle w:val="11"/>
        <w:spacing w:line="340" w:lineRule="exact"/>
        <w:rPr>
          <w:rFonts w:hint="eastAsia" w:ascii="宋体" w:hAnsi="宋体" w:eastAsia="宋体" w:cs="宋体"/>
          <w:b/>
          <w:color w:val="auto"/>
          <w:sz w:val="28"/>
          <w:szCs w:val="28"/>
          <w:highlight w:val="none"/>
          <w:lang w:val="en-US" w:eastAsia="zh-CN"/>
        </w:rPr>
      </w:pPr>
    </w:p>
    <w:p w14:paraId="3792FEC8">
      <w:pPr>
        <w:pStyle w:val="11"/>
        <w:spacing w:line="340" w:lineRule="exact"/>
        <w:rPr>
          <w:rFonts w:hint="eastAsia" w:ascii="宋体" w:hAnsi="宋体" w:eastAsia="宋体" w:cs="宋体"/>
          <w:b/>
          <w:color w:val="auto"/>
          <w:sz w:val="28"/>
          <w:szCs w:val="28"/>
          <w:highlight w:val="none"/>
          <w:lang w:val="en-US" w:eastAsia="zh-CN"/>
        </w:rPr>
      </w:pPr>
    </w:p>
    <w:p w14:paraId="5829AFBA">
      <w:pPr>
        <w:pStyle w:val="11"/>
        <w:spacing w:line="340" w:lineRule="exact"/>
        <w:rPr>
          <w:rFonts w:hint="eastAsia" w:ascii="宋体" w:hAnsi="宋体" w:eastAsia="宋体" w:cs="宋体"/>
          <w:b/>
          <w:color w:val="auto"/>
          <w:sz w:val="28"/>
          <w:szCs w:val="28"/>
          <w:highlight w:val="none"/>
          <w:lang w:val="en-US" w:eastAsia="zh-CN"/>
        </w:rPr>
      </w:pPr>
    </w:p>
    <w:p w14:paraId="54027BD1">
      <w:pPr>
        <w:pStyle w:val="11"/>
        <w:spacing w:line="340" w:lineRule="exact"/>
        <w:rPr>
          <w:rFonts w:hint="eastAsia" w:ascii="宋体" w:hAnsi="宋体" w:eastAsia="宋体" w:cs="宋体"/>
          <w:b/>
          <w:color w:val="auto"/>
          <w:sz w:val="28"/>
          <w:szCs w:val="28"/>
          <w:highlight w:val="none"/>
          <w:lang w:val="en-US" w:eastAsia="zh-CN"/>
        </w:rPr>
      </w:pPr>
    </w:p>
    <w:p w14:paraId="72A8C647">
      <w:pPr>
        <w:pStyle w:val="11"/>
        <w:spacing w:line="340" w:lineRule="exact"/>
        <w:rPr>
          <w:rFonts w:hint="eastAsia" w:ascii="宋体" w:hAnsi="宋体" w:eastAsia="宋体" w:cs="宋体"/>
          <w:b/>
          <w:color w:val="auto"/>
          <w:sz w:val="28"/>
          <w:szCs w:val="28"/>
          <w:highlight w:val="none"/>
          <w:lang w:val="en-US" w:eastAsia="zh-CN"/>
        </w:rPr>
      </w:pPr>
    </w:p>
    <w:p w14:paraId="6EF40970">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6.《中小企业声明函》或《残疾人福利性单位声明函》或省级以上监狱管理局、戒毒管理局（含新疆生产建设兵团）出具的属于监狱企业的证明文件复印件（必须提供其中一项）；</w:t>
      </w:r>
    </w:p>
    <w:p w14:paraId="0768D49E">
      <w:pPr>
        <w:jc w:val="center"/>
        <w:outlineLvl w:val="9"/>
        <w:rPr>
          <w:rStyle w:val="40"/>
          <w:rFonts w:ascii="宋体" w:hAnsi="宋体" w:cs="宋体"/>
          <w:b/>
          <w:bCs/>
          <w:color w:val="auto"/>
          <w:kern w:val="0"/>
          <w:sz w:val="21"/>
          <w:szCs w:val="21"/>
          <w:highlight w:val="none"/>
        </w:rPr>
      </w:pPr>
    </w:p>
    <w:p w14:paraId="6E454C12">
      <w:pPr>
        <w:jc w:val="center"/>
        <w:outlineLvl w:val="9"/>
        <w:rPr>
          <w:rStyle w:val="40"/>
          <w:rFonts w:ascii="宋体" w:hAnsi="宋体" w:cs="宋体"/>
          <w:b/>
          <w:bCs/>
          <w:color w:val="auto"/>
          <w:kern w:val="0"/>
          <w:sz w:val="24"/>
          <w:szCs w:val="24"/>
          <w:highlight w:val="none"/>
        </w:rPr>
      </w:pPr>
      <w:r>
        <w:rPr>
          <w:rStyle w:val="40"/>
          <w:rFonts w:hint="eastAsia" w:ascii="宋体" w:hAnsi="宋体" w:cs="宋体"/>
          <w:b/>
          <w:bCs/>
          <w:color w:val="auto"/>
          <w:kern w:val="0"/>
          <w:sz w:val="24"/>
          <w:szCs w:val="24"/>
          <w:highlight w:val="none"/>
          <w:lang w:eastAsia="zh-CN"/>
        </w:rPr>
        <w:t>（</w:t>
      </w:r>
      <w:r>
        <w:rPr>
          <w:rStyle w:val="40"/>
          <w:rFonts w:hint="eastAsia" w:ascii="宋体" w:hAnsi="宋体" w:cs="宋体"/>
          <w:b/>
          <w:bCs/>
          <w:color w:val="auto"/>
          <w:kern w:val="0"/>
          <w:sz w:val="24"/>
          <w:szCs w:val="24"/>
          <w:highlight w:val="none"/>
          <w:lang w:val="en-US" w:eastAsia="zh-CN"/>
        </w:rPr>
        <w:t>1</w:t>
      </w:r>
      <w:r>
        <w:rPr>
          <w:rStyle w:val="40"/>
          <w:rFonts w:hint="eastAsia" w:ascii="宋体" w:hAnsi="宋体" w:cs="宋体"/>
          <w:b/>
          <w:bCs/>
          <w:color w:val="auto"/>
          <w:kern w:val="0"/>
          <w:sz w:val="24"/>
          <w:szCs w:val="24"/>
          <w:highlight w:val="none"/>
          <w:lang w:eastAsia="zh-CN"/>
        </w:rPr>
        <w:t>）</w:t>
      </w:r>
      <w:r>
        <w:rPr>
          <w:rStyle w:val="40"/>
          <w:rFonts w:ascii="宋体" w:hAnsi="宋体" w:cs="宋体"/>
          <w:b/>
          <w:bCs/>
          <w:color w:val="auto"/>
          <w:kern w:val="0"/>
          <w:sz w:val="24"/>
          <w:szCs w:val="24"/>
          <w:highlight w:val="none"/>
        </w:rPr>
        <w:t>中小企业声明函（</w:t>
      </w:r>
      <w:r>
        <w:rPr>
          <w:rStyle w:val="40"/>
          <w:rFonts w:hint="eastAsia" w:ascii="宋体" w:hAnsi="宋体" w:cs="宋体"/>
          <w:b/>
          <w:bCs/>
          <w:color w:val="auto"/>
          <w:kern w:val="0"/>
          <w:sz w:val="24"/>
          <w:szCs w:val="24"/>
          <w:highlight w:val="none"/>
        </w:rPr>
        <w:t>工程</w:t>
      </w:r>
      <w:r>
        <w:rPr>
          <w:rStyle w:val="40"/>
          <w:rFonts w:ascii="宋体" w:hAnsi="宋体" w:cs="宋体"/>
          <w:b/>
          <w:bCs/>
          <w:color w:val="auto"/>
          <w:kern w:val="0"/>
          <w:sz w:val="24"/>
          <w:szCs w:val="24"/>
          <w:highlight w:val="none"/>
        </w:rPr>
        <w:t>）</w:t>
      </w:r>
    </w:p>
    <w:p w14:paraId="53EBCD12">
      <w:pPr>
        <w:pStyle w:val="41"/>
        <w:ind w:left="63" w:right="63"/>
        <w:rPr>
          <w:color w:val="auto"/>
          <w:sz w:val="21"/>
          <w:szCs w:val="21"/>
          <w:highlight w:val="none"/>
        </w:rPr>
      </w:pPr>
    </w:p>
    <w:p w14:paraId="1C2F55EB">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本公司郑重声明，根据《政府采购促进中小企业发展管理办法》（财库﹝2020﹞46 号）的规定，本公司参加</w:t>
      </w:r>
      <w:r>
        <w:rPr>
          <w:rStyle w:val="40"/>
          <w:rFonts w:ascii="宋体" w:hAnsi="宋体"/>
          <w:color w:val="auto"/>
          <w:kern w:val="0"/>
          <w:sz w:val="21"/>
          <w:szCs w:val="21"/>
          <w:highlight w:val="none"/>
          <w:u w:val="single" w:color="000000"/>
        </w:rPr>
        <w:t>（单位名称）</w:t>
      </w:r>
      <w:r>
        <w:rPr>
          <w:rStyle w:val="40"/>
          <w:rFonts w:ascii="宋体" w:hAnsi="宋体"/>
          <w:color w:val="auto"/>
          <w:kern w:val="0"/>
          <w:sz w:val="21"/>
          <w:szCs w:val="21"/>
          <w:highlight w:val="none"/>
        </w:rPr>
        <w:t>的</w:t>
      </w:r>
      <w:r>
        <w:rPr>
          <w:rStyle w:val="40"/>
          <w:rFonts w:ascii="宋体" w:hAnsi="宋体"/>
          <w:color w:val="auto"/>
          <w:kern w:val="0"/>
          <w:sz w:val="21"/>
          <w:szCs w:val="21"/>
          <w:highlight w:val="none"/>
          <w:u w:val="single" w:color="000000"/>
        </w:rPr>
        <w:t>（项目名称）</w:t>
      </w:r>
      <w:r>
        <w:rPr>
          <w:rStyle w:val="40"/>
          <w:rFonts w:ascii="宋体" w:hAnsi="宋体"/>
          <w:color w:val="auto"/>
          <w:kern w:val="0"/>
          <w:sz w:val="21"/>
          <w:szCs w:val="21"/>
          <w:highlight w:val="none"/>
        </w:rPr>
        <w:t>采购活动，</w:t>
      </w:r>
      <w:r>
        <w:rPr>
          <w:rStyle w:val="40"/>
          <w:rFonts w:hint="eastAsia" w:ascii="宋体" w:hAnsi="宋体" w:eastAsia="宋体"/>
          <w:color w:val="auto"/>
          <w:kern w:val="0"/>
          <w:sz w:val="21"/>
          <w:szCs w:val="21"/>
          <w:highlight w:val="none"/>
          <w:lang w:val="en-US" w:eastAsia="zh-CN"/>
        </w:rPr>
        <w:t>工程的施工单位</w:t>
      </w:r>
      <w:r>
        <w:rPr>
          <w:rStyle w:val="40"/>
          <w:rFonts w:ascii="宋体" w:hAnsi="宋体"/>
          <w:color w:val="auto"/>
          <w:kern w:val="0"/>
          <w:sz w:val="21"/>
          <w:szCs w:val="21"/>
          <w:highlight w:val="none"/>
        </w:rPr>
        <w:t>全部</w:t>
      </w:r>
      <w:r>
        <w:rPr>
          <w:rStyle w:val="40"/>
          <w:rFonts w:hint="eastAsia" w:ascii="宋体" w:hAnsi="宋体" w:eastAsia="宋体"/>
          <w:color w:val="auto"/>
          <w:kern w:val="0"/>
          <w:sz w:val="21"/>
          <w:szCs w:val="21"/>
          <w:highlight w:val="none"/>
          <w:lang w:val="en-US" w:eastAsia="zh-CN"/>
        </w:rPr>
        <w:t>为</w:t>
      </w:r>
      <w:r>
        <w:rPr>
          <w:rStyle w:val="40"/>
          <w:rFonts w:ascii="宋体" w:hAnsi="宋体"/>
          <w:color w:val="auto"/>
          <w:kern w:val="0"/>
          <w:sz w:val="21"/>
          <w:szCs w:val="21"/>
          <w:highlight w:val="none"/>
        </w:rPr>
        <w:t>符合政策要求的中小企业。相关企业（含联合体中的中小企业、签订分包意向协议的中小企业）的具体情况如下：</w:t>
      </w:r>
    </w:p>
    <w:p w14:paraId="11B8A68D">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 xml:space="preserve">1. </w:t>
      </w:r>
      <w:r>
        <w:rPr>
          <w:rStyle w:val="40"/>
          <w:rFonts w:ascii="宋体" w:hAnsi="宋体"/>
          <w:color w:val="auto"/>
          <w:kern w:val="0"/>
          <w:sz w:val="21"/>
          <w:szCs w:val="21"/>
          <w:highlight w:val="none"/>
          <w:u w:val="single" w:color="000000"/>
        </w:rPr>
        <w:t xml:space="preserve">（标的名称） </w:t>
      </w:r>
      <w:r>
        <w:rPr>
          <w:rStyle w:val="40"/>
          <w:rFonts w:ascii="宋体" w:hAnsi="宋体"/>
          <w:color w:val="auto"/>
          <w:kern w:val="0"/>
          <w:sz w:val="21"/>
          <w:szCs w:val="21"/>
          <w:highlight w:val="none"/>
        </w:rPr>
        <w:t xml:space="preserve">，属于 </w:t>
      </w:r>
      <w:r>
        <w:rPr>
          <w:rStyle w:val="40"/>
          <w:rFonts w:ascii="宋体" w:hAnsi="宋体"/>
          <w:color w:val="auto"/>
          <w:kern w:val="0"/>
          <w:sz w:val="21"/>
          <w:szCs w:val="21"/>
          <w:highlight w:val="none"/>
          <w:u w:val="single" w:color="000000"/>
        </w:rPr>
        <w:t>（</w:t>
      </w:r>
      <w:r>
        <w:rPr>
          <w:rStyle w:val="40"/>
          <w:rFonts w:hint="eastAsia" w:ascii="宋体" w:hAnsi="宋体"/>
          <w:color w:val="auto"/>
          <w:kern w:val="0"/>
          <w:sz w:val="21"/>
          <w:szCs w:val="21"/>
          <w:highlight w:val="none"/>
          <w:u w:val="single" w:color="000000"/>
        </w:rPr>
        <w:t>招标</w:t>
      </w:r>
      <w:r>
        <w:rPr>
          <w:rStyle w:val="40"/>
          <w:rFonts w:ascii="宋体" w:hAnsi="宋体"/>
          <w:color w:val="auto"/>
          <w:kern w:val="0"/>
          <w:sz w:val="21"/>
          <w:szCs w:val="21"/>
          <w:highlight w:val="none"/>
          <w:u w:val="single" w:color="000000"/>
        </w:rPr>
        <w:t xml:space="preserve">文件中明确的所属行业） </w:t>
      </w:r>
      <w:r>
        <w:rPr>
          <w:rStyle w:val="40"/>
          <w:rFonts w:ascii="宋体" w:hAnsi="宋体"/>
          <w:color w:val="auto"/>
          <w:kern w:val="0"/>
          <w:sz w:val="21"/>
          <w:szCs w:val="21"/>
          <w:highlight w:val="none"/>
        </w:rPr>
        <w:t>； 承接企业为</w:t>
      </w:r>
      <w:r>
        <w:rPr>
          <w:rStyle w:val="40"/>
          <w:rFonts w:ascii="宋体" w:hAnsi="宋体"/>
          <w:color w:val="auto"/>
          <w:kern w:val="0"/>
          <w:sz w:val="21"/>
          <w:szCs w:val="21"/>
          <w:highlight w:val="none"/>
          <w:u w:val="single" w:color="000000"/>
        </w:rPr>
        <w:t>（企业名称）</w:t>
      </w:r>
      <w:r>
        <w:rPr>
          <w:rStyle w:val="40"/>
          <w:rFonts w:ascii="宋体" w:hAnsi="宋体"/>
          <w:color w:val="auto"/>
          <w:kern w:val="0"/>
          <w:sz w:val="21"/>
          <w:szCs w:val="21"/>
          <w:highlight w:val="none"/>
        </w:rPr>
        <w:t>，从业人员</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人，营业收入为</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万元，资产总额为</w:t>
      </w:r>
      <w:r>
        <w:rPr>
          <w:rStyle w:val="40"/>
          <w:rFonts w:ascii="宋体" w:hAnsi="宋体"/>
          <w:color w:val="auto"/>
          <w:kern w:val="0"/>
          <w:sz w:val="21"/>
          <w:szCs w:val="21"/>
          <w:highlight w:val="none"/>
          <w:u w:val="single" w:color="000000"/>
        </w:rPr>
        <w:t xml:space="preserve">    </w:t>
      </w:r>
      <w:r>
        <w:rPr>
          <w:rStyle w:val="40"/>
          <w:rFonts w:ascii="宋体" w:hAnsi="宋体"/>
          <w:color w:val="auto"/>
          <w:kern w:val="0"/>
          <w:sz w:val="21"/>
          <w:szCs w:val="21"/>
          <w:highlight w:val="none"/>
        </w:rPr>
        <w:t>万元，属于</w:t>
      </w:r>
      <w:r>
        <w:rPr>
          <w:rStyle w:val="40"/>
          <w:rFonts w:ascii="宋体" w:hAnsi="宋体"/>
          <w:color w:val="auto"/>
          <w:kern w:val="0"/>
          <w:sz w:val="21"/>
          <w:szCs w:val="21"/>
          <w:highlight w:val="none"/>
          <w:u w:val="single" w:color="000000"/>
        </w:rPr>
        <w:t>（中型企业、 小型企业、微型企业）</w:t>
      </w:r>
      <w:r>
        <w:rPr>
          <w:rStyle w:val="40"/>
          <w:rFonts w:ascii="宋体" w:hAnsi="宋体"/>
          <w:color w:val="auto"/>
          <w:kern w:val="0"/>
          <w:sz w:val="21"/>
          <w:szCs w:val="21"/>
          <w:highlight w:val="none"/>
        </w:rPr>
        <w:t xml:space="preserve">； </w:t>
      </w:r>
    </w:p>
    <w:p w14:paraId="453045C9">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以上企业，不属于大企业的分支机构，不存在控股股东 为大企业的情形，也不存在与大企业的负责人为同一人的情形。</w:t>
      </w:r>
    </w:p>
    <w:p w14:paraId="457E5CC5">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r>
        <w:rPr>
          <w:rStyle w:val="40"/>
          <w:rFonts w:ascii="宋体" w:hAnsi="宋体"/>
          <w:color w:val="auto"/>
          <w:kern w:val="0"/>
          <w:sz w:val="21"/>
          <w:szCs w:val="21"/>
          <w:highlight w:val="none"/>
        </w:rPr>
        <w:t xml:space="preserve">本企业对上述声明内容的真实性负责。如有虚假，将依法承担相应责任。 </w:t>
      </w:r>
    </w:p>
    <w:p w14:paraId="37E4F9B6">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p>
    <w:p w14:paraId="67024231">
      <w:pPr>
        <w:widowControl/>
        <w:ind w:firstLine="2310" w:firstLineChars="1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1F7E9065">
      <w:pPr>
        <w:pStyle w:val="11"/>
        <w:spacing w:line="300" w:lineRule="exact"/>
        <w:ind w:left="2940" w:leftChars="1400" w:firstLine="630" w:firstLineChars="300"/>
        <w:rPr>
          <w:rFonts w:hint="eastAsia" w:ascii="宋体" w:hAnsi="宋体" w:eastAsia="宋体" w:cs="宋体"/>
          <w:color w:val="auto"/>
          <w:highlight w:val="none"/>
        </w:rPr>
      </w:pPr>
    </w:p>
    <w:p w14:paraId="5D10D11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7D624ECE">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0"/>
          <w:rFonts w:ascii="宋体" w:hAnsi="宋体"/>
          <w:color w:val="auto"/>
          <w:kern w:val="0"/>
          <w:sz w:val="21"/>
          <w:szCs w:val="21"/>
          <w:highlight w:val="none"/>
        </w:rPr>
      </w:pPr>
    </w:p>
    <w:p w14:paraId="38A0EC18">
      <w:pPr>
        <w:pStyle w:val="17"/>
        <w:rPr>
          <w:rFonts w:hint="eastAsia" w:ascii="宋体" w:hAnsi="宋体" w:eastAsia="宋体" w:cs="宋体"/>
          <w:b/>
          <w:color w:val="auto"/>
          <w:sz w:val="21"/>
          <w:szCs w:val="21"/>
          <w:highlight w:val="none"/>
        </w:rPr>
      </w:pPr>
    </w:p>
    <w:p w14:paraId="6897EA8F">
      <w:pPr>
        <w:pStyle w:val="17"/>
        <w:rPr>
          <w:rFonts w:hint="eastAsia" w:ascii="宋体" w:hAnsi="宋体" w:eastAsia="宋体" w:cs="宋体"/>
          <w:b/>
          <w:bCs/>
          <w:color w:val="auto"/>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14:paraId="148E49D0">
      <w:pPr>
        <w:spacing w:line="360" w:lineRule="auto"/>
        <w:rPr>
          <w:rFonts w:hint="eastAsia" w:ascii="宋体" w:hAnsi="宋体" w:eastAsia="宋体" w:cs="宋体"/>
          <w:b/>
          <w:color w:val="auto"/>
          <w:kern w:val="0"/>
          <w:sz w:val="28"/>
          <w:szCs w:val="28"/>
          <w:highlight w:val="none"/>
        </w:rPr>
      </w:pPr>
    </w:p>
    <w:p w14:paraId="07E89434">
      <w:pPr>
        <w:spacing w:line="460" w:lineRule="exact"/>
        <w:rPr>
          <w:rFonts w:hint="eastAsia" w:ascii="宋体" w:hAnsi="宋体" w:eastAsia="宋体" w:cs="宋体"/>
          <w:b/>
          <w:color w:val="auto"/>
          <w:kern w:val="0"/>
          <w:sz w:val="28"/>
          <w:szCs w:val="28"/>
          <w:highlight w:val="none"/>
        </w:rPr>
      </w:pPr>
    </w:p>
    <w:p w14:paraId="5C4449D4">
      <w:pPr>
        <w:pStyle w:val="8"/>
        <w:rPr>
          <w:rFonts w:hint="eastAsia" w:ascii="宋体" w:hAnsi="宋体" w:eastAsia="宋体" w:cs="宋体"/>
          <w:b/>
          <w:color w:val="auto"/>
          <w:kern w:val="0"/>
          <w:sz w:val="28"/>
          <w:szCs w:val="28"/>
          <w:highlight w:val="none"/>
        </w:rPr>
      </w:pPr>
    </w:p>
    <w:p w14:paraId="5FDFD139">
      <w:pPr>
        <w:rPr>
          <w:rFonts w:hint="eastAsia"/>
          <w:color w:val="auto"/>
          <w:highlight w:val="none"/>
        </w:rPr>
      </w:pPr>
    </w:p>
    <w:p w14:paraId="54E742EE">
      <w:pPr>
        <w:rPr>
          <w:rStyle w:val="40"/>
          <w:rFonts w:ascii="宋体" w:hAnsi="宋体" w:cs="宋体"/>
          <w:b/>
          <w:bCs/>
          <w:color w:val="auto"/>
          <w:sz w:val="30"/>
          <w:szCs w:val="30"/>
          <w:highlight w:val="none"/>
        </w:rPr>
      </w:pPr>
    </w:p>
    <w:p w14:paraId="40C4E7C5">
      <w:pPr>
        <w:rPr>
          <w:rStyle w:val="40"/>
          <w:rFonts w:ascii="宋体" w:hAnsi="宋体" w:cs="宋体"/>
          <w:b/>
          <w:bCs/>
          <w:color w:val="auto"/>
          <w:sz w:val="30"/>
          <w:szCs w:val="30"/>
          <w:highlight w:val="none"/>
        </w:rPr>
      </w:pPr>
    </w:p>
    <w:p w14:paraId="76F8D793">
      <w:pPr>
        <w:rPr>
          <w:rStyle w:val="40"/>
          <w:rFonts w:ascii="宋体" w:hAnsi="宋体" w:cs="宋体"/>
          <w:b/>
          <w:bCs/>
          <w:color w:val="auto"/>
          <w:sz w:val="30"/>
          <w:szCs w:val="30"/>
          <w:highlight w:val="none"/>
        </w:rPr>
      </w:pPr>
    </w:p>
    <w:p w14:paraId="6276045C">
      <w:pPr>
        <w:rPr>
          <w:rStyle w:val="40"/>
          <w:rFonts w:ascii="宋体" w:hAnsi="宋体" w:cs="宋体"/>
          <w:b/>
          <w:bCs/>
          <w:color w:val="auto"/>
          <w:sz w:val="30"/>
          <w:szCs w:val="30"/>
          <w:highlight w:val="none"/>
        </w:rPr>
      </w:pPr>
    </w:p>
    <w:p w14:paraId="50421EB3">
      <w:pPr>
        <w:rPr>
          <w:rStyle w:val="40"/>
          <w:rFonts w:ascii="宋体" w:hAnsi="宋体" w:cs="宋体"/>
          <w:b/>
          <w:bCs/>
          <w:color w:val="auto"/>
          <w:sz w:val="30"/>
          <w:szCs w:val="30"/>
          <w:highlight w:val="none"/>
        </w:rPr>
      </w:pPr>
    </w:p>
    <w:p w14:paraId="6BE0F0D0">
      <w:pPr>
        <w:rPr>
          <w:rStyle w:val="40"/>
          <w:rFonts w:ascii="宋体" w:hAnsi="宋体" w:cs="宋体"/>
          <w:b/>
          <w:bCs/>
          <w:color w:val="auto"/>
          <w:sz w:val="30"/>
          <w:szCs w:val="30"/>
          <w:highlight w:val="none"/>
        </w:rPr>
      </w:pPr>
    </w:p>
    <w:p w14:paraId="2BDD6BFE">
      <w:pPr>
        <w:rPr>
          <w:rStyle w:val="40"/>
          <w:rFonts w:ascii="宋体" w:hAnsi="宋体" w:cs="宋体"/>
          <w:b/>
          <w:bCs/>
          <w:color w:val="auto"/>
          <w:sz w:val="30"/>
          <w:szCs w:val="30"/>
          <w:highlight w:val="none"/>
        </w:rPr>
      </w:pPr>
    </w:p>
    <w:p w14:paraId="5ED65666">
      <w:pPr>
        <w:rPr>
          <w:rStyle w:val="40"/>
          <w:rFonts w:ascii="宋体" w:hAnsi="宋体" w:cs="宋体"/>
          <w:b/>
          <w:bCs/>
          <w:color w:val="auto"/>
          <w:sz w:val="30"/>
          <w:szCs w:val="30"/>
          <w:highlight w:val="none"/>
        </w:rPr>
      </w:pPr>
      <w:r>
        <w:rPr>
          <w:rStyle w:val="40"/>
          <w:rFonts w:ascii="宋体" w:hAnsi="宋体" w:cs="宋体"/>
          <w:b/>
          <w:bCs/>
          <w:color w:val="auto"/>
          <w:sz w:val="30"/>
          <w:szCs w:val="30"/>
          <w:highlight w:val="none"/>
        </w:rPr>
        <w:br w:type="page"/>
      </w:r>
    </w:p>
    <w:p w14:paraId="20FF37E3">
      <w:pPr>
        <w:rPr>
          <w:rStyle w:val="40"/>
          <w:rFonts w:ascii="宋体" w:hAnsi="宋体" w:cs="宋体"/>
          <w:b/>
          <w:bCs/>
          <w:color w:val="auto"/>
          <w:highlight w:val="none"/>
        </w:rPr>
      </w:pPr>
      <w:r>
        <w:rPr>
          <w:rStyle w:val="40"/>
          <w:rFonts w:ascii="宋体" w:hAnsi="宋体" w:cs="宋体"/>
          <w:b/>
          <w:bCs/>
          <w:color w:val="auto"/>
          <w:sz w:val="30"/>
          <w:szCs w:val="30"/>
          <w:highlight w:val="none"/>
        </w:rPr>
        <w:t>附表</w:t>
      </w:r>
    </w:p>
    <w:p w14:paraId="68D7B9CE">
      <w:pPr>
        <w:spacing w:before="120" w:after="120" w:line="400" w:lineRule="exact"/>
        <w:jc w:val="center"/>
        <w:rPr>
          <w:rStyle w:val="40"/>
          <w:rFonts w:ascii="宋体" w:hAnsi="宋体" w:cs="宋体"/>
          <w:b/>
          <w:bCs/>
          <w:color w:val="auto"/>
          <w:kern w:val="0"/>
          <w:sz w:val="30"/>
          <w:szCs w:val="30"/>
          <w:highlight w:val="none"/>
        </w:rPr>
      </w:pPr>
      <w:r>
        <w:rPr>
          <w:rStyle w:val="40"/>
          <w:rFonts w:ascii="宋体" w:hAnsi="宋体" w:cs="宋体"/>
          <w:b/>
          <w:bCs/>
          <w:color w:val="auto"/>
          <w:kern w:val="0"/>
          <w:sz w:val="30"/>
          <w:szCs w:val="30"/>
          <w:highlight w:val="none"/>
        </w:rPr>
        <w:t>统计上大中小微型企业划分标准</w:t>
      </w:r>
    </w:p>
    <w:tbl>
      <w:tblPr>
        <w:tblStyle w:val="27"/>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532E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310617DC">
            <w:pPr>
              <w:spacing w:line="240" w:lineRule="exact"/>
              <w:jc w:val="center"/>
              <w:rPr>
                <w:rStyle w:val="40"/>
                <w:rFonts w:ascii="宋体" w:hAnsi="宋体" w:cs="宋体"/>
                <w:b/>
                <w:bCs/>
                <w:color w:val="auto"/>
                <w:kern w:val="0"/>
                <w:sz w:val="18"/>
                <w:szCs w:val="21"/>
                <w:highlight w:val="none"/>
              </w:rPr>
            </w:pPr>
            <w:r>
              <w:rPr>
                <w:rStyle w:val="40"/>
                <w:rFonts w:ascii="宋体" w:hAnsi="宋体" w:cs="宋体"/>
                <w:b/>
                <w:bCs/>
                <w:color w:val="auto"/>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65A3A317">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8C2B4B8">
            <w:pPr>
              <w:jc w:val="center"/>
              <w:rPr>
                <w:rStyle w:val="40"/>
                <w:rFonts w:hint="eastAsia" w:ascii="宋体" w:hAnsi="宋体" w:eastAsia="宋体" w:cs="宋体"/>
                <w:b/>
                <w:bCs/>
                <w:color w:val="auto"/>
                <w:kern w:val="0"/>
                <w:sz w:val="18"/>
                <w:szCs w:val="18"/>
                <w:highlight w:val="none"/>
                <w:lang w:eastAsia="zh-CN"/>
              </w:rPr>
            </w:pPr>
            <w:r>
              <w:rPr>
                <w:rStyle w:val="40"/>
                <w:rFonts w:ascii="宋体" w:hAnsi="宋体" w:cs="宋体"/>
                <w:b/>
                <w:bCs/>
                <w:color w:val="auto"/>
                <w:kern w:val="0"/>
                <w:sz w:val="18"/>
                <w:szCs w:val="18"/>
                <w:highlight w:val="none"/>
              </w:rPr>
              <w:t>计量</w:t>
            </w:r>
          </w:p>
          <w:p w14:paraId="6925D0BE">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241317A9">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76CAF9D">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FE870A4">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D3C829F">
            <w:pPr>
              <w:jc w:val="center"/>
              <w:rPr>
                <w:rStyle w:val="40"/>
                <w:rFonts w:ascii="宋体" w:hAnsi="宋体" w:cs="宋体"/>
                <w:b/>
                <w:bCs/>
                <w:color w:val="auto"/>
                <w:kern w:val="0"/>
                <w:sz w:val="18"/>
                <w:szCs w:val="18"/>
                <w:highlight w:val="none"/>
              </w:rPr>
            </w:pPr>
            <w:r>
              <w:rPr>
                <w:rStyle w:val="40"/>
                <w:rFonts w:ascii="宋体" w:hAnsi="宋体" w:cs="宋体"/>
                <w:b/>
                <w:bCs/>
                <w:color w:val="auto"/>
                <w:kern w:val="0"/>
                <w:sz w:val="18"/>
                <w:szCs w:val="18"/>
                <w:highlight w:val="none"/>
              </w:rPr>
              <w:t>微型</w:t>
            </w:r>
          </w:p>
        </w:tc>
      </w:tr>
      <w:tr w14:paraId="476A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2C16C1DF">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BB7F57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34C4D81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E7BCFA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C4B176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08513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47584BD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w:t>
            </w:r>
          </w:p>
        </w:tc>
      </w:tr>
      <w:tr w14:paraId="026D2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5E22B6D">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FA59EC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E9B306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498C60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08CD17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FCC3CE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1076D86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14:paraId="42AC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7CE0BB1">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0BCB584">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74713A9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8A7AF6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C9F39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2F404F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F07176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w:t>
            </w:r>
          </w:p>
        </w:tc>
      </w:tr>
      <w:tr w14:paraId="7007E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B9A5443">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8C3A04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82D693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6B95C3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74301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9688B7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9F8476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w:t>
            </w:r>
          </w:p>
        </w:tc>
      </w:tr>
      <w:tr w14:paraId="0182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1A1F954">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2707AD">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1817B68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6F58B8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407004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32096A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A45952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Z＜300</w:t>
            </w:r>
          </w:p>
        </w:tc>
      </w:tr>
      <w:tr w14:paraId="7744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3EF14F7">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4B4187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D6EF6B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4088F24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CAA4A9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BF40DE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36DFE7C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X＜5</w:t>
            </w:r>
          </w:p>
        </w:tc>
      </w:tr>
      <w:tr w14:paraId="77EA0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7210092">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80E1600">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E26ADE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CAD9C7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D75BA0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C38116C">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5DC59B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w:t>
            </w:r>
          </w:p>
        </w:tc>
      </w:tr>
      <w:tr w14:paraId="06E6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23169ED">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EEB9DA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AB36D5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FDDAE6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F3202E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EC66946">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663455B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164F2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40B5337">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0F14557">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8E6AF0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3C1C0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493CC1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CA76022">
            <w:pPr>
              <w:ind w:left="-1" w:leftChars="-1" w:hanging="1"/>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6A9B480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1F1F0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1C68194">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5DEEC12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154203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090560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82A4C0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9FDF3A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7150864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14:paraId="7C16F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565D338">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7486279">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949CD8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E85100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A319F7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34341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B9CFE3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w:t>
            </w:r>
          </w:p>
        </w:tc>
      </w:tr>
      <w:tr w14:paraId="5181A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590E224">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897F05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2776AE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DFFD88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9D430FA">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7EBC28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B26973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14:paraId="754F9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13E0AC7">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2B7CD89">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B3530C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AD5A04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9CB8E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63184A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7A2F4C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637DF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F8BB366">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E120B3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40F4AE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6A49B0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AE95B4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51A51C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0DD8BEA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w:t>
            </w:r>
          </w:p>
        </w:tc>
      </w:tr>
      <w:tr w14:paraId="75A6B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93E8944">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BFF8043">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DEBE2F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F733DB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231373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E3F833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E75B49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0725B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75B6B97">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8414FC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7BFC69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12B895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6A876D6">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17C234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EA7C82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18A9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CAECCF6">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217C139">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9A5CF3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A88BF9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50A234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C23EBF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D99FCA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2C4CE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089F4F8">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59E119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B2864B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4A8397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C0BC98C">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03FDDEF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9217C3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3FE62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1F06252">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53CCC53">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706738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33E3D76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66C8BA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13D5EE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A51EEE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7401C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B106913">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8EB76F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16764AB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030648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8616F9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1749FA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F6003D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79609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F0D7767">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F0E7277">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13A71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C56EF3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599C53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0D69E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66E7B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68FA5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1E66E825">
            <w:pPr>
              <w:spacing w:line="240" w:lineRule="exact"/>
              <w:jc w:val="left"/>
              <w:rPr>
                <w:rStyle w:val="40"/>
                <w:rFonts w:ascii="宋体" w:hAnsi="宋体"/>
                <w:color w:val="auto"/>
                <w:spacing w:val="-12"/>
                <w:kern w:val="0"/>
                <w:sz w:val="18"/>
                <w:szCs w:val="18"/>
                <w:highlight w:val="none"/>
              </w:rPr>
            </w:pPr>
            <w:r>
              <w:rPr>
                <w:rStyle w:val="40"/>
                <w:rFonts w:ascii="宋体" w:hAnsi="宋体"/>
                <w:color w:val="auto"/>
                <w:spacing w:val="-12"/>
                <w:kern w:val="0"/>
                <w:sz w:val="18"/>
                <w:szCs w:val="18"/>
                <w:highlight w:val="none"/>
              </w:rPr>
              <w:t>软件和信息技术服</w:t>
            </w:r>
            <w:r>
              <w:rPr>
                <w:rStyle w:val="40"/>
                <w:rFonts w:ascii="宋体" w:hAnsi="宋体"/>
                <w:color w:val="auto"/>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04D5376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B35821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ED9D9E6">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0C7B6AA">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131A349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3803680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39C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CC6FC84">
            <w:pPr>
              <w:jc w:val="left"/>
              <w:rPr>
                <w:rStyle w:val="40"/>
                <w:rFonts w:ascii="宋体" w:hAnsi="宋体"/>
                <w:color w:val="auto"/>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3173BE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056356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40DD48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EB52FD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C9C4A6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686DB1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w:t>
            </w:r>
          </w:p>
        </w:tc>
      </w:tr>
      <w:tr w14:paraId="6B7D0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5253F2B">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3C30E7F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0CE506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D9E0E4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9C217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8512E6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CC35B7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Y＜100</w:t>
            </w:r>
          </w:p>
        </w:tc>
      </w:tr>
      <w:tr w14:paraId="442D8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3B26455">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F967D14">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45D10E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EB86DE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2CDB2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DED69B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CFD7B6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Z＜2000</w:t>
            </w:r>
          </w:p>
        </w:tc>
      </w:tr>
      <w:tr w14:paraId="4F6FA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6265579">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4B149197">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219D01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6D7F4B5">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7FA4C04">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149143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90AFC2A">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X＜100</w:t>
            </w:r>
          </w:p>
        </w:tc>
      </w:tr>
      <w:tr w14:paraId="08D56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C07EAFB">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5C36BBA">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B42A342">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7D11F7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A03EB84">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B69171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1D54EFFF">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Y＜500</w:t>
            </w:r>
          </w:p>
        </w:tc>
      </w:tr>
      <w:tr w14:paraId="38F81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5F6EB78">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7BAA28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064CB50">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1E8587C">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592B330">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42FAE18">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3AB6943">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r w14:paraId="7C21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AFC4F5D">
            <w:pPr>
              <w:jc w:val="left"/>
              <w:rPr>
                <w:rStyle w:val="40"/>
                <w:rFonts w:ascii="宋体" w:hAnsi="宋体"/>
                <w:color w:val="auto"/>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05606A3">
            <w:pPr>
              <w:spacing w:line="240" w:lineRule="exact"/>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04E25479">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D2FCDB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F6BD331">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44CD4A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1D5065D">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Z＜100</w:t>
            </w:r>
          </w:p>
        </w:tc>
      </w:tr>
      <w:tr w14:paraId="4C2B5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43274ABD">
            <w:pPr>
              <w:spacing w:line="240" w:lineRule="exact"/>
              <w:jc w:val="left"/>
              <w:rPr>
                <w:rStyle w:val="40"/>
                <w:rFonts w:ascii="宋体" w:hAnsi="宋体"/>
                <w:color w:val="auto"/>
                <w:kern w:val="0"/>
                <w:sz w:val="18"/>
                <w:szCs w:val="18"/>
                <w:highlight w:val="none"/>
              </w:rPr>
            </w:pPr>
            <w:r>
              <w:rPr>
                <w:rStyle w:val="40"/>
                <w:rFonts w:ascii="宋体" w:hAnsi="宋体"/>
                <w:color w:val="auto"/>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799CE73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295C268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9E4CA2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C32A748">
            <w:pPr>
              <w:ind w:left="1" w:leftChars="-51" w:hanging="108"/>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7208F4E">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3AB65B">
            <w:pPr>
              <w:jc w:val="center"/>
              <w:rPr>
                <w:rStyle w:val="40"/>
                <w:rFonts w:ascii="宋体" w:hAnsi="宋体"/>
                <w:color w:val="auto"/>
                <w:kern w:val="0"/>
                <w:sz w:val="18"/>
                <w:szCs w:val="18"/>
                <w:highlight w:val="none"/>
              </w:rPr>
            </w:pPr>
            <w:r>
              <w:rPr>
                <w:rStyle w:val="40"/>
                <w:rFonts w:ascii="宋体" w:hAnsi="宋体"/>
                <w:color w:val="auto"/>
                <w:kern w:val="0"/>
                <w:sz w:val="18"/>
                <w:szCs w:val="18"/>
                <w:highlight w:val="none"/>
              </w:rPr>
              <w:t>X＜10</w:t>
            </w:r>
          </w:p>
        </w:tc>
      </w:tr>
    </w:tbl>
    <w:p w14:paraId="25956D7D">
      <w:pPr>
        <w:spacing w:line="540" w:lineRule="exact"/>
        <w:rPr>
          <w:rStyle w:val="40"/>
          <w:rFonts w:ascii="宋体" w:hAnsi="宋体"/>
          <w:color w:val="auto"/>
          <w:spacing w:val="8"/>
          <w:kern w:val="0"/>
          <w:szCs w:val="21"/>
          <w:highlight w:val="none"/>
        </w:rPr>
      </w:pPr>
    </w:p>
    <w:p w14:paraId="4048B8CB">
      <w:pPr>
        <w:spacing w:line="540" w:lineRule="exact"/>
        <w:rPr>
          <w:rStyle w:val="40"/>
          <w:rFonts w:ascii="宋体" w:hAnsi="宋体"/>
          <w:color w:val="auto"/>
          <w:spacing w:val="8"/>
          <w:kern w:val="0"/>
          <w:szCs w:val="21"/>
          <w:highlight w:val="none"/>
        </w:rPr>
      </w:pPr>
      <w:r>
        <w:rPr>
          <w:rStyle w:val="40"/>
          <w:rFonts w:ascii="宋体" w:hAnsi="宋体"/>
          <w:color w:val="auto"/>
          <w:spacing w:val="8"/>
          <w:kern w:val="0"/>
          <w:szCs w:val="21"/>
          <w:highlight w:val="none"/>
        </w:rPr>
        <w:t>说明：</w:t>
      </w:r>
    </w:p>
    <w:p w14:paraId="4E580357">
      <w:pPr>
        <w:pStyle w:val="42"/>
        <w:spacing w:line="380" w:lineRule="exact"/>
        <w:ind w:firstLine="452" w:firstLineChars="200"/>
        <w:rPr>
          <w:rStyle w:val="40"/>
          <w:rFonts w:hAnsi="宋体"/>
          <w:color w:val="auto"/>
          <w:spacing w:val="8"/>
          <w:szCs w:val="21"/>
          <w:highlight w:val="none"/>
        </w:rPr>
      </w:pPr>
      <w:r>
        <w:rPr>
          <w:rStyle w:val="40"/>
          <w:rFonts w:hAnsi="宋体"/>
          <w:color w:val="auto"/>
          <w:spacing w:val="8"/>
          <w:szCs w:val="21"/>
          <w:highlight w:val="none"/>
        </w:rPr>
        <w:t>1.大型、中型和小型企业须同时满足所列指标的下限，否则下划一档；微型企业只须满足所列指标中的一项即可。</w:t>
      </w:r>
    </w:p>
    <w:p w14:paraId="532773A4">
      <w:pPr>
        <w:pStyle w:val="42"/>
        <w:spacing w:line="380" w:lineRule="exact"/>
        <w:ind w:firstLine="452" w:firstLineChars="200"/>
        <w:rPr>
          <w:rStyle w:val="40"/>
          <w:rFonts w:hAnsi="宋体"/>
          <w:color w:val="auto"/>
          <w:spacing w:val="8"/>
          <w:szCs w:val="21"/>
          <w:highlight w:val="none"/>
        </w:rPr>
      </w:pPr>
      <w:r>
        <w:rPr>
          <w:rStyle w:val="40"/>
          <w:rFonts w:hAnsi="宋体"/>
          <w:color w:val="auto"/>
          <w:spacing w:val="8"/>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45E79E">
      <w:pPr>
        <w:pStyle w:val="11"/>
        <w:spacing w:line="340" w:lineRule="exact"/>
        <w:rPr>
          <w:rFonts w:hint="eastAsia" w:ascii="宋体" w:hAnsi="宋体" w:eastAsia="宋体" w:cs="宋体"/>
          <w:b/>
          <w:color w:val="auto"/>
          <w:sz w:val="28"/>
          <w:szCs w:val="28"/>
          <w:highlight w:val="none"/>
          <w:lang w:val="en-US" w:eastAsia="zh-CN"/>
        </w:rPr>
      </w:pPr>
      <w:r>
        <w:rPr>
          <w:rStyle w:val="40"/>
          <w:rFonts w:hAnsi="宋体"/>
          <w:color w:val="auto"/>
          <w:spacing w:val="8"/>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02B2DF6">
      <w:pPr>
        <w:pStyle w:val="11"/>
        <w:spacing w:line="340" w:lineRule="exact"/>
        <w:rPr>
          <w:rFonts w:hint="eastAsia" w:ascii="宋体" w:hAnsi="宋体" w:eastAsia="宋体" w:cs="宋体"/>
          <w:b/>
          <w:color w:val="auto"/>
          <w:sz w:val="28"/>
          <w:szCs w:val="28"/>
          <w:highlight w:val="none"/>
          <w:lang w:val="en-US" w:eastAsia="zh-CN"/>
        </w:rPr>
      </w:pPr>
    </w:p>
    <w:p w14:paraId="67CED9BE">
      <w:pPr>
        <w:pStyle w:val="5"/>
        <w:rPr>
          <w:rFonts w:hint="eastAsia" w:hAnsi="宋体" w:eastAsia="宋体" w:cs="宋体"/>
          <w:b/>
          <w:color w:val="auto"/>
          <w:sz w:val="28"/>
          <w:szCs w:val="28"/>
          <w:highlight w:val="none"/>
          <w:lang w:val="en-US" w:eastAsia="zh-CN"/>
        </w:rPr>
      </w:pPr>
    </w:p>
    <w:p w14:paraId="54295698">
      <w:pPr>
        <w:rPr>
          <w:rFonts w:hint="eastAsia"/>
          <w:color w:val="auto"/>
          <w:highlight w:val="none"/>
          <w:lang w:val="en-US" w:eastAsia="zh-CN"/>
        </w:rPr>
      </w:pPr>
    </w:p>
    <w:p w14:paraId="1849B77A">
      <w:pPr>
        <w:rPr>
          <w:rFonts w:hint="eastAsia"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br w:type="page"/>
      </w:r>
    </w:p>
    <w:p w14:paraId="55D3A862">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14:paraId="427168FE">
      <w:pPr>
        <w:spacing w:line="588" w:lineRule="exact"/>
        <w:rPr>
          <w:rFonts w:hint="eastAsia" w:ascii="宋体" w:hAnsi="宋体" w:eastAsia="宋体" w:cs="宋体"/>
          <w:b/>
          <w:color w:val="auto"/>
          <w:kern w:val="0"/>
          <w:sz w:val="21"/>
          <w:szCs w:val="21"/>
          <w:highlight w:val="none"/>
        </w:rPr>
      </w:pPr>
    </w:p>
    <w:p w14:paraId="1FF28B6F">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FF96B0">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14:paraId="1E8CC598">
      <w:pPr>
        <w:spacing w:line="588" w:lineRule="exact"/>
        <w:ind w:firstLine="420" w:firstLineChars="200"/>
        <w:rPr>
          <w:rFonts w:hint="eastAsia" w:ascii="宋体" w:hAnsi="宋体" w:eastAsia="宋体" w:cs="宋体"/>
          <w:color w:val="auto"/>
          <w:kern w:val="0"/>
          <w:sz w:val="21"/>
          <w:szCs w:val="21"/>
          <w:highlight w:val="none"/>
        </w:rPr>
      </w:pPr>
    </w:p>
    <w:p w14:paraId="58E463D8">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7256D7D">
      <w:pPr>
        <w:pStyle w:val="11"/>
        <w:spacing w:line="300" w:lineRule="exact"/>
        <w:ind w:left="2940" w:leftChars="1400" w:firstLine="630" w:firstLineChars="300"/>
        <w:rPr>
          <w:rFonts w:hint="eastAsia" w:ascii="宋体" w:hAnsi="宋体" w:eastAsia="宋体" w:cs="宋体"/>
          <w:color w:val="auto"/>
          <w:sz w:val="21"/>
          <w:szCs w:val="21"/>
          <w:highlight w:val="none"/>
        </w:rPr>
      </w:pPr>
    </w:p>
    <w:p w14:paraId="0C24E9F5">
      <w:pPr>
        <w:ind w:firstLine="4200" w:firstLineChars="20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13397E6">
      <w:pPr>
        <w:pStyle w:val="2"/>
        <w:rPr>
          <w:rFonts w:hint="eastAsia" w:ascii="宋体" w:hAnsi="宋体" w:eastAsia="宋体" w:cs="宋体"/>
          <w:color w:val="auto"/>
          <w:sz w:val="21"/>
          <w:szCs w:val="21"/>
          <w:highlight w:val="none"/>
          <w:u w:val="single"/>
        </w:rPr>
      </w:pPr>
    </w:p>
    <w:p w14:paraId="284EC239">
      <w:pPr>
        <w:rPr>
          <w:rFonts w:hint="eastAsia" w:ascii="宋体" w:hAnsi="宋体" w:eastAsia="宋体" w:cs="宋体"/>
          <w:color w:val="auto"/>
          <w:sz w:val="21"/>
          <w:szCs w:val="21"/>
          <w:highlight w:val="none"/>
          <w:u w:val="single"/>
        </w:rPr>
      </w:pPr>
    </w:p>
    <w:p w14:paraId="485E2294">
      <w:pPr>
        <w:pStyle w:val="2"/>
        <w:rPr>
          <w:rFonts w:hint="eastAsia" w:ascii="宋体" w:hAnsi="宋体" w:eastAsia="宋体" w:cs="宋体"/>
          <w:color w:val="auto"/>
          <w:sz w:val="21"/>
          <w:szCs w:val="21"/>
          <w:highlight w:val="none"/>
          <w:u w:val="single"/>
        </w:rPr>
      </w:pPr>
    </w:p>
    <w:p w14:paraId="5592A58F">
      <w:pPr>
        <w:rPr>
          <w:rFonts w:hint="eastAsia" w:ascii="宋体" w:hAnsi="宋体" w:eastAsia="宋体" w:cs="宋体"/>
          <w:color w:val="auto"/>
          <w:sz w:val="21"/>
          <w:szCs w:val="21"/>
          <w:highlight w:val="none"/>
          <w:u w:val="single"/>
        </w:rPr>
      </w:pPr>
    </w:p>
    <w:p w14:paraId="4E824FCF">
      <w:pPr>
        <w:pStyle w:val="2"/>
        <w:rPr>
          <w:rFonts w:hint="eastAsia" w:ascii="宋体" w:hAnsi="宋体" w:eastAsia="宋体" w:cs="宋体"/>
          <w:b/>
          <w:bCs w:val="0"/>
          <w:color w:val="auto"/>
          <w:kern w:val="0"/>
          <w:sz w:val="21"/>
          <w:szCs w:val="21"/>
          <w:highlight w:val="none"/>
          <w:lang w:val="en-US" w:eastAsia="zh-CN" w:bidi="ar-SA"/>
        </w:rPr>
      </w:pPr>
      <w:bookmarkStart w:id="1810" w:name="_Toc5077"/>
      <w:bookmarkStart w:id="1811" w:name="_Toc7822"/>
      <w:r>
        <w:rPr>
          <w:rFonts w:hint="eastAsia" w:ascii="宋体" w:hAnsi="宋体" w:eastAsia="宋体" w:cs="宋体"/>
          <w:b/>
          <w:bCs w:val="0"/>
          <w:color w:val="auto"/>
          <w:kern w:val="0"/>
          <w:sz w:val="21"/>
          <w:szCs w:val="21"/>
          <w:highlight w:val="none"/>
          <w:lang w:val="en-US" w:eastAsia="zh-CN" w:bidi="ar-SA"/>
        </w:rPr>
        <w:t>（3）监狱企业的证明文件复印件[供应商如为监狱企业的，应当提供由省级以上监狱管理局、戒毒管理局（含新疆生产建设兵团）出具的属于监狱企业的证明文件, 否则不予享受优惠政策]</w:t>
      </w:r>
      <w:bookmarkEnd w:id="1810"/>
      <w:bookmarkEnd w:id="1811"/>
    </w:p>
    <w:p w14:paraId="724E2641">
      <w:pPr>
        <w:pStyle w:val="2"/>
        <w:rPr>
          <w:rFonts w:hint="eastAsia" w:ascii="宋体" w:hAnsi="宋体" w:eastAsia="宋体" w:cs="宋体"/>
          <w:color w:val="auto"/>
          <w:sz w:val="21"/>
          <w:szCs w:val="21"/>
          <w:highlight w:val="none"/>
          <w:u w:val="single"/>
        </w:rPr>
      </w:pPr>
    </w:p>
    <w:p w14:paraId="4A3ED925">
      <w:pPr>
        <w:rPr>
          <w:rFonts w:hint="eastAsia" w:ascii="宋体" w:hAnsi="宋体" w:eastAsia="宋体" w:cs="宋体"/>
          <w:color w:val="auto"/>
          <w:sz w:val="21"/>
          <w:szCs w:val="21"/>
          <w:highlight w:val="none"/>
          <w:u w:val="single"/>
        </w:rPr>
      </w:pPr>
    </w:p>
    <w:p w14:paraId="4BD59077">
      <w:pPr>
        <w:pStyle w:val="2"/>
        <w:rPr>
          <w:rFonts w:hint="eastAsia" w:ascii="宋体" w:hAnsi="宋体" w:eastAsia="宋体" w:cs="宋体"/>
          <w:color w:val="auto"/>
          <w:sz w:val="21"/>
          <w:szCs w:val="21"/>
          <w:highlight w:val="none"/>
          <w:u w:val="single"/>
        </w:rPr>
      </w:pPr>
    </w:p>
    <w:p w14:paraId="55DF6061">
      <w:pPr>
        <w:rPr>
          <w:rFonts w:hint="eastAsia" w:ascii="宋体" w:hAnsi="宋体" w:eastAsia="宋体" w:cs="宋体"/>
          <w:color w:val="auto"/>
          <w:sz w:val="21"/>
          <w:szCs w:val="21"/>
          <w:highlight w:val="none"/>
          <w:u w:val="single"/>
        </w:rPr>
      </w:pPr>
    </w:p>
    <w:p w14:paraId="7AB6C983">
      <w:pPr>
        <w:pStyle w:val="2"/>
        <w:rPr>
          <w:rFonts w:hint="eastAsia" w:ascii="宋体" w:hAnsi="宋体" w:eastAsia="宋体" w:cs="宋体"/>
          <w:color w:val="auto"/>
          <w:sz w:val="21"/>
          <w:szCs w:val="21"/>
          <w:highlight w:val="none"/>
          <w:u w:val="single"/>
        </w:rPr>
      </w:pPr>
    </w:p>
    <w:p w14:paraId="0B617FAE">
      <w:pPr>
        <w:rPr>
          <w:rFonts w:hint="eastAsia" w:ascii="宋体" w:hAnsi="宋体" w:eastAsia="宋体" w:cs="宋体"/>
          <w:color w:val="auto"/>
          <w:sz w:val="21"/>
          <w:szCs w:val="21"/>
          <w:highlight w:val="none"/>
          <w:u w:val="single"/>
        </w:rPr>
      </w:pPr>
    </w:p>
    <w:p w14:paraId="579B7962">
      <w:pPr>
        <w:rPr>
          <w:rFonts w:hint="eastAsia"/>
          <w:color w:val="auto"/>
          <w:highlight w:val="none"/>
          <w:lang w:val="en-US" w:eastAsia="zh-CN"/>
        </w:rPr>
      </w:pPr>
      <w:r>
        <w:rPr>
          <w:rFonts w:hint="eastAsia"/>
          <w:color w:val="auto"/>
          <w:highlight w:val="none"/>
          <w:lang w:val="en-US" w:eastAsia="zh-CN"/>
        </w:rPr>
        <w:br w:type="page"/>
      </w:r>
    </w:p>
    <w:p w14:paraId="1C920D05">
      <w:pPr>
        <w:pStyle w:val="11"/>
        <w:spacing w:line="340" w:lineRule="exact"/>
        <w:rPr>
          <w:rFonts w:hint="default"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.供应商有效的安全生产许可证书复印件（必须提供）；</w:t>
      </w:r>
    </w:p>
    <w:p w14:paraId="1D883ABD">
      <w:pPr>
        <w:pStyle w:val="11"/>
        <w:spacing w:line="340" w:lineRule="exact"/>
        <w:rPr>
          <w:rFonts w:hint="eastAsia" w:ascii="宋体" w:hAnsi="宋体" w:eastAsia="宋体" w:cs="宋体"/>
          <w:b/>
          <w:color w:val="auto"/>
          <w:sz w:val="28"/>
          <w:szCs w:val="28"/>
          <w:highlight w:val="none"/>
          <w:lang w:val="en-US" w:eastAsia="zh-CN"/>
        </w:rPr>
      </w:pPr>
    </w:p>
    <w:p w14:paraId="3CCD5B87">
      <w:pPr>
        <w:rPr>
          <w:rFonts w:hint="eastAsia"/>
          <w:color w:val="auto"/>
          <w:highlight w:val="none"/>
          <w:lang w:val="en-US" w:eastAsia="zh-CN"/>
        </w:rPr>
      </w:pPr>
    </w:p>
    <w:p w14:paraId="380DE145">
      <w:pPr>
        <w:pStyle w:val="11"/>
        <w:spacing w:line="340" w:lineRule="exact"/>
        <w:rPr>
          <w:rFonts w:hint="eastAsia" w:hAnsi="宋体" w:eastAsia="宋体" w:cs="宋体"/>
          <w:b/>
          <w:color w:val="auto"/>
          <w:sz w:val="28"/>
          <w:szCs w:val="28"/>
          <w:highlight w:val="none"/>
          <w:lang w:val="en-US" w:eastAsia="zh-CN"/>
        </w:rPr>
      </w:pPr>
    </w:p>
    <w:p w14:paraId="1D7FD7F4">
      <w:pPr>
        <w:pStyle w:val="11"/>
        <w:spacing w:line="340" w:lineRule="exact"/>
        <w:rPr>
          <w:rFonts w:hint="eastAsia" w:ascii="宋体" w:hAnsi="宋体" w:eastAsia="宋体" w:cs="宋体"/>
          <w:b/>
          <w:color w:val="auto"/>
          <w:sz w:val="28"/>
          <w:szCs w:val="28"/>
          <w:highlight w:val="none"/>
          <w:lang w:val="en-US" w:eastAsia="zh-CN"/>
        </w:rPr>
      </w:pPr>
      <w:r>
        <w:rPr>
          <w:rFonts w:hint="eastAsia"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lang w:val="en-US" w:eastAsia="zh-CN"/>
        </w:rPr>
        <w:t>.</w:t>
      </w:r>
      <w:r>
        <w:rPr>
          <w:rFonts w:hint="eastAsia" w:hAnsi="宋体" w:cs="宋体"/>
          <w:b/>
          <w:color w:val="auto"/>
          <w:sz w:val="28"/>
          <w:szCs w:val="28"/>
          <w:highlight w:val="none"/>
          <w:lang w:val="en-US" w:eastAsia="zh-CN"/>
        </w:rPr>
        <w:t>供应商2023年度以来财务状况报告</w:t>
      </w:r>
      <w:r>
        <w:rPr>
          <w:rFonts w:hint="eastAsia" w:ascii="宋体" w:hAnsi="宋体" w:eastAsia="宋体" w:cs="宋体"/>
          <w:b/>
          <w:color w:val="auto"/>
          <w:sz w:val="28"/>
          <w:szCs w:val="28"/>
          <w:highlight w:val="none"/>
          <w:lang w:val="en-US" w:eastAsia="zh-CN"/>
        </w:rPr>
        <w:t>（必须提供，可以是磋商供应商自行编制也可是通过第三方审计公司编制，如为自行编制至少须提供现金流量表、负债表及利润表）；</w:t>
      </w:r>
    </w:p>
    <w:p w14:paraId="5C463B23">
      <w:pPr>
        <w:pStyle w:val="6"/>
        <w:numPr>
          <w:ilvl w:val="0"/>
          <w:numId w:val="0"/>
        </w:numPr>
        <w:rPr>
          <w:rFonts w:hint="eastAsia" w:ascii="宋体" w:hAnsi="宋体" w:eastAsia="宋体" w:cs="宋体"/>
          <w:b/>
          <w:color w:val="auto"/>
          <w:sz w:val="28"/>
          <w:szCs w:val="28"/>
          <w:highlight w:val="none"/>
          <w:lang w:val="en-US" w:eastAsia="zh-CN"/>
        </w:rPr>
      </w:pPr>
    </w:p>
    <w:p w14:paraId="790F3F97">
      <w:pPr>
        <w:pStyle w:val="8"/>
        <w:rPr>
          <w:rFonts w:hint="eastAsia"/>
          <w:color w:val="auto"/>
          <w:highlight w:val="none"/>
          <w:lang w:val="en-US" w:eastAsia="zh-CN"/>
        </w:rPr>
      </w:pPr>
    </w:p>
    <w:p w14:paraId="23435083">
      <w:pPr>
        <w:pStyle w:val="6"/>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14:paraId="4A289DF4">
      <w:pPr>
        <w:numPr>
          <w:ilvl w:val="0"/>
          <w:numId w:val="0"/>
        </w:numPr>
        <w:ind w:left="420" w:leftChars="0"/>
        <w:jc w:val="center"/>
        <w:rPr>
          <w:rFonts w:hint="eastAsia" w:ascii="宋体" w:hAnsi="宋体" w:cs="宋体"/>
          <w:b/>
          <w:bCs/>
          <w:color w:val="auto"/>
          <w:sz w:val="32"/>
          <w:szCs w:val="32"/>
          <w:highlight w:val="none"/>
          <w:lang w:eastAsia="zh-CN"/>
        </w:rPr>
      </w:pPr>
    </w:p>
    <w:p w14:paraId="57EB90E0">
      <w:pPr>
        <w:numPr>
          <w:ilvl w:val="0"/>
          <w:numId w:val="0"/>
        </w:numPr>
        <w:ind w:left="420" w:leftChars="0"/>
        <w:jc w:val="center"/>
        <w:rPr>
          <w:rFonts w:hint="eastAsia" w:ascii="宋体" w:hAnsi="宋体" w:cs="宋体"/>
          <w:b/>
          <w:bCs/>
          <w:color w:val="auto"/>
          <w:sz w:val="32"/>
          <w:szCs w:val="32"/>
          <w:highlight w:val="none"/>
          <w:lang w:eastAsia="zh-CN"/>
        </w:rPr>
      </w:pPr>
    </w:p>
    <w:p w14:paraId="5017428C">
      <w:pPr>
        <w:numPr>
          <w:ilvl w:val="0"/>
          <w:numId w:val="0"/>
        </w:numPr>
        <w:jc w:val="center"/>
        <w:rPr>
          <w:rFonts w:hint="eastAsia" w:ascii="宋体" w:hAnsi="宋体" w:cs="宋体"/>
          <w:b/>
          <w:bCs/>
          <w:color w:val="auto"/>
          <w:sz w:val="32"/>
          <w:szCs w:val="32"/>
          <w:highlight w:val="none"/>
          <w:lang w:eastAsia="zh-CN"/>
        </w:rPr>
      </w:pPr>
    </w:p>
    <w:p w14:paraId="0D098B3A">
      <w:pP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br w:type="page"/>
      </w:r>
    </w:p>
    <w:p w14:paraId="77D42A65">
      <w:pPr>
        <w:numPr>
          <w:ilvl w:val="0"/>
          <w:numId w:val="0"/>
        </w:num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（二）</w:t>
      </w:r>
      <w:r>
        <w:rPr>
          <w:rFonts w:hint="eastAsia" w:ascii="宋体" w:hAnsi="宋体" w:eastAsia="宋体" w:cs="宋体"/>
          <w:b/>
          <w:bCs/>
          <w:color w:val="auto"/>
          <w:sz w:val="32"/>
          <w:szCs w:val="32"/>
          <w:highlight w:val="none"/>
        </w:rPr>
        <w:t>符合性响应证明材料目录</w:t>
      </w:r>
    </w:p>
    <w:p w14:paraId="4A7E177F">
      <w:pPr>
        <w:numPr>
          <w:ilvl w:val="0"/>
          <w:numId w:val="0"/>
        </w:numPr>
        <w:spacing w:line="360" w:lineRule="auto"/>
        <w:ind w:left="420" w:leftChars="0"/>
        <w:rPr>
          <w:rFonts w:hint="eastAsia" w:ascii="宋体" w:hAnsi="宋体" w:eastAsia="宋体" w:cs="宋体"/>
          <w:color w:val="auto"/>
          <w:sz w:val="24"/>
          <w:highlight w:val="none"/>
          <w:lang w:val="en-US" w:eastAsia="zh-CN"/>
        </w:rPr>
      </w:pPr>
    </w:p>
    <w:p w14:paraId="3FCC45A4">
      <w:pPr>
        <w:numPr>
          <w:ilvl w:val="0"/>
          <w:numId w:val="0"/>
        </w:numPr>
        <w:spacing w:line="360" w:lineRule="auto"/>
        <w:ind w:left="420" w:leftChars="200" w:firstLine="0" w:firstLineChars="0"/>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响应函</w:t>
      </w:r>
      <w:r>
        <w:rPr>
          <w:rFonts w:hint="eastAsia" w:ascii="宋体" w:hAnsi="宋体" w:eastAsia="宋体" w:cs="宋体"/>
          <w:b/>
          <w:bCs/>
          <w:color w:val="auto"/>
          <w:sz w:val="24"/>
          <w:highlight w:val="none"/>
        </w:rPr>
        <w:t>（格式见附件）（必须提供</w:t>
      </w:r>
      <w:r>
        <w:rPr>
          <w:color w:val="auto"/>
          <w:highlight w:val="none"/>
        </w:rPr>
        <w:t>）</w:t>
      </w:r>
      <w:r>
        <w:rPr>
          <w:rFonts w:hint="eastAsia" w:ascii="宋体" w:hAnsi="宋体" w:eastAsia="宋体" w:cs="宋体"/>
          <w:b/>
          <w:bCs/>
          <w:color w:val="auto"/>
          <w:sz w:val="24"/>
          <w:highlight w:val="none"/>
          <w:lang w:eastAsia="zh-CN"/>
        </w:rPr>
        <w:t>；</w:t>
      </w:r>
    </w:p>
    <w:p w14:paraId="19FC4940">
      <w:pPr>
        <w:numPr>
          <w:ilvl w:val="0"/>
          <w:numId w:val="0"/>
        </w:numPr>
        <w:spacing w:line="360" w:lineRule="auto"/>
        <w:ind w:left="420" w:leftChars="200" w:firstLine="0" w:firstLineChars="0"/>
        <w:rPr>
          <w:rFonts w:hint="eastAsia" w:ascii="宋体" w:hAnsi="宋体" w:eastAsia="宋体" w:cs="宋体"/>
          <w:color w:val="auto"/>
          <w:sz w:val="24"/>
          <w:highlight w:val="none"/>
          <w:lang w:val="en-US" w:eastAsia="zh-CN"/>
        </w:rPr>
      </w:pPr>
    </w:p>
    <w:p w14:paraId="73E2B912">
      <w:pPr>
        <w:numPr>
          <w:ilvl w:val="0"/>
          <w:numId w:val="0"/>
        </w:numPr>
        <w:spacing w:line="360" w:lineRule="auto"/>
        <w:ind w:leftChars="0"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工程报价汇总表</w:t>
      </w:r>
      <w:r>
        <w:rPr>
          <w:rFonts w:hint="eastAsia" w:ascii="宋体" w:hAnsi="宋体" w:eastAsia="宋体" w:cs="宋体"/>
          <w:b/>
          <w:bCs/>
          <w:color w:val="auto"/>
          <w:sz w:val="24"/>
          <w:highlight w:val="none"/>
        </w:rPr>
        <w:t>（格式见附件）（必须提供）；</w:t>
      </w:r>
    </w:p>
    <w:p w14:paraId="05C825DF">
      <w:pPr>
        <w:numPr>
          <w:ilvl w:val="0"/>
          <w:numId w:val="0"/>
        </w:numPr>
        <w:spacing w:line="360" w:lineRule="auto"/>
        <w:ind w:leftChars="0" w:firstLine="480" w:firstLineChars="200"/>
        <w:rPr>
          <w:rFonts w:hint="eastAsia" w:ascii="宋体" w:hAnsi="宋体" w:eastAsia="宋体" w:cs="宋体"/>
          <w:color w:val="auto"/>
          <w:sz w:val="24"/>
          <w:highlight w:val="none"/>
          <w:lang w:val="en-US" w:eastAsia="zh-CN"/>
        </w:rPr>
      </w:pPr>
    </w:p>
    <w:p w14:paraId="00945033">
      <w:pPr>
        <w:numPr>
          <w:ilvl w:val="0"/>
          <w:numId w:val="0"/>
        </w:numPr>
        <w:spacing w:line="360" w:lineRule="auto"/>
        <w:ind w:leftChars="0"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3.标价工程量清单</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020BC90B">
      <w:pPr>
        <w:pStyle w:val="8"/>
        <w:rPr>
          <w:rFonts w:hint="eastAsia" w:ascii="宋体" w:hAnsi="宋体" w:eastAsia="宋体" w:cs="宋体"/>
          <w:color w:val="auto"/>
          <w:highlight w:val="none"/>
        </w:rPr>
      </w:pPr>
    </w:p>
    <w:p w14:paraId="183C1AEC">
      <w:pPr>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拟投入本工程主要施工管理人员表</w:t>
      </w:r>
      <w:r>
        <w:rPr>
          <w:rFonts w:hint="eastAsia" w:ascii="宋体" w:hAnsi="宋体" w:eastAsia="宋体" w:cs="宋体"/>
          <w:b/>
          <w:bCs/>
          <w:color w:val="auto"/>
          <w:sz w:val="24"/>
          <w:highlight w:val="none"/>
        </w:rPr>
        <w:t>（必须提供）；</w:t>
      </w:r>
    </w:p>
    <w:p w14:paraId="28DC392E">
      <w:pPr>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val="0"/>
          <w:bCs w:val="0"/>
          <w:color w:val="auto"/>
          <w:szCs w:val="21"/>
          <w:highlight w:val="none"/>
        </w:rPr>
        <w:t>；</w:t>
      </w:r>
    </w:p>
    <w:p w14:paraId="76696CB6">
      <w:pPr>
        <w:pStyle w:val="8"/>
        <w:rPr>
          <w:rFonts w:hint="eastAsia" w:ascii="宋体" w:hAnsi="宋体" w:eastAsia="宋体" w:cs="宋体"/>
          <w:color w:val="auto"/>
          <w:highlight w:val="none"/>
        </w:rPr>
      </w:pPr>
    </w:p>
    <w:p w14:paraId="398F7267">
      <w:pPr>
        <w:numPr>
          <w:ilvl w:val="0"/>
          <w:numId w:val="0"/>
        </w:numPr>
        <w:spacing w:line="360" w:lineRule="auto"/>
        <w:ind w:left="420" w:leftChars="0"/>
        <w:rPr>
          <w:rFonts w:hint="eastAsia" w:ascii="宋体" w:hAnsi="宋体" w:eastAsia="宋体" w:cs="宋体"/>
          <w:color w:val="auto"/>
          <w:sz w:val="24"/>
          <w:highlight w:val="none"/>
          <w:lang w:eastAsia="zh-CN"/>
        </w:rPr>
      </w:pPr>
      <w:r>
        <w:rPr>
          <w:rFonts w:hint="eastAsia" w:ascii="宋体" w:hAnsi="宋体" w:eastAsia="宋体" w:cs="宋体"/>
          <w:b w:val="0"/>
          <w:bCs w:val="0"/>
          <w:color w:val="auto"/>
          <w:sz w:val="24"/>
          <w:highlight w:val="none"/>
          <w:lang w:val="en-US" w:eastAsia="zh-CN"/>
        </w:rPr>
        <w:t>5.</w:t>
      </w:r>
      <w:r>
        <w:rPr>
          <w:rFonts w:hint="eastAsia" w:ascii="宋体" w:hAnsi="宋体" w:eastAsia="宋体" w:cs="宋体"/>
          <w:b w:val="0"/>
          <w:bCs w:val="0"/>
          <w:color w:val="auto"/>
          <w:sz w:val="24"/>
          <w:highlight w:val="none"/>
          <w:lang w:eastAsia="zh-CN"/>
        </w:rPr>
        <w:t>担任本工程的项目经理简历表（应附相关证书、身份证复印件）</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0EA16417">
      <w:pPr>
        <w:numPr>
          <w:ilvl w:val="0"/>
          <w:numId w:val="0"/>
        </w:numPr>
        <w:spacing w:line="360" w:lineRule="auto"/>
        <w:ind w:left="420" w:leftChars="0"/>
        <w:rPr>
          <w:rFonts w:hint="eastAsia" w:ascii="宋体" w:hAnsi="宋体" w:eastAsia="宋体" w:cs="宋体"/>
          <w:color w:val="auto"/>
          <w:sz w:val="24"/>
          <w:highlight w:val="none"/>
          <w:lang w:eastAsia="zh-CN"/>
        </w:rPr>
      </w:pPr>
    </w:p>
    <w:p w14:paraId="27BFDC79">
      <w:pPr>
        <w:numPr>
          <w:ilvl w:val="0"/>
          <w:numId w:val="0"/>
        </w:numPr>
        <w:spacing w:line="360" w:lineRule="auto"/>
        <w:ind w:left="420" w:leftChars="0"/>
        <w:rPr>
          <w:rFonts w:hint="default"/>
          <w:b w:val="0"/>
          <w:bCs w:val="0"/>
          <w:color w:val="auto"/>
          <w:highlight w:val="none"/>
          <w:lang w:val="en-US" w:eastAsia="zh-CN"/>
        </w:rPr>
      </w:pPr>
      <w:r>
        <w:rPr>
          <w:rFonts w:hint="eastAsia" w:ascii="宋体" w:hAnsi="宋体" w:eastAsia="宋体"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施工组织设计方案</w:t>
      </w:r>
      <w:r>
        <w:rPr>
          <w:rFonts w:hint="eastAsia" w:ascii="宋体" w:hAnsi="宋体" w:eastAsia="宋体" w:cs="宋体"/>
          <w:b/>
          <w:bCs/>
          <w:color w:val="auto"/>
          <w:sz w:val="24"/>
          <w:highlight w:val="none"/>
          <w:lang w:eastAsia="zh-CN"/>
        </w:rPr>
        <w:t>（必须提供）</w:t>
      </w:r>
      <w:r>
        <w:rPr>
          <w:rFonts w:hint="eastAsia" w:ascii="宋体" w:hAnsi="宋体" w:eastAsia="宋体" w:cs="宋体"/>
          <w:color w:val="auto"/>
          <w:sz w:val="24"/>
          <w:highlight w:val="none"/>
          <w:lang w:eastAsia="zh-CN"/>
        </w:rPr>
        <w:t>；</w:t>
      </w:r>
    </w:p>
    <w:p w14:paraId="4143DE26">
      <w:pPr>
        <w:numPr>
          <w:ilvl w:val="0"/>
          <w:numId w:val="0"/>
        </w:numPr>
        <w:spacing w:line="360" w:lineRule="auto"/>
        <w:ind w:left="420" w:leftChars="0"/>
        <w:rPr>
          <w:rFonts w:hint="eastAsia" w:ascii="宋体" w:hAnsi="宋体" w:eastAsia="宋体" w:cs="宋体"/>
          <w:color w:val="auto"/>
          <w:sz w:val="24"/>
          <w:highlight w:val="none"/>
          <w:lang w:eastAsia="zh-CN"/>
        </w:rPr>
      </w:pPr>
    </w:p>
    <w:p w14:paraId="2958F46D">
      <w:pPr>
        <w:numPr>
          <w:ilvl w:val="0"/>
          <w:numId w:val="0"/>
        </w:numPr>
        <w:spacing w:line="360" w:lineRule="auto"/>
        <w:ind w:left="42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7.工程完工服务承诺书</w:t>
      </w:r>
      <w:r>
        <w:rPr>
          <w:rFonts w:hint="eastAsia" w:ascii="宋体" w:hAnsi="宋体" w:eastAsia="宋体" w:cs="宋体"/>
          <w:b/>
          <w:bCs/>
          <w:color w:val="auto"/>
          <w:sz w:val="24"/>
          <w:highlight w:val="none"/>
          <w:lang w:val="en-US" w:eastAsia="zh-CN"/>
        </w:rPr>
        <w:t>（必须提供）</w:t>
      </w:r>
      <w:r>
        <w:rPr>
          <w:rFonts w:hint="eastAsia" w:ascii="宋体" w:hAnsi="宋体" w:eastAsia="宋体" w:cs="宋体"/>
          <w:b w:val="0"/>
          <w:bCs w:val="0"/>
          <w:color w:val="auto"/>
          <w:sz w:val="24"/>
          <w:highlight w:val="none"/>
          <w:lang w:val="en-US" w:eastAsia="zh-CN"/>
        </w:rPr>
        <w:t>；</w:t>
      </w:r>
    </w:p>
    <w:p w14:paraId="63C2A4CF">
      <w:pPr>
        <w:pStyle w:val="2"/>
        <w:numPr>
          <w:ilvl w:val="0"/>
          <w:numId w:val="0"/>
        </w:numPr>
        <w:ind w:left="420" w:leftChars="0"/>
        <w:rPr>
          <w:rFonts w:hint="eastAsia" w:ascii="宋体" w:hAnsi="宋体" w:eastAsia="宋体" w:cs="宋体"/>
          <w:b/>
          <w:bCs/>
          <w:color w:val="auto"/>
          <w:kern w:val="2"/>
          <w:sz w:val="24"/>
          <w:szCs w:val="24"/>
          <w:highlight w:val="none"/>
          <w:lang w:val="en-US" w:eastAsia="zh-CN" w:bidi="ar-SA"/>
        </w:rPr>
      </w:pPr>
      <w:bookmarkStart w:id="1812" w:name="_Toc6633"/>
      <w:bookmarkStart w:id="1813" w:name="_Toc1014"/>
      <w:bookmarkStart w:id="1814" w:name="_Toc14835"/>
      <w:bookmarkStart w:id="1815" w:name="_Toc32505"/>
      <w:r>
        <w:rPr>
          <w:rFonts w:hint="eastAsia" w:ascii="宋体" w:hAnsi="宋体" w:eastAsia="宋体" w:cs="宋体"/>
          <w:b w:val="0"/>
          <w:bCs w:val="0"/>
          <w:color w:val="auto"/>
          <w:kern w:val="2"/>
          <w:sz w:val="24"/>
          <w:szCs w:val="24"/>
          <w:highlight w:val="none"/>
          <w:lang w:val="en-US" w:eastAsia="zh-CN" w:bidi="ar-SA"/>
        </w:rPr>
        <w:t>8.农民工工资保障金交纳与使用承诺书</w:t>
      </w:r>
      <w:r>
        <w:rPr>
          <w:rFonts w:hint="eastAsia" w:ascii="宋体" w:hAnsi="宋体" w:eastAsia="宋体" w:cs="宋体"/>
          <w:b/>
          <w:bCs/>
          <w:color w:val="auto"/>
          <w:kern w:val="2"/>
          <w:sz w:val="24"/>
          <w:szCs w:val="24"/>
          <w:highlight w:val="none"/>
          <w:lang w:val="en-US" w:eastAsia="zh-CN" w:bidi="ar-SA"/>
        </w:rPr>
        <w:t>（必须提供）</w:t>
      </w:r>
      <w:r>
        <w:rPr>
          <w:rFonts w:hint="eastAsia" w:ascii="宋体" w:hAnsi="宋体" w:eastAsia="宋体" w:cs="宋体"/>
          <w:b w:val="0"/>
          <w:bCs w:val="0"/>
          <w:color w:val="auto"/>
          <w:kern w:val="2"/>
          <w:sz w:val="24"/>
          <w:szCs w:val="24"/>
          <w:highlight w:val="none"/>
          <w:lang w:val="en-US" w:eastAsia="zh-CN" w:bidi="ar-SA"/>
        </w:rPr>
        <w:t>；</w:t>
      </w:r>
      <w:bookmarkEnd w:id="1812"/>
      <w:bookmarkEnd w:id="1813"/>
      <w:bookmarkEnd w:id="1814"/>
      <w:bookmarkEnd w:id="1815"/>
    </w:p>
    <w:p w14:paraId="50FDA5A8">
      <w:pPr>
        <w:pStyle w:val="2"/>
        <w:numPr>
          <w:ilvl w:val="0"/>
          <w:numId w:val="0"/>
        </w:numPr>
        <w:ind w:left="420" w:leftChars="0"/>
        <w:rPr>
          <w:rFonts w:hint="default"/>
          <w:color w:val="auto"/>
          <w:highlight w:val="none"/>
          <w:lang w:val="en-US" w:eastAsia="zh-CN"/>
        </w:rPr>
      </w:pPr>
      <w:bookmarkStart w:id="1816" w:name="_Toc6752"/>
      <w:bookmarkStart w:id="1817" w:name="_Toc9702"/>
      <w:bookmarkStart w:id="1818" w:name="_Toc13958"/>
      <w:bookmarkStart w:id="1819" w:name="_Toc4171"/>
      <w:r>
        <w:rPr>
          <w:rFonts w:hint="eastAsia" w:ascii="宋体" w:hAnsi="宋体" w:eastAsia="宋体" w:cs="宋体"/>
          <w:b w:val="0"/>
          <w:bCs w:val="0"/>
          <w:color w:val="auto"/>
          <w:kern w:val="2"/>
          <w:sz w:val="24"/>
          <w:szCs w:val="24"/>
          <w:highlight w:val="none"/>
          <w:lang w:val="en-US" w:eastAsia="zh-CN" w:bidi="ar-SA"/>
        </w:rPr>
        <w:t>9.城乡清洁工程渣土清运承诺书</w:t>
      </w:r>
      <w:r>
        <w:rPr>
          <w:rFonts w:hint="eastAsia" w:ascii="宋体" w:hAnsi="宋体" w:eastAsia="宋体" w:cs="宋体"/>
          <w:b/>
          <w:bCs/>
          <w:color w:val="auto"/>
          <w:kern w:val="2"/>
          <w:sz w:val="24"/>
          <w:szCs w:val="24"/>
          <w:highlight w:val="none"/>
          <w:lang w:val="en-US" w:eastAsia="zh-CN" w:bidi="ar-SA"/>
        </w:rPr>
        <w:t>（必须提供）</w:t>
      </w:r>
      <w:bookmarkEnd w:id="1816"/>
      <w:bookmarkEnd w:id="1817"/>
      <w:bookmarkEnd w:id="1818"/>
      <w:r>
        <w:rPr>
          <w:rFonts w:hint="eastAsia" w:ascii="宋体" w:hAnsi="宋体" w:cs="宋体"/>
          <w:b w:val="0"/>
          <w:bCs w:val="0"/>
          <w:color w:val="auto"/>
          <w:kern w:val="2"/>
          <w:sz w:val="24"/>
          <w:szCs w:val="24"/>
          <w:highlight w:val="none"/>
          <w:lang w:val="en-US" w:eastAsia="zh-CN" w:bidi="ar-SA"/>
        </w:rPr>
        <w:t>；</w:t>
      </w:r>
      <w:bookmarkEnd w:id="1819"/>
    </w:p>
    <w:p w14:paraId="291AA23A">
      <w:pPr>
        <w:pStyle w:val="30"/>
        <w:rPr>
          <w:rFonts w:hint="eastAsia" w:ascii="宋体" w:hAnsi="宋体" w:eastAsia="宋体" w:cs="宋体"/>
          <w:color w:val="auto"/>
          <w:highlight w:val="none"/>
        </w:rPr>
      </w:pPr>
    </w:p>
    <w:p w14:paraId="318FA4EF">
      <w:pPr>
        <w:pStyle w:val="30"/>
        <w:rPr>
          <w:rFonts w:hint="eastAsia" w:ascii="宋体" w:hAnsi="宋体" w:eastAsia="宋体" w:cs="宋体"/>
          <w:color w:val="auto"/>
          <w:highlight w:val="none"/>
        </w:rPr>
      </w:pPr>
    </w:p>
    <w:p w14:paraId="7CE4E2FC">
      <w:pPr>
        <w:pStyle w:val="30"/>
        <w:rPr>
          <w:rFonts w:hint="eastAsia" w:ascii="宋体" w:hAnsi="宋体" w:eastAsia="宋体" w:cs="宋体"/>
          <w:color w:val="auto"/>
          <w:highlight w:val="none"/>
        </w:rPr>
      </w:pPr>
    </w:p>
    <w:p w14:paraId="270AD013">
      <w:pPr>
        <w:pStyle w:val="30"/>
        <w:rPr>
          <w:rFonts w:hint="eastAsia" w:ascii="宋体" w:hAnsi="宋体" w:eastAsia="宋体" w:cs="宋体"/>
          <w:color w:val="auto"/>
          <w:highlight w:val="none"/>
        </w:rPr>
      </w:pPr>
    </w:p>
    <w:p w14:paraId="26A3DA2A">
      <w:pPr>
        <w:pStyle w:val="8"/>
        <w:rPr>
          <w:rFonts w:hint="eastAsia" w:ascii="宋体" w:hAnsi="宋体" w:eastAsia="宋体" w:cs="宋体"/>
          <w:color w:val="auto"/>
          <w:highlight w:val="none"/>
        </w:rPr>
      </w:pPr>
    </w:p>
    <w:p w14:paraId="306942E1">
      <w:pPr>
        <w:rPr>
          <w:rFonts w:hint="eastAsia" w:ascii="宋体" w:hAnsi="宋体" w:cs="宋体"/>
          <w:b/>
          <w:bCs/>
          <w:color w:val="auto"/>
          <w:sz w:val="28"/>
          <w:szCs w:val="28"/>
          <w:highlight w:val="none"/>
          <w:lang w:val="en-US" w:eastAsia="zh-CN"/>
        </w:rPr>
      </w:pPr>
      <w:bookmarkStart w:id="1820" w:name="_Toc497927072"/>
      <w:bookmarkStart w:id="1821" w:name="_Toc17617"/>
      <w:bookmarkStart w:id="1822" w:name="_Toc12920"/>
      <w:r>
        <w:rPr>
          <w:rFonts w:hint="eastAsia" w:ascii="宋体" w:hAnsi="宋体" w:cs="宋体"/>
          <w:b/>
          <w:bCs/>
          <w:color w:val="auto"/>
          <w:sz w:val="28"/>
          <w:szCs w:val="28"/>
          <w:highlight w:val="none"/>
          <w:lang w:val="en-US" w:eastAsia="zh-CN"/>
        </w:rPr>
        <w:br w:type="page"/>
      </w:r>
    </w:p>
    <w:p w14:paraId="677DDE0E">
      <w:pPr>
        <w:numPr>
          <w:ilvl w:val="0"/>
          <w:numId w:val="0"/>
        </w:numPr>
        <w:spacing w:line="400" w:lineRule="exact"/>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1.</w:t>
      </w:r>
      <w:r>
        <w:rPr>
          <w:rFonts w:hint="eastAsia" w:ascii="宋体" w:hAnsi="宋体" w:eastAsia="宋体" w:cs="宋体"/>
          <w:b/>
          <w:bCs/>
          <w:color w:val="auto"/>
          <w:sz w:val="28"/>
          <w:szCs w:val="28"/>
          <w:highlight w:val="none"/>
        </w:rPr>
        <w:t>响应函（格式见附件）（必须提供）</w:t>
      </w:r>
      <w:bookmarkEnd w:id="1820"/>
      <w:bookmarkEnd w:id="1821"/>
      <w:bookmarkEnd w:id="1822"/>
    </w:p>
    <w:p w14:paraId="2E8695B1">
      <w:pPr>
        <w:pStyle w:val="30"/>
        <w:rPr>
          <w:rFonts w:hint="eastAsia" w:ascii="宋体" w:hAnsi="宋体" w:eastAsia="宋体" w:cs="宋体"/>
          <w:color w:val="auto"/>
          <w:highlight w:val="none"/>
        </w:rPr>
      </w:pPr>
    </w:p>
    <w:p w14:paraId="16AD9C47">
      <w:pPr>
        <w:pStyle w:val="1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附件：</w:t>
      </w:r>
    </w:p>
    <w:p w14:paraId="4B6580C6">
      <w:pPr>
        <w:pStyle w:val="11"/>
        <w:ind w:firstLine="803" w:firstLineChars="250"/>
        <w:jc w:val="center"/>
        <w:rPr>
          <w:rFonts w:hint="eastAsia" w:ascii="宋体" w:hAnsi="宋体" w:eastAsia="宋体" w:cs="宋体"/>
          <w:b/>
          <w:color w:val="auto"/>
          <w:sz w:val="32"/>
          <w:highlight w:val="none"/>
        </w:rPr>
      </w:pPr>
      <w:bookmarkStart w:id="1823" w:name="_Toc7273_WPSOffice_Level1"/>
      <w:bookmarkStart w:id="1824" w:name="_Toc17832_WPSOffice_Level1"/>
      <w:r>
        <w:rPr>
          <w:rFonts w:hint="eastAsia" w:ascii="宋体" w:hAnsi="宋体" w:eastAsia="宋体" w:cs="宋体"/>
          <w:b/>
          <w:color w:val="auto"/>
          <w:sz w:val="32"/>
          <w:highlight w:val="none"/>
        </w:rPr>
        <w:t>响 应 函 （格 式）</w:t>
      </w:r>
      <w:bookmarkEnd w:id="1823"/>
      <w:bookmarkEnd w:id="1824"/>
    </w:p>
    <w:p w14:paraId="72DD3697">
      <w:pPr>
        <w:spacing w:line="240" w:lineRule="exact"/>
        <w:jc w:val="center"/>
        <w:rPr>
          <w:rFonts w:hint="eastAsia" w:ascii="宋体" w:hAnsi="宋体" w:eastAsia="宋体" w:cs="宋体"/>
          <w:color w:val="auto"/>
          <w:sz w:val="32"/>
          <w:highlight w:val="none"/>
        </w:rPr>
      </w:pPr>
    </w:p>
    <w:p w14:paraId="5D5B99C8">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广西中承建设工程咨询有限公司</w:t>
      </w:r>
    </w:p>
    <w:p w14:paraId="748F5D36">
      <w:pPr>
        <w:pStyle w:val="11"/>
        <w:spacing w:line="360" w:lineRule="exact"/>
        <w:ind w:firstLine="420"/>
        <w:rPr>
          <w:rFonts w:hint="eastAsia" w:ascii="宋体" w:hAnsi="宋体" w:eastAsia="宋体" w:cs="宋体"/>
          <w:color w:val="auto"/>
          <w:highlight w:val="none"/>
          <w:lang w:eastAsia="zh-CN"/>
        </w:rPr>
      </w:pPr>
      <w:r>
        <w:rPr>
          <w:rFonts w:hint="eastAsia" w:ascii="宋体" w:hAnsi="宋体" w:eastAsia="宋体" w:cs="宋体"/>
          <w:color w:val="auto"/>
          <w:highlight w:val="none"/>
        </w:rPr>
        <w:t>根据贵方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项目竞争性磋商文件，项目编号：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，签字代表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（姓名）经正式授权并代表供应商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供应商单位名称），提交</w:t>
      </w:r>
      <w:r>
        <w:rPr>
          <w:rFonts w:hint="eastAsia" w:ascii="宋体" w:hAnsi="宋体" w:eastAsia="宋体" w:cs="宋体"/>
          <w:color w:val="auto"/>
          <w:highlight w:val="none"/>
          <w:lang w:eastAsia="zh-CN"/>
        </w:rPr>
        <w:t>电子</w:t>
      </w:r>
      <w:r>
        <w:rPr>
          <w:rFonts w:hint="eastAsia" w:ascii="宋体" w:hAnsi="宋体" w:eastAsia="宋体" w:cs="宋体"/>
          <w:color w:val="auto"/>
          <w:highlight w:val="none"/>
        </w:rPr>
        <w:t>响应文件</w:t>
      </w:r>
      <w:r>
        <w:rPr>
          <w:rFonts w:hint="eastAsia" w:ascii="宋体" w:hAnsi="宋体" w:eastAsia="宋体" w:cs="宋体"/>
          <w:color w:val="auto"/>
          <w:highlight w:val="none"/>
          <w:lang w:eastAsia="zh-CN"/>
        </w:rPr>
        <w:t>。</w:t>
      </w:r>
    </w:p>
    <w:p w14:paraId="0D982FB2">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据此函，签字代表宣布同意如下：</w:t>
      </w:r>
    </w:p>
    <w:p w14:paraId="169A9995">
      <w:pPr>
        <w:pStyle w:val="11"/>
        <w:numPr>
          <w:ilvl w:val="0"/>
          <w:numId w:val="0"/>
        </w:numPr>
        <w:spacing w:line="360" w:lineRule="exact"/>
        <w:ind w:firstLine="420" w:firstLineChars="200"/>
        <w:rPr>
          <w:rFonts w:hint="eastAsia" w:ascii="宋体" w:hAnsi="宋体" w:eastAsia="宋体" w:cs="宋体"/>
          <w:color w:val="auto"/>
          <w:spacing w:val="-1"/>
          <w:sz w:val="21"/>
          <w:szCs w:val="21"/>
          <w:highlight w:val="none"/>
        </w:rPr>
      </w:pP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我方已仔细研究磋商文件的全部内容，愿意以人民币（大写）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14:paraId="21413BE4">
      <w:pPr>
        <w:pStyle w:val="11"/>
        <w:numPr>
          <w:ilvl w:val="0"/>
          <w:numId w:val="0"/>
        </w:numPr>
        <w:spacing w:line="360" w:lineRule="exact"/>
        <w:ind w:firstLine="420" w:firstLineChars="200"/>
        <w:rPr>
          <w:rFonts w:hint="eastAsia" w:ascii="宋体" w:hAnsi="宋体" w:eastAsia="宋体" w:cs="宋体"/>
          <w:color w:val="auto"/>
          <w:highlight w:val="none"/>
        </w:rPr>
      </w:pP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合同履约期限</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r>
        <w:rPr>
          <w:rFonts w:hint="eastAsia" w:ascii="宋体" w:hAnsi="宋体" w:cs="宋体"/>
          <w:color w:val="auto"/>
          <w:sz w:val="21"/>
          <w:szCs w:val="21"/>
          <w:highlight w:val="none"/>
          <w:u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3C9CF3C4">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3</w:t>
      </w:r>
      <w:r>
        <w:rPr>
          <w:rFonts w:hint="eastAsia" w:ascii="宋体" w:hAnsi="宋体" w:eastAsia="宋体" w:cs="宋体"/>
          <w:color w:val="auto"/>
          <w:highlight w:val="none"/>
        </w:rPr>
        <w:t>.我方承诺已具备磋商文件规定的供应商资格条件。</w:t>
      </w:r>
    </w:p>
    <w:p w14:paraId="15011B80">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4</w:t>
      </w:r>
      <w:r>
        <w:rPr>
          <w:rFonts w:hint="eastAsia" w:ascii="宋体" w:hAnsi="宋体" w:eastAsia="宋体" w:cs="宋体"/>
          <w:color w:val="auto"/>
          <w:highlight w:val="none"/>
        </w:rPr>
        <w:t>.我方已详细审核磋商文件，包括修改文件（如有的话）和有关附件，将自行承担因对全部磋商文件理解不正确或误解而产生的相应后果。</w:t>
      </w:r>
    </w:p>
    <w:p w14:paraId="4A9DB7D0">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5</w:t>
      </w:r>
      <w:r>
        <w:rPr>
          <w:rFonts w:hint="eastAsia" w:ascii="宋体" w:hAnsi="宋体" w:eastAsia="宋体" w:cs="宋体"/>
          <w:color w:val="auto"/>
          <w:highlight w:val="none"/>
        </w:rPr>
        <w:t>. 响应文件有效期为</w:t>
      </w:r>
      <w:r>
        <w:rPr>
          <w:rFonts w:hint="eastAsia" w:ascii="宋体" w:hAnsi="宋体" w:eastAsia="宋体" w:cs="宋体"/>
          <w:color w:val="auto"/>
          <w:szCs w:val="21"/>
          <w:highlight w:val="none"/>
        </w:rPr>
        <w:t>响应文件递交截止时间之日起90天。</w:t>
      </w:r>
    </w:p>
    <w:p w14:paraId="7C319400">
      <w:pPr>
        <w:pStyle w:val="11"/>
        <w:spacing w:line="360" w:lineRule="exact"/>
        <w:ind w:firstLine="420"/>
        <w:rPr>
          <w:rFonts w:hint="eastAsia" w:ascii="宋体" w:hAnsi="宋体" w:eastAsia="宋体" w:cs="宋体"/>
          <w:color w:val="auto"/>
          <w:highlight w:val="none"/>
        </w:rPr>
      </w:pPr>
      <w:r>
        <w:rPr>
          <w:rFonts w:hint="eastAsia" w:hAnsi="宋体" w:cs="宋体"/>
          <w:color w:val="auto"/>
          <w:highlight w:val="none"/>
          <w:lang w:val="en-US" w:eastAsia="zh-CN"/>
        </w:rPr>
        <w:t>6</w:t>
      </w:r>
      <w:r>
        <w:rPr>
          <w:rFonts w:hint="eastAsia" w:ascii="宋体" w:hAnsi="宋体" w:eastAsia="宋体" w:cs="宋体"/>
          <w:color w:val="auto"/>
          <w:highlight w:val="none"/>
        </w:rPr>
        <w:t>. 如我方成交：</w:t>
      </w:r>
    </w:p>
    <w:p w14:paraId="32C64614">
      <w:pPr>
        <w:pStyle w:val="11"/>
        <w:spacing w:line="36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41F93144">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（2）我方承诺按照磋商文件规定递交履约担保。</w:t>
      </w:r>
    </w:p>
    <w:p w14:paraId="07284913">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（3）我方承诺本响应文件至本项目合同履行完毕止均保持有效，按磋商文件及政府采购法律、法规的规定履行合同责任和义务。</w:t>
      </w:r>
    </w:p>
    <w:p w14:paraId="2B75B0D0">
      <w:pPr>
        <w:pStyle w:val="11"/>
        <w:spacing w:line="36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与本项目有关的正式通讯地址为：</w:t>
      </w:r>
    </w:p>
    <w:p w14:paraId="355027DA">
      <w:pPr>
        <w:rPr>
          <w:rFonts w:hint="eastAsia" w:ascii="宋体" w:hAnsi="宋体" w:eastAsia="宋体" w:cs="宋体"/>
          <w:color w:val="auto"/>
          <w:sz w:val="21"/>
          <w:szCs w:val="21"/>
          <w:highlight w:val="none"/>
        </w:rPr>
      </w:pPr>
    </w:p>
    <w:p w14:paraId="3F93B72F">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电话、传真：</w:t>
      </w:r>
      <w:r>
        <w:rPr>
          <w:rFonts w:hint="eastAsia" w:ascii="宋体" w:hAnsi="宋体" w:eastAsia="宋体" w:cs="宋体"/>
          <w:color w:val="auto"/>
          <w:sz w:val="21"/>
          <w:szCs w:val="21"/>
          <w:highlight w:val="none"/>
          <w:u w:val="single"/>
        </w:rPr>
        <w:t xml:space="preserve">            </w:t>
      </w:r>
    </w:p>
    <w:p w14:paraId="6F9DFB2A">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14:paraId="0E305586">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53A8FA71">
      <w:pPr>
        <w:pStyle w:val="11"/>
        <w:spacing w:line="32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p>
    <w:p w14:paraId="4DB361AB">
      <w:pPr>
        <w:pStyle w:val="11"/>
        <w:spacing w:line="32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w:t>
      </w:r>
      <w:r>
        <w:rPr>
          <w:rFonts w:hint="eastAsia" w:ascii="宋体" w:hAnsi="宋体" w:eastAsia="宋体" w:cs="宋体"/>
          <w:bCs/>
          <w:color w:val="auto"/>
          <w:sz w:val="21"/>
          <w:szCs w:val="21"/>
          <w:highlight w:val="none"/>
          <w:lang w:val="en-US" w:eastAsia="zh-CN"/>
        </w:rPr>
        <w:t>(CA签章)</w:t>
      </w:r>
      <w:r>
        <w:rPr>
          <w:rFonts w:hint="eastAsia" w:ascii="宋体" w:hAnsi="宋体" w:eastAsia="宋体" w:cs="宋体"/>
          <w:bCs/>
          <w:color w:val="auto"/>
          <w:sz w:val="21"/>
          <w:szCs w:val="21"/>
          <w:highlight w:val="none"/>
        </w:rPr>
        <w:t>、自然人除外</w:t>
      </w:r>
      <w:r>
        <w:rPr>
          <w:rFonts w:hint="eastAsia" w:ascii="宋体" w:hAnsi="宋体" w:eastAsia="宋体" w:cs="宋体"/>
          <w:bCs/>
          <w:color w:val="auto"/>
          <w:sz w:val="21"/>
          <w:szCs w:val="21"/>
          <w:highlight w:val="none"/>
          <w:lang w:val="en-US"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p>
    <w:p w14:paraId="5A2B9F7C">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466268">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响应</w:t>
      </w: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p>
    <w:p w14:paraId="40F8BC83">
      <w:pPr>
        <w:pStyle w:val="6"/>
        <w:rPr>
          <w:rFonts w:hint="eastAsia" w:ascii="宋体" w:hAnsi="宋体" w:eastAsia="宋体" w:cs="宋体"/>
          <w:color w:val="auto"/>
          <w:sz w:val="21"/>
          <w:szCs w:val="21"/>
          <w:highlight w:val="none"/>
          <w:u w:val="single"/>
        </w:rPr>
      </w:pPr>
    </w:p>
    <w:p w14:paraId="66DACBF8">
      <w:pPr>
        <w:rPr>
          <w:rFonts w:hint="eastAsia" w:ascii="宋体" w:hAnsi="宋体" w:eastAsia="宋体" w:cs="宋体"/>
          <w:color w:val="auto"/>
          <w:sz w:val="21"/>
          <w:szCs w:val="21"/>
          <w:highlight w:val="none"/>
          <w:u w:val="single"/>
        </w:rPr>
      </w:pPr>
    </w:p>
    <w:p w14:paraId="668930E6">
      <w:pPr>
        <w:pStyle w:val="6"/>
        <w:rPr>
          <w:rFonts w:hint="eastAsia"/>
          <w:color w:val="auto"/>
          <w:highlight w:val="none"/>
          <w:lang w:val="en-US" w:eastAsia="zh-CN"/>
        </w:rPr>
      </w:pPr>
    </w:p>
    <w:p w14:paraId="47660DBB">
      <w:pPr>
        <w:rPr>
          <w:rFonts w:hint="eastAsia"/>
          <w:color w:val="auto"/>
          <w:highlight w:val="none"/>
          <w:lang w:val="en-US" w:eastAsia="zh-CN"/>
        </w:rPr>
      </w:pPr>
    </w:p>
    <w:p w14:paraId="334A62C7">
      <w:pPr>
        <w:rPr>
          <w:rFonts w:hint="eastAsia"/>
          <w:color w:val="auto"/>
          <w:highlight w:val="none"/>
          <w:lang w:val="en-US" w:eastAsia="zh-CN"/>
        </w:rPr>
      </w:pPr>
    </w:p>
    <w:p w14:paraId="56477A3E">
      <w:pPr>
        <w:pStyle w:val="11"/>
        <w:numPr>
          <w:ilvl w:val="0"/>
          <w:numId w:val="0"/>
        </w:numPr>
        <w:spacing w:line="340" w:lineRule="exact"/>
        <w:rPr>
          <w:rFonts w:hint="eastAsia" w:hAnsi="宋体" w:cs="宋体"/>
          <w:b/>
          <w:color w:val="auto"/>
          <w:sz w:val="28"/>
          <w:szCs w:val="28"/>
          <w:highlight w:val="none"/>
          <w:lang w:val="en-US" w:eastAsia="zh-CN"/>
        </w:rPr>
      </w:pPr>
    </w:p>
    <w:p w14:paraId="0749C7F5">
      <w:pPr>
        <w:pStyle w:val="11"/>
        <w:numPr>
          <w:ilvl w:val="0"/>
          <w:numId w:val="0"/>
        </w:numPr>
        <w:spacing w:line="340" w:lineRule="exact"/>
        <w:rPr>
          <w:rFonts w:hint="eastAsia" w:hAnsi="宋体" w:cs="宋体"/>
          <w:b/>
          <w:color w:val="auto"/>
          <w:sz w:val="28"/>
          <w:szCs w:val="28"/>
          <w:highlight w:val="none"/>
          <w:lang w:val="en-US" w:eastAsia="zh-CN"/>
        </w:rPr>
      </w:pPr>
    </w:p>
    <w:p w14:paraId="1BB5DC8A">
      <w:pPr>
        <w:pStyle w:val="5"/>
        <w:rPr>
          <w:rFonts w:hint="eastAsia"/>
          <w:color w:val="auto"/>
          <w:highlight w:val="none"/>
          <w:lang w:val="en-US" w:eastAsia="zh-CN"/>
        </w:rPr>
      </w:pPr>
    </w:p>
    <w:p w14:paraId="5C822975">
      <w:pPr>
        <w:pStyle w:val="11"/>
        <w:numPr>
          <w:ilvl w:val="0"/>
          <w:numId w:val="0"/>
        </w:numPr>
        <w:spacing w:line="340" w:lineRule="exact"/>
        <w:rPr>
          <w:rFonts w:hint="eastAsia" w:ascii="宋体" w:hAnsi="宋体" w:eastAsia="宋体" w:cs="宋体"/>
          <w:color w:val="auto"/>
          <w:highlight w:val="none"/>
        </w:rPr>
      </w:pPr>
      <w:r>
        <w:rPr>
          <w:rFonts w:hint="eastAsia" w:hAnsi="宋体" w:cs="宋体"/>
          <w:b/>
          <w:color w:val="auto"/>
          <w:sz w:val="28"/>
          <w:szCs w:val="28"/>
          <w:highlight w:val="none"/>
          <w:lang w:val="en-US" w:eastAsia="zh-CN"/>
        </w:rPr>
        <w:t>2</w:t>
      </w:r>
      <w:r>
        <w:rPr>
          <w:rFonts w:hint="eastAsia" w:ascii="宋体" w:hAnsi="宋体" w:eastAsia="宋体" w:cs="宋体"/>
          <w:b/>
          <w:color w:val="auto"/>
          <w:sz w:val="28"/>
          <w:szCs w:val="28"/>
          <w:highlight w:val="none"/>
          <w:lang w:val="en-US" w:eastAsia="zh-CN"/>
        </w:rPr>
        <w:t>. 工程报价汇总表</w:t>
      </w:r>
      <w:r>
        <w:rPr>
          <w:rFonts w:hint="eastAsia" w:ascii="宋体" w:hAnsi="宋体" w:eastAsia="宋体" w:cs="宋体"/>
          <w:b/>
          <w:color w:val="auto"/>
          <w:sz w:val="28"/>
          <w:szCs w:val="28"/>
          <w:highlight w:val="none"/>
        </w:rPr>
        <w:t>（必须提供）；</w:t>
      </w:r>
    </w:p>
    <w:p w14:paraId="69A9E420">
      <w:pPr>
        <w:pStyle w:val="11"/>
        <w:spacing w:line="320" w:lineRule="exact"/>
        <w:jc w:val="left"/>
        <w:rPr>
          <w:rFonts w:hint="eastAsia" w:ascii="宋体" w:hAnsi="宋体" w:eastAsia="宋体" w:cs="宋体"/>
          <w:b/>
          <w:color w:val="auto"/>
          <w:sz w:val="28"/>
          <w:szCs w:val="28"/>
          <w:highlight w:val="none"/>
        </w:rPr>
      </w:pPr>
    </w:p>
    <w:p w14:paraId="5028064F">
      <w:pPr>
        <w:widowControl/>
        <w:jc w:val="center"/>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工程报价汇总表</w:t>
      </w:r>
      <w:r>
        <w:rPr>
          <w:rFonts w:hint="eastAsia" w:ascii="宋体" w:hAnsi="宋体" w:eastAsia="宋体" w:cs="宋体"/>
          <w:b/>
          <w:color w:val="auto"/>
          <w:kern w:val="0"/>
          <w:sz w:val="24"/>
          <w:szCs w:val="24"/>
          <w:highlight w:val="none"/>
          <w:lang w:eastAsia="zh-CN"/>
        </w:rPr>
        <w:t>（</w:t>
      </w:r>
      <w:r>
        <w:rPr>
          <w:rFonts w:hint="eastAsia" w:ascii="宋体" w:hAnsi="宋体" w:eastAsia="宋体" w:cs="宋体"/>
          <w:b/>
          <w:color w:val="auto"/>
          <w:kern w:val="0"/>
          <w:sz w:val="24"/>
          <w:szCs w:val="24"/>
          <w:highlight w:val="none"/>
          <w:lang w:val="en-US" w:eastAsia="zh-CN"/>
        </w:rPr>
        <w:t>格式</w:t>
      </w:r>
      <w:r>
        <w:rPr>
          <w:rFonts w:hint="eastAsia" w:ascii="宋体" w:hAnsi="宋体" w:eastAsia="宋体" w:cs="宋体"/>
          <w:b/>
          <w:color w:val="auto"/>
          <w:kern w:val="0"/>
          <w:sz w:val="24"/>
          <w:szCs w:val="24"/>
          <w:highlight w:val="none"/>
          <w:lang w:eastAsia="zh-CN"/>
        </w:rPr>
        <w:t>）</w:t>
      </w:r>
    </w:p>
    <w:p w14:paraId="7D06E054">
      <w:pPr>
        <w:widowControl/>
        <w:jc w:val="center"/>
        <w:rPr>
          <w:rFonts w:hint="eastAsia" w:ascii="宋体" w:hAnsi="宋体" w:cs="宋体"/>
          <w:color w:val="auto"/>
          <w:kern w:val="0"/>
          <w:sz w:val="24"/>
          <w:highlight w:val="none"/>
        </w:rPr>
      </w:pPr>
    </w:p>
    <w:p w14:paraId="11A7BE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4969"/>
        <w:gridCol w:w="1768"/>
      </w:tblGrid>
      <w:tr w14:paraId="7C5C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2402" w:type="dxa"/>
            <w:vAlign w:val="center"/>
          </w:tcPr>
          <w:p w14:paraId="58190F66">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磋商总报价</w:t>
            </w:r>
          </w:p>
        </w:tc>
        <w:tc>
          <w:tcPr>
            <w:tcW w:w="4969" w:type="dxa"/>
            <w:vAlign w:val="center"/>
          </w:tcPr>
          <w:p w14:paraId="79DC187F">
            <w:pPr>
              <w:kinsoku/>
              <w:adjustRightIn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元</w:t>
            </w:r>
          </w:p>
        </w:tc>
        <w:tc>
          <w:tcPr>
            <w:tcW w:w="1768" w:type="dxa"/>
            <w:vAlign w:val="center"/>
          </w:tcPr>
          <w:p w14:paraId="3D5AF53C">
            <w:pPr>
              <w:kinsoku/>
              <w:adjustRightIn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r>
      <w:tr w14:paraId="1D42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02" w:type="dxa"/>
            <w:vAlign w:val="center"/>
          </w:tcPr>
          <w:p w14:paraId="58D76E04">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承诺</w:t>
            </w:r>
            <w:r>
              <w:rPr>
                <w:rFonts w:hint="eastAsia" w:ascii="宋体" w:hAnsi="宋体" w:eastAsia="宋体" w:cs="宋体"/>
                <w:color w:val="auto"/>
                <w:sz w:val="21"/>
                <w:szCs w:val="21"/>
                <w:highlight w:val="none"/>
                <w:lang w:val="en-US" w:eastAsia="zh-CN"/>
              </w:rPr>
              <w:t>合同履约期限</w:t>
            </w:r>
          </w:p>
        </w:tc>
        <w:tc>
          <w:tcPr>
            <w:tcW w:w="6737" w:type="dxa"/>
            <w:gridSpan w:val="2"/>
            <w:vAlign w:val="center"/>
          </w:tcPr>
          <w:p w14:paraId="7066222E">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p>
        </w:tc>
      </w:tr>
      <w:tr w14:paraId="0A24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02" w:type="dxa"/>
            <w:vAlign w:val="center"/>
          </w:tcPr>
          <w:p w14:paraId="1E5918D8">
            <w:pPr>
              <w:kinsoku/>
              <w:autoSpaceDE/>
              <w:autoSpaceDN/>
              <w:adjustRightInd/>
              <w:snapToGrid/>
              <w:spacing w:line="360" w:lineRule="auto"/>
              <w:jc w:val="center"/>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rPr>
              <w:t>承诺</w:t>
            </w:r>
            <w:r>
              <w:rPr>
                <w:rFonts w:hint="eastAsia" w:ascii="宋体" w:hAnsi="宋体" w:cs="宋体"/>
                <w:color w:val="auto"/>
                <w:sz w:val="21"/>
                <w:szCs w:val="21"/>
                <w:highlight w:val="none"/>
              </w:rPr>
              <w:t>质量</w:t>
            </w:r>
            <w:r>
              <w:rPr>
                <w:rFonts w:hint="eastAsia" w:hAnsi="宋体" w:cs="宋体"/>
                <w:color w:val="auto"/>
                <w:sz w:val="21"/>
                <w:szCs w:val="21"/>
                <w:highlight w:val="none"/>
                <w:lang w:val="en-US" w:eastAsia="zh-CN"/>
              </w:rPr>
              <w:t>标准</w:t>
            </w:r>
          </w:p>
        </w:tc>
        <w:tc>
          <w:tcPr>
            <w:tcW w:w="6737" w:type="dxa"/>
            <w:gridSpan w:val="2"/>
            <w:vAlign w:val="center"/>
          </w:tcPr>
          <w:p w14:paraId="40BE5D30">
            <w:pPr>
              <w:kinsoku/>
              <w:autoSpaceDE/>
              <w:autoSpaceDN/>
              <w:adjustRightInd/>
              <w:snapToGrid/>
              <w:spacing w:line="360" w:lineRule="auto"/>
              <w:jc w:val="righ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　</w:t>
            </w:r>
          </w:p>
        </w:tc>
      </w:tr>
    </w:tbl>
    <w:p w14:paraId="7A935433">
      <w:pPr>
        <w:spacing w:line="340" w:lineRule="exact"/>
        <w:rPr>
          <w:rFonts w:hint="eastAsia" w:ascii="宋体" w:hAnsi="宋体" w:eastAsia="宋体" w:cs="宋体"/>
          <w:color w:val="auto"/>
          <w:szCs w:val="21"/>
          <w:highlight w:val="none"/>
        </w:rPr>
      </w:pPr>
    </w:p>
    <w:p w14:paraId="5B92ED7F">
      <w:pPr>
        <w:spacing w:line="340" w:lineRule="exact"/>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磋商供应商</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，自然人除外）：</w:t>
      </w:r>
      <w:r>
        <w:rPr>
          <w:rFonts w:hint="eastAsia" w:ascii="宋体" w:hAnsi="宋体" w:eastAsia="宋体" w:cs="宋体"/>
          <w:color w:val="auto"/>
          <w:szCs w:val="21"/>
          <w:highlight w:val="none"/>
          <w:u w:val="single"/>
        </w:rPr>
        <w:t xml:space="preserve">                                        </w:t>
      </w:r>
    </w:p>
    <w:p w14:paraId="3EE46412">
      <w:pPr>
        <w:spacing w:line="340" w:lineRule="exact"/>
        <w:rPr>
          <w:rFonts w:hint="eastAsia" w:ascii="宋体" w:hAnsi="宋体" w:eastAsia="宋体" w:cs="宋体"/>
          <w:color w:val="auto"/>
          <w:szCs w:val="21"/>
          <w:highlight w:val="none"/>
          <w:u w:val="single"/>
        </w:rPr>
      </w:pPr>
      <w:r>
        <w:rPr>
          <w:rFonts w:hint="eastAsia" w:ascii="宋体" w:hAnsi="宋体" w:eastAsia="宋体" w:cs="宋体"/>
          <w:color w:val="auto"/>
          <w:highlight w:val="none"/>
        </w:rPr>
        <w:t>法定代表人、负责人、自然人或相应的委托代理人签字或</w:t>
      </w:r>
      <w:r>
        <w:rPr>
          <w:rFonts w:hint="eastAsia" w:ascii="宋体" w:hAnsi="宋体" w:eastAsia="宋体" w:cs="宋体"/>
          <w:color w:val="auto"/>
          <w:highlight w:val="none"/>
          <w:lang w:eastAsia="zh-CN"/>
        </w:rPr>
        <w:t>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（属自然人的应在签名处加盖食指指印</w:t>
      </w:r>
      <w:r>
        <w:rPr>
          <w:rFonts w:hint="eastAsia" w:ascii="宋体" w:hAnsi="宋体" w:eastAsia="宋体" w:cs="宋体"/>
          <w:color w:val="auto"/>
          <w:highlight w:val="none"/>
          <w:lang w:eastAsia="zh-CN"/>
        </w:rPr>
        <w:t>或个人</w:t>
      </w:r>
      <w:r>
        <w:rPr>
          <w:rFonts w:hint="eastAsia" w:ascii="宋体" w:hAnsi="宋体" w:eastAsia="宋体" w:cs="宋体"/>
          <w:color w:val="auto"/>
          <w:highlight w:val="none"/>
          <w:lang w:val="en-US" w:eastAsia="zh-CN"/>
        </w:rPr>
        <w:t>CA签章</w:t>
      </w:r>
      <w:r>
        <w:rPr>
          <w:rFonts w:hint="eastAsia" w:ascii="宋体" w:hAnsi="宋体" w:eastAsia="宋体" w:cs="宋体"/>
          <w:color w:val="auto"/>
          <w:highlight w:val="none"/>
        </w:rPr>
        <w:t>）：</w:t>
      </w:r>
      <w:r>
        <w:rPr>
          <w:rFonts w:hint="eastAsia" w:ascii="宋体" w:hAnsi="宋体" w:eastAsia="宋体" w:cs="宋体"/>
          <w:color w:val="auto"/>
          <w:szCs w:val="21"/>
          <w:highlight w:val="none"/>
          <w:u w:val="single"/>
        </w:rPr>
        <w:t xml:space="preserve">                                    </w:t>
      </w:r>
    </w:p>
    <w:p w14:paraId="01D00D96">
      <w:pPr>
        <w:tabs>
          <w:tab w:val="left" w:pos="1305"/>
        </w:tabs>
        <w:spacing w:line="340" w:lineRule="exact"/>
        <w:rPr>
          <w:rFonts w:hint="eastAsia" w:ascii="宋体" w:hAnsi="宋体" w:eastAsia="宋体" w:cs="宋体"/>
          <w:bCs/>
          <w:color w:val="auto"/>
          <w:sz w:val="21"/>
          <w:szCs w:val="21"/>
          <w:highlight w:val="none"/>
        </w:rPr>
      </w:pPr>
    </w:p>
    <w:p w14:paraId="538849E1">
      <w:pPr>
        <w:pStyle w:val="11"/>
        <w:numPr>
          <w:ilvl w:val="0"/>
          <w:numId w:val="0"/>
        </w:numPr>
        <w:spacing w:line="340" w:lineRule="exact"/>
        <w:rPr>
          <w:rFonts w:hint="eastAsia" w:hAnsi="宋体" w:cs="宋体"/>
          <w:b/>
          <w:color w:val="auto"/>
          <w:sz w:val="28"/>
          <w:szCs w:val="28"/>
          <w:highlight w:val="none"/>
          <w:lang w:val="en-US" w:eastAsia="zh-CN"/>
        </w:rPr>
      </w:pPr>
    </w:p>
    <w:p w14:paraId="33269AAE">
      <w:pPr>
        <w:pStyle w:val="11"/>
        <w:numPr>
          <w:ilvl w:val="0"/>
          <w:numId w:val="0"/>
        </w:numPr>
        <w:spacing w:line="340" w:lineRule="exact"/>
        <w:rPr>
          <w:rFonts w:hint="eastAsia" w:hAnsi="宋体" w:cs="宋体"/>
          <w:b/>
          <w:color w:val="auto"/>
          <w:sz w:val="28"/>
          <w:szCs w:val="28"/>
          <w:highlight w:val="none"/>
          <w:lang w:val="en-US" w:eastAsia="zh-CN"/>
        </w:rPr>
      </w:pPr>
    </w:p>
    <w:p w14:paraId="2798A9A5">
      <w:pPr>
        <w:pStyle w:val="11"/>
        <w:numPr>
          <w:ilvl w:val="0"/>
          <w:numId w:val="0"/>
        </w:numPr>
        <w:spacing w:line="340" w:lineRule="exact"/>
        <w:rPr>
          <w:rFonts w:hint="eastAsia" w:hAnsi="宋体" w:cs="宋体"/>
          <w:b/>
          <w:color w:val="auto"/>
          <w:sz w:val="28"/>
          <w:szCs w:val="28"/>
          <w:highlight w:val="none"/>
          <w:lang w:val="en-US" w:eastAsia="zh-CN"/>
        </w:rPr>
      </w:pPr>
    </w:p>
    <w:p w14:paraId="322236FF">
      <w:pPr>
        <w:pStyle w:val="11"/>
        <w:numPr>
          <w:ilvl w:val="0"/>
          <w:numId w:val="0"/>
        </w:numPr>
        <w:spacing w:line="340" w:lineRule="exact"/>
        <w:rPr>
          <w:rFonts w:hint="eastAsia" w:hAnsi="宋体" w:cs="宋体"/>
          <w:b/>
          <w:color w:val="auto"/>
          <w:sz w:val="28"/>
          <w:szCs w:val="28"/>
          <w:highlight w:val="none"/>
          <w:lang w:val="en-US" w:eastAsia="zh-CN"/>
        </w:rPr>
      </w:pPr>
    </w:p>
    <w:p w14:paraId="2DAEDA07">
      <w:pPr>
        <w:pStyle w:val="11"/>
        <w:numPr>
          <w:ilvl w:val="0"/>
          <w:numId w:val="0"/>
        </w:numPr>
        <w:spacing w:line="340" w:lineRule="exact"/>
        <w:rPr>
          <w:rFonts w:hint="eastAsia" w:hAnsi="宋体" w:cs="宋体"/>
          <w:b/>
          <w:color w:val="auto"/>
          <w:sz w:val="28"/>
          <w:szCs w:val="28"/>
          <w:highlight w:val="none"/>
          <w:lang w:val="en-US" w:eastAsia="zh-CN"/>
        </w:rPr>
      </w:pPr>
    </w:p>
    <w:p w14:paraId="27A8A314">
      <w:pPr>
        <w:pStyle w:val="11"/>
        <w:numPr>
          <w:ilvl w:val="0"/>
          <w:numId w:val="0"/>
        </w:numPr>
        <w:spacing w:line="340" w:lineRule="exact"/>
        <w:rPr>
          <w:rFonts w:hint="eastAsia" w:hAnsi="宋体" w:cs="宋体"/>
          <w:b/>
          <w:color w:val="auto"/>
          <w:sz w:val="28"/>
          <w:szCs w:val="28"/>
          <w:highlight w:val="none"/>
          <w:lang w:val="en-US" w:eastAsia="zh-CN"/>
        </w:rPr>
      </w:pPr>
    </w:p>
    <w:p w14:paraId="2FE0751C">
      <w:pPr>
        <w:pStyle w:val="11"/>
        <w:numPr>
          <w:ilvl w:val="0"/>
          <w:numId w:val="0"/>
        </w:numPr>
        <w:spacing w:line="340" w:lineRule="exact"/>
        <w:rPr>
          <w:rFonts w:hint="eastAsia" w:hAnsi="宋体" w:cs="宋体"/>
          <w:b/>
          <w:color w:val="auto"/>
          <w:sz w:val="28"/>
          <w:szCs w:val="28"/>
          <w:highlight w:val="none"/>
          <w:lang w:val="en-US" w:eastAsia="zh-CN"/>
        </w:rPr>
      </w:pPr>
    </w:p>
    <w:p w14:paraId="2BD70992">
      <w:pPr>
        <w:pStyle w:val="11"/>
        <w:numPr>
          <w:ilvl w:val="0"/>
          <w:numId w:val="0"/>
        </w:numPr>
        <w:spacing w:line="340" w:lineRule="exact"/>
        <w:rPr>
          <w:rFonts w:hint="eastAsia" w:hAnsi="宋体" w:cs="宋体"/>
          <w:b/>
          <w:color w:val="auto"/>
          <w:sz w:val="28"/>
          <w:szCs w:val="28"/>
          <w:highlight w:val="none"/>
          <w:lang w:val="en-US" w:eastAsia="zh-CN"/>
        </w:rPr>
      </w:pPr>
    </w:p>
    <w:p w14:paraId="1AA31D99">
      <w:pPr>
        <w:pStyle w:val="11"/>
        <w:numPr>
          <w:ilvl w:val="0"/>
          <w:numId w:val="0"/>
        </w:numPr>
        <w:spacing w:line="340" w:lineRule="exact"/>
        <w:rPr>
          <w:rFonts w:hint="eastAsia" w:hAnsi="宋体" w:cs="宋体"/>
          <w:b/>
          <w:color w:val="auto"/>
          <w:sz w:val="28"/>
          <w:szCs w:val="28"/>
          <w:highlight w:val="none"/>
          <w:lang w:val="en-US" w:eastAsia="zh-CN"/>
        </w:rPr>
      </w:pPr>
    </w:p>
    <w:p w14:paraId="58C28B51">
      <w:pPr>
        <w:pStyle w:val="11"/>
        <w:numPr>
          <w:ilvl w:val="0"/>
          <w:numId w:val="0"/>
        </w:numPr>
        <w:spacing w:line="340" w:lineRule="exact"/>
        <w:rPr>
          <w:rFonts w:hint="eastAsia" w:hAnsi="宋体" w:cs="宋体"/>
          <w:b/>
          <w:color w:val="auto"/>
          <w:sz w:val="28"/>
          <w:szCs w:val="28"/>
          <w:highlight w:val="none"/>
          <w:lang w:val="en-US" w:eastAsia="zh-CN"/>
        </w:rPr>
      </w:pPr>
    </w:p>
    <w:p w14:paraId="3582B755">
      <w:pPr>
        <w:pStyle w:val="11"/>
        <w:numPr>
          <w:ilvl w:val="0"/>
          <w:numId w:val="0"/>
        </w:numPr>
        <w:spacing w:line="340" w:lineRule="exact"/>
        <w:rPr>
          <w:rFonts w:hint="eastAsia" w:hAnsi="宋体" w:cs="宋体"/>
          <w:b/>
          <w:color w:val="auto"/>
          <w:sz w:val="28"/>
          <w:szCs w:val="28"/>
          <w:highlight w:val="none"/>
          <w:lang w:val="en-US" w:eastAsia="zh-CN"/>
        </w:rPr>
      </w:pPr>
    </w:p>
    <w:p w14:paraId="6386F8CC">
      <w:pPr>
        <w:pStyle w:val="5"/>
        <w:rPr>
          <w:rFonts w:hint="eastAsia"/>
          <w:color w:val="auto"/>
          <w:highlight w:val="none"/>
          <w:lang w:val="en-US" w:eastAsia="zh-CN"/>
        </w:rPr>
      </w:pPr>
    </w:p>
    <w:p w14:paraId="42C2440F">
      <w:pPr>
        <w:pStyle w:val="11"/>
        <w:numPr>
          <w:ilvl w:val="0"/>
          <w:numId w:val="0"/>
        </w:numPr>
        <w:spacing w:line="340" w:lineRule="exact"/>
        <w:rPr>
          <w:rFonts w:hint="eastAsia" w:hAnsi="宋体" w:cs="宋体"/>
          <w:b/>
          <w:color w:val="auto"/>
          <w:sz w:val="28"/>
          <w:szCs w:val="28"/>
          <w:highlight w:val="none"/>
          <w:lang w:val="en-US" w:eastAsia="zh-CN"/>
        </w:rPr>
      </w:pPr>
    </w:p>
    <w:p w14:paraId="1E8D95BC">
      <w:pPr>
        <w:pStyle w:val="11"/>
        <w:numPr>
          <w:ilvl w:val="0"/>
          <w:numId w:val="0"/>
        </w:numPr>
        <w:spacing w:line="340" w:lineRule="exact"/>
        <w:rPr>
          <w:rFonts w:hint="eastAsia" w:hAnsi="宋体" w:cs="宋体"/>
          <w:b/>
          <w:color w:val="auto"/>
          <w:sz w:val="28"/>
          <w:szCs w:val="28"/>
          <w:highlight w:val="none"/>
          <w:lang w:val="en-US" w:eastAsia="zh-CN"/>
        </w:rPr>
      </w:pPr>
    </w:p>
    <w:p w14:paraId="16780841">
      <w:p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br w:type="page"/>
      </w:r>
    </w:p>
    <w:p w14:paraId="21E37392">
      <w:pPr>
        <w:pStyle w:val="11"/>
        <w:numPr>
          <w:ilvl w:val="0"/>
          <w:numId w:val="0"/>
        </w:numPr>
        <w:spacing w:line="340" w:lineRule="exact"/>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3.</w:t>
      </w:r>
      <w:r>
        <w:rPr>
          <w:rFonts w:hint="eastAsia" w:hAnsi="宋体" w:eastAsia="宋体" w:cs="宋体"/>
          <w:b/>
          <w:color w:val="auto"/>
          <w:sz w:val="28"/>
          <w:szCs w:val="28"/>
          <w:highlight w:val="none"/>
          <w:lang w:val="en-US" w:eastAsia="zh-CN"/>
        </w:rPr>
        <w:t>已</w:t>
      </w:r>
      <w:r>
        <w:rPr>
          <w:rFonts w:hint="eastAsia" w:ascii="宋体" w:hAnsi="宋体" w:eastAsia="宋体" w:cs="宋体"/>
          <w:b/>
          <w:color w:val="auto"/>
          <w:sz w:val="28"/>
          <w:szCs w:val="28"/>
          <w:highlight w:val="none"/>
          <w:lang w:val="en-US" w:eastAsia="zh-CN"/>
        </w:rPr>
        <w:t>标价工程量清单（必须提供）</w:t>
      </w:r>
    </w:p>
    <w:p w14:paraId="4EBA47DD">
      <w:pPr>
        <w:snapToGrid w:val="0"/>
        <w:spacing w:line="240" w:lineRule="auto"/>
        <w:ind w:firstLine="420"/>
        <w:jc w:val="right"/>
        <w:rPr>
          <w:rFonts w:hint="eastAsia" w:ascii="宋体" w:hAnsi="宋体" w:eastAsia="宋体" w:cs="宋体"/>
          <w:color w:val="auto"/>
          <w:highlight w:val="none"/>
        </w:rPr>
      </w:pPr>
    </w:p>
    <w:p w14:paraId="53D42F15">
      <w:pPr>
        <w:pStyle w:val="5"/>
        <w:spacing w:line="240" w:lineRule="auto"/>
        <w:jc w:val="center"/>
        <w:rPr>
          <w:rFonts w:hint="eastAsia" w:ascii="宋体" w:hAnsi="宋体" w:eastAsia="宋体" w:cs="宋体"/>
          <w:color w:val="auto"/>
          <w:sz w:val="24"/>
          <w:szCs w:val="24"/>
          <w:highlight w:val="none"/>
        </w:rPr>
      </w:pPr>
      <w:bookmarkStart w:id="1825" w:name="_Toc394929435"/>
      <w:bookmarkStart w:id="1826" w:name="_Toc446943082"/>
      <w:bookmarkStart w:id="1827" w:name="_Toc271557289"/>
      <w:bookmarkStart w:id="1828" w:name="_Toc234659851"/>
      <w:r>
        <w:rPr>
          <w:rFonts w:hint="eastAsia" w:ascii="宋体" w:hAnsi="宋体" w:eastAsia="宋体" w:cs="宋体"/>
          <w:color w:val="auto"/>
          <w:sz w:val="24"/>
          <w:szCs w:val="24"/>
          <w:highlight w:val="none"/>
        </w:rPr>
        <w:t>已标价工程量清单</w:t>
      </w:r>
      <w:bookmarkEnd w:id="1825"/>
      <w:bookmarkEnd w:id="1826"/>
      <w:bookmarkEnd w:id="1827"/>
      <w:bookmarkEnd w:id="1828"/>
    </w:p>
    <w:p w14:paraId="00573031">
      <w:pPr>
        <w:spacing w:line="240" w:lineRule="auto"/>
        <w:ind w:firstLine="420"/>
        <w:jc w:val="center"/>
        <w:rPr>
          <w:rFonts w:hint="eastAsia" w:ascii="宋体" w:hAnsi="宋体" w:eastAsia="宋体" w:cs="宋体"/>
          <w:color w:val="auto"/>
          <w:highlight w:val="none"/>
        </w:rPr>
      </w:pPr>
    </w:p>
    <w:p w14:paraId="30A6058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应按照第</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章“工程量清单”的要求逐项填报工程量清单，包括工程量清单说明、</w:t>
      </w:r>
      <w:r>
        <w:rPr>
          <w:rFonts w:hint="eastAsia" w:ascii="宋体" w:hAnsi="宋体" w:eastAsia="宋体" w:cs="宋体"/>
          <w:color w:val="auto"/>
          <w:szCs w:val="21"/>
          <w:highlight w:val="none"/>
          <w:lang w:eastAsia="zh-CN"/>
        </w:rPr>
        <w:t>磋商报价</w:t>
      </w:r>
      <w:r>
        <w:rPr>
          <w:rFonts w:hint="eastAsia" w:ascii="宋体" w:hAnsi="宋体" w:eastAsia="宋体" w:cs="宋体"/>
          <w:color w:val="auto"/>
          <w:szCs w:val="21"/>
          <w:highlight w:val="none"/>
        </w:rPr>
        <w:t>说明及工程量清单各项表格</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采购人</w:t>
      </w:r>
      <w:r>
        <w:rPr>
          <w:rFonts w:hint="eastAsia" w:ascii="宋体" w:hAnsi="宋体" w:eastAsia="宋体" w:cs="宋体"/>
          <w:b/>
          <w:bCs/>
          <w:color w:val="auto"/>
          <w:highlight w:val="none"/>
        </w:rPr>
        <w:t>提供的工程量清单</w:t>
      </w:r>
      <w:r>
        <w:rPr>
          <w:rFonts w:hint="eastAsia" w:ascii="宋体" w:hAnsi="宋体" w:eastAsia="宋体" w:cs="宋体"/>
          <w:b/>
          <w:bCs/>
          <w:color w:val="auto"/>
          <w:szCs w:val="21"/>
          <w:highlight w:val="none"/>
        </w:rPr>
        <w:t>）。</w:t>
      </w:r>
    </w:p>
    <w:p w14:paraId="4B91D549">
      <w:pPr>
        <w:spacing w:line="340" w:lineRule="exact"/>
        <w:rPr>
          <w:rFonts w:hint="eastAsia" w:ascii="宋体" w:hAnsi="宋体" w:eastAsia="宋体" w:cs="宋体"/>
          <w:color w:val="auto"/>
          <w:szCs w:val="21"/>
          <w:highlight w:val="none"/>
        </w:rPr>
      </w:pPr>
    </w:p>
    <w:p w14:paraId="082D0652">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注：</w:t>
      </w:r>
      <w:r>
        <w:rPr>
          <w:rFonts w:hint="eastAsia" w:ascii="宋体" w:hAnsi="宋体" w:eastAsia="宋体" w:cs="宋体"/>
          <w:b/>
          <w:color w:val="auto"/>
          <w:sz w:val="24"/>
          <w:highlight w:val="none"/>
        </w:rPr>
        <w:t>当本</w:t>
      </w:r>
      <w:r>
        <w:rPr>
          <w:rFonts w:hint="eastAsia" w:ascii="宋体" w:hAnsi="宋体" w:eastAsia="宋体" w:cs="宋体"/>
          <w:b/>
          <w:color w:val="auto"/>
          <w:sz w:val="24"/>
          <w:highlight w:val="none"/>
          <w:lang w:eastAsia="zh-CN"/>
        </w:rPr>
        <w:t>清单</w:t>
      </w:r>
      <w:r>
        <w:rPr>
          <w:rFonts w:hint="eastAsia" w:ascii="宋体" w:hAnsi="宋体" w:eastAsia="宋体" w:cs="宋体"/>
          <w:b/>
          <w:color w:val="auto"/>
          <w:sz w:val="24"/>
          <w:highlight w:val="none"/>
        </w:rPr>
        <w:t>由多页构成时，需逐页加盖</w:t>
      </w:r>
      <w:r>
        <w:rPr>
          <w:rFonts w:hint="eastAsia" w:ascii="宋体" w:hAnsi="宋体" w:eastAsia="宋体" w:cs="宋体"/>
          <w:b/>
          <w:color w:val="auto"/>
          <w:sz w:val="24"/>
          <w:highlight w:val="none"/>
          <w:lang w:eastAsia="zh-CN"/>
        </w:rPr>
        <w:t>磋商供应商</w:t>
      </w:r>
      <w:r>
        <w:rPr>
          <w:rFonts w:hint="eastAsia" w:ascii="宋体" w:hAnsi="宋体" w:eastAsia="宋体" w:cs="宋体"/>
          <w:b/>
          <w:color w:val="auto"/>
          <w:sz w:val="24"/>
          <w:highlight w:val="none"/>
        </w:rPr>
        <w:t>公章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CA签章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rPr>
        <w:t>（属自然人的须逐页签字</w:t>
      </w:r>
      <w:r>
        <w:rPr>
          <w:rFonts w:hint="eastAsia" w:ascii="宋体" w:hAnsi="宋体" w:eastAsia="宋体" w:cs="宋体"/>
          <w:b/>
          <w:color w:val="auto"/>
          <w:sz w:val="24"/>
          <w:highlight w:val="none"/>
          <w:lang w:eastAsia="zh-CN"/>
        </w:rPr>
        <w:t>或</w:t>
      </w:r>
      <w:r>
        <w:rPr>
          <w:rFonts w:hint="eastAsia" w:ascii="宋体" w:hAnsi="宋体" w:eastAsia="宋体" w:cs="宋体"/>
          <w:b/>
          <w:color w:val="auto"/>
          <w:sz w:val="24"/>
          <w:highlight w:val="none"/>
          <w:lang w:val="en-US" w:eastAsia="zh-CN"/>
        </w:rPr>
        <w:t>个人CA签章</w:t>
      </w:r>
      <w:r>
        <w:rPr>
          <w:rFonts w:hint="eastAsia" w:ascii="宋体" w:hAnsi="宋体" w:eastAsia="宋体" w:cs="宋体"/>
          <w:b/>
          <w:color w:val="auto"/>
          <w:sz w:val="24"/>
          <w:highlight w:val="none"/>
        </w:rPr>
        <w:t>）。</w:t>
      </w:r>
    </w:p>
    <w:p w14:paraId="0236B5B5">
      <w:pPr>
        <w:pStyle w:val="8"/>
        <w:rPr>
          <w:rFonts w:hint="eastAsia" w:ascii="宋体" w:hAnsi="宋体" w:eastAsia="宋体" w:cs="宋体"/>
          <w:color w:val="auto"/>
          <w:highlight w:val="none"/>
        </w:rPr>
      </w:pPr>
    </w:p>
    <w:p w14:paraId="5995F431">
      <w:pPr>
        <w:pStyle w:val="8"/>
        <w:rPr>
          <w:rFonts w:hint="eastAsia" w:ascii="宋体" w:hAnsi="宋体" w:eastAsia="宋体" w:cs="宋体"/>
          <w:color w:val="auto"/>
          <w:highlight w:val="none"/>
        </w:rPr>
      </w:pPr>
    </w:p>
    <w:p w14:paraId="69207807">
      <w:pPr>
        <w:pStyle w:val="8"/>
        <w:rPr>
          <w:rFonts w:hint="eastAsia" w:ascii="宋体" w:hAnsi="宋体" w:eastAsia="宋体" w:cs="宋体"/>
          <w:color w:val="auto"/>
          <w:highlight w:val="none"/>
        </w:rPr>
      </w:pPr>
    </w:p>
    <w:p w14:paraId="112938DE">
      <w:pPr>
        <w:pStyle w:val="8"/>
        <w:rPr>
          <w:rFonts w:hint="eastAsia" w:ascii="宋体" w:hAnsi="宋体" w:eastAsia="宋体" w:cs="宋体"/>
          <w:color w:val="auto"/>
          <w:highlight w:val="none"/>
        </w:rPr>
      </w:pPr>
    </w:p>
    <w:p w14:paraId="0133F724">
      <w:pPr>
        <w:pStyle w:val="8"/>
        <w:rPr>
          <w:rFonts w:hint="eastAsia" w:ascii="宋体" w:hAnsi="宋体" w:eastAsia="宋体" w:cs="宋体"/>
          <w:color w:val="auto"/>
          <w:highlight w:val="none"/>
        </w:rPr>
      </w:pPr>
    </w:p>
    <w:p w14:paraId="0ED36389">
      <w:pPr>
        <w:pStyle w:val="8"/>
        <w:rPr>
          <w:rFonts w:hint="eastAsia" w:ascii="宋体" w:hAnsi="宋体" w:eastAsia="宋体" w:cs="宋体"/>
          <w:color w:val="auto"/>
          <w:highlight w:val="none"/>
        </w:rPr>
      </w:pPr>
    </w:p>
    <w:p w14:paraId="600DF5D4">
      <w:pPr>
        <w:pStyle w:val="8"/>
        <w:rPr>
          <w:rFonts w:hint="eastAsia" w:ascii="宋体" w:hAnsi="宋体" w:eastAsia="宋体" w:cs="宋体"/>
          <w:color w:val="auto"/>
          <w:highlight w:val="none"/>
        </w:rPr>
      </w:pPr>
    </w:p>
    <w:p w14:paraId="1CA74135">
      <w:pPr>
        <w:rPr>
          <w:rFonts w:hint="eastAsia" w:ascii="宋体" w:hAnsi="宋体" w:eastAsia="宋体" w:cs="宋体"/>
          <w:color w:val="auto"/>
          <w:highlight w:val="none"/>
        </w:rPr>
      </w:pPr>
    </w:p>
    <w:p w14:paraId="211BB14F">
      <w:pPr>
        <w:pStyle w:val="30"/>
        <w:rPr>
          <w:rFonts w:hint="eastAsia" w:ascii="宋体" w:hAnsi="宋体" w:eastAsia="宋体" w:cs="宋体"/>
          <w:color w:val="auto"/>
          <w:highlight w:val="none"/>
        </w:rPr>
      </w:pPr>
    </w:p>
    <w:p w14:paraId="48EE8C89">
      <w:pPr>
        <w:pStyle w:val="30"/>
        <w:rPr>
          <w:rFonts w:hint="eastAsia" w:ascii="宋体" w:hAnsi="宋体" w:eastAsia="宋体" w:cs="宋体"/>
          <w:color w:val="auto"/>
          <w:highlight w:val="none"/>
        </w:rPr>
      </w:pPr>
    </w:p>
    <w:p w14:paraId="2D2F85D7">
      <w:pPr>
        <w:pStyle w:val="30"/>
        <w:rPr>
          <w:rFonts w:hint="eastAsia" w:ascii="宋体" w:hAnsi="宋体" w:eastAsia="宋体" w:cs="宋体"/>
          <w:color w:val="auto"/>
          <w:highlight w:val="none"/>
        </w:rPr>
      </w:pPr>
    </w:p>
    <w:p w14:paraId="5627D354">
      <w:pPr>
        <w:pStyle w:val="30"/>
        <w:rPr>
          <w:rFonts w:hint="eastAsia" w:ascii="宋体" w:hAnsi="宋体" w:eastAsia="宋体" w:cs="宋体"/>
          <w:color w:val="auto"/>
          <w:highlight w:val="none"/>
        </w:rPr>
      </w:pPr>
    </w:p>
    <w:p w14:paraId="39EAB6FD">
      <w:pPr>
        <w:pStyle w:val="30"/>
        <w:rPr>
          <w:rFonts w:hint="eastAsia" w:ascii="宋体" w:hAnsi="宋体" w:eastAsia="宋体" w:cs="宋体"/>
          <w:color w:val="auto"/>
          <w:highlight w:val="none"/>
        </w:rPr>
      </w:pPr>
    </w:p>
    <w:p w14:paraId="66968490">
      <w:pPr>
        <w:pStyle w:val="30"/>
        <w:rPr>
          <w:rFonts w:hint="eastAsia" w:ascii="宋体" w:hAnsi="宋体" w:eastAsia="宋体" w:cs="宋体"/>
          <w:color w:val="auto"/>
          <w:highlight w:val="none"/>
        </w:rPr>
      </w:pPr>
    </w:p>
    <w:p w14:paraId="3AA7B079">
      <w:pPr>
        <w:pStyle w:val="30"/>
        <w:rPr>
          <w:rFonts w:hint="eastAsia" w:ascii="宋体" w:hAnsi="宋体" w:eastAsia="宋体" w:cs="宋体"/>
          <w:color w:val="auto"/>
          <w:highlight w:val="none"/>
        </w:rPr>
      </w:pPr>
    </w:p>
    <w:p w14:paraId="7F320024">
      <w:pPr>
        <w:pStyle w:val="8"/>
        <w:rPr>
          <w:rFonts w:hint="eastAsia" w:ascii="宋体" w:hAnsi="宋体" w:eastAsia="宋体" w:cs="宋体"/>
          <w:color w:val="auto"/>
          <w:highlight w:val="none"/>
        </w:rPr>
      </w:pPr>
    </w:p>
    <w:p w14:paraId="5BAE9F71">
      <w:pPr>
        <w:rPr>
          <w:rFonts w:hint="eastAsia" w:ascii="宋体" w:hAnsi="宋体" w:eastAsia="宋体" w:cs="宋体"/>
          <w:color w:val="auto"/>
          <w:highlight w:val="none"/>
        </w:rPr>
      </w:pPr>
    </w:p>
    <w:p w14:paraId="1EA3FD40">
      <w:pPr>
        <w:rPr>
          <w:rFonts w:hint="eastAsia" w:ascii="宋体" w:hAnsi="宋体" w:eastAsia="宋体" w:cs="宋体"/>
          <w:color w:val="auto"/>
          <w:highlight w:val="none"/>
        </w:rPr>
      </w:pPr>
    </w:p>
    <w:p w14:paraId="66EF1420">
      <w:pPr>
        <w:pStyle w:val="12"/>
        <w:rPr>
          <w:rFonts w:hint="eastAsia" w:ascii="宋体" w:hAnsi="宋体" w:eastAsia="宋体" w:cs="宋体"/>
          <w:color w:val="auto"/>
          <w:highlight w:val="none"/>
        </w:rPr>
      </w:pPr>
    </w:p>
    <w:p w14:paraId="3AA909E3">
      <w:pPr>
        <w:pStyle w:val="12"/>
        <w:rPr>
          <w:rFonts w:hint="eastAsia" w:ascii="宋体" w:hAnsi="宋体" w:eastAsia="宋体" w:cs="宋体"/>
          <w:color w:val="auto"/>
          <w:highlight w:val="none"/>
        </w:rPr>
      </w:pPr>
    </w:p>
    <w:p w14:paraId="47D304AC">
      <w:pPr>
        <w:pStyle w:val="12"/>
        <w:rPr>
          <w:rFonts w:hint="eastAsia" w:ascii="宋体" w:hAnsi="宋体" w:eastAsia="宋体" w:cs="宋体"/>
          <w:color w:val="auto"/>
          <w:highlight w:val="none"/>
        </w:rPr>
      </w:pPr>
    </w:p>
    <w:p w14:paraId="163CBD2B">
      <w:pPr>
        <w:pStyle w:val="12"/>
        <w:rPr>
          <w:rFonts w:hint="eastAsia" w:ascii="宋体" w:hAnsi="宋体" w:eastAsia="宋体" w:cs="宋体"/>
          <w:color w:val="auto"/>
          <w:highlight w:val="none"/>
        </w:rPr>
      </w:pPr>
    </w:p>
    <w:p w14:paraId="54C6CEF9">
      <w:pPr>
        <w:pStyle w:val="12"/>
        <w:rPr>
          <w:rFonts w:hint="eastAsia" w:ascii="宋体" w:hAnsi="宋体" w:eastAsia="宋体" w:cs="宋体"/>
          <w:color w:val="auto"/>
          <w:highlight w:val="none"/>
        </w:rPr>
      </w:pPr>
    </w:p>
    <w:p w14:paraId="36AABB42">
      <w:pPr>
        <w:pStyle w:val="12"/>
        <w:rPr>
          <w:rFonts w:hint="eastAsia" w:ascii="宋体" w:hAnsi="宋体" w:eastAsia="宋体" w:cs="宋体"/>
          <w:color w:val="auto"/>
          <w:highlight w:val="none"/>
        </w:rPr>
      </w:pPr>
    </w:p>
    <w:p w14:paraId="5A0C3B09">
      <w:pPr>
        <w:pStyle w:val="12"/>
        <w:rPr>
          <w:rFonts w:hint="eastAsia" w:ascii="宋体" w:hAnsi="宋体" w:eastAsia="宋体" w:cs="宋体"/>
          <w:color w:val="auto"/>
          <w:highlight w:val="none"/>
        </w:rPr>
      </w:pPr>
    </w:p>
    <w:p w14:paraId="1E11DFCD">
      <w:pPr>
        <w:pStyle w:val="12"/>
        <w:rPr>
          <w:rFonts w:hint="eastAsia" w:ascii="宋体" w:hAnsi="宋体" w:eastAsia="宋体" w:cs="宋体"/>
          <w:color w:val="auto"/>
          <w:highlight w:val="none"/>
        </w:rPr>
      </w:pPr>
    </w:p>
    <w:p w14:paraId="3327F554">
      <w:pPr>
        <w:pStyle w:val="12"/>
        <w:rPr>
          <w:rFonts w:hint="eastAsia" w:ascii="宋体" w:hAnsi="宋体" w:eastAsia="宋体" w:cs="宋体"/>
          <w:color w:val="auto"/>
          <w:highlight w:val="none"/>
        </w:rPr>
      </w:pPr>
    </w:p>
    <w:p w14:paraId="42081851">
      <w:pPr>
        <w:pStyle w:val="12"/>
        <w:rPr>
          <w:rFonts w:hint="eastAsia" w:ascii="宋体" w:hAnsi="宋体" w:eastAsia="宋体" w:cs="宋体"/>
          <w:color w:val="auto"/>
          <w:highlight w:val="none"/>
        </w:rPr>
      </w:pPr>
    </w:p>
    <w:p w14:paraId="6B953987">
      <w:pPr>
        <w:pStyle w:val="12"/>
        <w:rPr>
          <w:rFonts w:hint="eastAsia" w:ascii="宋体" w:hAnsi="宋体" w:eastAsia="宋体" w:cs="宋体"/>
          <w:color w:val="auto"/>
          <w:highlight w:val="none"/>
        </w:rPr>
      </w:pPr>
    </w:p>
    <w:p w14:paraId="02334CA4">
      <w:pPr>
        <w:pStyle w:val="12"/>
        <w:rPr>
          <w:rFonts w:hint="eastAsia" w:ascii="宋体" w:hAnsi="宋体" w:eastAsia="宋体" w:cs="宋体"/>
          <w:color w:val="auto"/>
          <w:highlight w:val="none"/>
        </w:rPr>
      </w:pPr>
    </w:p>
    <w:p w14:paraId="2AF47DCB">
      <w:pPr>
        <w:pStyle w:val="12"/>
        <w:rPr>
          <w:rFonts w:hint="eastAsia" w:ascii="宋体" w:hAnsi="宋体" w:eastAsia="宋体" w:cs="宋体"/>
          <w:color w:val="auto"/>
          <w:highlight w:val="none"/>
        </w:rPr>
      </w:pPr>
    </w:p>
    <w:p w14:paraId="5ADB3FA0">
      <w:pPr>
        <w:pStyle w:val="12"/>
        <w:rPr>
          <w:rFonts w:hint="eastAsia" w:ascii="宋体" w:hAnsi="宋体" w:eastAsia="宋体" w:cs="宋体"/>
          <w:color w:val="auto"/>
          <w:highlight w:val="none"/>
        </w:rPr>
      </w:pPr>
    </w:p>
    <w:p w14:paraId="21697CF2">
      <w:pPr>
        <w:pStyle w:val="8"/>
        <w:rPr>
          <w:rFonts w:hint="eastAsia" w:ascii="宋体" w:hAnsi="宋体" w:eastAsia="宋体" w:cs="宋体"/>
          <w:color w:val="auto"/>
          <w:highlight w:val="none"/>
        </w:rPr>
      </w:pPr>
    </w:p>
    <w:p w14:paraId="7EF4A599">
      <w:pPr>
        <w:rPr>
          <w:rFonts w:hint="eastAsia" w:ascii="宋体" w:hAnsi="宋体" w:eastAsia="宋体" w:cs="宋体"/>
          <w:color w:val="auto"/>
          <w:highlight w:val="none"/>
        </w:rPr>
      </w:pPr>
    </w:p>
    <w:p w14:paraId="12F4917D">
      <w:pPr>
        <w:pStyle w:val="10"/>
        <w:rPr>
          <w:rFonts w:hint="eastAsia"/>
          <w:color w:val="auto"/>
          <w:highlight w:val="none"/>
        </w:rPr>
      </w:pPr>
    </w:p>
    <w:p w14:paraId="5BD9E054">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hAnsi="宋体" w:cs="宋体"/>
          <w:b/>
          <w:color w:val="auto"/>
          <w:sz w:val="28"/>
          <w:szCs w:val="28"/>
          <w:highlight w:val="none"/>
          <w:lang w:val="en-US" w:eastAsia="zh-CN"/>
        </w:rPr>
        <w:t>4</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bCs/>
          <w:iCs/>
          <w:color w:val="auto"/>
          <w:kern w:val="2"/>
          <w:sz w:val="28"/>
          <w:szCs w:val="28"/>
          <w:highlight w:val="none"/>
          <w:lang w:val="en-US" w:eastAsia="zh-CN" w:bidi="ar-SA"/>
        </w:rPr>
        <w:t>拟投入本工程主要施工管理人员表（必须提供）；</w:t>
      </w:r>
    </w:p>
    <w:p w14:paraId="6D7D766C">
      <w:pPr>
        <w:spacing w:line="500" w:lineRule="exact"/>
        <w:jc w:val="center"/>
        <w:rPr>
          <w:rFonts w:hint="eastAsia" w:ascii="宋体" w:hAnsi="宋体" w:eastAsia="宋体" w:cs="宋体"/>
          <w:b/>
          <w:color w:val="auto"/>
          <w:sz w:val="24"/>
          <w:szCs w:val="24"/>
          <w:highlight w:val="none"/>
          <w:lang w:val="en-US" w:eastAsia="zh-CN"/>
        </w:rPr>
      </w:pPr>
    </w:p>
    <w:p w14:paraId="5BE0BE3A">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14:paraId="59B951B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2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14:paraId="4839B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DC8BCF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14:paraId="1356E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14:paraId="5F344B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14:paraId="628982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14:paraId="07F54F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14:paraId="54AD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3354EF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14:paraId="590419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AB653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3303F8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FCAD1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324D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750DB2B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14:paraId="65AA65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E4F813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005886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EC7237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DF5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7FFB2E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14:paraId="35DF3CC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8C931B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0CC7084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B68675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74D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3CC62A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14:paraId="4832622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1C22D8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BD0CB1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5FF76C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446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4AAF73D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14:paraId="491085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24C4611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53DEA8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9832A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1E9A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9F55E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vAlign w:val="center"/>
          </w:tcPr>
          <w:p w14:paraId="30BF636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84889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78B7BB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0A6713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6E66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055EB88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14:paraId="7FCA23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609F3D0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2481FE4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52F6C6F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41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13636B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14:paraId="5EFB6B3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D870A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381E87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01BF66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DDE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6631E8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vAlign w:val="center"/>
          </w:tcPr>
          <w:p w14:paraId="03F4F03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07CFC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030A86D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6738061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86E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2B2AC0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vAlign w:val="center"/>
          </w:tcPr>
          <w:p w14:paraId="1CB6E33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AE964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610AEC6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6983D34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25D9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5F35C99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14:paraId="5F4AB7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5B5B8A1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02A7DF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5375F0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5149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4B2C0FC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vAlign w:val="center"/>
          </w:tcPr>
          <w:p w14:paraId="050E70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747617A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0EE1E76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46C4B54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14:paraId="076A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14:paraId="18E550E7">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vAlign w:val="center"/>
          </w:tcPr>
          <w:p w14:paraId="2F926C6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14:paraId="3D0B0A9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14:paraId="7D450D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14:paraId="31B8395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14:paraId="14C0AEA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w:t>
      </w:r>
      <w:r>
        <w:rPr>
          <w:rFonts w:hint="eastAsia" w:ascii="宋体" w:hAnsi="宋体" w:cs="宋体"/>
          <w:color w:val="auto"/>
          <w:spacing w:val="-2"/>
          <w:kern w:val="0"/>
          <w:sz w:val="21"/>
          <w:szCs w:val="21"/>
          <w:highlight w:val="none"/>
          <w:lang w:eastAsia="zh-CN"/>
        </w:rPr>
        <w:t>项目经理至少应附身份证复印件、责任工程师证书复印件、中级（含）以上职称证复印件</w:t>
      </w:r>
      <w:r>
        <w:rPr>
          <w:rFonts w:hint="eastAsia" w:ascii="宋体" w:hAnsi="宋体" w:eastAsia="宋体" w:cs="宋体"/>
          <w:color w:val="auto"/>
          <w:spacing w:val="-2"/>
          <w:kern w:val="0"/>
          <w:sz w:val="21"/>
          <w:szCs w:val="21"/>
          <w:highlight w:val="none"/>
        </w:rPr>
        <w:t>；技术负责人应附身份证复印件、职称证复印件</w:t>
      </w:r>
      <w:r>
        <w:rPr>
          <w:rFonts w:hint="eastAsia" w:ascii="宋体" w:hAnsi="宋体" w:cs="宋体"/>
          <w:color w:val="auto"/>
          <w:spacing w:val="-2"/>
          <w:kern w:val="0"/>
          <w:sz w:val="21"/>
          <w:szCs w:val="21"/>
          <w:highlight w:val="none"/>
          <w:lang w:eastAsia="zh-CN"/>
        </w:rPr>
        <w:t>（</w:t>
      </w:r>
      <w:r>
        <w:rPr>
          <w:rFonts w:hint="eastAsia" w:ascii="宋体" w:hAnsi="宋体" w:cs="宋体"/>
          <w:color w:val="auto"/>
          <w:spacing w:val="-2"/>
          <w:kern w:val="0"/>
          <w:sz w:val="21"/>
          <w:szCs w:val="21"/>
          <w:highlight w:val="none"/>
          <w:lang w:val="en-US" w:eastAsia="zh-CN"/>
        </w:rPr>
        <w:t>如有</w:t>
      </w:r>
      <w:r>
        <w:rPr>
          <w:rFonts w:hint="eastAsia" w:ascii="宋体" w:hAnsi="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14:paraId="5F24B662">
      <w:pPr>
        <w:pStyle w:val="11"/>
        <w:spacing w:line="340" w:lineRule="exact"/>
        <w:jc w:val="center"/>
        <w:rPr>
          <w:rFonts w:hint="eastAsia" w:ascii="宋体" w:hAnsi="宋体" w:eastAsia="宋体" w:cs="宋体"/>
          <w:b/>
          <w:color w:val="auto"/>
          <w:sz w:val="32"/>
          <w:szCs w:val="32"/>
          <w:highlight w:val="none"/>
        </w:rPr>
      </w:pPr>
    </w:p>
    <w:p w14:paraId="2EBEAA13">
      <w:pPr>
        <w:pStyle w:val="6"/>
        <w:rPr>
          <w:rFonts w:hint="eastAsia"/>
          <w:color w:val="auto"/>
          <w:highlight w:val="none"/>
        </w:rPr>
      </w:pPr>
    </w:p>
    <w:p w14:paraId="2B98BE66">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highlight w:val="none"/>
          <w:u w:val="single"/>
        </w:rPr>
        <w:t xml:space="preserve">               </w:t>
      </w:r>
    </w:p>
    <w:p w14:paraId="44C9301A">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Cs w:val="21"/>
          <w:highlight w:val="none"/>
        </w:rPr>
      </w:pPr>
      <w:r>
        <w:rPr>
          <w:rFonts w:hint="eastAsia" w:ascii="宋体" w:hAnsi="宋体" w:eastAsia="宋体" w:cs="宋体"/>
          <w:color w:val="auto"/>
          <w:highlight w:val="none"/>
          <w:lang w:eastAsia="zh-CN"/>
        </w:rPr>
        <w:t>日</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期：</w:t>
      </w:r>
      <w:r>
        <w:rPr>
          <w:rFonts w:hint="eastAsia" w:ascii="宋体" w:hAnsi="宋体" w:eastAsia="宋体" w:cs="宋体"/>
          <w:color w:val="auto"/>
          <w:highlight w:val="none"/>
          <w:u w:val="single"/>
        </w:rPr>
        <w:t xml:space="preserve">                            </w:t>
      </w:r>
    </w:p>
    <w:p w14:paraId="02EB5319">
      <w:pPr>
        <w:pStyle w:val="8"/>
        <w:rPr>
          <w:rFonts w:hint="eastAsia" w:ascii="宋体" w:hAnsi="宋体" w:eastAsia="宋体" w:cs="宋体"/>
          <w:b/>
          <w:bCs/>
          <w:color w:val="auto"/>
          <w:szCs w:val="21"/>
          <w:highlight w:val="none"/>
        </w:rPr>
      </w:pPr>
    </w:p>
    <w:p w14:paraId="36304F90">
      <w:pPr>
        <w:pStyle w:val="8"/>
        <w:rPr>
          <w:rFonts w:hint="eastAsia" w:ascii="宋体" w:hAnsi="宋体" w:eastAsia="宋体" w:cs="宋体"/>
          <w:b/>
          <w:bCs/>
          <w:color w:val="auto"/>
          <w:szCs w:val="21"/>
          <w:highlight w:val="none"/>
        </w:rPr>
      </w:pPr>
    </w:p>
    <w:p w14:paraId="0EF3CD43">
      <w:pPr>
        <w:pStyle w:val="8"/>
        <w:rPr>
          <w:rFonts w:hint="eastAsia" w:ascii="宋体" w:hAnsi="宋体" w:eastAsia="宋体" w:cs="宋体"/>
          <w:b/>
          <w:bCs/>
          <w:color w:val="auto"/>
          <w:szCs w:val="21"/>
          <w:highlight w:val="none"/>
        </w:rPr>
      </w:pPr>
    </w:p>
    <w:p w14:paraId="11D0BBBC">
      <w:pPr>
        <w:pStyle w:val="44"/>
        <w:rPr>
          <w:rFonts w:hint="eastAsia"/>
          <w:color w:val="auto"/>
          <w:highlight w:val="none"/>
        </w:rPr>
      </w:pPr>
    </w:p>
    <w:p w14:paraId="01978692">
      <w:pPr>
        <w:pStyle w:val="8"/>
        <w:rPr>
          <w:rFonts w:hint="eastAsia" w:ascii="宋体" w:hAnsi="宋体" w:eastAsia="宋体" w:cs="宋体"/>
          <w:b/>
          <w:bCs/>
          <w:color w:val="auto"/>
          <w:szCs w:val="21"/>
          <w:highlight w:val="none"/>
        </w:rPr>
      </w:pPr>
    </w:p>
    <w:p w14:paraId="1CF8EB43">
      <w:pPr>
        <w:pStyle w:val="11"/>
        <w:numPr>
          <w:ilvl w:val="0"/>
          <w:numId w:val="0"/>
        </w:numPr>
        <w:spacing w:line="340" w:lineRule="exact"/>
        <w:ind w:left="0" w:firstLine="0"/>
        <w:rPr>
          <w:rFonts w:hint="eastAsia" w:ascii="宋体" w:hAnsi="宋体" w:eastAsia="宋体" w:cs="宋体"/>
          <w:b/>
          <w:color w:val="auto"/>
          <w:sz w:val="28"/>
          <w:szCs w:val="28"/>
          <w:highlight w:val="none"/>
        </w:rPr>
      </w:pPr>
      <w:r>
        <w:rPr>
          <w:rFonts w:hint="eastAsia" w:hAnsi="宋体" w:cs="宋体"/>
          <w:b/>
          <w:color w:val="auto"/>
          <w:sz w:val="28"/>
          <w:szCs w:val="28"/>
          <w:highlight w:val="none"/>
          <w:lang w:val="en-US" w:eastAsia="zh-CN"/>
        </w:rPr>
        <w:t>5</w:t>
      </w:r>
      <w:r>
        <w:rPr>
          <w:rFonts w:hint="eastAsia" w:ascii="宋体" w:hAnsi="宋体" w:eastAsia="宋体" w:cs="宋体"/>
          <w:b/>
          <w:color w:val="auto"/>
          <w:sz w:val="28"/>
          <w:szCs w:val="28"/>
          <w:highlight w:val="none"/>
          <w:lang w:val="en-US" w:eastAsia="zh-CN"/>
        </w:rPr>
        <w:t>.担任本工程的</w:t>
      </w:r>
      <w:r>
        <w:rPr>
          <w:rFonts w:hint="eastAsia" w:hAnsi="宋体" w:eastAsia="宋体" w:cs="宋体"/>
          <w:b/>
          <w:color w:val="auto"/>
          <w:sz w:val="28"/>
          <w:szCs w:val="28"/>
          <w:highlight w:val="none"/>
          <w:lang w:val="en-US" w:eastAsia="zh-CN"/>
        </w:rPr>
        <w:t>项目经理</w:t>
      </w:r>
      <w:r>
        <w:rPr>
          <w:rFonts w:hint="eastAsia" w:ascii="宋体" w:hAnsi="宋体" w:eastAsia="宋体" w:cs="宋体"/>
          <w:b/>
          <w:color w:val="auto"/>
          <w:sz w:val="28"/>
          <w:szCs w:val="28"/>
          <w:highlight w:val="none"/>
          <w:lang w:val="en-US" w:eastAsia="zh-CN"/>
        </w:rPr>
        <w:t>简历表（应附相关证书、身份证复印件）（必须提供）</w:t>
      </w:r>
      <w:r>
        <w:rPr>
          <w:rFonts w:hint="eastAsia" w:ascii="宋体" w:hAnsi="宋体" w:eastAsia="宋体" w:cs="宋体"/>
          <w:b/>
          <w:color w:val="auto"/>
          <w:sz w:val="28"/>
          <w:szCs w:val="28"/>
          <w:highlight w:val="none"/>
        </w:rPr>
        <w:t>；</w:t>
      </w:r>
    </w:p>
    <w:p w14:paraId="7D38F76E">
      <w:pPr>
        <w:rPr>
          <w:rFonts w:hint="eastAsia" w:ascii="宋体" w:hAnsi="宋体" w:eastAsia="宋体" w:cs="宋体"/>
          <w:color w:val="auto"/>
          <w:highlight w:val="none"/>
        </w:rPr>
      </w:pPr>
    </w:p>
    <w:p w14:paraId="742B0145">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14:paraId="09770A08">
      <w:pPr>
        <w:jc w:val="center"/>
        <w:rPr>
          <w:rFonts w:hint="eastAsia" w:ascii="宋体" w:hAnsi="宋体" w:cs="宋体"/>
          <w:b/>
          <w:color w:val="auto"/>
          <w:sz w:val="32"/>
          <w:highlight w:val="none"/>
        </w:rPr>
      </w:pPr>
    </w:p>
    <w:tbl>
      <w:tblPr>
        <w:tblStyle w:val="27"/>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14:paraId="564A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vAlign w:val="top"/>
          </w:tcPr>
          <w:p w14:paraId="5519968D">
            <w:pPr>
              <w:spacing w:line="440" w:lineRule="exact"/>
              <w:jc w:val="center"/>
              <w:rPr>
                <w:rFonts w:hint="eastAsia" w:ascii="宋体" w:hAnsi="宋体" w:cs="宋体"/>
                <w:color w:val="auto"/>
                <w:highlight w:val="none"/>
              </w:rPr>
            </w:pPr>
            <w:r>
              <w:rPr>
                <w:rFonts w:hint="eastAsia" w:ascii="宋体" w:hAnsi="宋体" w:cs="宋体"/>
                <w:color w:val="auto"/>
                <w:highlight w:val="none"/>
              </w:rPr>
              <w:t>姓  名</w:t>
            </w:r>
          </w:p>
        </w:tc>
        <w:tc>
          <w:tcPr>
            <w:tcW w:w="1608" w:type="dxa"/>
            <w:tcBorders>
              <w:top w:val="single" w:color="auto" w:sz="8" w:space="0"/>
            </w:tcBorders>
            <w:vAlign w:val="top"/>
          </w:tcPr>
          <w:p w14:paraId="2A96D947">
            <w:pPr>
              <w:spacing w:line="440" w:lineRule="exact"/>
              <w:jc w:val="center"/>
              <w:rPr>
                <w:rFonts w:hint="eastAsia" w:ascii="宋体" w:hAnsi="宋体" w:cs="宋体"/>
                <w:color w:val="auto"/>
                <w:highlight w:val="none"/>
              </w:rPr>
            </w:pPr>
          </w:p>
        </w:tc>
        <w:tc>
          <w:tcPr>
            <w:tcW w:w="1072" w:type="dxa"/>
            <w:tcBorders>
              <w:top w:val="single" w:color="auto" w:sz="8" w:space="0"/>
            </w:tcBorders>
            <w:vAlign w:val="top"/>
          </w:tcPr>
          <w:p w14:paraId="0E649798">
            <w:pPr>
              <w:spacing w:line="440" w:lineRule="exact"/>
              <w:jc w:val="center"/>
              <w:rPr>
                <w:rFonts w:hint="eastAsia" w:ascii="宋体" w:hAnsi="宋体" w:cs="宋体"/>
                <w:color w:val="auto"/>
                <w:highlight w:val="none"/>
              </w:rPr>
            </w:pPr>
            <w:r>
              <w:rPr>
                <w:rFonts w:hint="eastAsia" w:ascii="宋体" w:hAnsi="宋体" w:cs="宋体"/>
                <w:color w:val="auto"/>
                <w:highlight w:val="none"/>
              </w:rPr>
              <w:t>性  别</w:t>
            </w:r>
          </w:p>
        </w:tc>
        <w:tc>
          <w:tcPr>
            <w:tcW w:w="1072" w:type="dxa"/>
            <w:gridSpan w:val="3"/>
            <w:tcBorders>
              <w:top w:val="single" w:color="auto" w:sz="8" w:space="0"/>
            </w:tcBorders>
            <w:vAlign w:val="top"/>
          </w:tcPr>
          <w:p w14:paraId="30747BBA">
            <w:pPr>
              <w:spacing w:line="440" w:lineRule="exact"/>
              <w:jc w:val="center"/>
              <w:rPr>
                <w:rFonts w:hint="eastAsia" w:ascii="宋体" w:hAnsi="宋体" w:cs="宋体"/>
                <w:color w:val="auto"/>
                <w:highlight w:val="none"/>
              </w:rPr>
            </w:pPr>
          </w:p>
        </w:tc>
        <w:tc>
          <w:tcPr>
            <w:tcW w:w="1340" w:type="dxa"/>
            <w:gridSpan w:val="2"/>
            <w:tcBorders>
              <w:top w:val="single" w:color="auto" w:sz="8" w:space="0"/>
            </w:tcBorders>
            <w:vAlign w:val="top"/>
          </w:tcPr>
          <w:p w14:paraId="73E7AEAF">
            <w:pPr>
              <w:spacing w:line="440" w:lineRule="exact"/>
              <w:jc w:val="center"/>
              <w:rPr>
                <w:rFonts w:hint="eastAsia" w:ascii="宋体" w:hAnsi="宋体" w:cs="宋体"/>
                <w:color w:val="auto"/>
                <w:highlight w:val="none"/>
              </w:rPr>
            </w:pPr>
            <w:r>
              <w:rPr>
                <w:rFonts w:hint="eastAsia" w:ascii="宋体" w:hAnsi="宋体" w:cs="宋体"/>
                <w:color w:val="auto"/>
                <w:highlight w:val="none"/>
              </w:rPr>
              <w:t>年  龄</w:t>
            </w:r>
          </w:p>
        </w:tc>
        <w:tc>
          <w:tcPr>
            <w:tcW w:w="2144" w:type="dxa"/>
            <w:gridSpan w:val="3"/>
            <w:tcBorders>
              <w:top w:val="single" w:color="auto" w:sz="8" w:space="0"/>
              <w:right w:val="single" w:color="auto" w:sz="8" w:space="0"/>
            </w:tcBorders>
            <w:vAlign w:val="top"/>
          </w:tcPr>
          <w:p w14:paraId="588D1CFE">
            <w:pPr>
              <w:spacing w:line="440" w:lineRule="exact"/>
              <w:jc w:val="center"/>
              <w:rPr>
                <w:rFonts w:hint="eastAsia" w:ascii="宋体" w:hAnsi="宋体" w:cs="宋体"/>
                <w:color w:val="auto"/>
                <w:highlight w:val="none"/>
              </w:rPr>
            </w:pPr>
          </w:p>
        </w:tc>
      </w:tr>
      <w:tr w14:paraId="6219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36564EFB">
            <w:pPr>
              <w:spacing w:line="440" w:lineRule="exact"/>
              <w:jc w:val="center"/>
              <w:rPr>
                <w:rFonts w:hint="eastAsia" w:ascii="宋体" w:hAnsi="宋体" w:cs="宋体"/>
                <w:color w:val="auto"/>
                <w:highlight w:val="none"/>
              </w:rPr>
            </w:pPr>
            <w:r>
              <w:rPr>
                <w:rFonts w:hint="eastAsia" w:ascii="宋体" w:hAnsi="宋体" w:cs="宋体"/>
                <w:color w:val="auto"/>
                <w:highlight w:val="none"/>
              </w:rPr>
              <w:t>职  务</w:t>
            </w:r>
          </w:p>
        </w:tc>
        <w:tc>
          <w:tcPr>
            <w:tcW w:w="1608" w:type="dxa"/>
            <w:vAlign w:val="top"/>
          </w:tcPr>
          <w:p w14:paraId="2D301A15">
            <w:pPr>
              <w:spacing w:line="440" w:lineRule="exact"/>
              <w:jc w:val="center"/>
              <w:rPr>
                <w:rFonts w:hint="eastAsia" w:ascii="宋体" w:hAnsi="宋体" w:cs="宋体"/>
                <w:color w:val="auto"/>
                <w:highlight w:val="none"/>
              </w:rPr>
            </w:pPr>
          </w:p>
        </w:tc>
        <w:tc>
          <w:tcPr>
            <w:tcW w:w="1072" w:type="dxa"/>
            <w:vAlign w:val="top"/>
          </w:tcPr>
          <w:p w14:paraId="3B134EC7">
            <w:pPr>
              <w:spacing w:line="440" w:lineRule="exact"/>
              <w:jc w:val="center"/>
              <w:rPr>
                <w:rFonts w:hint="eastAsia" w:ascii="宋体" w:hAnsi="宋体" w:cs="宋体"/>
                <w:color w:val="auto"/>
                <w:highlight w:val="none"/>
              </w:rPr>
            </w:pPr>
            <w:r>
              <w:rPr>
                <w:rFonts w:hint="eastAsia" w:ascii="宋体" w:hAnsi="宋体" w:cs="宋体"/>
                <w:color w:val="auto"/>
                <w:highlight w:val="none"/>
              </w:rPr>
              <w:t>职  称</w:t>
            </w:r>
          </w:p>
        </w:tc>
        <w:tc>
          <w:tcPr>
            <w:tcW w:w="1072" w:type="dxa"/>
            <w:gridSpan w:val="3"/>
            <w:vAlign w:val="top"/>
          </w:tcPr>
          <w:p w14:paraId="6DC63947">
            <w:pPr>
              <w:spacing w:line="440" w:lineRule="exact"/>
              <w:jc w:val="center"/>
              <w:rPr>
                <w:rFonts w:hint="eastAsia" w:ascii="宋体" w:hAnsi="宋体" w:cs="宋体"/>
                <w:color w:val="auto"/>
                <w:highlight w:val="none"/>
              </w:rPr>
            </w:pPr>
          </w:p>
        </w:tc>
        <w:tc>
          <w:tcPr>
            <w:tcW w:w="1340" w:type="dxa"/>
            <w:gridSpan w:val="2"/>
            <w:vAlign w:val="top"/>
          </w:tcPr>
          <w:p w14:paraId="4F7936E4">
            <w:pPr>
              <w:spacing w:line="440" w:lineRule="exact"/>
              <w:jc w:val="center"/>
              <w:rPr>
                <w:rFonts w:hint="eastAsia" w:ascii="宋体" w:hAnsi="宋体" w:cs="宋体"/>
                <w:color w:val="auto"/>
                <w:highlight w:val="none"/>
              </w:rPr>
            </w:pPr>
            <w:r>
              <w:rPr>
                <w:rFonts w:hint="eastAsia" w:ascii="宋体" w:hAnsi="宋体" w:cs="宋体"/>
                <w:color w:val="auto"/>
                <w:highlight w:val="none"/>
              </w:rPr>
              <w:t>学  历</w:t>
            </w:r>
          </w:p>
        </w:tc>
        <w:tc>
          <w:tcPr>
            <w:tcW w:w="2144" w:type="dxa"/>
            <w:gridSpan w:val="3"/>
            <w:tcBorders>
              <w:right w:val="single" w:color="auto" w:sz="8" w:space="0"/>
            </w:tcBorders>
            <w:vAlign w:val="top"/>
          </w:tcPr>
          <w:p w14:paraId="3751DB65">
            <w:pPr>
              <w:spacing w:line="440" w:lineRule="exact"/>
              <w:jc w:val="center"/>
              <w:rPr>
                <w:rFonts w:hint="eastAsia" w:ascii="宋体" w:hAnsi="宋体" w:cs="宋体"/>
                <w:color w:val="auto"/>
                <w:highlight w:val="none"/>
              </w:rPr>
            </w:pPr>
          </w:p>
        </w:tc>
      </w:tr>
      <w:tr w14:paraId="0D3C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vAlign w:val="top"/>
          </w:tcPr>
          <w:p w14:paraId="4A73809B">
            <w:pPr>
              <w:spacing w:line="440" w:lineRule="exact"/>
              <w:jc w:val="center"/>
              <w:rPr>
                <w:rFonts w:hint="eastAsia" w:ascii="宋体" w:hAnsi="宋体" w:cs="宋体"/>
                <w:color w:val="auto"/>
                <w:highlight w:val="none"/>
              </w:rPr>
            </w:pPr>
            <w:r>
              <w:rPr>
                <w:rFonts w:hint="eastAsia" w:ascii="宋体" w:hAnsi="宋体" w:cs="宋体"/>
                <w:color w:val="auto"/>
                <w:highlight w:val="none"/>
              </w:rPr>
              <w:t>专  业</w:t>
            </w:r>
          </w:p>
        </w:tc>
        <w:tc>
          <w:tcPr>
            <w:tcW w:w="2708" w:type="dxa"/>
            <w:gridSpan w:val="3"/>
            <w:vAlign w:val="top"/>
          </w:tcPr>
          <w:p w14:paraId="680C20B8">
            <w:pPr>
              <w:spacing w:line="440" w:lineRule="exact"/>
              <w:rPr>
                <w:rFonts w:hint="eastAsia" w:ascii="宋体" w:hAnsi="宋体" w:cs="宋体"/>
                <w:color w:val="auto"/>
                <w:highlight w:val="none"/>
              </w:rPr>
            </w:pPr>
          </w:p>
        </w:tc>
        <w:tc>
          <w:tcPr>
            <w:tcW w:w="2880" w:type="dxa"/>
            <w:gridSpan w:val="5"/>
            <w:vAlign w:val="top"/>
          </w:tcPr>
          <w:p w14:paraId="146F9225">
            <w:pPr>
              <w:spacing w:line="440" w:lineRule="exact"/>
              <w:rPr>
                <w:rFonts w:hint="eastAsia" w:ascii="宋体" w:hAnsi="宋体" w:cs="宋体"/>
                <w:color w:val="auto"/>
                <w:highlight w:val="none"/>
              </w:rPr>
            </w:pPr>
            <w:r>
              <w:rPr>
                <w:rFonts w:hint="eastAsia" w:ascii="宋体" w:hAnsi="宋体" w:cs="宋体"/>
                <w:color w:val="auto"/>
                <w:highlight w:val="none"/>
              </w:rPr>
              <w:t>从事项目经理或建造师年限</w:t>
            </w:r>
          </w:p>
        </w:tc>
        <w:tc>
          <w:tcPr>
            <w:tcW w:w="1648" w:type="dxa"/>
            <w:gridSpan w:val="2"/>
            <w:tcBorders>
              <w:right w:val="single" w:color="auto" w:sz="8" w:space="0"/>
            </w:tcBorders>
            <w:vAlign w:val="top"/>
          </w:tcPr>
          <w:p w14:paraId="7BCB43B8">
            <w:pPr>
              <w:spacing w:line="440" w:lineRule="exact"/>
              <w:jc w:val="center"/>
              <w:rPr>
                <w:rFonts w:hint="eastAsia" w:ascii="宋体" w:hAnsi="宋体" w:cs="宋体"/>
                <w:color w:val="auto"/>
                <w:highlight w:val="none"/>
              </w:rPr>
            </w:pPr>
            <w:r>
              <w:rPr>
                <w:rFonts w:hint="eastAsia" w:ascii="宋体" w:hAnsi="宋体" w:cs="宋体"/>
                <w:color w:val="auto"/>
                <w:highlight w:val="none"/>
              </w:rPr>
              <w:t xml:space="preserve">         (年)</w:t>
            </w:r>
          </w:p>
        </w:tc>
      </w:tr>
      <w:tr w14:paraId="53D0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vAlign w:val="top"/>
          </w:tcPr>
          <w:p w14:paraId="1AB0051C">
            <w:pPr>
              <w:spacing w:line="440" w:lineRule="exact"/>
              <w:jc w:val="center"/>
              <w:rPr>
                <w:rFonts w:hint="eastAsia" w:ascii="宋体" w:hAnsi="宋体" w:cs="宋体"/>
                <w:color w:val="auto"/>
                <w:highlight w:val="none"/>
              </w:rPr>
            </w:pPr>
            <w:r>
              <w:rPr>
                <w:rFonts w:hint="eastAsia" w:ascii="宋体" w:hAnsi="宋体" w:cs="宋体"/>
                <w:color w:val="auto"/>
                <w:highlight w:val="none"/>
              </w:rPr>
              <w:t>已完工程项目情况</w:t>
            </w:r>
          </w:p>
        </w:tc>
      </w:tr>
      <w:tr w14:paraId="185F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1EED8D7C">
            <w:pPr>
              <w:spacing w:line="440" w:lineRule="exact"/>
              <w:jc w:val="center"/>
              <w:rPr>
                <w:rFonts w:hint="eastAsia" w:ascii="宋体" w:hAnsi="宋体" w:cs="宋体"/>
                <w:color w:val="auto"/>
                <w:highlight w:val="none"/>
              </w:rPr>
            </w:pPr>
            <w:r>
              <w:rPr>
                <w:rFonts w:hint="eastAsia" w:ascii="宋体" w:hAnsi="宋体" w:cs="宋体"/>
                <w:color w:val="auto"/>
                <w:highlight w:val="none"/>
              </w:rPr>
              <w:t>建设单位</w:t>
            </w:r>
          </w:p>
        </w:tc>
        <w:tc>
          <w:tcPr>
            <w:tcW w:w="1608" w:type="dxa"/>
            <w:vAlign w:val="top"/>
          </w:tcPr>
          <w:p w14:paraId="3853C05F">
            <w:pPr>
              <w:spacing w:line="440" w:lineRule="exact"/>
              <w:jc w:val="center"/>
              <w:rPr>
                <w:rFonts w:hint="eastAsia" w:ascii="宋体" w:hAnsi="宋体" w:cs="宋体"/>
                <w:color w:val="auto"/>
                <w:highlight w:val="none"/>
              </w:rPr>
            </w:pPr>
            <w:r>
              <w:rPr>
                <w:rFonts w:hint="eastAsia" w:ascii="宋体" w:hAnsi="宋体" w:cs="宋体"/>
                <w:color w:val="auto"/>
                <w:highlight w:val="none"/>
              </w:rPr>
              <w:t>项目名称</w:t>
            </w:r>
          </w:p>
        </w:tc>
        <w:tc>
          <w:tcPr>
            <w:tcW w:w="1608" w:type="dxa"/>
            <w:gridSpan w:val="3"/>
            <w:vAlign w:val="top"/>
          </w:tcPr>
          <w:p w14:paraId="5DCED6BB">
            <w:pPr>
              <w:spacing w:line="440" w:lineRule="exact"/>
              <w:jc w:val="center"/>
              <w:rPr>
                <w:rFonts w:hint="eastAsia" w:ascii="宋体" w:hAnsi="宋体" w:cs="宋体"/>
                <w:color w:val="auto"/>
                <w:highlight w:val="none"/>
              </w:rPr>
            </w:pPr>
            <w:r>
              <w:rPr>
                <w:rFonts w:hint="eastAsia" w:ascii="宋体" w:hAnsi="宋体" w:cs="宋体"/>
                <w:color w:val="auto"/>
                <w:highlight w:val="none"/>
              </w:rPr>
              <w:t>建设规模</w:t>
            </w:r>
          </w:p>
        </w:tc>
        <w:tc>
          <w:tcPr>
            <w:tcW w:w="1608" w:type="dxa"/>
            <w:gridSpan w:val="2"/>
            <w:vAlign w:val="top"/>
          </w:tcPr>
          <w:p w14:paraId="1EAED489">
            <w:pPr>
              <w:spacing w:line="440" w:lineRule="exact"/>
              <w:jc w:val="center"/>
              <w:rPr>
                <w:rFonts w:hint="eastAsia" w:ascii="宋体" w:hAnsi="宋体" w:cs="宋体"/>
                <w:color w:val="auto"/>
                <w:highlight w:val="none"/>
              </w:rPr>
            </w:pPr>
            <w:r>
              <w:rPr>
                <w:rFonts w:hint="eastAsia" w:ascii="宋体" w:hAnsi="宋体" w:cs="宋体"/>
                <w:color w:val="auto"/>
                <w:highlight w:val="none"/>
              </w:rPr>
              <w:t>开、竣工日期</w:t>
            </w:r>
          </w:p>
        </w:tc>
        <w:tc>
          <w:tcPr>
            <w:tcW w:w="1206" w:type="dxa"/>
            <w:gridSpan w:val="3"/>
            <w:vAlign w:val="top"/>
          </w:tcPr>
          <w:p w14:paraId="24B9A5A9">
            <w:pPr>
              <w:spacing w:line="440" w:lineRule="exact"/>
              <w:jc w:val="center"/>
              <w:rPr>
                <w:rFonts w:hint="eastAsia" w:ascii="宋体" w:hAnsi="宋体" w:cs="宋体"/>
                <w:color w:val="auto"/>
                <w:highlight w:val="none"/>
              </w:rPr>
            </w:pPr>
            <w:r>
              <w:rPr>
                <w:rFonts w:hint="eastAsia" w:ascii="宋体" w:hAnsi="宋体" w:cs="宋体"/>
                <w:color w:val="auto"/>
                <w:highlight w:val="none"/>
              </w:rPr>
              <w:t>工程质量</w:t>
            </w:r>
          </w:p>
        </w:tc>
        <w:tc>
          <w:tcPr>
            <w:tcW w:w="1206" w:type="dxa"/>
            <w:tcBorders>
              <w:right w:val="single" w:color="auto" w:sz="8" w:space="0"/>
            </w:tcBorders>
            <w:vAlign w:val="top"/>
          </w:tcPr>
          <w:p w14:paraId="219E069E">
            <w:pPr>
              <w:spacing w:line="440" w:lineRule="exact"/>
              <w:jc w:val="center"/>
              <w:rPr>
                <w:rFonts w:hint="eastAsia" w:ascii="宋体" w:hAnsi="宋体" w:cs="宋体"/>
                <w:color w:val="auto"/>
                <w:highlight w:val="none"/>
              </w:rPr>
            </w:pPr>
            <w:r>
              <w:rPr>
                <w:rFonts w:hint="eastAsia" w:ascii="宋体" w:hAnsi="宋体" w:cs="宋体"/>
                <w:color w:val="auto"/>
                <w:highlight w:val="none"/>
              </w:rPr>
              <w:t>受奖情况</w:t>
            </w:r>
          </w:p>
        </w:tc>
      </w:tr>
      <w:tr w14:paraId="00938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15CD26A3">
            <w:pPr>
              <w:spacing w:line="440" w:lineRule="exact"/>
              <w:jc w:val="center"/>
              <w:rPr>
                <w:rFonts w:hint="eastAsia" w:ascii="宋体" w:hAnsi="宋体" w:cs="宋体"/>
                <w:color w:val="auto"/>
                <w:highlight w:val="none"/>
              </w:rPr>
            </w:pPr>
          </w:p>
        </w:tc>
        <w:tc>
          <w:tcPr>
            <w:tcW w:w="1608" w:type="dxa"/>
            <w:vAlign w:val="top"/>
          </w:tcPr>
          <w:p w14:paraId="103D1A16">
            <w:pPr>
              <w:spacing w:line="440" w:lineRule="exact"/>
              <w:jc w:val="center"/>
              <w:rPr>
                <w:rFonts w:hint="eastAsia" w:ascii="宋体" w:hAnsi="宋体" w:cs="宋体"/>
                <w:color w:val="auto"/>
                <w:highlight w:val="none"/>
              </w:rPr>
            </w:pPr>
          </w:p>
        </w:tc>
        <w:tc>
          <w:tcPr>
            <w:tcW w:w="1608" w:type="dxa"/>
            <w:gridSpan w:val="3"/>
            <w:vAlign w:val="top"/>
          </w:tcPr>
          <w:p w14:paraId="4755243B">
            <w:pPr>
              <w:spacing w:line="440" w:lineRule="exact"/>
              <w:jc w:val="center"/>
              <w:rPr>
                <w:rFonts w:hint="eastAsia" w:ascii="宋体" w:hAnsi="宋体" w:cs="宋体"/>
                <w:color w:val="auto"/>
                <w:highlight w:val="none"/>
              </w:rPr>
            </w:pPr>
          </w:p>
        </w:tc>
        <w:tc>
          <w:tcPr>
            <w:tcW w:w="1608" w:type="dxa"/>
            <w:gridSpan w:val="2"/>
            <w:vAlign w:val="top"/>
          </w:tcPr>
          <w:p w14:paraId="2E6DC104">
            <w:pPr>
              <w:spacing w:line="440" w:lineRule="exact"/>
              <w:jc w:val="center"/>
              <w:rPr>
                <w:rFonts w:hint="eastAsia" w:ascii="宋体" w:hAnsi="宋体" w:cs="宋体"/>
                <w:color w:val="auto"/>
                <w:highlight w:val="none"/>
              </w:rPr>
            </w:pPr>
          </w:p>
        </w:tc>
        <w:tc>
          <w:tcPr>
            <w:tcW w:w="1206" w:type="dxa"/>
            <w:gridSpan w:val="3"/>
            <w:vAlign w:val="top"/>
          </w:tcPr>
          <w:p w14:paraId="369D2030">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4DB9CBA6">
            <w:pPr>
              <w:spacing w:line="440" w:lineRule="exact"/>
              <w:jc w:val="center"/>
              <w:rPr>
                <w:rFonts w:hint="eastAsia" w:ascii="宋体" w:hAnsi="宋体" w:cs="宋体"/>
                <w:color w:val="auto"/>
                <w:highlight w:val="none"/>
              </w:rPr>
            </w:pPr>
          </w:p>
        </w:tc>
      </w:tr>
      <w:tr w14:paraId="08FE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DCFDDEB">
            <w:pPr>
              <w:spacing w:line="440" w:lineRule="exact"/>
              <w:jc w:val="center"/>
              <w:rPr>
                <w:rFonts w:hint="eastAsia" w:ascii="宋体" w:hAnsi="宋体" w:cs="宋体"/>
                <w:color w:val="auto"/>
                <w:highlight w:val="none"/>
              </w:rPr>
            </w:pPr>
          </w:p>
        </w:tc>
        <w:tc>
          <w:tcPr>
            <w:tcW w:w="1608" w:type="dxa"/>
            <w:vAlign w:val="top"/>
          </w:tcPr>
          <w:p w14:paraId="583AA077">
            <w:pPr>
              <w:spacing w:line="440" w:lineRule="exact"/>
              <w:jc w:val="center"/>
              <w:rPr>
                <w:rFonts w:hint="eastAsia" w:ascii="宋体" w:hAnsi="宋体" w:cs="宋体"/>
                <w:color w:val="auto"/>
                <w:highlight w:val="none"/>
              </w:rPr>
            </w:pPr>
          </w:p>
        </w:tc>
        <w:tc>
          <w:tcPr>
            <w:tcW w:w="1608" w:type="dxa"/>
            <w:gridSpan w:val="3"/>
            <w:vAlign w:val="top"/>
          </w:tcPr>
          <w:p w14:paraId="43E0561B">
            <w:pPr>
              <w:spacing w:line="440" w:lineRule="exact"/>
              <w:jc w:val="center"/>
              <w:rPr>
                <w:rFonts w:hint="eastAsia" w:ascii="宋体" w:hAnsi="宋体" w:cs="宋体"/>
                <w:color w:val="auto"/>
                <w:highlight w:val="none"/>
              </w:rPr>
            </w:pPr>
          </w:p>
        </w:tc>
        <w:tc>
          <w:tcPr>
            <w:tcW w:w="1608" w:type="dxa"/>
            <w:gridSpan w:val="2"/>
            <w:vAlign w:val="top"/>
          </w:tcPr>
          <w:p w14:paraId="409CC81B">
            <w:pPr>
              <w:spacing w:line="440" w:lineRule="exact"/>
              <w:jc w:val="center"/>
              <w:rPr>
                <w:rFonts w:hint="eastAsia" w:ascii="宋体" w:hAnsi="宋体" w:cs="宋体"/>
                <w:color w:val="auto"/>
                <w:highlight w:val="none"/>
              </w:rPr>
            </w:pPr>
          </w:p>
        </w:tc>
        <w:tc>
          <w:tcPr>
            <w:tcW w:w="1206" w:type="dxa"/>
            <w:gridSpan w:val="3"/>
            <w:vAlign w:val="top"/>
          </w:tcPr>
          <w:p w14:paraId="12011677">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5A3D6D81">
            <w:pPr>
              <w:spacing w:line="440" w:lineRule="exact"/>
              <w:jc w:val="center"/>
              <w:rPr>
                <w:rFonts w:hint="eastAsia" w:ascii="宋体" w:hAnsi="宋体" w:cs="宋体"/>
                <w:color w:val="auto"/>
                <w:highlight w:val="none"/>
              </w:rPr>
            </w:pPr>
          </w:p>
        </w:tc>
      </w:tr>
      <w:tr w14:paraId="0372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390A91B8">
            <w:pPr>
              <w:spacing w:line="440" w:lineRule="exact"/>
              <w:jc w:val="center"/>
              <w:rPr>
                <w:rFonts w:hint="eastAsia" w:ascii="宋体" w:hAnsi="宋体" w:cs="宋体"/>
                <w:color w:val="auto"/>
                <w:highlight w:val="none"/>
              </w:rPr>
            </w:pPr>
          </w:p>
        </w:tc>
        <w:tc>
          <w:tcPr>
            <w:tcW w:w="1608" w:type="dxa"/>
            <w:vAlign w:val="top"/>
          </w:tcPr>
          <w:p w14:paraId="3F432A8D">
            <w:pPr>
              <w:spacing w:line="440" w:lineRule="exact"/>
              <w:jc w:val="center"/>
              <w:rPr>
                <w:rFonts w:hint="eastAsia" w:ascii="宋体" w:hAnsi="宋体" w:cs="宋体"/>
                <w:color w:val="auto"/>
                <w:highlight w:val="none"/>
              </w:rPr>
            </w:pPr>
          </w:p>
        </w:tc>
        <w:tc>
          <w:tcPr>
            <w:tcW w:w="1608" w:type="dxa"/>
            <w:gridSpan w:val="3"/>
            <w:vAlign w:val="top"/>
          </w:tcPr>
          <w:p w14:paraId="0629DD52">
            <w:pPr>
              <w:spacing w:line="440" w:lineRule="exact"/>
              <w:jc w:val="center"/>
              <w:rPr>
                <w:rFonts w:hint="eastAsia" w:ascii="宋体" w:hAnsi="宋体" w:cs="宋体"/>
                <w:color w:val="auto"/>
                <w:highlight w:val="none"/>
              </w:rPr>
            </w:pPr>
          </w:p>
        </w:tc>
        <w:tc>
          <w:tcPr>
            <w:tcW w:w="1608" w:type="dxa"/>
            <w:gridSpan w:val="2"/>
            <w:vAlign w:val="top"/>
          </w:tcPr>
          <w:p w14:paraId="03C3E922">
            <w:pPr>
              <w:spacing w:line="440" w:lineRule="exact"/>
              <w:jc w:val="center"/>
              <w:rPr>
                <w:rFonts w:hint="eastAsia" w:ascii="宋体" w:hAnsi="宋体" w:cs="宋体"/>
                <w:color w:val="auto"/>
                <w:highlight w:val="none"/>
              </w:rPr>
            </w:pPr>
          </w:p>
        </w:tc>
        <w:tc>
          <w:tcPr>
            <w:tcW w:w="1206" w:type="dxa"/>
            <w:gridSpan w:val="3"/>
            <w:vAlign w:val="top"/>
          </w:tcPr>
          <w:p w14:paraId="7A566EDB">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75A1729B">
            <w:pPr>
              <w:spacing w:line="440" w:lineRule="exact"/>
              <w:jc w:val="center"/>
              <w:rPr>
                <w:rFonts w:hint="eastAsia" w:ascii="宋体" w:hAnsi="宋体" w:cs="宋体"/>
                <w:color w:val="auto"/>
                <w:highlight w:val="none"/>
              </w:rPr>
            </w:pPr>
          </w:p>
        </w:tc>
      </w:tr>
      <w:tr w14:paraId="55E0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5099FE9B">
            <w:pPr>
              <w:spacing w:line="440" w:lineRule="exact"/>
              <w:jc w:val="center"/>
              <w:rPr>
                <w:rFonts w:hint="eastAsia" w:ascii="宋体" w:hAnsi="宋体" w:cs="宋体"/>
                <w:color w:val="auto"/>
                <w:highlight w:val="none"/>
              </w:rPr>
            </w:pPr>
          </w:p>
        </w:tc>
        <w:tc>
          <w:tcPr>
            <w:tcW w:w="1608" w:type="dxa"/>
            <w:vAlign w:val="top"/>
          </w:tcPr>
          <w:p w14:paraId="60C15C75">
            <w:pPr>
              <w:spacing w:line="440" w:lineRule="exact"/>
              <w:jc w:val="center"/>
              <w:rPr>
                <w:rFonts w:hint="eastAsia" w:ascii="宋体" w:hAnsi="宋体" w:cs="宋体"/>
                <w:color w:val="auto"/>
                <w:highlight w:val="none"/>
              </w:rPr>
            </w:pPr>
          </w:p>
        </w:tc>
        <w:tc>
          <w:tcPr>
            <w:tcW w:w="1608" w:type="dxa"/>
            <w:gridSpan w:val="3"/>
            <w:vAlign w:val="top"/>
          </w:tcPr>
          <w:p w14:paraId="1B15465D">
            <w:pPr>
              <w:spacing w:line="440" w:lineRule="exact"/>
              <w:jc w:val="center"/>
              <w:rPr>
                <w:rFonts w:hint="eastAsia" w:ascii="宋体" w:hAnsi="宋体" w:cs="宋体"/>
                <w:color w:val="auto"/>
                <w:highlight w:val="none"/>
              </w:rPr>
            </w:pPr>
          </w:p>
        </w:tc>
        <w:tc>
          <w:tcPr>
            <w:tcW w:w="1608" w:type="dxa"/>
            <w:gridSpan w:val="2"/>
            <w:vAlign w:val="top"/>
          </w:tcPr>
          <w:p w14:paraId="654DF864">
            <w:pPr>
              <w:spacing w:line="440" w:lineRule="exact"/>
              <w:jc w:val="center"/>
              <w:rPr>
                <w:rFonts w:hint="eastAsia" w:ascii="宋体" w:hAnsi="宋体" w:cs="宋体"/>
                <w:color w:val="auto"/>
                <w:highlight w:val="none"/>
              </w:rPr>
            </w:pPr>
          </w:p>
        </w:tc>
        <w:tc>
          <w:tcPr>
            <w:tcW w:w="1206" w:type="dxa"/>
            <w:gridSpan w:val="3"/>
            <w:vAlign w:val="top"/>
          </w:tcPr>
          <w:p w14:paraId="264C77CE">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5ED0B0DB">
            <w:pPr>
              <w:spacing w:line="440" w:lineRule="exact"/>
              <w:jc w:val="center"/>
              <w:rPr>
                <w:rFonts w:hint="eastAsia" w:ascii="宋体" w:hAnsi="宋体" w:cs="宋体"/>
                <w:color w:val="auto"/>
                <w:highlight w:val="none"/>
              </w:rPr>
            </w:pPr>
          </w:p>
        </w:tc>
      </w:tr>
      <w:tr w14:paraId="25FA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666A6A9C">
            <w:pPr>
              <w:spacing w:line="440" w:lineRule="exact"/>
              <w:jc w:val="center"/>
              <w:rPr>
                <w:rFonts w:hint="eastAsia" w:ascii="宋体" w:hAnsi="宋体" w:cs="宋体"/>
                <w:color w:val="auto"/>
                <w:highlight w:val="none"/>
              </w:rPr>
            </w:pPr>
          </w:p>
        </w:tc>
        <w:tc>
          <w:tcPr>
            <w:tcW w:w="1608" w:type="dxa"/>
            <w:vAlign w:val="top"/>
          </w:tcPr>
          <w:p w14:paraId="1B818FF6">
            <w:pPr>
              <w:spacing w:line="440" w:lineRule="exact"/>
              <w:jc w:val="center"/>
              <w:rPr>
                <w:rFonts w:hint="eastAsia" w:ascii="宋体" w:hAnsi="宋体" w:cs="宋体"/>
                <w:color w:val="auto"/>
                <w:highlight w:val="none"/>
              </w:rPr>
            </w:pPr>
          </w:p>
        </w:tc>
        <w:tc>
          <w:tcPr>
            <w:tcW w:w="1608" w:type="dxa"/>
            <w:gridSpan w:val="3"/>
            <w:vAlign w:val="top"/>
          </w:tcPr>
          <w:p w14:paraId="4036C945">
            <w:pPr>
              <w:spacing w:line="440" w:lineRule="exact"/>
              <w:jc w:val="center"/>
              <w:rPr>
                <w:rFonts w:hint="eastAsia" w:ascii="宋体" w:hAnsi="宋体" w:cs="宋体"/>
                <w:color w:val="auto"/>
                <w:highlight w:val="none"/>
              </w:rPr>
            </w:pPr>
          </w:p>
        </w:tc>
        <w:tc>
          <w:tcPr>
            <w:tcW w:w="1608" w:type="dxa"/>
            <w:gridSpan w:val="2"/>
            <w:vAlign w:val="top"/>
          </w:tcPr>
          <w:p w14:paraId="34442732">
            <w:pPr>
              <w:spacing w:line="440" w:lineRule="exact"/>
              <w:jc w:val="center"/>
              <w:rPr>
                <w:rFonts w:hint="eastAsia" w:ascii="宋体" w:hAnsi="宋体" w:cs="宋体"/>
                <w:color w:val="auto"/>
                <w:highlight w:val="none"/>
              </w:rPr>
            </w:pPr>
          </w:p>
        </w:tc>
        <w:tc>
          <w:tcPr>
            <w:tcW w:w="1206" w:type="dxa"/>
            <w:gridSpan w:val="3"/>
            <w:vAlign w:val="top"/>
          </w:tcPr>
          <w:p w14:paraId="1C5DF9CF">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6A98CCF8">
            <w:pPr>
              <w:spacing w:line="440" w:lineRule="exact"/>
              <w:jc w:val="center"/>
              <w:rPr>
                <w:rFonts w:hint="eastAsia" w:ascii="宋体" w:hAnsi="宋体" w:cs="宋体"/>
                <w:color w:val="auto"/>
                <w:highlight w:val="none"/>
              </w:rPr>
            </w:pPr>
          </w:p>
        </w:tc>
      </w:tr>
      <w:tr w14:paraId="1C6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62A38244">
            <w:pPr>
              <w:spacing w:line="440" w:lineRule="exact"/>
              <w:jc w:val="center"/>
              <w:rPr>
                <w:rFonts w:hint="eastAsia" w:ascii="宋体" w:hAnsi="宋体" w:cs="宋体"/>
                <w:color w:val="auto"/>
                <w:highlight w:val="none"/>
              </w:rPr>
            </w:pPr>
          </w:p>
        </w:tc>
        <w:tc>
          <w:tcPr>
            <w:tcW w:w="1608" w:type="dxa"/>
            <w:vAlign w:val="top"/>
          </w:tcPr>
          <w:p w14:paraId="5A3AE22B">
            <w:pPr>
              <w:spacing w:line="440" w:lineRule="exact"/>
              <w:jc w:val="center"/>
              <w:rPr>
                <w:rFonts w:hint="eastAsia" w:ascii="宋体" w:hAnsi="宋体" w:cs="宋体"/>
                <w:color w:val="auto"/>
                <w:highlight w:val="none"/>
              </w:rPr>
            </w:pPr>
          </w:p>
        </w:tc>
        <w:tc>
          <w:tcPr>
            <w:tcW w:w="1608" w:type="dxa"/>
            <w:gridSpan w:val="3"/>
            <w:vAlign w:val="top"/>
          </w:tcPr>
          <w:p w14:paraId="0B6A304D">
            <w:pPr>
              <w:spacing w:line="440" w:lineRule="exact"/>
              <w:jc w:val="center"/>
              <w:rPr>
                <w:rFonts w:hint="eastAsia" w:ascii="宋体" w:hAnsi="宋体" w:cs="宋体"/>
                <w:color w:val="auto"/>
                <w:highlight w:val="none"/>
              </w:rPr>
            </w:pPr>
          </w:p>
        </w:tc>
        <w:tc>
          <w:tcPr>
            <w:tcW w:w="1608" w:type="dxa"/>
            <w:gridSpan w:val="2"/>
            <w:vAlign w:val="top"/>
          </w:tcPr>
          <w:p w14:paraId="7B095B50">
            <w:pPr>
              <w:spacing w:line="440" w:lineRule="exact"/>
              <w:jc w:val="center"/>
              <w:rPr>
                <w:rFonts w:hint="eastAsia" w:ascii="宋体" w:hAnsi="宋体" w:cs="宋体"/>
                <w:color w:val="auto"/>
                <w:highlight w:val="none"/>
              </w:rPr>
            </w:pPr>
          </w:p>
        </w:tc>
        <w:tc>
          <w:tcPr>
            <w:tcW w:w="1206" w:type="dxa"/>
            <w:gridSpan w:val="3"/>
            <w:vAlign w:val="top"/>
          </w:tcPr>
          <w:p w14:paraId="6B27705F">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245CD0E9">
            <w:pPr>
              <w:spacing w:line="440" w:lineRule="exact"/>
              <w:jc w:val="center"/>
              <w:rPr>
                <w:rFonts w:hint="eastAsia" w:ascii="宋体" w:hAnsi="宋体" w:cs="宋体"/>
                <w:color w:val="auto"/>
                <w:highlight w:val="none"/>
              </w:rPr>
            </w:pPr>
          </w:p>
        </w:tc>
      </w:tr>
      <w:tr w14:paraId="75D5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14:paraId="27A0791E">
            <w:pPr>
              <w:spacing w:line="440" w:lineRule="exact"/>
              <w:jc w:val="center"/>
              <w:rPr>
                <w:rFonts w:hint="eastAsia" w:ascii="宋体" w:hAnsi="宋体" w:cs="宋体"/>
                <w:color w:val="auto"/>
                <w:highlight w:val="none"/>
              </w:rPr>
            </w:pPr>
          </w:p>
        </w:tc>
        <w:tc>
          <w:tcPr>
            <w:tcW w:w="1608" w:type="dxa"/>
            <w:vAlign w:val="top"/>
          </w:tcPr>
          <w:p w14:paraId="099A470C">
            <w:pPr>
              <w:spacing w:line="440" w:lineRule="exact"/>
              <w:jc w:val="center"/>
              <w:rPr>
                <w:rFonts w:hint="eastAsia" w:ascii="宋体" w:hAnsi="宋体" w:cs="宋体"/>
                <w:color w:val="auto"/>
                <w:highlight w:val="none"/>
              </w:rPr>
            </w:pPr>
          </w:p>
        </w:tc>
        <w:tc>
          <w:tcPr>
            <w:tcW w:w="1608" w:type="dxa"/>
            <w:gridSpan w:val="3"/>
            <w:vAlign w:val="top"/>
          </w:tcPr>
          <w:p w14:paraId="046A6D16">
            <w:pPr>
              <w:spacing w:line="440" w:lineRule="exact"/>
              <w:jc w:val="center"/>
              <w:rPr>
                <w:rFonts w:hint="eastAsia" w:ascii="宋体" w:hAnsi="宋体" w:cs="宋体"/>
                <w:color w:val="auto"/>
                <w:highlight w:val="none"/>
              </w:rPr>
            </w:pPr>
          </w:p>
        </w:tc>
        <w:tc>
          <w:tcPr>
            <w:tcW w:w="1608" w:type="dxa"/>
            <w:gridSpan w:val="2"/>
            <w:vAlign w:val="top"/>
          </w:tcPr>
          <w:p w14:paraId="1BCA8795">
            <w:pPr>
              <w:spacing w:line="440" w:lineRule="exact"/>
              <w:jc w:val="center"/>
              <w:rPr>
                <w:rFonts w:hint="eastAsia" w:ascii="宋体" w:hAnsi="宋体" w:cs="宋体"/>
                <w:color w:val="auto"/>
                <w:highlight w:val="none"/>
              </w:rPr>
            </w:pPr>
          </w:p>
        </w:tc>
        <w:tc>
          <w:tcPr>
            <w:tcW w:w="1206" w:type="dxa"/>
            <w:gridSpan w:val="3"/>
            <w:vAlign w:val="top"/>
          </w:tcPr>
          <w:p w14:paraId="73A229C1">
            <w:pPr>
              <w:spacing w:line="440" w:lineRule="exact"/>
              <w:jc w:val="center"/>
              <w:rPr>
                <w:rFonts w:hint="eastAsia" w:ascii="宋体" w:hAnsi="宋体" w:cs="宋体"/>
                <w:color w:val="auto"/>
                <w:highlight w:val="none"/>
              </w:rPr>
            </w:pPr>
          </w:p>
        </w:tc>
        <w:tc>
          <w:tcPr>
            <w:tcW w:w="1206" w:type="dxa"/>
            <w:tcBorders>
              <w:right w:val="single" w:color="auto" w:sz="8" w:space="0"/>
            </w:tcBorders>
            <w:vAlign w:val="top"/>
          </w:tcPr>
          <w:p w14:paraId="0B8B7F2D">
            <w:pPr>
              <w:spacing w:line="440" w:lineRule="exact"/>
              <w:jc w:val="center"/>
              <w:rPr>
                <w:rFonts w:hint="eastAsia" w:ascii="宋体" w:hAnsi="宋体" w:cs="宋体"/>
                <w:color w:val="auto"/>
                <w:highlight w:val="none"/>
              </w:rPr>
            </w:pPr>
          </w:p>
        </w:tc>
      </w:tr>
      <w:tr w14:paraId="3A95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vAlign w:val="top"/>
          </w:tcPr>
          <w:p w14:paraId="031EB6B4">
            <w:pPr>
              <w:spacing w:line="440" w:lineRule="exact"/>
              <w:jc w:val="center"/>
              <w:rPr>
                <w:rFonts w:hint="eastAsia" w:ascii="宋体" w:hAnsi="宋体" w:cs="宋体"/>
                <w:color w:val="auto"/>
                <w:highlight w:val="none"/>
              </w:rPr>
            </w:pPr>
          </w:p>
        </w:tc>
        <w:tc>
          <w:tcPr>
            <w:tcW w:w="1608" w:type="dxa"/>
            <w:tcBorders>
              <w:bottom w:val="single" w:color="auto" w:sz="8" w:space="0"/>
            </w:tcBorders>
            <w:vAlign w:val="top"/>
          </w:tcPr>
          <w:p w14:paraId="4569EFEF">
            <w:pPr>
              <w:spacing w:line="440" w:lineRule="exact"/>
              <w:jc w:val="center"/>
              <w:rPr>
                <w:rFonts w:hint="eastAsia" w:ascii="宋体" w:hAnsi="宋体" w:cs="宋体"/>
                <w:color w:val="auto"/>
                <w:highlight w:val="none"/>
              </w:rPr>
            </w:pPr>
          </w:p>
        </w:tc>
        <w:tc>
          <w:tcPr>
            <w:tcW w:w="1608" w:type="dxa"/>
            <w:gridSpan w:val="3"/>
            <w:tcBorders>
              <w:bottom w:val="single" w:color="auto" w:sz="8" w:space="0"/>
            </w:tcBorders>
            <w:vAlign w:val="top"/>
          </w:tcPr>
          <w:p w14:paraId="0FAEE298">
            <w:pPr>
              <w:spacing w:line="440" w:lineRule="exact"/>
              <w:jc w:val="center"/>
              <w:rPr>
                <w:rFonts w:hint="eastAsia" w:ascii="宋体" w:hAnsi="宋体" w:cs="宋体"/>
                <w:color w:val="auto"/>
                <w:highlight w:val="none"/>
              </w:rPr>
            </w:pPr>
          </w:p>
        </w:tc>
        <w:tc>
          <w:tcPr>
            <w:tcW w:w="1608" w:type="dxa"/>
            <w:gridSpan w:val="2"/>
            <w:tcBorders>
              <w:bottom w:val="single" w:color="auto" w:sz="8" w:space="0"/>
            </w:tcBorders>
            <w:vAlign w:val="top"/>
          </w:tcPr>
          <w:p w14:paraId="58DF27F1">
            <w:pPr>
              <w:spacing w:line="440" w:lineRule="exact"/>
              <w:jc w:val="center"/>
              <w:rPr>
                <w:rFonts w:hint="eastAsia" w:ascii="宋体" w:hAnsi="宋体" w:cs="宋体"/>
                <w:color w:val="auto"/>
                <w:highlight w:val="none"/>
              </w:rPr>
            </w:pPr>
          </w:p>
        </w:tc>
        <w:tc>
          <w:tcPr>
            <w:tcW w:w="1206" w:type="dxa"/>
            <w:gridSpan w:val="3"/>
            <w:tcBorders>
              <w:bottom w:val="single" w:color="auto" w:sz="8" w:space="0"/>
            </w:tcBorders>
            <w:vAlign w:val="top"/>
          </w:tcPr>
          <w:p w14:paraId="4A56E2BF">
            <w:pPr>
              <w:spacing w:line="440" w:lineRule="exact"/>
              <w:jc w:val="center"/>
              <w:rPr>
                <w:rFonts w:hint="eastAsia" w:ascii="宋体" w:hAnsi="宋体" w:cs="宋体"/>
                <w:color w:val="auto"/>
                <w:highlight w:val="none"/>
              </w:rPr>
            </w:pPr>
          </w:p>
        </w:tc>
        <w:tc>
          <w:tcPr>
            <w:tcW w:w="1206" w:type="dxa"/>
            <w:tcBorders>
              <w:bottom w:val="single" w:color="auto" w:sz="8" w:space="0"/>
              <w:right w:val="single" w:color="auto" w:sz="8" w:space="0"/>
            </w:tcBorders>
            <w:vAlign w:val="top"/>
          </w:tcPr>
          <w:p w14:paraId="5F7A5449">
            <w:pPr>
              <w:spacing w:line="440" w:lineRule="exact"/>
              <w:jc w:val="center"/>
              <w:rPr>
                <w:rFonts w:hint="eastAsia" w:ascii="宋体" w:hAnsi="宋体" w:cs="宋体"/>
                <w:color w:val="auto"/>
                <w:highlight w:val="none"/>
              </w:rPr>
            </w:pPr>
          </w:p>
        </w:tc>
      </w:tr>
    </w:tbl>
    <w:p w14:paraId="6FD4B8FC">
      <w:pPr>
        <w:snapToGrid w:val="0"/>
        <w:spacing w:line="400" w:lineRule="exact"/>
        <w:outlineLvl w:val="4"/>
        <w:rPr>
          <w:rFonts w:hint="eastAsia" w:ascii="宋体" w:hAnsi="宋体" w:cs="宋体"/>
          <w:b/>
          <w:color w:val="auto"/>
          <w:sz w:val="24"/>
          <w:highlight w:val="none"/>
        </w:rPr>
      </w:pPr>
    </w:p>
    <w:p w14:paraId="510195BD">
      <w:pPr>
        <w:widowControl/>
        <w:ind w:firstLine="3092" w:firstLineChars="1100"/>
        <w:jc w:val="left"/>
        <w:rPr>
          <w:rFonts w:hint="eastAsia" w:ascii="宋体" w:hAnsi="宋体" w:eastAsia="宋体" w:cs="宋体"/>
          <w:b/>
          <w:color w:val="auto"/>
          <w:kern w:val="0"/>
          <w:sz w:val="28"/>
          <w:szCs w:val="28"/>
          <w:highlight w:val="none"/>
        </w:rPr>
      </w:pPr>
    </w:p>
    <w:p w14:paraId="2AE4F62C">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72E77508">
      <w:pPr>
        <w:pStyle w:val="11"/>
        <w:spacing w:line="300" w:lineRule="exact"/>
        <w:ind w:left="2940" w:leftChars="1400" w:firstLine="630" w:firstLineChars="300"/>
        <w:rPr>
          <w:rFonts w:hint="eastAsia" w:ascii="宋体" w:hAnsi="宋体" w:eastAsia="宋体" w:cs="宋体"/>
          <w:color w:val="auto"/>
          <w:highlight w:val="none"/>
        </w:rPr>
      </w:pPr>
    </w:p>
    <w:p w14:paraId="5FDFFFE0">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74920554">
      <w:pPr>
        <w:pStyle w:val="11"/>
        <w:spacing w:line="300" w:lineRule="exact"/>
        <w:rPr>
          <w:rFonts w:hint="eastAsia" w:ascii="宋体" w:hAnsi="宋体" w:eastAsia="宋体" w:cs="宋体"/>
          <w:b/>
          <w:color w:val="auto"/>
          <w:sz w:val="28"/>
          <w:szCs w:val="28"/>
          <w:highlight w:val="none"/>
        </w:rPr>
      </w:pPr>
    </w:p>
    <w:p w14:paraId="54B17890">
      <w:pPr>
        <w:snapToGrid w:val="0"/>
        <w:spacing w:line="300" w:lineRule="exact"/>
        <w:ind w:firstLine="4830" w:firstLineChars="2300"/>
        <w:rPr>
          <w:rFonts w:hint="eastAsia" w:ascii="宋体" w:hAnsi="宋体" w:eastAsia="宋体" w:cs="宋体"/>
          <w:color w:val="auto"/>
          <w:highlight w:val="none"/>
          <w:u w:val="singl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04B5B72C">
      <w:pPr>
        <w:snapToGrid w:val="0"/>
        <w:spacing w:line="300" w:lineRule="exact"/>
        <w:ind w:firstLine="3570" w:firstLineChars="1700"/>
        <w:rPr>
          <w:rFonts w:hint="eastAsia" w:ascii="宋体" w:hAnsi="宋体" w:eastAsia="宋体" w:cs="宋体"/>
          <w:color w:val="auto"/>
          <w:highlight w:val="none"/>
          <w:u w:val="single"/>
        </w:rPr>
      </w:pPr>
    </w:p>
    <w:p w14:paraId="542DF1FB">
      <w:pPr>
        <w:pStyle w:val="8"/>
        <w:rPr>
          <w:rFonts w:hint="eastAsia" w:ascii="宋体" w:hAnsi="宋体" w:eastAsia="宋体" w:cs="宋体"/>
          <w:color w:val="auto"/>
          <w:highlight w:val="none"/>
          <w:u w:val="single"/>
        </w:rPr>
      </w:pPr>
    </w:p>
    <w:p w14:paraId="67D56452">
      <w:pPr>
        <w:pStyle w:val="8"/>
        <w:rPr>
          <w:rFonts w:hint="eastAsia" w:ascii="宋体" w:hAnsi="宋体" w:eastAsia="宋体" w:cs="宋体"/>
          <w:color w:val="auto"/>
          <w:highlight w:val="none"/>
          <w:u w:val="single"/>
        </w:rPr>
      </w:pPr>
    </w:p>
    <w:p w14:paraId="3EDFBAFB">
      <w:pPr>
        <w:pStyle w:val="8"/>
        <w:rPr>
          <w:rFonts w:hint="eastAsia" w:ascii="宋体" w:hAnsi="宋体" w:eastAsia="宋体" w:cs="宋体"/>
          <w:b/>
          <w:bCs/>
          <w:color w:val="auto"/>
          <w:szCs w:val="21"/>
          <w:highlight w:val="none"/>
        </w:rPr>
      </w:pPr>
    </w:p>
    <w:p w14:paraId="0D729D41">
      <w:pPr>
        <w:pStyle w:val="8"/>
        <w:rPr>
          <w:rFonts w:hint="eastAsia" w:ascii="宋体" w:hAnsi="宋体" w:eastAsia="宋体" w:cs="宋体"/>
          <w:b/>
          <w:bCs/>
          <w:color w:val="auto"/>
          <w:szCs w:val="21"/>
          <w:highlight w:val="none"/>
        </w:rPr>
      </w:pPr>
    </w:p>
    <w:p w14:paraId="73E38DA6">
      <w:pPr>
        <w:pStyle w:val="8"/>
        <w:rPr>
          <w:rFonts w:hint="eastAsia" w:ascii="宋体" w:hAnsi="宋体" w:eastAsia="宋体" w:cs="宋体"/>
          <w:b/>
          <w:bCs/>
          <w:color w:val="auto"/>
          <w:szCs w:val="21"/>
          <w:highlight w:val="none"/>
        </w:rPr>
      </w:pPr>
    </w:p>
    <w:p w14:paraId="48C844C5">
      <w:pPr>
        <w:pStyle w:val="8"/>
        <w:rPr>
          <w:rFonts w:hint="eastAsia" w:ascii="宋体" w:hAnsi="宋体" w:eastAsia="宋体" w:cs="宋体"/>
          <w:b/>
          <w:bCs/>
          <w:color w:val="auto"/>
          <w:szCs w:val="21"/>
          <w:highlight w:val="none"/>
        </w:rPr>
      </w:pPr>
    </w:p>
    <w:p w14:paraId="3B87652A">
      <w:pPr>
        <w:pStyle w:val="8"/>
        <w:rPr>
          <w:rFonts w:hint="eastAsia" w:ascii="宋体" w:hAnsi="宋体" w:eastAsia="宋体" w:cs="宋体"/>
          <w:b/>
          <w:bCs/>
          <w:color w:val="auto"/>
          <w:szCs w:val="21"/>
          <w:highlight w:val="none"/>
        </w:rPr>
      </w:pPr>
    </w:p>
    <w:p w14:paraId="1AA7FBC3">
      <w:pPr>
        <w:pStyle w:val="8"/>
        <w:rPr>
          <w:rFonts w:hint="eastAsia" w:ascii="宋体" w:hAnsi="宋体" w:eastAsia="宋体" w:cs="宋体"/>
          <w:b/>
          <w:bCs/>
          <w:color w:val="auto"/>
          <w:szCs w:val="21"/>
          <w:highlight w:val="none"/>
        </w:rPr>
      </w:pPr>
    </w:p>
    <w:p w14:paraId="22FBF0B5">
      <w:pPr>
        <w:pStyle w:val="8"/>
        <w:rPr>
          <w:rFonts w:hint="eastAsia" w:ascii="宋体" w:hAnsi="宋体" w:eastAsia="宋体" w:cs="宋体"/>
          <w:b/>
          <w:bCs/>
          <w:color w:val="auto"/>
          <w:szCs w:val="21"/>
          <w:highlight w:val="none"/>
        </w:rPr>
      </w:pPr>
    </w:p>
    <w:p w14:paraId="29DEB386">
      <w:pPr>
        <w:pStyle w:val="8"/>
        <w:rPr>
          <w:rFonts w:hint="eastAsia" w:ascii="宋体" w:hAnsi="宋体" w:eastAsia="宋体" w:cs="宋体"/>
          <w:b/>
          <w:bCs/>
          <w:color w:val="auto"/>
          <w:szCs w:val="21"/>
          <w:highlight w:val="none"/>
        </w:rPr>
      </w:pPr>
    </w:p>
    <w:p w14:paraId="3AF5AF49">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6.施工组织设计方案（必须提供）</w:t>
      </w:r>
      <w:r>
        <w:rPr>
          <w:rFonts w:hint="eastAsia" w:ascii="宋体" w:hAnsi="宋体" w:eastAsia="宋体" w:cs="宋体"/>
          <w:b/>
          <w:color w:val="auto"/>
          <w:sz w:val="28"/>
          <w:szCs w:val="28"/>
          <w:highlight w:val="none"/>
        </w:rPr>
        <w:t>；</w:t>
      </w:r>
    </w:p>
    <w:p w14:paraId="70E35CF3">
      <w:pPr>
        <w:snapToGrid w:val="0"/>
        <w:spacing w:line="400" w:lineRule="exact"/>
        <w:jc w:val="center"/>
        <w:outlineLvl w:val="4"/>
        <w:rPr>
          <w:rFonts w:hint="eastAsia" w:ascii="宋体" w:hAnsi="宋体" w:cs="宋体"/>
          <w:b/>
          <w:color w:val="auto"/>
          <w:sz w:val="24"/>
          <w:szCs w:val="24"/>
          <w:highlight w:val="none"/>
          <w:lang w:val="en-US" w:eastAsia="zh-CN"/>
        </w:rPr>
      </w:pPr>
    </w:p>
    <w:p w14:paraId="3C0CAA1F">
      <w:pPr>
        <w:snapToGrid w:val="0"/>
        <w:spacing w:line="400" w:lineRule="exact"/>
        <w:jc w:val="center"/>
        <w:outlineLvl w:val="4"/>
        <w:rPr>
          <w:rFonts w:hint="eastAsia" w:ascii="宋体" w:hAnsi="宋体" w:eastAsia="宋体" w:cs="宋体"/>
          <w:b/>
          <w:color w:val="auto"/>
          <w:sz w:val="28"/>
          <w:szCs w:val="28"/>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14:paraId="3E1ADE95">
      <w:pPr>
        <w:snapToGrid w:val="0"/>
        <w:spacing w:line="400" w:lineRule="exact"/>
        <w:jc w:val="center"/>
        <w:outlineLvl w:val="4"/>
        <w:rPr>
          <w:rFonts w:hint="eastAsia" w:ascii="宋体" w:hAnsi="宋体" w:cs="宋体"/>
          <w:b/>
          <w:color w:val="auto"/>
          <w:sz w:val="28"/>
          <w:szCs w:val="28"/>
          <w:highlight w:val="none"/>
        </w:rPr>
      </w:pPr>
    </w:p>
    <w:p w14:paraId="44FFF3F4">
      <w:pPr>
        <w:pStyle w:val="34"/>
        <w:spacing w:line="300" w:lineRule="exact"/>
        <w:ind w:firstLine="425"/>
        <w:rPr>
          <w:rFonts w:hint="eastAsia" w:ascii="宋体" w:hAnsi="宋体" w:eastAsia="宋体" w:cs="宋体"/>
          <w:color w:val="auto"/>
          <w:highlight w:val="none"/>
        </w:rPr>
      </w:pPr>
    </w:p>
    <w:p w14:paraId="6F88199F">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编制施工组织设计的要求：</w:t>
      </w:r>
    </w:p>
    <w:p w14:paraId="4D932DFF">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编制时应按以下章顺序采用文字并结合图表形式进行说明：</w:t>
      </w:r>
    </w:p>
    <w:p w14:paraId="4C65A6EA">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总体概述；</w:t>
      </w:r>
    </w:p>
    <w:p w14:paraId="2610586E">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主要施工方法；</w:t>
      </w:r>
    </w:p>
    <w:p w14:paraId="1DC5F98C">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施工进度计划和各阶段进度的保证措施；</w:t>
      </w:r>
    </w:p>
    <w:p w14:paraId="2B52C209">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劳动力和材料投入计划及其保证措施；</w:t>
      </w:r>
    </w:p>
    <w:p w14:paraId="11B367BD">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施工平面布置和临时设施布置；</w:t>
      </w:r>
    </w:p>
    <w:p w14:paraId="66B0FB0F">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关键施工技术、工艺及工程实施的重点、难点和解决方案；</w:t>
      </w:r>
    </w:p>
    <w:p w14:paraId="1639B9CE">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安全文明施工措施；</w:t>
      </w:r>
    </w:p>
    <w:p w14:paraId="6C202C56">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质量保证与承诺；</w:t>
      </w:r>
    </w:p>
    <w:p w14:paraId="495C32D9">
      <w:pPr>
        <w:pStyle w:val="34"/>
        <w:numPr>
          <w:ilvl w:val="0"/>
          <w:numId w:val="14"/>
        </w:numPr>
        <w:spacing w:line="300" w:lineRule="exact"/>
        <w:ind w:firstLine="425"/>
        <w:jc w:val="left"/>
        <w:rPr>
          <w:rFonts w:hint="eastAsia" w:ascii="宋体" w:hAnsi="宋体" w:eastAsia="宋体" w:cs="宋体"/>
          <w:color w:val="auto"/>
          <w:highlight w:val="none"/>
        </w:rPr>
      </w:pPr>
      <w:r>
        <w:rPr>
          <w:rFonts w:hint="eastAsia" w:ascii="宋体" w:hAnsi="宋体" w:eastAsia="宋体" w:cs="宋体"/>
          <w:color w:val="auto"/>
          <w:highlight w:val="none"/>
        </w:rPr>
        <w:t>新技术应用与承诺</w:t>
      </w:r>
    </w:p>
    <w:p w14:paraId="3B4C7E8A">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 xml:space="preserve">2.  </w:t>
      </w:r>
      <w:r>
        <w:rPr>
          <w:rFonts w:hint="eastAsia" w:ascii="宋体" w:hAnsi="宋体" w:eastAsia="宋体" w:cs="宋体"/>
          <w:color w:val="auto"/>
          <w:spacing w:val="-15"/>
          <w:highlight w:val="none"/>
        </w:rPr>
        <w:t xml:space="preserve"> </w:t>
      </w:r>
      <w:r>
        <w:rPr>
          <w:rFonts w:hint="eastAsia" w:ascii="宋体" w:hAnsi="宋体" w:eastAsia="宋体" w:cs="宋体"/>
          <w:color w:val="auto"/>
          <w:highlight w:val="none"/>
        </w:rPr>
        <w:t>施工组织设计除采用文字表述外可附下列图表，图表及格式要求附后。</w:t>
      </w:r>
    </w:p>
    <w:p w14:paraId="33801519">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附表一</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投入本项目的主要施工设备表</w:t>
      </w:r>
    </w:p>
    <w:p w14:paraId="7DD6DCFE">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附表二</w:t>
      </w:r>
      <w:r>
        <w:rPr>
          <w:rFonts w:hint="eastAsia" w:ascii="宋体" w:hAnsi="宋体" w:eastAsia="宋体" w:cs="宋体"/>
          <w:color w:val="auto"/>
          <w:highlight w:val="none"/>
        </w:rPr>
        <w:tab/>
      </w:r>
      <w:r>
        <w:rPr>
          <w:rFonts w:hint="eastAsia" w:ascii="宋体" w:hAnsi="宋体" w:eastAsia="宋体" w:cs="宋体"/>
          <w:color w:val="auto"/>
          <w:spacing w:val="-1"/>
          <w:highlight w:val="none"/>
        </w:rPr>
        <w:t>拟</w:t>
      </w:r>
      <w:r>
        <w:rPr>
          <w:rFonts w:hint="eastAsia" w:ascii="宋体" w:hAnsi="宋体" w:eastAsia="宋体" w:cs="宋体"/>
          <w:color w:val="auto"/>
          <w:highlight w:val="none"/>
        </w:rPr>
        <w:t>配备本项目的试验和检测仪器设备表</w:t>
      </w:r>
    </w:p>
    <w:p w14:paraId="49A64116">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附表三</w:t>
      </w:r>
      <w:r>
        <w:rPr>
          <w:rFonts w:hint="eastAsia" w:ascii="宋体" w:hAnsi="宋体" w:eastAsia="宋体" w:cs="宋体"/>
          <w:color w:val="auto"/>
          <w:highlight w:val="none"/>
        </w:rPr>
        <w:tab/>
      </w:r>
      <w:r>
        <w:rPr>
          <w:rFonts w:hint="eastAsia" w:ascii="宋体" w:hAnsi="宋体" w:eastAsia="宋体" w:cs="宋体"/>
          <w:color w:val="auto"/>
          <w:spacing w:val="-1"/>
          <w:highlight w:val="none"/>
        </w:rPr>
        <w:t>劳</w:t>
      </w:r>
      <w:r>
        <w:rPr>
          <w:rFonts w:hint="eastAsia" w:ascii="宋体" w:hAnsi="宋体" w:eastAsia="宋体" w:cs="宋体"/>
          <w:color w:val="auto"/>
          <w:highlight w:val="none"/>
        </w:rPr>
        <w:t>动力计划表</w:t>
      </w:r>
    </w:p>
    <w:p w14:paraId="7AD96B8B">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附表四</w:t>
      </w:r>
      <w:r>
        <w:rPr>
          <w:rFonts w:hint="eastAsia" w:ascii="宋体" w:hAnsi="宋体" w:eastAsia="宋体" w:cs="宋体"/>
          <w:color w:val="auto"/>
          <w:highlight w:val="none"/>
        </w:rPr>
        <w:tab/>
      </w:r>
      <w:r>
        <w:rPr>
          <w:rFonts w:hint="eastAsia" w:ascii="宋体" w:hAnsi="宋体" w:eastAsia="宋体" w:cs="宋体"/>
          <w:color w:val="auto"/>
          <w:highlight w:val="none"/>
        </w:rPr>
        <w:t>计划开、竣工日期和施工进度网络图</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横道图</w:t>
      </w:r>
    </w:p>
    <w:p w14:paraId="3C2A8EA1">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highlight w:val="none"/>
        </w:rPr>
        <w:t>附表五</w:t>
      </w:r>
      <w:r>
        <w:rPr>
          <w:rFonts w:hint="eastAsia" w:ascii="宋体" w:hAnsi="宋体" w:eastAsia="宋体" w:cs="宋体"/>
          <w:color w:val="auto"/>
          <w:highlight w:val="none"/>
        </w:rPr>
        <w:tab/>
      </w:r>
      <w:r>
        <w:rPr>
          <w:rFonts w:hint="eastAsia" w:ascii="宋体" w:hAnsi="宋体" w:eastAsia="宋体" w:cs="宋体"/>
          <w:color w:val="auto"/>
          <w:spacing w:val="-1"/>
          <w:highlight w:val="none"/>
        </w:rPr>
        <w:t>施</w:t>
      </w:r>
      <w:r>
        <w:rPr>
          <w:rFonts w:hint="eastAsia" w:ascii="宋体" w:hAnsi="宋体" w:eastAsia="宋体" w:cs="宋体"/>
          <w:color w:val="auto"/>
          <w:highlight w:val="none"/>
        </w:rPr>
        <w:t>工总平面图</w:t>
      </w:r>
    </w:p>
    <w:p w14:paraId="2005DECA">
      <w:pPr>
        <w:pStyle w:val="34"/>
        <w:spacing w:line="300" w:lineRule="exact"/>
        <w:ind w:firstLine="425"/>
        <w:rPr>
          <w:rFonts w:hint="eastAsia" w:ascii="宋体" w:hAnsi="宋体" w:eastAsia="宋体" w:cs="宋体"/>
          <w:color w:val="auto"/>
          <w:highlight w:val="none"/>
        </w:rPr>
      </w:pPr>
      <w:r>
        <w:rPr>
          <w:rFonts w:hint="eastAsia" w:ascii="宋体" w:hAnsi="宋体" w:eastAsia="宋体" w:cs="宋体"/>
          <w:color w:val="auto"/>
          <w:position w:val="-2"/>
          <w:highlight w:val="none"/>
        </w:rPr>
        <w:t>附表六</w:t>
      </w:r>
      <w:r>
        <w:rPr>
          <w:rFonts w:hint="eastAsia" w:ascii="宋体" w:hAnsi="宋体" w:eastAsia="宋体" w:cs="宋体"/>
          <w:color w:val="auto"/>
          <w:position w:val="-2"/>
          <w:highlight w:val="none"/>
        </w:rPr>
        <w:tab/>
      </w:r>
      <w:r>
        <w:rPr>
          <w:rFonts w:hint="eastAsia" w:ascii="宋体" w:hAnsi="宋体" w:eastAsia="宋体" w:cs="宋体"/>
          <w:color w:val="auto"/>
          <w:spacing w:val="-1"/>
          <w:position w:val="-2"/>
          <w:highlight w:val="none"/>
        </w:rPr>
        <w:t>临</w:t>
      </w:r>
      <w:r>
        <w:rPr>
          <w:rFonts w:hint="eastAsia" w:ascii="宋体" w:hAnsi="宋体" w:eastAsia="宋体" w:cs="宋体"/>
          <w:color w:val="auto"/>
          <w:position w:val="-2"/>
          <w:highlight w:val="none"/>
        </w:rPr>
        <w:t>时用地表</w:t>
      </w:r>
    </w:p>
    <w:p w14:paraId="3FC70927">
      <w:pPr>
        <w:rPr>
          <w:rFonts w:hint="eastAsia" w:ascii="宋体" w:hAnsi="宋体" w:eastAsia="宋体" w:cs="宋体"/>
          <w:color w:val="auto"/>
          <w:highlight w:val="none"/>
        </w:rPr>
      </w:pPr>
      <w:bookmarkStart w:id="1829" w:name="_Toc483317224"/>
      <w:bookmarkStart w:id="1830" w:name="_Toc418752351"/>
      <w:bookmarkStart w:id="1831" w:name="_Toc418751905"/>
    </w:p>
    <w:p w14:paraId="498C3227">
      <w:pPr>
        <w:rPr>
          <w:rFonts w:hint="eastAsia" w:ascii="宋体" w:hAnsi="宋体" w:eastAsia="宋体" w:cs="宋体"/>
          <w:b/>
          <w:color w:val="auto"/>
          <w:highlight w:val="none"/>
        </w:rPr>
      </w:pPr>
      <w:r>
        <w:rPr>
          <w:rFonts w:hint="eastAsia" w:ascii="宋体" w:hAnsi="宋体" w:eastAsia="宋体" w:cs="宋体"/>
          <w:b/>
          <w:color w:val="auto"/>
          <w:highlight w:val="none"/>
        </w:rPr>
        <w:t>附表一：拟投入本项目的主要施工设备表</w:t>
      </w:r>
      <w:bookmarkEnd w:id="1829"/>
      <w:bookmarkEnd w:id="1830"/>
      <w:bookmarkEnd w:id="1831"/>
    </w:p>
    <w:tbl>
      <w:tblPr>
        <w:tblStyle w:val="27"/>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14:paraId="51632424">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14:paraId="51A5F463">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98" w:type="dxa"/>
            <w:tcBorders>
              <w:top w:val="single" w:color="000000" w:sz="4" w:space="0"/>
              <w:left w:val="nil"/>
              <w:bottom w:val="single" w:color="000000" w:sz="4" w:space="0"/>
              <w:right w:val="single" w:color="000000" w:sz="4" w:space="0"/>
            </w:tcBorders>
            <w:vAlign w:val="center"/>
          </w:tcPr>
          <w:p w14:paraId="41754DE7">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39" w:type="dxa"/>
            <w:tcBorders>
              <w:top w:val="single" w:color="000000" w:sz="4" w:space="0"/>
              <w:left w:val="nil"/>
              <w:bottom w:val="single" w:color="000000" w:sz="4" w:space="0"/>
              <w:right w:val="single" w:color="000000" w:sz="4" w:space="0"/>
            </w:tcBorders>
            <w:vAlign w:val="center"/>
          </w:tcPr>
          <w:p w14:paraId="5B55DA09">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4C9B7145">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1092" w:type="dxa"/>
            <w:tcBorders>
              <w:top w:val="single" w:color="000000" w:sz="4" w:space="0"/>
              <w:left w:val="nil"/>
              <w:bottom w:val="single" w:color="000000" w:sz="4" w:space="0"/>
              <w:right w:val="single" w:color="000000" w:sz="4" w:space="0"/>
            </w:tcBorders>
            <w:vAlign w:val="center"/>
          </w:tcPr>
          <w:p w14:paraId="3D349D94">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41" w:type="dxa"/>
            <w:tcBorders>
              <w:top w:val="single" w:color="000000" w:sz="4" w:space="0"/>
              <w:left w:val="nil"/>
              <w:bottom w:val="single" w:color="000000" w:sz="4" w:space="0"/>
              <w:right w:val="single" w:color="000000" w:sz="4" w:space="0"/>
            </w:tcBorders>
            <w:vAlign w:val="center"/>
          </w:tcPr>
          <w:p w14:paraId="29D3D908">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509E4F9">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14" w:type="dxa"/>
            <w:tcBorders>
              <w:top w:val="single" w:color="000000" w:sz="4" w:space="0"/>
              <w:left w:val="nil"/>
              <w:bottom w:val="single" w:color="000000" w:sz="4" w:space="0"/>
              <w:right w:val="single" w:color="000000" w:sz="4" w:space="0"/>
            </w:tcBorders>
            <w:vAlign w:val="center"/>
          </w:tcPr>
          <w:p w14:paraId="66033D74">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5627C589">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337" w:type="dxa"/>
            <w:tcBorders>
              <w:top w:val="single" w:color="000000" w:sz="4" w:space="0"/>
              <w:left w:val="nil"/>
              <w:bottom w:val="single" w:color="000000" w:sz="4" w:space="0"/>
              <w:right w:val="single" w:color="000000" w:sz="4" w:space="0"/>
            </w:tcBorders>
            <w:vAlign w:val="center"/>
          </w:tcPr>
          <w:p w14:paraId="288F2B43">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722F40BF">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65" w:type="dxa"/>
            <w:tcBorders>
              <w:top w:val="single" w:color="000000" w:sz="4" w:space="0"/>
              <w:left w:val="nil"/>
              <w:bottom w:val="single" w:color="000000" w:sz="4" w:space="0"/>
              <w:right w:val="single" w:color="000000" w:sz="4" w:space="0"/>
            </w:tcBorders>
            <w:vAlign w:val="center"/>
          </w:tcPr>
          <w:p w14:paraId="34B708B8">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59A0088E">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64" w:type="dxa"/>
            <w:tcBorders>
              <w:top w:val="single" w:color="000000" w:sz="4" w:space="0"/>
              <w:left w:val="nil"/>
              <w:bottom w:val="single" w:color="000000" w:sz="4" w:space="0"/>
              <w:right w:val="single" w:color="000000" w:sz="4" w:space="0"/>
            </w:tcBorders>
            <w:vAlign w:val="center"/>
          </w:tcPr>
          <w:p w14:paraId="25DF771A">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54B38CE1">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764" w:type="dxa"/>
            <w:tcBorders>
              <w:top w:val="single" w:color="000000" w:sz="4" w:space="0"/>
              <w:left w:val="nil"/>
              <w:bottom w:val="single" w:color="000000" w:sz="4" w:space="0"/>
              <w:right w:val="single" w:color="000000" w:sz="4" w:space="0"/>
            </w:tcBorders>
            <w:vAlign w:val="center"/>
          </w:tcPr>
          <w:p w14:paraId="19B785AA">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CD3C0EA">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48156AED">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vAlign w:val="top"/>
          </w:tcPr>
          <w:p w14:paraId="681F5074">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vAlign w:val="top"/>
          </w:tcPr>
          <w:p w14:paraId="1A87CCAC">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vAlign w:val="top"/>
          </w:tcPr>
          <w:p w14:paraId="6CBB8AEE">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vAlign w:val="top"/>
          </w:tcPr>
          <w:p w14:paraId="3E0A25D1">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vAlign w:val="top"/>
          </w:tcPr>
          <w:p w14:paraId="773248E9">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vAlign w:val="top"/>
          </w:tcPr>
          <w:p w14:paraId="34244606">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vAlign w:val="top"/>
          </w:tcPr>
          <w:p w14:paraId="310935B9">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vAlign w:val="top"/>
          </w:tcPr>
          <w:p w14:paraId="2E370836">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vAlign w:val="top"/>
          </w:tcPr>
          <w:p w14:paraId="289ECCD1">
            <w:pPr>
              <w:pStyle w:val="34"/>
              <w:rPr>
                <w:rFonts w:hint="eastAsia" w:ascii="宋体" w:hAnsi="宋体" w:eastAsia="宋体" w:cs="宋体"/>
                <w:color w:val="auto"/>
                <w:highlight w:val="none"/>
              </w:rPr>
            </w:pPr>
          </w:p>
        </w:tc>
      </w:tr>
      <w:tr w14:paraId="38E4F6E6">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1E39100D">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vAlign w:val="top"/>
          </w:tcPr>
          <w:p w14:paraId="37BC383D">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vAlign w:val="top"/>
          </w:tcPr>
          <w:p w14:paraId="554655B3">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vAlign w:val="top"/>
          </w:tcPr>
          <w:p w14:paraId="41C64B16">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vAlign w:val="top"/>
          </w:tcPr>
          <w:p w14:paraId="07E0459E">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vAlign w:val="top"/>
          </w:tcPr>
          <w:p w14:paraId="71023F85">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vAlign w:val="top"/>
          </w:tcPr>
          <w:p w14:paraId="0460D94A">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vAlign w:val="top"/>
          </w:tcPr>
          <w:p w14:paraId="3EB3CD29">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vAlign w:val="top"/>
          </w:tcPr>
          <w:p w14:paraId="6F7C516C">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vAlign w:val="top"/>
          </w:tcPr>
          <w:p w14:paraId="67A2F90D">
            <w:pPr>
              <w:pStyle w:val="34"/>
              <w:rPr>
                <w:rFonts w:hint="eastAsia" w:ascii="宋体" w:hAnsi="宋体" w:eastAsia="宋体" w:cs="宋体"/>
                <w:color w:val="auto"/>
                <w:highlight w:val="none"/>
              </w:rPr>
            </w:pPr>
          </w:p>
        </w:tc>
      </w:tr>
      <w:tr w14:paraId="2C8E44CC">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6595891B">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vAlign w:val="top"/>
          </w:tcPr>
          <w:p w14:paraId="053A79D9">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vAlign w:val="top"/>
          </w:tcPr>
          <w:p w14:paraId="442F899E">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vAlign w:val="top"/>
          </w:tcPr>
          <w:p w14:paraId="45B06D8E">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vAlign w:val="top"/>
          </w:tcPr>
          <w:p w14:paraId="0CA1FDA3">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vAlign w:val="top"/>
          </w:tcPr>
          <w:p w14:paraId="12B9B66B">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vAlign w:val="top"/>
          </w:tcPr>
          <w:p w14:paraId="4BD460EF">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vAlign w:val="top"/>
          </w:tcPr>
          <w:p w14:paraId="4FCB16A9">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vAlign w:val="top"/>
          </w:tcPr>
          <w:p w14:paraId="0D498F4B">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vAlign w:val="top"/>
          </w:tcPr>
          <w:p w14:paraId="1E21D3D3">
            <w:pPr>
              <w:pStyle w:val="34"/>
              <w:rPr>
                <w:rFonts w:hint="eastAsia" w:ascii="宋体" w:hAnsi="宋体" w:eastAsia="宋体" w:cs="宋体"/>
                <w:color w:val="auto"/>
                <w:highlight w:val="none"/>
              </w:rPr>
            </w:pPr>
          </w:p>
        </w:tc>
      </w:tr>
      <w:tr w14:paraId="2151A8A7">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14:paraId="4749E2A2">
            <w:pPr>
              <w:pStyle w:val="34"/>
              <w:rPr>
                <w:rFonts w:hint="eastAsia" w:ascii="宋体" w:hAnsi="宋体" w:eastAsia="宋体" w:cs="宋体"/>
                <w:color w:val="auto"/>
                <w:highlight w:val="none"/>
              </w:rPr>
            </w:pPr>
          </w:p>
        </w:tc>
        <w:tc>
          <w:tcPr>
            <w:tcW w:w="1198" w:type="dxa"/>
            <w:tcBorders>
              <w:top w:val="single" w:color="000000" w:sz="4" w:space="0"/>
              <w:left w:val="nil"/>
              <w:bottom w:val="single" w:color="000000" w:sz="4" w:space="0"/>
              <w:right w:val="single" w:color="000000" w:sz="4" w:space="0"/>
            </w:tcBorders>
            <w:vAlign w:val="top"/>
          </w:tcPr>
          <w:p w14:paraId="48F491B6">
            <w:pPr>
              <w:pStyle w:val="34"/>
              <w:rPr>
                <w:rFonts w:hint="eastAsia" w:ascii="宋体" w:hAnsi="宋体" w:eastAsia="宋体" w:cs="宋体"/>
                <w:color w:val="auto"/>
                <w:highlight w:val="none"/>
              </w:rPr>
            </w:pPr>
          </w:p>
        </w:tc>
        <w:tc>
          <w:tcPr>
            <w:tcW w:w="839" w:type="dxa"/>
            <w:tcBorders>
              <w:top w:val="single" w:color="000000" w:sz="4" w:space="0"/>
              <w:left w:val="nil"/>
              <w:bottom w:val="single" w:color="000000" w:sz="4" w:space="0"/>
              <w:right w:val="single" w:color="000000" w:sz="4" w:space="0"/>
            </w:tcBorders>
            <w:vAlign w:val="top"/>
          </w:tcPr>
          <w:p w14:paraId="1A217EFE">
            <w:pPr>
              <w:pStyle w:val="34"/>
              <w:rPr>
                <w:rFonts w:hint="eastAsia" w:ascii="宋体" w:hAnsi="宋体" w:eastAsia="宋体" w:cs="宋体"/>
                <w:color w:val="auto"/>
                <w:highlight w:val="none"/>
              </w:rPr>
            </w:pPr>
          </w:p>
        </w:tc>
        <w:tc>
          <w:tcPr>
            <w:tcW w:w="1092" w:type="dxa"/>
            <w:tcBorders>
              <w:top w:val="single" w:color="000000" w:sz="4" w:space="0"/>
              <w:left w:val="nil"/>
              <w:bottom w:val="single" w:color="000000" w:sz="4" w:space="0"/>
              <w:right w:val="single" w:color="000000" w:sz="4" w:space="0"/>
            </w:tcBorders>
            <w:vAlign w:val="top"/>
          </w:tcPr>
          <w:p w14:paraId="7037C00C">
            <w:pPr>
              <w:pStyle w:val="34"/>
              <w:rPr>
                <w:rFonts w:hint="eastAsia" w:ascii="宋体" w:hAnsi="宋体" w:eastAsia="宋体" w:cs="宋体"/>
                <w:color w:val="auto"/>
                <w:highlight w:val="none"/>
              </w:rPr>
            </w:pPr>
          </w:p>
        </w:tc>
        <w:tc>
          <w:tcPr>
            <w:tcW w:w="741" w:type="dxa"/>
            <w:tcBorders>
              <w:top w:val="single" w:color="000000" w:sz="4" w:space="0"/>
              <w:left w:val="nil"/>
              <w:bottom w:val="single" w:color="000000" w:sz="4" w:space="0"/>
              <w:right w:val="single" w:color="000000" w:sz="4" w:space="0"/>
            </w:tcBorders>
            <w:vAlign w:val="top"/>
          </w:tcPr>
          <w:p w14:paraId="0AF7FE5A">
            <w:pPr>
              <w:pStyle w:val="34"/>
              <w:rPr>
                <w:rFonts w:hint="eastAsia" w:ascii="宋体" w:hAnsi="宋体" w:eastAsia="宋体" w:cs="宋体"/>
                <w:color w:val="auto"/>
                <w:highlight w:val="none"/>
              </w:rPr>
            </w:pPr>
          </w:p>
        </w:tc>
        <w:tc>
          <w:tcPr>
            <w:tcW w:w="814" w:type="dxa"/>
            <w:tcBorders>
              <w:top w:val="single" w:color="000000" w:sz="4" w:space="0"/>
              <w:left w:val="nil"/>
              <w:bottom w:val="single" w:color="000000" w:sz="4" w:space="0"/>
              <w:right w:val="single" w:color="000000" w:sz="4" w:space="0"/>
            </w:tcBorders>
            <w:vAlign w:val="top"/>
          </w:tcPr>
          <w:p w14:paraId="6869FE41">
            <w:pPr>
              <w:pStyle w:val="34"/>
              <w:rPr>
                <w:rFonts w:hint="eastAsia" w:ascii="宋体" w:hAnsi="宋体" w:eastAsia="宋体" w:cs="宋体"/>
                <w:color w:val="auto"/>
                <w:highlight w:val="none"/>
              </w:rPr>
            </w:pPr>
          </w:p>
        </w:tc>
        <w:tc>
          <w:tcPr>
            <w:tcW w:w="1337" w:type="dxa"/>
            <w:tcBorders>
              <w:top w:val="single" w:color="000000" w:sz="4" w:space="0"/>
              <w:left w:val="nil"/>
              <w:bottom w:val="single" w:color="000000" w:sz="4" w:space="0"/>
              <w:right w:val="single" w:color="000000" w:sz="4" w:space="0"/>
            </w:tcBorders>
            <w:vAlign w:val="top"/>
          </w:tcPr>
          <w:p w14:paraId="0C5AC9BE">
            <w:pPr>
              <w:pStyle w:val="34"/>
              <w:rPr>
                <w:rFonts w:hint="eastAsia" w:ascii="宋体" w:hAnsi="宋体" w:eastAsia="宋体" w:cs="宋体"/>
                <w:color w:val="auto"/>
                <w:highlight w:val="none"/>
              </w:rPr>
            </w:pPr>
          </w:p>
        </w:tc>
        <w:tc>
          <w:tcPr>
            <w:tcW w:w="965" w:type="dxa"/>
            <w:tcBorders>
              <w:top w:val="single" w:color="000000" w:sz="4" w:space="0"/>
              <w:left w:val="nil"/>
              <w:bottom w:val="single" w:color="000000" w:sz="4" w:space="0"/>
              <w:right w:val="single" w:color="000000" w:sz="4" w:space="0"/>
            </w:tcBorders>
            <w:vAlign w:val="top"/>
          </w:tcPr>
          <w:p w14:paraId="0B56A386">
            <w:pPr>
              <w:pStyle w:val="34"/>
              <w:rPr>
                <w:rFonts w:hint="eastAsia" w:ascii="宋体" w:hAnsi="宋体" w:eastAsia="宋体" w:cs="宋体"/>
                <w:color w:val="auto"/>
                <w:highlight w:val="none"/>
              </w:rPr>
            </w:pPr>
          </w:p>
        </w:tc>
        <w:tc>
          <w:tcPr>
            <w:tcW w:w="1164" w:type="dxa"/>
            <w:tcBorders>
              <w:top w:val="single" w:color="000000" w:sz="4" w:space="0"/>
              <w:left w:val="nil"/>
              <w:bottom w:val="single" w:color="000000" w:sz="4" w:space="0"/>
              <w:right w:val="single" w:color="000000" w:sz="4" w:space="0"/>
            </w:tcBorders>
            <w:vAlign w:val="top"/>
          </w:tcPr>
          <w:p w14:paraId="72293A03">
            <w:pPr>
              <w:pStyle w:val="34"/>
              <w:rPr>
                <w:rFonts w:hint="eastAsia" w:ascii="宋体" w:hAnsi="宋体" w:eastAsia="宋体" w:cs="宋体"/>
                <w:color w:val="auto"/>
                <w:highlight w:val="none"/>
              </w:rPr>
            </w:pPr>
          </w:p>
        </w:tc>
        <w:tc>
          <w:tcPr>
            <w:tcW w:w="764" w:type="dxa"/>
            <w:tcBorders>
              <w:top w:val="single" w:color="000000" w:sz="4" w:space="0"/>
              <w:left w:val="nil"/>
              <w:bottom w:val="single" w:color="000000" w:sz="4" w:space="0"/>
              <w:right w:val="single" w:color="000000" w:sz="4" w:space="0"/>
            </w:tcBorders>
            <w:vAlign w:val="top"/>
          </w:tcPr>
          <w:p w14:paraId="561A37A1">
            <w:pPr>
              <w:pStyle w:val="34"/>
              <w:rPr>
                <w:rFonts w:hint="eastAsia" w:ascii="宋体" w:hAnsi="宋体" w:eastAsia="宋体" w:cs="宋体"/>
                <w:color w:val="auto"/>
                <w:highlight w:val="none"/>
              </w:rPr>
            </w:pPr>
          </w:p>
        </w:tc>
      </w:tr>
    </w:tbl>
    <w:p w14:paraId="2BD15461">
      <w:pPr>
        <w:pStyle w:val="3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53FA1241">
      <w:pPr>
        <w:rPr>
          <w:rFonts w:hint="eastAsia" w:ascii="宋体" w:hAnsi="宋体" w:eastAsia="宋体" w:cs="宋体"/>
          <w:b/>
          <w:color w:val="auto"/>
          <w:highlight w:val="none"/>
        </w:rPr>
      </w:pPr>
      <w:bookmarkStart w:id="1832" w:name="_Toc483317225"/>
      <w:bookmarkStart w:id="1833" w:name="_Toc418752352"/>
      <w:bookmarkStart w:id="1834" w:name="_Toc418751906"/>
      <w:r>
        <w:rPr>
          <w:rFonts w:hint="eastAsia" w:ascii="宋体" w:hAnsi="宋体" w:eastAsia="宋体" w:cs="宋体"/>
          <w:b/>
          <w:color w:val="auto"/>
          <w:highlight w:val="none"/>
        </w:rPr>
        <w:t>附表二：拟配备本项目的试验和检测仪器设备表</w:t>
      </w:r>
      <w:bookmarkEnd w:id="1832"/>
      <w:bookmarkEnd w:id="1833"/>
      <w:bookmarkEnd w:id="1834"/>
    </w:p>
    <w:tbl>
      <w:tblPr>
        <w:tblStyle w:val="27"/>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14:paraId="40888297">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14:paraId="36AF6008">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序号</w:t>
            </w:r>
          </w:p>
        </w:tc>
        <w:tc>
          <w:tcPr>
            <w:tcW w:w="1239" w:type="dxa"/>
            <w:tcBorders>
              <w:top w:val="single" w:color="000000" w:sz="4" w:space="0"/>
              <w:left w:val="nil"/>
              <w:bottom w:val="single" w:color="000000" w:sz="4" w:space="0"/>
              <w:right w:val="single" w:color="000000" w:sz="4" w:space="0"/>
            </w:tcBorders>
            <w:vAlign w:val="center"/>
          </w:tcPr>
          <w:p w14:paraId="00C4A9A8">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仪器设备</w:t>
            </w:r>
          </w:p>
          <w:p w14:paraId="6AE2C166">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名称</w:t>
            </w:r>
          </w:p>
        </w:tc>
        <w:tc>
          <w:tcPr>
            <w:tcW w:w="866" w:type="dxa"/>
            <w:tcBorders>
              <w:top w:val="single" w:color="000000" w:sz="4" w:space="0"/>
              <w:left w:val="nil"/>
              <w:bottom w:val="single" w:color="000000" w:sz="4" w:space="0"/>
              <w:right w:val="single" w:color="000000" w:sz="4" w:space="0"/>
            </w:tcBorders>
            <w:vAlign w:val="center"/>
          </w:tcPr>
          <w:p w14:paraId="4C3AE5B3">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1C073E74">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规格</w:t>
            </w:r>
          </w:p>
        </w:tc>
        <w:tc>
          <w:tcPr>
            <w:tcW w:w="1129" w:type="dxa"/>
            <w:tcBorders>
              <w:top w:val="single" w:color="000000" w:sz="4" w:space="0"/>
              <w:left w:val="nil"/>
              <w:bottom w:val="single" w:color="000000" w:sz="4" w:space="0"/>
              <w:right w:val="single" w:color="000000" w:sz="4" w:space="0"/>
            </w:tcBorders>
            <w:vAlign w:val="center"/>
          </w:tcPr>
          <w:p w14:paraId="3F4AA7A9">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数量</w:t>
            </w:r>
          </w:p>
        </w:tc>
        <w:tc>
          <w:tcPr>
            <w:tcW w:w="766" w:type="dxa"/>
            <w:tcBorders>
              <w:top w:val="single" w:color="000000" w:sz="4" w:space="0"/>
              <w:left w:val="nil"/>
              <w:bottom w:val="single" w:color="000000" w:sz="4" w:space="0"/>
              <w:right w:val="single" w:color="000000" w:sz="4" w:space="0"/>
            </w:tcBorders>
            <w:vAlign w:val="center"/>
          </w:tcPr>
          <w:p w14:paraId="7C7A944E">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3034F10E">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产地</w:t>
            </w:r>
          </w:p>
        </w:tc>
        <w:tc>
          <w:tcPr>
            <w:tcW w:w="841" w:type="dxa"/>
            <w:tcBorders>
              <w:top w:val="single" w:color="000000" w:sz="4" w:space="0"/>
              <w:left w:val="nil"/>
              <w:bottom w:val="single" w:color="000000" w:sz="4" w:space="0"/>
              <w:right w:val="single" w:color="000000" w:sz="4" w:space="0"/>
            </w:tcBorders>
            <w:vAlign w:val="center"/>
          </w:tcPr>
          <w:p w14:paraId="21C2BA3B">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48829FCE">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年份</w:t>
            </w:r>
          </w:p>
        </w:tc>
        <w:tc>
          <w:tcPr>
            <w:tcW w:w="1382" w:type="dxa"/>
            <w:tcBorders>
              <w:top w:val="single" w:color="000000" w:sz="4" w:space="0"/>
              <w:left w:val="nil"/>
              <w:bottom w:val="single" w:color="000000" w:sz="4" w:space="0"/>
              <w:right w:val="single" w:color="000000" w:sz="4" w:space="0"/>
            </w:tcBorders>
            <w:vAlign w:val="center"/>
          </w:tcPr>
          <w:p w14:paraId="3C337232">
            <w:pPr>
              <w:pStyle w:val="34"/>
              <w:jc w:val="center"/>
              <w:rPr>
                <w:rFonts w:hint="eastAsia" w:ascii="宋体" w:hAnsi="宋体" w:eastAsia="宋体" w:cs="宋体"/>
                <w:color w:val="auto"/>
                <w:highlight w:val="none"/>
              </w:rPr>
            </w:pPr>
            <w:r>
              <w:rPr>
                <w:rFonts w:hint="eastAsia" w:ascii="宋体" w:hAnsi="宋体" w:eastAsia="宋体" w:cs="宋体"/>
                <w:color w:val="auto"/>
                <w:highlight w:val="none"/>
              </w:rPr>
              <w:t>已使用</w:t>
            </w:r>
          </w:p>
          <w:p w14:paraId="08ED0FB8">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台时数</w:t>
            </w:r>
          </w:p>
        </w:tc>
        <w:tc>
          <w:tcPr>
            <w:tcW w:w="1885" w:type="dxa"/>
            <w:tcBorders>
              <w:top w:val="single" w:color="000000" w:sz="4" w:space="0"/>
              <w:left w:val="nil"/>
              <w:bottom w:val="single" w:color="000000" w:sz="4" w:space="0"/>
              <w:right w:val="single" w:color="000000" w:sz="4" w:space="0"/>
            </w:tcBorders>
            <w:vAlign w:val="center"/>
          </w:tcPr>
          <w:p w14:paraId="4EA1E2CE">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用途</w:t>
            </w:r>
          </w:p>
        </w:tc>
        <w:tc>
          <w:tcPr>
            <w:tcW w:w="781" w:type="dxa"/>
            <w:tcBorders>
              <w:top w:val="single" w:color="000000" w:sz="4" w:space="0"/>
              <w:left w:val="nil"/>
              <w:bottom w:val="single" w:color="000000" w:sz="4" w:space="0"/>
              <w:right w:val="single" w:color="000000" w:sz="4" w:space="0"/>
            </w:tcBorders>
            <w:vAlign w:val="center"/>
          </w:tcPr>
          <w:p w14:paraId="4E7A7AE1">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备注</w:t>
            </w:r>
          </w:p>
        </w:tc>
      </w:tr>
      <w:tr w14:paraId="4F8FEF62">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5332F004">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vAlign w:val="top"/>
          </w:tcPr>
          <w:p w14:paraId="3641D690">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vAlign w:val="top"/>
          </w:tcPr>
          <w:p w14:paraId="7E3CA90D">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vAlign w:val="top"/>
          </w:tcPr>
          <w:p w14:paraId="7D335854">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vAlign w:val="top"/>
          </w:tcPr>
          <w:p w14:paraId="750FFE72">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vAlign w:val="top"/>
          </w:tcPr>
          <w:p w14:paraId="0A75C3C3">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vAlign w:val="top"/>
          </w:tcPr>
          <w:p w14:paraId="1634E04E">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vAlign w:val="top"/>
          </w:tcPr>
          <w:p w14:paraId="18B85969">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vAlign w:val="top"/>
          </w:tcPr>
          <w:p w14:paraId="32FF869F">
            <w:pPr>
              <w:pStyle w:val="34"/>
              <w:rPr>
                <w:rFonts w:hint="eastAsia" w:ascii="宋体" w:hAnsi="宋体" w:eastAsia="宋体" w:cs="宋体"/>
                <w:color w:val="auto"/>
                <w:sz w:val="24"/>
                <w:szCs w:val="24"/>
                <w:highlight w:val="none"/>
              </w:rPr>
            </w:pPr>
          </w:p>
        </w:tc>
      </w:tr>
      <w:tr w14:paraId="4B0951F6">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6B378E54">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vAlign w:val="top"/>
          </w:tcPr>
          <w:p w14:paraId="4D068753">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vAlign w:val="top"/>
          </w:tcPr>
          <w:p w14:paraId="46679A00">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vAlign w:val="top"/>
          </w:tcPr>
          <w:p w14:paraId="5A3350DF">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vAlign w:val="top"/>
          </w:tcPr>
          <w:p w14:paraId="4785BB83">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vAlign w:val="top"/>
          </w:tcPr>
          <w:p w14:paraId="382B3719">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vAlign w:val="top"/>
          </w:tcPr>
          <w:p w14:paraId="20E19D1A">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vAlign w:val="top"/>
          </w:tcPr>
          <w:p w14:paraId="06740FA2">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vAlign w:val="top"/>
          </w:tcPr>
          <w:p w14:paraId="7B3615A6">
            <w:pPr>
              <w:pStyle w:val="34"/>
              <w:rPr>
                <w:rFonts w:hint="eastAsia" w:ascii="宋体" w:hAnsi="宋体" w:eastAsia="宋体" w:cs="宋体"/>
                <w:color w:val="auto"/>
                <w:sz w:val="24"/>
                <w:szCs w:val="24"/>
                <w:highlight w:val="none"/>
              </w:rPr>
            </w:pPr>
          </w:p>
        </w:tc>
      </w:tr>
      <w:tr w14:paraId="2AC3D4F1">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38CB29AC">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vAlign w:val="top"/>
          </w:tcPr>
          <w:p w14:paraId="4F638B94">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vAlign w:val="top"/>
          </w:tcPr>
          <w:p w14:paraId="49552CCE">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vAlign w:val="top"/>
          </w:tcPr>
          <w:p w14:paraId="4D087963">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vAlign w:val="top"/>
          </w:tcPr>
          <w:p w14:paraId="6429D01C">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vAlign w:val="top"/>
          </w:tcPr>
          <w:p w14:paraId="7481227C">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vAlign w:val="top"/>
          </w:tcPr>
          <w:p w14:paraId="6AB91722">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vAlign w:val="top"/>
          </w:tcPr>
          <w:p w14:paraId="753ADC97">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vAlign w:val="top"/>
          </w:tcPr>
          <w:p w14:paraId="75B524F6">
            <w:pPr>
              <w:pStyle w:val="34"/>
              <w:rPr>
                <w:rFonts w:hint="eastAsia" w:ascii="宋体" w:hAnsi="宋体" w:eastAsia="宋体" w:cs="宋体"/>
                <w:color w:val="auto"/>
                <w:sz w:val="24"/>
                <w:szCs w:val="24"/>
                <w:highlight w:val="none"/>
              </w:rPr>
            </w:pPr>
          </w:p>
        </w:tc>
      </w:tr>
      <w:tr w14:paraId="4B9866D5">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14:paraId="6B437F08">
            <w:pPr>
              <w:pStyle w:val="34"/>
              <w:rPr>
                <w:rFonts w:hint="eastAsia" w:ascii="宋体" w:hAnsi="宋体" w:eastAsia="宋体" w:cs="宋体"/>
                <w:color w:val="auto"/>
                <w:sz w:val="24"/>
                <w:szCs w:val="24"/>
                <w:highlight w:val="none"/>
              </w:rPr>
            </w:pPr>
          </w:p>
        </w:tc>
        <w:tc>
          <w:tcPr>
            <w:tcW w:w="1239" w:type="dxa"/>
            <w:tcBorders>
              <w:top w:val="single" w:color="000000" w:sz="4" w:space="0"/>
              <w:left w:val="nil"/>
              <w:bottom w:val="single" w:color="000000" w:sz="4" w:space="0"/>
              <w:right w:val="single" w:color="000000" w:sz="4" w:space="0"/>
            </w:tcBorders>
            <w:vAlign w:val="top"/>
          </w:tcPr>
          <w:p w14:paraId="209946F8">
            <w:pPr>
              <w:pStyle w:val="34"/>
              <w:rPr>
                <w:rFonts w:hint="eastAsia" w:ascii="宋体" w:hAnsi="宋体" w:eastAsia="宋体" w:cs="宋体"/>
                <w:color w:val="auto"/>
                <w:sz w:val="24"/>
                <w:szCs w:val="24"/>
                <w:highlight w:val="none"/>
              </w:rPr>
            </w:pPr>
          </w:p>
        </w:tc>
        <w:tc>
          <w:tcPr>
            <w:tcW w:w="866" w:type="dxa"/>
            <w:tcBorders>
              <w:top w:val="single" w:color="000000" w:sz="4" w:space="0"/>
              <w:left w:val="nil"/>
              <w:bottom w:val="single" w:color="000000" w:sz="4" w:space="0"/>
              <w:right w:val="single" w:color="000000" w:sz="4" w:space="0"/>
            </w:tcBorders>
            <w:vAlign w:val="top"/>
          </w:tcPr>
          <w:p w14:paraId="2F51B652">
            <w:pPr>
              <w:pStyle w:val="34"/>
              <w:rPr>
                <w:rFonts w:hint="eastAsia" w:ascii="宋体" w:hAnsi="宋体" w:eastAsia="宋体" w:cs="宋体"/>
                <w:color w:val="auto"/>
                <w:sz w:val="24"/>
                <w:szCs w:val="24"/>
                <w:highlight w:val="none"/>
              </w:rPr>
            </w:pPr>
          </w:p>
        </w:tc>
        <w:tc>
          <w:tcPr>
            <w:tcW w:w="1129" w:type="dxa"/>
            <w:tcBorders>
              <w:top w:val="single" w:color="000000" w:sz="4" w:space="0"/>
              <w:left w:val="nil"/>
              <w:bottom w:val="single" w:color="000000" w:sz="4" w:space="0"/>
              <w:right w:val="single" w:color="000000" w:sz="4" w:space="0"/>
            </w:tcBorders>
            <w:vAlign w:val="top"/>
          </w:tcPr>
          <w:p w14:paraId="60D0AE52">
            <w:pPr>
              <w:pStyle w:val="34"/>
              <w:rPr>
                <w:rFonts w:hint="eastAsia" w:ascii="宋体" w:hAnsi="宋体" w:eastAsia="宋体" w:cs="宋体"/>
                <w:color w:val="auto"/>
                <w:sz w:val="24"/>
                <w:szCs w:val="24"/>
                <w:highlight w:val="none"/>
              </w:rPr>
            </w:pPr>
          </w:p>
        </w:tc>
        <w:tc>
          <w:tcPr>
            <w:tcW w:w="766" w:type="dxa"/>
            <w:tcBorders>
              <w:top w:val="single" w:color="000000" w:sz="4" w:space="0"/>
              <w:left w:val="nil"/>
              <w:bottom w:val="single" w:color="000000" w:sz="4" w:space="0"/>
              <w:right w:val="single" w:color="000000" w:sz="4" w:space="0"/>
            </w:tcBorders>
            <w:vAlign w:val="top"/>
          </w:tcPr>
          <w:p w14:paraId="054914C7">
            <w:pPr>
              <w:pStyle w:val="34"/>
              <w:rPr>
                <w:rFonts w:hint="eastAsia" w:ascii="宋体" w:hAnsi="宋体" w:eastAsia="宋体" w:cs="宋体"/>
                <w:color w:val="auto"/>
                <w:sz w:val="24"/>
                <w:szCs w:val="24"/>
                <w:highlight w:val="none"/>
              </w:rPr>
            </w:pPr>
          </w:p>
        </w:tc>
        <w:tc>
          <w:tcPr>
            <w:tcW w:w="841" w:type="dxa"/>
            <w:tcBorders>
              <w:top w:val="single" w:color="000000" w:sz="4" w:space="0"/>
              <w:left w:val="nil"/>
              <w:bottom w:val="single" w:color="000000" w:sz="4" w:space="0"/>
              <w:right w:val="single" w:color="000000" w:sz="4" w:space="0"/>
            </w:tcBorders>
            <w:vAlign w:val="top"/>
          </w:tcPr>
          <w:p w14:paraId="3DD9889D">
            <w:pPr>
              <w:pStyle w:val="34"/>
              <w:rPr>
                <w:rFonts w:hint="eastAsia" w:ascii="宋体" w:hAnsi="宋体" w:eastAsia="宋体" w:cs="宋体"/>
                <w:color w:val="auto"/>
                <w:sz w:val="24"/>
                <w:szCs w:val="24"/>
                <w:highlight w:val="none"/>
              </w:rPr>
            </w:pPr>
          </w:p>
        </w:tc>
        <w:tc>
          <w:tcPr>
            <w:tcW w:w="1382" w:type="dxa"/>
            <w:tcBorders>
              <w:top w:val="single" w:color="000000" w:sz="4" w:space="0"/>
              <w:left w:val="nil"/>
              <w:bottom w:val="single" w:color="000000" w:sz="4" w:space="0"/>
              <w:right w:val="single" w:color="000000" w:sz="4" w:space="0"/>
            </w:tcBorders>
            <w:vAlign w:val="top"/>
          </w:tcPr>
          <w:p w14:paraId="24D735D1">
            <w:pPr>
              <w:pStyle w:val="34"/>
              <w:rPr>
                <w:rFonts w:hint="eastAsia" w:ascii="宋体" w:hAnsi="宋体" w:eastAsia="宋体" w:cs="宋体"/>
                <w:color w:val="auto"/>
                <w:sz w:val="24"/>
                <w:szCs w:val="24"/>
                <w:highlight w:val="none"/>
              </w:rPr>
            </w:pPr>
          </w:p>
        </w:tc>
        <w:tc>
          <w:tcPr>
            <w:tcW w:w="1885" w:type="dxa"/>
            <w:tcBorders>
              <w:top w:val="single" w:color="000000" w:sz="4" w:space="0"/>
              <w:left w:val="nil"/>
              <w:bottom w:val="single" w:color="000000" w:sz="4" w:space="0"/>
              <w:right w:val="single" w:color="000000" w:sz="4" w:space="0"/>
            </w:tcBorders>
            <w:vAlign w:val="top"/>
          </w:tcPr>
          <w:p w14:paraId="1BB0590F">
            <w:pPr>
              <w:pStyle w:val="34"/>
              <w:rPr>
                <w:rFonts w:hint="eastAsia" w:ascii="宋体" w:hAnsi="宋体" w:eastAsia="宋体" w:cs="宋体"/>
                <w:color w:val="auto"/>
                <w:sz w:val="24"/>
                <w:szCs w:val="24"/>
                <w:highlight w:val="none"/>
              </w:rPr>
            </w:pPr>
          </w:p>
        </w:tc>
        <w:tc>
          <w:tcPr>
            <w:tcW w:w="781" w:type="dxa"/>
            <w:tcBorders>
              <w:top w:val="single" w:color="000000" w:sz="4" w:space="0"/>
              <w:left w:val="nil"/>
              <w:bottom w:val="single" w:color="000000" w:sz="4" w:space="0"/>
              <w:right w:val="single" w:color="000000" w:sz="4" w:space="0"/>
            </w:tcBorders>
            <w:vAlign w:val="top"/>
          </w:tcPr>
          <w:p w14:paraId="287967AA">
            <w:pPr>
              <w:pStyle w:val="34"/>
              <w:rPr>
                <w:rFonts w:hint="eastAsia" w:ascii="宋体" w:hAnsi="宋体" w:eastAsia="宋体" w:cs="宋体"/>
                <w:color w:val="auto"/>
                <w:sz w:val="24"/>
                <w:szCs w:val="24"/>
                <w:highlight w:val="none"/>
              </w:rPr>
            </w:pPr>
          </w:p>
        </w:tc>
      </w:tr>
    </w:tbl>
    <w:p w14:paraId="7DAF38C9">
      <w:pPr>
        <w:pStyle w:val="34"/>
        <w:rPr>
          <w:rFonts w:hint="eastAsia" w:ascii="宋体" w:hAnsi="宋体" w:eastAsia="宋体" w:cs="宋体"/>
          <w:b/>
          <w:color w:val="auto"/>
          <w:highlight w:val="none"/>
        </w:rPr>
      </w:pPr>
      <w:r>
        <w:rPr>
          <w:rFonts w:hint="eastAsia" w:ascii="宋体" w:hAnsi="宋体" w:eastAsia="宋体" w:cs="宋体"/>
          <w:color w:val="auto"/>
          <w:sz w:val="20"/>
          <w:szCs w:val="20"/>
          <w:highlight w:val="none"/>
        </w:rPr>
        <w:t xml:space="preserve"> </w:t>
      </w:r>
      <w:bookmarkStart w:id="1835" w:name="_Toc418751907"/>
      <w:bookmarkStart w:id="1836" w:name="_Toc418752353"/>
      <w:bookmarkStart w:id="1837" w:name="_Toc483317226"/>
      <w:r>
        <w:rPr>
          <w:rFonts w:hint="eastAsia" w:ascii="宋体" w:hAnsi="宋体" w:eastAsia="宋体" w:cs="宋体"/>
          <w:b/>
          <w:color w:val="auto"/>
          <w:highlight w:val="none"/>
        </w:rPr>
        <w:t>附表三：劳动力计划表</w:t>
      </w:r>
      <w:bookmarkEnd w:id="1835"/>
      <w:bookmarkEnd w:id="1836"/>
      <w:bookmarkEnd w:id="1837"/>
    </w:p>
    <w:p w14:paraId="16E4F38D">
      <w:pPr>
        <w:pStyle w:val="34"/>
        <w:jc w:val="right"/>
        <w:rPr>
          <w:rFonts w:hint="eastAsia" w:ascii="宋体" w:hAnsi="宋体" w:eastAsia="宋体" w:cs="宋体"/>
          <w:color w:val="auto"/>
          <w:highlight w:val="none"/>
        </w:rPr>
      </w:pPr>
      <w:r>
        <w:rPr>
          <w:rFonts w:hint="eastAsia" w:ascii="宋体" w:hAnsi="宋体" w:eastAsia="宋体" w:cs="宋体"/>
          <w:color w:val="auto"/>
          <w:highlight w:val="none"/>
        </w:rPr>
        <w:t>单位：人</w:t>
      </w:r>
    </w:p>
    <w:tbl>
      <w:tblPr>
        <w:tblStyle w:val="27"/>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14:paraId="54A9CEAF">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14:paraId="5E2AC8BE">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工种</w:t>
            </w:r>
          </w:p>
        </w:tc>
        <w:tc>
          <w:tcPr>
            <w:tcW w:w="8710" w:type="dxa"/>
            <w:gridSpan w:val="7"/>
            <w:tcBorders>
              <w:top w:val="single" w:color="000000" w:sz="4" w:space="0"/>
              <w:left w:val="nil"/>
              <w:bottom w:val="single" w:color="000000" w:sz="4" w:space="0"/>
              <w:right w:val="single" w:color="000000" w:sz="4" w:space="0"/>
            </w:tcBorders>
            <w:vAlign w:val="center"/>
          </w:tcPr>
          <w:p w14:paraId="5F84D438">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按工程施工阶段投入劳动力情况</w:t>
            </w:r>
          </w:p>
        </w:tc>
      </w:tr>
      <w:tr w14:paraId="2F90F312">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567D9D0C">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vAlign w:val="top"/>
          </w:tcPr>
          <w:p w14:paraId="466670EC">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1B78F49C">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493886C2">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3B39AF31">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16E934D0">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1CBB9A44">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vAlign w:val="top"/>
          </w:tcPr>
          <w:p w14:paraId="3A652CA4">
            <w:pPr>
              <w:pStyle w:val="34"/>
              <w:rPr>
                <w:rFonts w:hint="eastAsia" w:ascii="宋体" w:hAnsi="宋体" w:eastAsia="宋体" w:cs="宋体"/>
                <w:color w:val="auto"/>
                <w:sz w:val="24"/>
                <w:szCs w:val="24"/>
                <w:highlight w:val="none"/>
              </w:rPr>
            </w:pPr>
          </w:p>
        </w:tc>
      </w:tr>
      <w:tr w14:paraId="741CCD45">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75382B4E">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vAlign w:val="top"/>
          </w:tcPr>
          <w:p w14:paraId="4F2A7E44">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62EED9EC">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7BE40FD7">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5CAADCBA">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26B70D59">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42E70C45">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vAlign w:val="top"/>
          </w:tcPr>
          <w:p w14:paraId="0BBFD14F">
            <w:pPr>
              <w:pStyle w:val="34"/>
              <w:rPr>
                <w:rFonts w:hint="eastAsia" w:ascii="宋体" w:hAnsi="宋体" w:eastAsia="宋体" w:cs="宋体"/>
                <w:color w:val="auto"/>
                <w:sz w:val="24"/>
                <w:szCs w:val="24"/>
                <w:highlight w:val="none"/>
              </w:rPr>
            </w:pPr>
          </w:p>
        </w:tc>
      </w:tr>
      <w:tr w14:paraId="61F0F29D">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2E6EF164">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vAlign w:val="top"/>
          </w:tcPr>
          <w:p w14:paraId="007EC622">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6302A0EB">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59295FFF">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4D8237F4">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4CB497A4">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31045991">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vAlign w:val="top"/>
          </w:tcPr>
          <w:p w14:paraId="3DDFE928">
            <w:pPr>
              <w:pStyle w:val="34"/>
              <w:rPr>
                <w:rFonts w:hint="eastAsia" w:ascii="宋体" w:hAnsi="宋体" w:eastAsia="宋体" w:cs="宋体"/>
                <w:color w:val="auto"/>
                <w:sz w:val="24"/>
                <w:szCs w:val="24"/>
                <w:highlight w:val="none"/>
              </w:rPr>
            </w:pPr>
          </w:p>
        </w:tc>
      </w:tr>
      <w:tr w14:paraId="234510E6">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14:paraId="7D94B472">
            <w:pPr>
              <w:pStyle w:val="34"/>
              <w:rPr>
                <w:rFonts w:hint="eastAsia" w:ascii="宋体" w:hAnsi="宋体" w:eastAsia="宋体" w:cs="宋体"/>
                <w:color w:val="auto"/>
                <w:sz w:val="24"/>
                <w:szCs w:val="24"/>
                <w:highlight w:val="none"/>
              </w:rPr>
            </w:pPr>
          </w:p>
        </w:tc>
        <w:tc>
          <w:tcPr>
            <w:tcW w:w="1478" w:type="dxa"/>
            <w:tcBorders>
              <w:top w:val="single" w:color="000000" w:sz="4" w:space="0"/>
              <w:left w:val="nil"/>
              <w:bottom w:val="single" w:color="000000" w:sz="4" w:space="0"/>
              <w:right w:val="single" w:color="000000" w:sz="4" w:space="0"/>
            </w:tcBorders>
            <w:vAlign w:val="top"/>
          </w:tcPr>
          <w:p w14:paraId="09125D31">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6F7DA80D">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1D93286D">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32A3C1D8">
            <w:pPr>
              <w:pStyle w:val="34"/>
              <w:rPr>
                <w:rFonts w:hint="eastAsia" w:ascii="宋体" w:hAnsi="宋体" w:eastAsia="宋体" w:cs="宋体"/>
                <w:color w:val="auto"/>
                <w:sz w:val="24"/>
                <w:szCs w:val="24"/>
                <w:highlight w:val="none"/>
              </w:rPr>
            </w:pPr>
          </w:p>
        </w:tc>
        <w:tc>
          <w:tcPr>
            <w:tcW w:w="1206" w:type="dxa"/>
            <w:tcBorders>
              <w:top w:val="single" w:color="000000" w:sz="4" w:space="0"/>
              <w:left w:val="nil"/>
              <w:bottom w:val="single" w:color="000000" w:sz="4" w:space="0"/>
              <w:right w:val="single" w:color="000000" w:sz="4" w:space="0"/>
            </w:tcBorders>
            <w:vAlign w:val="top"/>
          </w:tcPr>
          <w:p w14:paraId="222B4ADD">
            <w:pPr>
              <w:pStyle w:val="34"/>
              <w:rPr>
                <w:rFonts w:hint="eastAsia" w:ascii="宋体" w:hAnsi="宋体" w:eastAsia="宋体" w:cs="宋体"/>
                <w:color w:val="auto"/>
                <w:sz w:val="24"/>
                <w:szCs w:val="24"/>
                <w:highlight w:val="none"/>
              </w:rPr>
            </w:pPr>
          </w:p>
        </w:tc>
        <w:tc>
          <w:tcPr>
            <w:tcW w:w="1204" w:type="dxa"/>
            <w:tcBorders>
              <w:top w:val="single" w:color="000000" w:sz="4" w:space="0"/>
              <w:left w:val="nil"/>
              <w:bottom w:val="single" w:color="000000" w:sz="4" w:space="0"/>
              <w:right w:val="single" w:color="000000" w:sz="4" w:space="0"/>
            </w:tcBorders>
            <w:vAlign w:val="top"/>
          </w:tcPr>
          <w:p w14:paraId="32751D28">
            <w:pPr>
              <w:pStyle w:val="34"/>
              <w:rPr>
                <w:rFonts w:hint="eastAsia" w:ascii="宋体" w:hAnsi="宋体" w:eastAsia="宋体" w:cs="宋体"/>
                <w:color w:val="auto"/>
                <w:sz w:val="24"/>
                <w:szCs w:val="24"/>
                <w:highlight w:val="none"/>
              </w:rPr>
            </w:pPr>
          </w:p>
        </w:tc>
        <w:tc>
          <w:tcPr>
            <w:tcW w:w="1208" w:type="dxa"/>
            <w:tcBorders>
              <w:top w:val="single" w:color="000000" w:sz="4" w:space="0"/>
              <w:left w:val="nil"/>
              <w:bottom w:val="single" w:color="000000" w:sz="4" w:space="0"/>
              <w:right w:val="single" w:color="000000" w:sz="4" w:space="0"/>
            </w:tcBorders>
            <w:vAlign w:val="top"/>
          </w:tcPr>
          <w:p w14:paraId="6CC9C18C">
            <w:pPr>
              <w:pStyle w:val="34"/>
              <w:rPr>
                <w:rFonts w:hint="eastAsia" w:ascii="宋体" w:hAnsi="宋体" w:eastAsia="宋体" w:cs="宋体"/>
                <w:color w:val="auto"/>
                <w:sz w:val="24"/>
                <w:szCs w:val="24"/>
                <w:highlight w:val="none"/>
              </w:rPr>
            </w:pPr>
          </w:p>
        </w:tc>
      </w:tr>
    </w:tbl>
    <w:p w14:paraId="43F26CB1">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D67FB59">
      <w:pPr>
        <w:rPr>
          <w:rFonts w:hint="eastAsia" w:ascii="宋体" w:hAnsi="宋体" w:eastAsia="宋体" w:cs="宋体"/>
          <w:b/>
          <w:color w:val="auto"/>
          <w:highlight w:val="none"/>
        </w:rPr>
      </w:pPr>
      <w:bookmarkStart w:id="1838" w:name="_Toc483317227"/>
      <w:bookmarkStart w:id="1839" w:name="_Toc418752354"/>
      <w:bookmarkStart w:id="1840" w:name="_Toc418751908"/>
      <w:r>
        <w:rPr>
          <w:rFonts w:hint="eastAsia" w:ascii="宋体" w:hAnsi="宋体" w:eastAsia="宋体" w:cs="宋体"/>
          <w:b/>
          <w:color w:val="auto"/>
          <w:highlight w:val="none"/>
        </w:rPr>
        <w:t>附表四：计划开、竣工日期和施工进度网络图</w:t>
      </w:r>
      <w:r>
        <w:rPr>
          <w:rFonts w:hint="eastAsia" w:ascii="宋体" w:hAnsi="宋体" w:eastAsia="宋体" w:cs="宋体"/>
          <w:b/>
          <w:color w:val="auto"/>
          <w:highlight w:val="none"/>
          <w:lang w:val="en-US" w:eastAsia="zh-CN"/>
        </w:rPr>
        <w:t>或</w:t>
      </w:r>
      <w:r>
        <w:rPr>
          <w:rFonts w:hint="eastAsia" w:ascii="宋体" w:hAnsi="宋体" w:eastAsia="宋体" w:cs="宋体"/>
          <w:b/>
          <w:color w:val="auto"/>
          <w:highlight w:val="none"/>
        </w:rPr>
        <w:t>横道图</w:t>
      </w:r>
      <w:bookmarkEnd w:id="1838"/>
      <w:bookmarkEnd w:id="1839"/>
      <w:bookmarkEnd w:id="1840"/>
    </w:p>
    <w:p w14:paraId="40F8D86C">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14C1B01D">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应递交施工进度网络图</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横道图</w:t>
      </w:r>
      <w:r>
        <w:rPr>
          <w:rFonts w:hint="eastAsia" w:ascii="宋体" w:hAnsi="宋体" w:eastAsia="宋体" w:cs="宋体"/>
          <w:color w:val="auto"/>
          <w:spacing w:val="1"/>
          <w:highlight w:val="none"/>
        </w:rPr>
        <w:t>，说</w:t>
      </w:r>
      <w:r>
        <w:rPr>
          <w:rFonts w:hint="eastAsia" w:ascii="宋体" w:hAnsi="宋体" w:eastAsia="宋体" w:cs="宋体"/>
          <w:color w:val="auto"/>
          <w:spacing w:val="2"/>
          <w:highlight w:val="none"/>
        </w:rPr>
        <w:t>明</w:t>
      </w:r>
      <w:r>
        <w:rPr>
          <w:rFonts w:hint="eastAsia" w:ascii="宋体" w:hAnsi="宋体" w:eastAsia="宋体" w:cs="宋体"/>
          <w:color w:val="auto"/>
          <w:spacing w:val="1"/>
          <w:highlight w:val="none"/>
        </w:rPr>
        <w:t>按</w:t>
      </w:r>
      <w:r>
        <w:rPr>
          <w:rFonts w:hint="eastAsia" w:ascii="宋体" w:hAnsi="宋体" w:eastAsia="宋体" w:cs="宋体"/>
          <w:color w:val="auto"/>
          <w:spacing w:val="2"/>
          <w:highlight w:val="none"/>
          <w:lang w:val="en-US" w:eastAsia="zh-CN"/>
        </w:rPr>
        <w:t>竞争性磋商</w:t>
      </w:r>
      <w:r>
        <w:rPr>
          <w:rFonts w:hint="eastAsia" w:ascii="宋体" w:hAnsi="宋体" w:eastAsia="宋体" w:cs="宋体"/>
          <w:color w:val="auto"/>
          <w:spacing w:val="1"/>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spacing w:val="1"/>
          <w:highlight w:val="none"/>
        </w:rPr>
        <w:t>要</w:t>
      </w:r>
      <w:r>
        <w:rPr>
          <w:rFonts w:hint="eastAsia" w:ascii="宋体" w:hAnsi="宋体" w:eastAsia="宋体" w:cs="宋体"/>
          <w:color w:val="auto"/>
          <w:spacing w:val="2"/>
          <w:highlight w:val="none"/>
        </w:rPr>
        <w:t>求</w:t>
      </w:r>
      <w:r>
        <w:rPr>
          <w:rFonts w:hint="eastAsia" w:ascii="宋体" w:hAnsi="宋体" w:eastAsia="宋体" w:cs="宋体"/>
          <w:color w:val="auto"/>
          <w:spacing w:val="1"/>
          <w:highlight w:val="none"/>
        </w:rPr>
        <w:t>的计</w:t>
      </w:r>
      <w:r>
        <w:rPr>
          <w:rFonts w:hint="eastAsia" w:ascii="宋体" w:hAnsi="宋体" w:eastAsia="宋体" w:cs="宋体"/>
          <w:color w:val="auto"/>
          <w:spacing w:val="2"/>
          <w:highlight w:val="none"/>
        </w:rPr>
        <w:t>划</w:t>
      </w:r>
      <w:r>
        <w:rPr>
          <w:rFonts w:hint="eastAsia" w:ascii="宋体" w:hAnsi="宋体" w:eastAsia="宋体" w:cs="宋体"/>
          <w:color w:val="auto"/>
          <w:spacing w:val="1"/>
          <w:highlight w:val="none"/>
        </w:rPr>
        <w:t>工</w:t>
      </w:r>
      <w:r>
        <w:rPr>
          <w:rFonts w:hint="eastAsia" w:ascii="宋体" w:hAnsi="宋体" w:eastAsia="宋体" w:cs="宋体"/>
          <w:color w:val="auto"/>
          <w:spacing w:val="4"/>
          <w:highlight w:val="none"/>
        </w:rPr>
        <w:t>期</w:t>
      </w:r>
      <w:r>
        <w:rPr>
          <w:rFonts w:hint="eastAsia" w:ascii="宋体" w:hAnsi="宋体" w:eastAsia="宋体" w:cs="宋体"/>
          <w:color w:val="auto"/>
          <w:spacing w:val="2"/>
          <w:highlight w:val="none"/>
        </w:rPr>
        <w:t>进</w:t>
      </w:r>
      <w:r>
        <w:rPr>
          <w:rFonts w:hint="eastAsia" w:ascii="宋体" w:hAnsi="宋体" w:eastAsia="宋体" w:cs="宋体"/>
          <w:color w:val="auto"/>
          <w:spacing w:val="1"/>
          <w:highlight w:val="none"/>
        </w:rPr>
        <w:t>行</w:t>
      </w:r>
      <w:r>
        <w:rPr>
          <w:rFonts w:hint="eastAsia" w:ascii="宋体" w:hAnsi="宋体" w:eastAsia="宋体" w:cs="宋体"/>
          <w:color w:val="auto"/>
          <w:highlight w:val="none"/>
        </w:rPr>
        <w:t>施工的各个关键日期。</w:t>
      </w:r>
    </w:p>
    <w:p w14:paraId="6ABF85AA">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rPr>
        <w:t>2.计划开工日期：</w:t>
      </w:r>
      <w:r>
        <w:rPr>
          <w:rFonts w:hint="eastAsia" w:ascii="宋体" w:hAnsi="宋体"/>
          <w:color w:val="auto"/>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14:paraId="5B1E7505">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04A2ED4D">
      <w:pPr>
        <w:rPr>
          <w:rFonts w:hint="eastAsia" w:ascii="宋体" w:hAnsi="宋体" w:eastAsia="宋体" w:cs="宋体"/>
          <w:b/>
          <w:color w:val="auto"/>
          <w:highlight w:val="none"/>
        </w:rPr>
      </w:pPr>
      <w:bookmarkStart w:id="1841" w:name="_Toc418751909"/>
      <w:bookmarkStart w:id="1842" w:name="_Toc483317228"/>
      <w:bookmarkStart w:id="1843" w:name="_Toc418752355"/>
      <w:r>
        <w:rPr>
          <w:rFonts w:hint="eastAsia" w:ascii="宋体" w:hAnsi="宋体" w:eastAsia="宋体" w:cs="宋体"/>
          <w:b/>
          <w:color w:val="auto"/>
          <w:highlight w:val="none"/>
        </w:rPr>
        <w:t>附表五：施工总平面图</w:t>
      </w:r>
      <w:bookmarkEnd w:id="1841"/>
      <w:bookmarkEnd w:id="1842"/>
      <w:bookmarkEnd w:id="1843"/>
    </w:p>
    <w:p w14:paraId="757719EA">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2B948174">
      <w:pPr>
        <w:pStyle w:val="34"/>
        <w:ind w:firstLine="424"/>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应递交一份施工总平面图</w:t>
      </w:r>
      <w:r>
        <w:rPr>
          <w:rFonts w:hint="eastAsia" w:ascii="宋体" w:hAnsi="宋体" w:eastAsia="宋体" w:cs="宋体"/>
          <w:color w:val="auto"/>
          <w:spacing w:val="-47"/>
          <w:highlight w:val="none"/>
        </w:rPr>
        <w:t>，</w:t>
      </w:r>
      <w:r>
        <w:rPr>
          <w:rFonts w:hint="eastAsia" w:ascii="宋体" w:hAnsi="宋体" w:eastAsia="宋体" w:cs="宋体"/>
          <w:color w:val="auto"/>
          <w:highlight w:val="none"/>
        </w:rPr>
        <w:t>绘出现场临时设施布置图表并附文字说明</w:t>
      </w:r>
      <w:r>
        <w:rPr>
          <w:rFonts w:hint="eastAsia" w:ascii="宋体" w:hAnsi="宋体" w:eastAsia="宋体" w:cs="宋体"/>
          <w:color w:val="auto"/>
          <w:spacing w:val="-47"/>
          <w:highlight w:val="none"/>
        </w:rPr>
        <w:t>，</w:t>
      </w:r>
      <w:r>
        <w:rPr>
          <w:rFonts w:hint="eastAsia" w:ascii="宋体" w:hAnsi="宋体" w:eastAsia="宋体" w:cs="宋体"/>
          <w:color w:val="auto"/>
          <w:highlight w:val="none"/>
        </w:rPr>
        <w:t>说明临时设施</w:t>
      </w:r>
      <w:r>
        <w:rPr>
          <w:rFonts w:hint="eastAsia" w:ascii="宋体" w:hAnsi="宋体" w:eastAsia="宋体" w:cs="宋体"/>
          <w:color w:val="auto"/>
          <w:spacing w:val="-11"/>
          <w:highlight w:val="none"/>
        </w:rPr>
        <w:t>、</w:t>
      </w:r>
      <w:r>
        <w:rPr>
          <w:rFonts w:hint="eastAsia" w:ascii="宋体" w:hAnsi="宋体" w:eastAsia="宋体" w:cs="宋体"/>
          <w:color w:val="auto"/>
          <w:highlight w:val="none"/>
        </w:rPr>
        <w:t>加工车间</w:t>
      </w:r>
      <w:r>
        <w:rPr>
          <w:rFonts w:hint="eastAsia" w:ascii="宋体" w:hAnsi="宋体" w:eastAsia="宋体" w:cs="宋体"/>
          <w:color w:val="auto"/>
          <w:spacing w:val="-11"/>
          <w:highlight w:val="none"/>
        </w:rPr>
        <w:t>、</w:t>
      </w:r>
      <w:r>
        <w:rPr>
          <w:rFonts w:hint="eastAsia" w:ascii="宋体" w:hAnsi="宋体" w:eastAsia="宋体" w:cs="宋体"/>
          <w:color w:val="auto"/>
          <w:highlight w:val="none"/>
        </w:rPr>
        <w:t>现场办公</w:t>
      </w:r>
      <w:r>
        <w:rPr>
          <w:rFonts w:hint="eastAsia" w:ascii="宋体" w:hAnsi="宋体" w:eastAsia="宋体" w:cs="宋体"/>
          <w:color w:val="auto"/>
          <w:spacing w:val="-11"/>
          <w:highlight w:val="none"/>
        </w:rPr>
        <w:t>、</w:t>
      </w:r>
      <w:r>
        <w:rPr>
          <w:rFonts w:hint="eastAsia" w:ascii="宋体" w:hAnsi="宋体" w:eastAsia="宋体" w:cs="宋体"/>
          <w:color w:val="auto"/>
          <w:highlight w:val="none"/>
        </w:rPr>
        <w:t>设备及仓储</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供电</w:t>
      </w:r>
      <w:r>
        <w:rPr>
          <w:rFonts w:hint="eastAsia" w:ascii="宋体" w:hAnsi="宋体" w:eastAsia="宋体" w:cs="宋体"/>
          <w:color w:val="auto"/>
          <w:spacing w:val="-11"/>
          <w:highlight w:val="none"/>
        </w:rPr>
        <w:t>、</w:t>
      </w:r>
      <w:r>
        <w:rPr>
          <w:rFonts w:hint="eastAsia" w:ascii="宋体" w:hAnsi="宋体" w:eastAsia="宋体" w:cs="宋体"/>
          <w:color w:val="auto"/>
          <w:highlight w:val="none"/>
        </w:rPr>
        <w:t>供水</w:t>
      </w:r>
      <w:r>
        <w:rPr>
          <w:rFonts w:hint="eastAsia" w:ascii="宋体" w:hAnsi="宋体" w:eastAsia="宋体" w:cs="宋体"/>
          <w:color w:val="auto"/>
          <w:spacing w:val="-10"/>
          <w:highlight w:val="none"/>
        </w:rPr>
        <w:t>、</w:t>
      </w:r>
      <w:r>
        <w:rPr>
          <w:rFonts w:hint="eastAsia" w:ascii="宋体" w:hAnsi="宋体" w:eastAsia="宋体" w:cs="宋体"/>
          <w:color w:val="auto"/>
          <w:highlight w:val="none"/>
        </w:rPr>
        <w:t>卫生</w:t>
      </w:r>
      <w:r>
        <w:rPr>
          <w:rFonts w:hint="eastAsia" w:ascii="宋体" w:hAnsi="宋体" w:eastAsia="宋体" w:cs="宋体"/>
          <w:color w:val="auto"/>
          <w:spacing w:val="-11"/>
          <w:highlight w:val="none"/>
        </w:rPr>
        <w:t>、</w:t>
      </w:r>
      <w:r>
        <w:rPr>
          <w:rFonts w:hint="eastAsia" w:ascii="宋体" w:hAnsi="宋体" w:eastAsia="宋体" w:cs="宋体"/>
          <w:color w:val="auto"/>
          <w:highlight w:val="none"/>
        </w:rPr>
        <w:t>生活</w:t>
      </w:r>
      <w:r>
        <w:rPr>
          <w:rFonts w:hint="eastAsia" w:ascii="宋体" w:hAnsi="宋体" w:eastAsia="宋体" w:cs="宋体"/>
          <w:color w:val="auto"/>
          <w:spacing w:val="-11"/>
          <w:highlight w:val="none"/>
        </w:rPr>
        <w:t>、</w:t>
      </w:r>
      <w:r>
        <w:rPr>
          <w:rFonts w:hint="eastAsia" w:ascii="宋体" w:hAnsi="宋体" w:eastAsia="宋体" w:cs="宋体"/>
          <w:color w:val="auto"/>
          <w:highlight w:val="none"/>
        </w:rPr>
        <w:t>道路</w:t>
      </w: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消</w:t>
      </w:r>
      <w:r>
        <w:rPr>
          <w:rFonts w:hint="eastAsia" w:ascii="宋体" w:hAnsi="宋体" w:eastAsia="宋体" w:cs="宋体"/>
          <w:color w:val="auto"/>
          <w:highlight w:val="none"/>
        </w:rPr>
        <w:t>防等设施的情况和布置。</w:t>
      </w:r>
    </w:p>
    <w:p w14:paraId="220EAC20">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42713E7B">
      <w:pPr>
        <w:rPr>
          <w:rFonts w:hint="eastAsia" w:ascii="宋体" w:hAnsi="宋体" w:eastAsia="宋体" w:cs="宋体"/>
          <w:b/>
          <w:color w:val="auto"/>
          <w:highlight w:val="none"/>
        </w:rPr>
      </w:pPr>
      <w:bookmarkStart w:id="1844" w:name="_Toc418751910"/>
      <w:bookmarkStart w:id="1845" w:name="_Toc483317229"/>
      <w:bookmarkStart w:id="1846" w:name="_Toc418752356"/>
      <w:r>
        <w:rPr>
          <w:rFonts w:hint="eastAsia" w:ascii="宋体" w:hAnsi="宋体" w:eastAsia="宋体" w:cs="宋体"/>
          <w:b/>
          <w:color w:val="auto"/>
          <w:highlight w:val="none"/>
        </w:rPr>
        <w:t>附表六：临时用地表</w:t>
      </w:r>
      <w:bookmarkEnd w:id="1844"/>
      <w:bookmarkEnd w:id="1845"/>
      <w:bookmarkEnd w:id="1846"/>
    </w:p>
    <w:tbl>
      <w:tblPr>
        <w:tblStyle w:val="27"/>
        <w:tblW w:w="9648" w:type="dxa"/>
        <w:tblInd w:w="-5" w:type="dxa"/>
        <w:tblLayout w:type="fixed"/>
        <w:tblCellMar>
          <w:top w:w="0" w:type="dxa"/>
          <w:left w:w="0" w:type="dxa"/>
          <w:bottom w:w="0" w:type="dxa"/>
          <w:right w:w="0" w:type="dxa"/>
        </w:tblCellMar>
      </w:tblPr>
      <w:tblGrid>
        <w:gridCol w:w="2412"/>
        <w:gridCol w:w="2412"/>
        <w:gridCol w:w="2412"/>
        <w:gridCol w:w="2412"/>
      </w:tblGrid>
      <w:tr w14:paraId="02032F88">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14:paraId="1D9DE693">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用 </w:t>
            </w:r>
            <w:r>
              <w:rPr>
                <w:rFonts w:hint="eastAsia" w:ascii="宋体" w:hAnsi="宋体" w:eastAsia="宋体" w:cs="宋体"/>
                <w:color w:val="auto"/>
                <w:spacing w:val="1"/>
                <w:highlight w:val="none"/>
              </w:rPr>
              <w:t> </w:t>
            </w:r>
            <w:r>
              <w:rPr>
                <w:rFonts w:hint="eastAsia" w:ascii="宋体" w:hAnsi="宋体" w:eastAsia="宋体" w:cs="宋体"/>
                <w:color w:val="auto"/>
                <w:highlight w:val="none"/>
              </w:rPr>
              <w:t>途</w:t>
            </w:r>
          </w:p>
        </w:tc>
        <w:tc>
          <w:tcPr>
            <w:tcW w:w="2412" w:type="dxa"/>
            <w:tcBorders>
              <w:top w:val="single" w:color="000000" w:sz="4" w:space="0"/>
              <w:left w:val="nil"/>
              <w:bottom w:val="single" w:color="000000" w:sz="4" w:space="0"/>
              <w:right w:val="single" w:color="000000" w:sz="4" w:space="0"/>
            </w:tcBorders>
            <w:vAlign w:val="center"/>
          </w:tcPr>
          <w:p w14:paraId="04B0454B">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面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积（平</w:t>
            </w:r>
            <w:r>
              <w:rPr>
                <w:rFonts w:hint="eastAsia" w:ascii="宋体" w:hAnsi="宋体" w:eastAsia="宋体" w:cs="宋体"/>
                <w:color w:val="auto"/>
                <w:spacing w:val="-1"/>
                <w:highlight w:val="none"/>
              </w:rPr>
              <w:t>方</w:t>
            </w:r>
            <w:r>
              <w:rPr>
                <w:rFonts w:hint="eastAsia" w:ascii="宋体" w:hAnsi="宋体" w:eastAsia="宋体" w:cs="宋体"/>
                <w:color w:val="auto"/>
                <w:highlight w:val="none"/>
              </w:rPr>
              <w:t>米）</w:t>
            </w:r>
          </w:p>
        </w:tc>
        <w:tc>
          <w:tcPr>
            <w:tcW w:w="2412" w:type="dxa"/>
            <w:tcBorders>
              <w:top w:val="single" w:color="000000" w:sz="4" w:space="0"/>
              <w:left w:val="nil"/>
              <w:bottom w:val="single" w:color="000000" w:sz="4" w:space="0"/>
              <w:right w:val="single" w:color="000000" w:sz="4" w:space="0"/>
            </w:tcBorders>
            <w:vAlign w:val="center"/>
          </w:tcPr>
          <w:p w14:paraId="716C6BE6">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位 </w:t>
            </w:r>
            <w:r>
              <w:rPr>
                <w:rFonts w:hint="eastAsia" w:ascii="宋体" w:hAnsi="宋体" w:eastAsia="宋体" w:cs="宋体"/>
                <w:color w:val="auto"/>
                <w:spacing w:val="1"/>
                <w:highlight w:val="none"/>
              </w:rPr>
              <w:t> </w:t>
            </w:r>
            <w:r>
              <w:rPr>
                <w:rFonts w:hint="eastAsia" w:ascii="宋体" w:hAnsi="宋体" w:eastAsia="宋体" w:cs="宋体"/>
                <w:color w:val="auto"/>
                <w:highlight w:val="none"/>
              </w:rPr>
              <w:t>置</w:t>
            </w:r>
          </w:p>
        </w:tc>
        <w:tc>
          <w:tcPr>
            <w:tcW w:w="2412" w:type="dxa"/>
            <w:tcBorders>
              <w:top w:val="single" w:color="000000" w:sz="4" w:space="0"/>
              <w:left w:val="nil"/>
              <w:bottom w:val="single" w:color="000000" w:sz="4" w:space="0"/>
              <w:right w:val="single" w:color="000000" w:sz="4" w:space="0"/>
            </w:tcBorders>
            <w:vAlign w:val="center"/>
          </w:tcPr>
          <w:p w14:paraId="12C52E7C">
            <w:pPr>
              <w:pStyle w:val="34"/>
              <w:jc w:val="center"/>
              <w:rPr>
                <w:rFonts w:hint="eastAsia" w:ascii="宋体" w:hAnsi="宋体" w:eastAsia="宋体" w:cs="宋体"/>
                <w:color w:val="auto"/>
                <w:sz w:val="24"/>
                <w:szCs w:val="24"/>
                <w:highlight w:val="none"/>
              </w:rPr>
            </w:pPr>
            <w:r>
              <w:rPr>
                <w:rFonts w:hint="eastAsia" w:ascii="宋体" w:hAnsi="宋体" w:eastAsia="宋体" w:cs="宋体"/>
                <w:color w:val="auto"/>
                <w:highlight w:val="none"/>
              </w:rPr>
              <w:t>需用时间</w:t>
            </w:r>
          </w:p>
        </w:tc>
      </w:tr>
      <w:tr w14:paraId="009D065B">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0417002D">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7F350659">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2453D3F2">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6CBFD3FE">
            <w:pPr>
              <w:pStyle w:val="34"/>
              <w:rPr>
                <w:rFonts w:hint="eastAsia" w:ascii="宋体" w:hAnsi="宋体" w:eastAsia="宋体" w:cs="宋体"/>
                <w:color w:val="auto"/>
                <w:sz w:val="24"/>
                <w:szCs w:val="24"/>
                <w:highlight w:val="none"/>
              </w:rPr>
            </w:pPr>
          </w:p>
        </w:tc>
      </w:tr>
      <w:tr w14:paraId="0C604763">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32CBFDF9">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27614D1E">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3B187059">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4BAD97EA">
            <w:pPr>
              <w:pStyle w:val="34"/>
              <w:rPr>
                <w:rFonts w:hint="eastAsia" w:ascii="宋体" w:hAnsi="宋体" w:eastAsia="宋体" w:cs="宋体"/>
                <w:color w:val="auto"/>
                <w:sz w:val="24"/>
                <w:szCs w:val="24"/>
                <w:highlight w:val="none"/>
              </w:rPr>
            </w:pPr>
          </w:p>
        </w:tc>
      </w:tr>
      <w:tr w14:paraId="21943CED">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14:paraId="5F85A1D1">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5B1FB77B">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4EEBF7BD">
            <w:pPr>
              <w:pStyle w:val="34"/>
              <w:rPr>
                <w:rFonts w:hint="eastAsia" w:ascii="宋体" w:hAnsi="宋体" w:eastAsia="宋体" w:cs="宋体"/>
                <w:color w:val="auto"/>
                <w:sz w:val="24"/>
                <w:szCs w:val="24"/>
                <w:highlight w:val="none"/>
              </w:rPr>
            </w:pPr>
          </w:p>
        </w:tc>
        <w:tc>
          <w:tcPr>
            <w:tcW w:w="2412" w:type="dxa"/>
            <w:tcBorders>
              <w:top w:val="single" w:color="000000" w:sz="4" w:space="0"/>
              <w:left w:val="nil"/>
              <w:bottom w:val="single" w:color="000000" w:sz="4" w:space="0"/>
              <w:right w:val="single" w:color="000000" w:sz="4" w:space="0"/>
            </w:tcBorders>
            <w:vAlign w:val="top"/>
          </w:tcPr>
          <w:p w14:paraId="2219E5B5">
            <w:pPr>
              <w:pStyle w:val="34"/>
              <w:rPr>
                <w:rFonts w:hint="eastAsia" w:ascii="宋体" w:hAnsi="宋体" w:eastAsia="宋体" w:cs="宋体"/>
                <w:color w:val="auto"/>
                <w:sz w:val="24"/>
                <w:szCs w:val="24"/>
                <w:highlight w:val="none"/>
              </w:rPr>
            </w:pPr>
          </w:p>
        </w:tc>
      </w:tr>
    </w:tbl>
    <w:p w14:paraId="7714BA2D">
      <w:pPr>
        <w:pStyle w:val="34"/>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 </w:t>
      </w:r>
    </w:p>
    <w:p w14:paraId="6AB6A4CB">
      <w:pPr>
        <w:pStyle w:val="34"/>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42FD9FCC">
      <w:pPr>
        <w:pStyle w:val="34"/>
        <w:rPr>
          <w:rFonts w:hint="eastAsia" w:ascii="宋体" w:hAnsi="宋体" w:eastAsia="宋体" w:cs="宋体"/>
          <w:color w:val="auto"/>
          <w:highlight w:val="none"/>
        </w:rPr>
      </w:pPr>
    </w:p>
    <w:p w14:paraId="565C0EB5">
      <w:pPr>
        <w:pStyle w:val="6"/>
        <w:widowControl w:val="0"/>
        <w:numPr>
          <w:ilvl w:val="0"/>
          <w:numId w:val="0"/>
        </w:numPr>
        <w:jc w:val="both"/>
        <w:rPr>
          <w:rFonts w:hint="eastAsia"/>
          <w:color w:val="auto"/>
          <w:highlight w:val="none"/>
        </w:rPr>
      </w:pPr>
    </w:p>
    <w:p w14:paraId="5E09C43C">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4A9DBBBD">
      <w:pPr>
        <w:pStyle w:val="11"/>
        <w:spacing w:line="300" w:lineRule="exact"/>
        <w:ind w:left="2940" w:leftChars="1400" w:firstLine="630" w:firstLineChars="300"/>
        <w:rPr>
          <w:rFonts w:hint="eastAsia" w:ascii="宋体" w:hAnsi="宋体" w:eastAsia="宋体" w:cs="宋体"/>
          <w:color w:val="auto"/>
          <w:highlight w:val="none"/>
        </w:rPr>
      </w:pPr>
    </w:p>
    <w:p w14:paraId="6988AE8E">
      <w:pPr>
        <w:pStyle w:val="11"/>
        <w:spacing w:line="300" w:lineRule="exact"/>
        <w:ind w:firstLine="4638" w:firstLineChars="165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 </w:t>
      </w:r>
    </w:p>
    <w:p w14:paraId="0E19E1C9">
      <w:pPr>
        <w:pStyle w:val="11"/>
        <w:spacing w:line="300" w:lineRule="exact"/>
        <w:rPr>
          <w:rFonts w:hint="eastAsia" w:ascii="宋体" w:hAnsi="宋体" w:eastAsia="宋体" w:cs="宋体"/>
          <w:b/>
          <w:color w:val="auto"/>
          <w:sz w:val="28"/>
          <w:szCs w:val="28"/>
          <w:highlight w:val="none"/>
        </w:rPr>
      </w:pPr>
    </w:p>
    <w:p w14:paraId="1BA83E28">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37B2A8A">
      <w:pPr>
        <w:pStyle w:val="2"/>
        <w:rPr>
          <w:rFonts w:hint="eastAsia"/>
          <w:color w:val="auto"/>
          <w:highlight w:val="none"/>
        </w:rPr>
      </w:pPr>
    </w:p>
    <w:p w14:paraId="2EFFDB08">
      <w:pPr>
        <w:rPr>
          <w:rFonts w:hint="eastAsia"/>
          <w:color w:val="auto"/>
          <w:highlight w:val="none"/>
        </w:rPr>
      </w:pPr>
    </w:p>
    <w:p w14:paraId="5002E660">
      <w:pPr>
        <w:pStyle w:val="2"/>
        <w:rPr>
          <w:rFonts w:hint="eastAsia"/>
          <w:color w:val="auto"/>
          <w:highlight w:val="none"/>
        </w:rPr>
      </w:pPr>
    </w:p>
    <w:p w14:paraId="59721B66">
      <w:pPr>
        <w:rPr>
          <w:rFonts w:hint="eastAsia"/>
          <w:color w:val="auto"/>
          <w:highlight w:val="none"/>
        </w:rPr>
      </w:pPr>
    </w:p>
    <w:p w14:paraId="57178CA2">
      <w:pPr>
        <w:pStyle w:val="11"/>
        <w:numPr>
          <w:ilvl w:val="0"/>
          <w:numId w:val="0"/>
        </w:numPr>
        <w:spacing w:line="340" w:lineRule="exact"/>
        <w:rPr>
          <w:rFonts w:hint="eastAsia" w:ascii="宋体" w:hAnsi="宋体" w:eastAsia="宋体" w:cs="宋体"/>
          <w:b/>
          <w:color w:val="auto"/>
          <w:sz w:val="28"/>
          <w:szCs w:val="28"/>
          <w:highlight w:val="none"/>
          <w:lang w:val="en-US" w:eastAsia="zh-CN"/>
        </w:rPr>
      </w:pPr>
    </w:p>
    <w:p w14:paraId="1E8DB86C">
      <w:pPr>
        <w:pStyle w:val="11"/>
        <w:numPr>
          <w:ilvl w:val="0"/>
          <w:numId w:val="0"/>
        </w:numPr>
        <w:spacing w:line="34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7.工程完工服务承诺书（必须提供）</w:t>
      </w:r>
      <w:r>
        <w:rPr>
          <w:rFonts w:hint="eastAsia" w:ascii="宋体" w:hAnsi="宋体" w:eastAsia="宋体" w:cs="宋体"/>
          <w:b/>
          <w:color w:val="auto"/>
          <w:sz w:val="28"/>
          <w:szCs w:val="28"/>
          <w:highlight w:val="none"/>
        </w:rPr>
        <w:t>；</w:t>
      </w:r>
    </w:p>
    <w:p w14:paraId="434B27DF">
      <w:pPr>
        <w:spacing w:line="360" w:lineRule="auto"/>
        <w:jc w:val="center"/>
        <w:rPr>
          <w:rFonts w:hint="eastAsia" w:ascii="宋体" w:hAnsi="宋体" w:cs="宋体"/>
          <w:b/>
          <w:color w:val="auto"/>
          <w:sz w:val="24"/>
          <w:szCs w:val="24"/>
          <w:highlight w:val="none"/>
        </w:rPr>
      </w:pPr>
    </w:p>
    <w:p w14:paraId="7F25BB2A">
      <w:pPr>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工程完工服务承诺书（格式）</w:t>
      </w:r>
    </w:p>
    <w:p w14:paraId="5477D3AA">
      <w:pPr>
        <w:pStyle w:val="11"/>
        <w:jc w:val="center"/>
        <w:rPr>
          <w:rFonts w:hint="eastAsia" w:hAnsi="宋体" w:cs="宋体"/>
          <w:color w:val="auto"/>
          <w:highlight w:val="none"/>
        </w:rPr>
      </w:pPr>
      <w:r>
        <w:rPr>
          <w:rFonts w:hint="eastAsia" w:hAnsi="宋体" w:cs="宋体"/>
          <w:color w:val="auto"/>
          <w:highlight w:val="none"/>
        </w:rPr>
        <w:t>（由</w:t>
      </w:r>
      <w:r>
        <w:rPr>
          <w:rFonts w:hint="eastAsia" w:hAnsi="宋体" w:cs="宋体"/>
          <w:color w:val="auto"/>
          <w:szCs w:val="21"/>
          <w:highlight w:val="none"/>
        </w:rPr>
        <w:t>供应商</w:t>
      </w:r>
      <w:r>
        <w:rPr>
          <w:rFonts w:hint="eastAsia" w:hAnsi="宋体" w:cs="宋体"/>
          <w:color w:val="auto"/>
          <w:highlight w:val="none"/>
        </w:rPr>
        <w:t>按《工程量清单》中工程完工服务及要求自行分别填写）</w:t>
      </w:r>
    </w:p>
    <w:p w14:paraId="773D493C">
      <w:pPr>
        <w:pStyle w:val="11"/>
        <w:rPr>
          <w:rFonts w:hint="eastAsia" w:hAnsi="宋体" w:cs="宋体"/>
          <w:color w:val="auto"/>
          <w:highlight w:val="none"/>
        </w:rPr>
      </w:pPr>
    </w:p>
    <w:p w14:paraId="357D1F3B">
      <w:pPr>
        <w:widowControl/>
        <w:ind w:firstLine="1470" w:firstLineChars="700"/>
        <w:jc w:val="left"/>
        <w:rPr>
          <w:rFonts w:hint="eastAsia" w:ascii="宋体" w:hAnsi="宋体" w:eastAsia="宋体" w:cs="宋体"/>
          <w:color w:val="auto"/>
          <w:szCs w:val="21"/>
          <w:highlight w:val="none"/>
          <w:lang w:eastAsia="zh-CN"/>
        </w:rPr>
      </w:pPr>
    </w:p>
    <w:p w14:paraId="0BEE4388">
      <w:pPr>
        <w:widowControl/>
        <w:ind w:firstLine="1470" w:firstLineChars="700"/>
        <w:jc w:val="left"/>
        <w:rPr>
          <w:rFonts w:hint="eastAsia" w:ascii="宋体" w:hAnsi="宋体" w:eastAsia="宋体" w:cs="宋体"/>
          <w:color w:val="auto"/>
          <w:szCs w:val="21"/>
          <w:highlight w:val="none"/>
          <w:lang w:eastAsia="zh-CN"/>
        </w:rPr>
      </w:pPr>
    </w:p>
    <w:p w14:paraId="0CB54810">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2374CA37">
      <w:pPr>
        <w:pStyle w:val="11"/>
        <w:spacing w:line="300" w:lineRule="exact"/>
        <w:ind w:left="2940" w:leftChars="1400" w:firstLine="630" w:firstLineChars="300"/>
        <w:rPr>
          <w:rFonts w:hint="eastAsia" w:ascii="宋体" w:hAnsi="宋体" w:eastAsia="宋体" w:cs="宋体"/>
          <w:color w:val="auto"/>
          <w:highlight w:val="none"/>
        </w:rPr>
      </w:pPr>
    </w:p>
    <w:p w14:paraId="365ECA3C">
      <w:pPr>
        <w:ind w:firstLine="1470" w:firstLineChars="700"/>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43DAB1CB">
      <w:pPr>
        <w:pStyle w:val="2"/>
        <w:rPr>
          <w:rFonts w:hint="eastAsia" w:ascii="宋体" w:hAnsi="宋体" w:eastAsia="宋体" w:cs="宋体"/>
          <w:b/>
          <w:color w:val="auto"/>
          <w:sz w:val="28"/>
          <w:szCs w:val="28"/>
          <w:highlight w:val="none"/>
          <w:lang w:val="en-US" w:eastAsia="zh-CN"/>
        </w:rPr>
      </w:pPr>
    </w:p>
    <w:p w14:paraId="54701BB6">
      <w:pPr>
        <w:rPr>
          <w:rFonts w:hint="eastAsia" w:ascii="宋体" w:hAnsi="宋体" w:eastAsia="宋体" w:cs="宋体"/>
          <w:b/>
          <w:color w:val="auto"/>
          <w:sz w:val="28"/>
          <w:szCs w:val="28"/>
          <w:highlight w:val="none"/>
          <w:lang w:val="en-US" w:eastAsia="zh-CN"/>
        </w:rPr>
      </w:pPr>
      <w:bookmarkStart w:id="1847" w:name="_Toc32582"/>
      <w:bookmarkStart w:id="1848" w:name="_Toc24798"/>
      <w:bookmarkStart w:id="1849" w:name="_Toc15900"/>
      <w:bookmarkStart w:id="1850" w:name="_Toc21891"/>
      <w:r>
        <w:rPr>
          <w:rFonts w:hint="eastAsia" w:ascii="宋体" w:hAnsi="宋体" w:eastAsia="宋体" w:cs="宋体"/>
          <w:b/>
          <w:color w:val="auto"/>
          <w:sz w:val="28"/>
          <w:szCs w:val="28"/>
          <w:highlight w:val="none"/>
          <w:lang w:val="en-US" w:eastAsia="zh-CN"/>
        </w:rPr>
        <w:br w:type="page"/>
      </w:r>
    </w:p>
    <w:p w14:paraId="6C12E057">
      <w:pPr>
        <w:pStyle w:val="2"/>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8.农民工工资保障金交纳与使用承诺书（必须提供）</w:t>
      </w:r>
      <w:bookmarkEnd w:id="1847"/>
      <w:bookmarkEnd w:id="1848"/>
      <w:r>
        <w:rPr>
          <w:rFonts w:hint="eastAsia" w:ascii="宋体" w:hAnsi="宋体" w:eastAsia="宋体" w:cs="宋体"/>
          <w:b/>
          <w:color w:val="auto"/>
          <w:sz w:val="28"/>
          <w:szCs w:val="28"/>
          <w:highlight w:val="none"/>
          <w:lang w:val="en-US" w:eastAsia="zh-CN"/>
        </w:rPr>
        <w:t>；</w:t>
      </w:r>
      <w:bookmarkEnd w:id="1849"/>
      <w:bookmarkEnd w:id="1850"/>
    </w:p>
    <w:p w14:paraId="2445DFCC">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14:paraId="51F27F97">
      <w:pPr>
        <w:spacing w:line="420" w:lineRule="exact"/>
        <w:rPr>
          <w:rFonts w:hint="eastAsia" w:ascii="宋体" w:hAnsi="宋体" w:cs="宋体"/>
          <w:color w:val="auto"/>
          <w:kern w:val="0"/>
          <w:szCs w:val="21"/>
          <w:highlight w:val="none"/>
        </w:rPr>
      </w:pPr>
    </w:p>
    <w:p w14:paraId="5156AA82">
      <w:pPr>
        <w:spacing w:line="420" w:lineRule="exact"/>
        <w:rPr>
          <w:rFonts w:hint="eastAsia" w:ascii="宋体" w:hAnsi="宋体" w:cs="宋体"/>
          <w:b/>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color w:val="auto"/>
          <w:highlight w:val="none"/>
          <w:u w:val="single"/>
          <w:lang w:eastAsia="zh-CN"/>
        </w:rPr>
        <w:t>广西中承建设工程咨询有限公司</w:t>
      </w:r>
    </w:p>
    <w:p w14:paraId="7643C788">
      <w:pPr>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我方在此承诺：</w:t>
      </w:r>
    </w:p>
    <w:p w14:paraId="25B4F07C">
      <w:pPr>
        <w:spacing w:line="420" w:lineRule="exact"/>
        <w:ind w:firstLine="525" w:firstLineChars="250"/>
        <w:rPr>
          <w:rFonts w:hint="eastAsia" w:ascii="宋体" w:hAnsi="宋体" w:cs="宋体"/>
          <w:color w:val="auto"/>
          <w:kern w:val="0"/>
          <w:szCs w:val="21"/>
          <w:highlight w:val="none"/>
        </w:rPr>
      </w:pPr>
      <w:r>
        <w:rPr>
          <w:rFonts w:hint="eastAsia" w:ascii="宋体" w:hAnsi="宋体" w:cs="宋体"/>
          <w:color w:val="auto"/>
          <w:kern w:val="0"/>
          <w:szCs w:val="21"/>
          <w:highlight w:val="none"/>
        </w:rPr>
        <w:t>1.我方在本项目</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（项目名称及编号）响应文件递交截止之日前所承建工程中，无拖欠或克扣农民工工资的行为。</w:t>
      </w:r>
    </w:p>
    <w:p w14:paraId="03D27CB4">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2. 我方参与</w:t>
      </w:r>
      <w:r>
        <w:rPr>
          <w:rFonts w:hint="eastAsia" w:ascii="宋体" w:hAnsi="宋体" w:cs="宋体"/>
          <w:color w:val="auto"/>
          <w:kern w:val="0"/>
          <w:szCs w:val="21"/>
          <w:highlight w:val="none"/>
          <w:lang w:val="en-US" w:eastAsia="zh-CN"/>
        </w:rPr>
        <w:t>磋商</w:t>
      </w:r>
      <w:r>
        <w:rPr>
          <w:rFonts w:hint="eastAsia" w:ascii="宋体" w:hAnsi="宋体" w:cs="宋体"/>
          <w:color w:val="auto"/>
          <w:kern w:val="0"/>
          <w:szCs w:val="21"/>
          <w:highlight w:val="none"/>
        </w:rPr>
        <w:t>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项目，一旦成交，我方保证在签订施工合同后，及时并足额将农民工工资保证金足额存入指定的账户，作为本项目农民工工资保证金。</w:t>
      </w:r>
    </w:p>
    <w:p w14:paraId="4EACE74B">
      <w:pPr>
        <w:spacing w:line="420" w:lineRule="exact"/>
        <w:ind w:firstLine="495"/>
        <w:rPr>
          <w:rFonts w:hint="eastAsia" w:ascii="宋体" w:hAnsi="宋体" w:cs="宋体"/>
          <w:color w:val="auto"/>
          <w:kern w:val="0"/>
          <w:szCs w:val="21"/>
          <w:highlight w:val="none"/>
        </w:rPr>
      </w:pPr>
      <w:r>
        <w:rPr>
          <w:rFonts w:hint="eastAsia" w:ascii="宋体" w:hAnsi="宋体" w:cs="宋体"/>
          <w:color w:val="auto"/>
          <w:kern w:val="0"/>
          <w:szCs w:val="21"/>
          <w:highlight w:val="none"/>
        </w:rPr>
        <w:t>3. 如我方在承包的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项目中出现拖欠农民工和工人工资情况的，由相关部门从其农民工工资保证金中先予划支。</w:t>
      </w:r>
    </w:p>
    <w:p w14:paraId="0C98CFAD">
      <w:pPr>
        <w:numPr>
          <w:ilvl w:val="0"/>
          <w:numId w:val="0"/>
        </w:numPr>
        <w:ind w:leftChars="200"/>
        <w:rPr>
          <w:rFonts w:hint="eastAsia"/>
          <w:color w:val="auto"/>
          <w:highlight w:val="none"/>
        </w:rPr>
      </w:pPr>
      <w:r>
        <w:rPr>
          <w:rFonts w:hint="eastAsia" w:ascii="宋体" w:hAnsi="宋体" w:cs="宋体"/>
          <w:color w:val="auto"/>
          <w:kern w:val="0"/>
          <w:szCs w:val="21"/>
          <w:highlight w:val="none"/>
        </w:rPr>
        <w:t>4. 如我方不按时、足额存入农民工工资保证金，采购人有权取消我方承包资格。</w:t>
      </w:r>
    </w:p>
    <w:p w14:paraId="688CC739">
      <w:pPr>
        <w:pStyle w:val="11"/>
        <w:spacing w:line="340" w:lineRule="exact"/>
        <w:rPr>
          <w:rFonts w:hint="eastAsia" w:ascii="宋体" w:hAnsi="宋体" w:eastAsia="宋体" w:cs="宋体"/>
          <w:b/>
          <w:color w:val="auto"/>
          <w:sz w:val="28"/>
          <w:szCs w:val="28"/>
          <w:highlight w:val="none"/>
        </w:rPr>
      </w:pPr>
    </w:p>
    <w:p w14:paraId="2E12F52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bookmarkStart w:id="1851" w:name="_Toc9339"/>
      <w:bookmarkStart w:id="1852" w:name="_Toc28672"/>
      <w:bookmarkStart w:id="1853" w:name="_Toc497927084"/>
    </w:p>
    <w:p w14:paraId="3449C68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32"/>
          <w:szCs w:val="32"/>
          <w:highlight w:val="none"/>
        </w:rPr>
      </w:pPr>
    </w:p>
    <w:p w14:paraId="75539CEC">
      <w:pPr>
        <w:widowControl/>
        <w:ind w:firstLine="1470" w:firstLineChars="7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磋商供应商</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，自然人</w:t>
      </w:r>
      <w:r>
        <w:rPr>
          <w:rFonts w:hint="eastAsia" w:ascii="宋体" w:hAnsi="宋体" w:eastAsia="宋体" w:cs="宋体"/>
          <w:color w:val="auto"/>
          <w:szCs w:val="21"/>
          <w:highlight w:val="none"/>
          <w:lang w:eastAsia="zh-CN"/>
        </w:rPr>
        <w:t>签字或个人</w:t>
      </w:r>
      <w:r>
        <w:rPr>
          <w:rFonts w:hint="eastAsia" w:ascii="宋体" w:hAnsi="宋体" w:eastAsia="宋体" w:cs="宋体"/>
          <w:color w:val="auto"/>
          <w:szCs w:val="21"/>
          <w:highlight w:val="none"/>
          <w:lang w:val="en-US" w:eastAsia="zh-CN"/>
        </w:rPr>
        <w:t>CA签章]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14:paraId="6E8F8953">
      <w:pPr>
        <w:pStyle w:val="11"/>
        <w:spacing w:line="300" w:lineRule="exact"/>
        <w:ind w:left="2940" w:leftChars="1400" w:firstLine="630" w:firstLineChars="300"/>
        <w:rPr>
          <w:rFonts w:hint="eastAsia" w:ascii="宋体" w:hAnsi="宋体" w:eastAsia="宋体" w:cs="宋体"/>
          <w:color w:val="auto"/>
          <w:highlight w:val="none"/>
        </w:rPr>
      </w:pPr>
    </w:p>
    <w:p w14:paraId="6975668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14:paraId="3861DE7F">
      <w:pPr>
        <w:pStyle w:val="2"/>
        <w:numPr>
          <w:ilvl w:val="0"/>
          <w:numId w:val="0"/>
        </w:numPr>
        <w:rPr>
          <w:rFonts w:hint="eastAsia" w:ascii="宋体" w:hAnsi="宋体" w:eastAsia="宋体" w:cs="宋体"/>
          <w:b/>
          <w:color w:val="auto"/>
          <w:sz w:val="28"/>
          <w:szCs w:val="28"/>
          <w:highlight w:val="none"/>
          <w:lang w:val="en-US" w:eastAsia="zh-CN"/>
        </w:rPr>
      </w:pPr>
    </w:p>
    <w:p w14:paraId="0DC25E4F">
      <w:pPr>
        <w:rPr>
          <w:rFonts w:hint="eastAsia" w:ascii="宋体" w:hAnsi="宋体" w:eastAsia="宋体" w:cs="宋体"/>
          <w:b/>
          <w:color w:val="auto"/>
          <w:sz w:val="28"/>
          <w:szCs w:val="28"/>
          <w:highlight w:val="none"/>
          <w:lang w:val="en-US" w:eastAsia="zh-CN"/>
        </w:rPr>
      </w:pPr>
      <w:bookmarkStart w:id="1854" w:name="_Toc25294"/>
      <w:bookmarkStart w:id="1855" w:name="_Toc21352"/>
      <w:bookmarkStart w:id="1856" w:name="_Toc10529"/>
      <w:bookmarkStart w:id="1857" w:name="_Toc297"/>
      <w:r>
        <w:rPr>
          <w:rFonts w:hint="eastAsia" w:ascii="宋体" w:hAnsi="宋体" w:eastAsia="宋体" w:cs="宋体"/>
          <w:b/>
          <w:color w:val="auto"/>
          <w:sz w:val="28"/>
          <w:szCs w:val="28"/>
          <w:highlight w:val="none"/>
          <w:lang w:val="en-US" w:eastAsia="zh-CN"/>
        </w:rPr>
        <w:br w:type="page"/>
      </w:r>
    </w:p>
    <w:p w14:paraId="5B6671EE">
      <w:pPr>
        <w:pStyle w:val="2"/>
        <w:numPr>
          <w:ilvl w:val="0"/>
          <w:numId w:val="0"/>
        </w:numP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9.城乡清洁工程渣土清运承诺书（必须提供）。</w:t>
      </w:r>
      <w:bookmarkEnd w:id="1854"/>
      <w:bookmarkEnd w:id="1855"/>
      <w:bookmarkEnd w:id="1856"/>
      <w:bookmarkEnd w:id="1857"/>
    </w:p>
    <w:p w14:paraId="66709A3B">
      <w:pPr>
        <w:widowControl w:val="0"/>
        <w:numPr>
          <w:ilvl w:val="0"/>
          <w:numId w:val="0"/>
        </w:numPr>
        <w:jc w:val="both"/>
        <w:rPr>
          <w:rFonts w:hint="eastAsia"/>
          <w:color w:val="auto"/>
          <w:highlight w:val="none"/>
        </w:rPr>
      </w:pPr>
    </w:p>
    <w:p w14:paraId="3A669DF7">
      <w:pPr>
        <w:rPr>
          <w:rFonts w:hint="eastAsia"/>
          <w:color w:val="auto"/>
          <w:highlight w:val="none"/>
        </w:rPr>
      </w:pPr>
    </w:p>
    <w:p w14:paraId="402BEBA9">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46C43E5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 w:val="32"/>
          <w:szCs w:val="32"/>
          <w:highlight w:val="none"/>
        </w:rPr>
        <w:t>（</w:t>
      </w:r>
      <w:r>
        <w:rPr>
          <w:rFonts w:hint="eastAsia" w:ascii="宋体" w:hAnsi="宋体" w:cs="宋体"/>
          <w:b/>
          <w:bCs/>
          <w:color w:val="auto"/>
          <w:sz w:val="32"/>
          <w:szCs w:val="32"/>
          <w:highlight w:val="none"/>
          <w:lang w:eastAsia="zh-CN"/>
        </w:rPr>
        <w:t>三</w:t>
      </w:r>
      <w:r>
        <w:rPr>
          <w:rFonts w:hint="eastAsia" w:ascii="宋体" w:hAnsi="宋体" w:eastAsia="宋体" w:cs="宋体"/>
          <w:b/>
          <w:bCs/>
          <w:color w:val="auto"/>
          <w:sz w:val="32"/>
          <w:szCs w:val="32"/>
          <w:highlight w:val="none"/>
        </w:rPr>
        <w:t>）其</w:t>
      </w:r>
      <w:r>
        <w:rPr>
          <w:rFonts w:hint="eastAsia" w:ascii="宋体" w:hAnsi="宋体" w:eastAsia="宋体" w:cs="宋体"/>
          <w:b/>
          <w:bCs/>
          <w:color w:val="auto"/>
          <w:sz w:val="32"/>
          <w:szCs w:val="32"/>
          <w:highlight w:val="none"/>
          <w:lang w:eastAsia="zh-CN"/>
        </w:rPr>
        <w:t>他</w:t>
      </w:r>
      <w:r>
        <w:rPr>
          <w:rFonts w:hint="eastAsia" w:ascii="宋体" w:hAnsi="宋体" w:eastAsia="宋体" w:cs="宋体"/>
          <w:b/>
          <w:bCs/>
          <w:color w:val="auto"/>
          <w:sz w:val="32"/>
          <w:szCs w:val="32"/>
          <w:highlight w:val="none"/>
        </w:rPr>
        <w:t>有效证明材料目录</w:t>
      </w:r>
      <w:bookmarkEnd w:id="1851"/>
      <w:bookmarkEnd w:id="1852"/>
      <w:bookmarkEnd w:id="1853"/>
    </w:p>
    <w:p w14:paraId="10BC1C7D">
      <w:pPr>
        <w:spacing w:line="360" w:lineRule="auto"/>
        <w:ind w:firstLine="420" w:firstLineChars="200"/>
        <w:rPr>
          <w:rFonts w:hint="eastAsia" w:ascii="宋体" w:hAnsi="宋体" w:cs="宋体"/>
          <w:color w:val="auto"/>
          <w:sz w:val="21"/>
          <w:szCs w:val="21"/>
          <w:highlight w:val="none"/>
          <w:lang w:val="en-US" w:eastAsia="zh-CN"/>
        </w:rPr>
      </w:pPr>
    </w:p>
    <w:p w14:paraId="7D09C907">
      <w:pPr>
        <w:spacing w:line="360" w:lineRule="auto"/>
        <w:rPr>
          <w:rFonts w:hint="eastAsia" w:ascii="宋体" w:hAnsi="宋体" w:cs="宋体"/>
          <w:color w:val="auto"/>
          <w:sz w:val="21"/>
          <w:szCs w:val="21"/>
          <w:highlight w:val="none"/>
          <w:lang w:val="en-US" w:eastAsia="zh-CN"/>
        </w:rPr>
      </w:pPr>
    </w:p>
    <w:p w14:paraId="3A088AE7">
      <w:pPr>
        <w:numPr>
          <w:ilvl w:val="0"/>
          <w:numId w:val="15"/>
        </w:num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eastAsia="宋体" w:cs="宋体"/>
          <w:b/>
          <w:bCs/>
          <w:iCs/>
          <w:color w:val="auto"/>
          <w:kern w:val="2"/>
          <w:sz w:val="28"/>
          <w:szCs w:val="28"/>
          <w:highlight w:val="none"/>
          <w:lang w:val="en-US" w:eastAsia="zh-CN" w:bidi="ar-SA"/>
        </w:rPr>
        <w:t>供应商</w:t>
      </w:r>
      <w:r>
        <w:rPr>
          <w:rFonts w:hint="eastAsia" w:ascii="宋体" w:hAnsi="宋体" w:cs="宋体"/>
          <w:b/>
          <w:bCs/>
          <w:iCs/>
          <w:color w:val="auto"/>
          <w:kern w:val="2"/>
          <w:sz w:val="28"/>
          <w:szCs w:val="28"/>
          <w:highlight w:val="none"/>
          <w:lang w:val="en-US" w:eastAsia="zh-CN" w:bidi="ar-SA"/>
        </w:rPr>
        <w:t>2020年1月1日</w:t>
      </w:r>
      <w:r>
        <w:rPr>
          <w:rFonts w:hint="eastAsia" w:ascii="宋体" w:hAnsi="宋体" w:eastAsia="宋体" w:cs="宋体"/>
          <w:b/>
          <w:bCs/>
          <w:iCs/>
          <w:color w:val="auto"/>
          <w:kern w:val="2"/>
          <w:sz w:val="28"/>
          <w:szCs w:val="28"/>
          <w:highlight w:val="none"/>
          <w:lang w:val="en-US" w:eastAsia="zh-CN" w:bidi="ar-SA"/>
        </w:rPr>
        <w:t>以来具有类似工程业绩（无不良记录，以中标（成交）通知书、签订的合同、竣工证明文件为准，并能清晰反映项目的名称、采购内容、采购金额、采购时间）（如有）</w:t>
      </w:r>
    </w:p>
    <w:p w14:paraId="0BBDD167">
      <w:pPr>
        <w:numPr>
          <w:ilvl w:val="0"/>
          <w:numId w:val="0"/>
        </w:numPr>
        <w:spacing w:line="240" w:lineRule="auto"/>
        <w:rPr>
          <w:rFonts w:hint="eastAsia" w:ascii="宋体" w:hAnsi="宋体" w:eastAsia="宋体" w:cs="宋体"/>
          <w:b/>
          <w:bCs/>
          <w:iCs/>
          <w:color w:val="auto"/>
          <w:kern w:val="2"/>
          <w:sz w:val="28"/>
          <w:szCs w:val="28"/>
          <w:highlight w:val="none"/>
          <w:lang w:val="en-US" w:eastAsia="zh-CN" w:bidi="ar-SA"/>
        </w:rPr>
      </w:pPr>
    </w:p>
    <w:p w14:paraId="5B007901">
      <w:pPr>
        <w:spacing w:line="360" w:lineRule="auto"/>
        <w:ind w:firstLine="420" w:firstLineChars="200"/>
        <w:rPr>
          <w:rFonts w:hint="eastAsia" w:ascii="宋体" w:hAnsi="宋体" w:eastAsia="宋体" w:cs="宋体"/>
          <w:color w:val="auto"/>
          <w:sz w:val="21"/>
          <w:szCs w:val="21"/>
          <w:highlight w:val="none"/>
          <w:lang w:val="en-US" w:eastAsia="zh-CN"/>
        </w:rPr>
      </w:pPr>
    </w:p>
    <w:p w14:paraId="6956D73F">
      <w:pPr>
        <w:pStyle w:val="8"/>
        <w:rPr>
          <w:rFonts w:hint="eastAsia" w:ascii="宋体" w:hAnsi="宋体" w:eastAsia="宋体" w:cs="宋体"/>
          <w:color w:val="auto"/>
          <w:sz w:val="21"/>
          <w:szCs w:val="21"/>
          <w:highlight w:val="none"/>
          <w:lang w:val="en-US" w:eastAsia="zh-CN"/>
        </w:rPr>
      </w:pPr>
    </w:p>
    <w:p w14:paraId="3ED30ED9">
      <w:pPr>
        <w:rPr>
          <w:rFonts w:hint="eastAsia" w:ascii="宋体" w:hAnsi="宋体" w:cs="宋体"/>
          <w:b/>
          <w:bCs/>
          <w:iCs/>
          <w:color w:val="auto"/>
          <w:sz w:val="28"/>
          <w:szCs w:val="28"/>
          <w:highlight w:val="none"/>
          <w:lang w:val="en-US" w:eastAsia="zh-CN"/>
        </w:rPr>
      </w:pPr>
      <w:r>
        <w:rPr>
          <w:rFonts w:hint="eastAsia" w:ascii="宋体" w:hAnsi="宋体" w:cs="宋体"/>
          <w:b/>
          <w:bCs/>
          <w:iCs/>
          <w:color w:val="auto"/>
          <w:sz w:val="28"/>
          <w:szCs w:val="28"/>
          <w:highlight w:val="none"/>
          <w:lang w:val="en-US" w:eastAsia="zh-CN"/>
        </w:rPr>
        <w:t>2.供应商</w:t>
      </w:r>
      <w:r>
        <w:rPr>
          <w:rFonts w:hint="eastAsia" w:ascii="宋体" w:hAnsi="宋体" w:cs="宋体"/>
          <w:b/>
          <w:bCs/>
          <w:iCs/>
          <w:color w:val="auto"/>
          <w:sz w:val="28"/>
          <w:szCs w:val="28"/>
          <w:highlight w:val="none"/>
          <w:lang w:eastAsia="zh-CN"/>
        </w:rPr>
        <w:t>2023年1月1日</w:t>
      </w:r>
      <w:r>
        <w:rPr>
          <w:rFonts w:hint="eastAsia" w:ascii="宋体" w:hAnsi="宋体" w:cs="宋体"/>
          <w:b/>
          <w:bCs/>
          <w:iCs/>
          <w:color w:val="auto"/>
          <w:sz w:val="28"/>
          <w:szCs w:val="28"/>
          <w:highlight w:val="none"/>
          <w:lang w:val="en-US" w:eastAsia="zh-CN"/>
        </w:rPr>
        <w:t>以来</w:t>
      </w:r>
      <w:r>
        <w:rPr>
          <w:rFonts w:hint="eastAsia" w:ascii="宋体" w:hAnsi="宋体" w:cs="宋体"/>
          <w:b/>
          <w:bCs/>
          <w:iCs/>
          <w:color w:val="auto"/>
          <w:sz w:val="28"/>
          <w:szCs w:val="28"/>
          <w:highlight w:val="none"/>
        </w:rPr>
        <w:t>获奖情况</w:t>
      </w:r>
      <w:r>
        <w:rPr>
          <w:rFonts w:hint="eastAsia" w:ascii="宋体" w:hAnsi="宋体" w:cs="宋体"/>
          <w:b/>
          <w:bCs/>
          <w:iCs/>
          <w:color w:val="auto"/>
          <w:sz w:val="28"/>
          <w:szCs w:val="28"/>
          <w:highlight w:val="none"/>
          <w:lang w:eastAsia="zh-CN"/>
        </w:rPr>
        <w:t>（</w:t>
      </w:r>
      <w:r>
        <w:rPr>
          <w:rFonts w:hint="eastAsia" w:ascii="宋体" w:hAnsi="宋体" w:cs="宋体"/>
          <w:b/>
          <w:bCs/>
          <w:iCs/>
          <w:color w:val="auto"/>
          <w:sz w:val="28"/>
          <w:szCs w:val="28"/>
          <w:highlight w:val="none"/>
          <w:lang w:val="en-US" w:eastAsia="zh-CN"/>
        </w:rPr>
        <w:t>如有</w:t>
      </w:r>
      <w:r>
        <w:rPr>
          <w:rFonts w:hint="eastAsia" w:ascii="宋体" w:hAnsi="宋体" w:cs="宋体"/>
          <w:b/>
          <w:bCs/>
          <w:iCs/>
          <w:color w:val="auto"/>
          <w:sz w:val="28"/>
          <w:szCs w:val="28"/>
          <w:highlight w:val="none"/>
          <w:lang w:eastAsia="zh-CN"/>
        </w:rPr>
        <w:t>）</w:t>
      </w:r>
    </w:p>
    <w:p w14:paraId="37266B51">
      <w:pPr>
        <w:pStyle w:val="8"/>
        <w:rPr>
          <w:rFonts w:hint="eastAsia"/>
          <w:color w:val="auto"/>
          <w:highlight w:val="none"/>
          <w:lang w:val="en-US" w:eastAsia="zh-CN"/>
        </w:rPr>
      </w:pPr>
    </w:p>
    <w:p w14:paraId="202B7EFA">
      <w:pPr>
        <w:spacing w:line="240" w:lineRule="auto"/>
        <w:rPr>
          <w:rFonts w:hint="default" w:ascii="宋体" w:hAnsi="宋体" w:cs="宋体"/>
          <w:b/>
          <w:bCs/>
          <w:iCs/>
          <w:color w:val="auto"/>
          <w:kern w:val="2"/>
          <w:sz w:val="28"/>
          <w:szCs w:val="28"/>
          <w:highlight w:val="none"/>
          <w:lang w:val="en-US" w:eastAsia="zh-CN" w:bidi="ar-SA"/>
        </w:rPr>
      </w:pPr>
    </w:p>
    <w:p w14:paraId="2D5F6078">
      <w:pPr>
        <w:spacing w:line="240" w:lineRule="auto"/>
        <w:rPr>
          <w:rFonts w:hint="default" w:ascii="宋体" w:hAnsi="宋体" w:cs="宋体"/>
          <w:b/>
          <w:bCs/>
          <w:iCs/>
          <w:color w:val="auto"/>
          <w:kern w:val="2"/>
          <w:sz w:val="28"/>
          <w:szCs w:val="28"/>
          <w:highlight w:val="none"/>
          <w:lang w:val="en-US" w:eastAsia="zh-CN" w:bidi="ar-SA"/>
        </w:rPr>
      </w:pPr>
    </w:p>
    <w:p w14:paraId="4D6038B9">
      <w:pPr>
        <w:spacing w:line="240" w:lineRule="auto"/>
        <w:rPr>
          <w:rFonts w:hint="eastAsia" w:ascii="宋体" w:hAnsi="宋体" w:eastAsia="宋体" w:cs="宋体"/>
          <w:b/>
          <w:bCs/>
          <w:iCs/>
          <w:color w:val="auto"/>
          <w:kern w:val="2"/>
          <w:sz w:val="28"/>
          <w:szCs w:val="28"/>
          <w:highlight w:val="none"/>
          <w:lang w:val="en-US" w:eastAsia="zh-CN" w:bidi="ar-SA"/>
        </w:rPr>
      </w:pPr>
      <w:r>
        <w:rPr>
          <w:rFonts w:hint="eastAsia" w:ascii="宋体" w:hAnsi="宋体" w:cs="宋体"/>
          <w:b/>
          <w:bCs/>
          <w:iCs/>
          <w:color w:val="auto"/>
          <w:kern w:val="2"/>
          <w:sz w:val="28"/>
          <w:szCs w:val="28"/>
          <w:highlight w:val="none"/>
          <w:lang w:val="en-US" w:eastAsia="zh-CN" w:bidi="ar-SA"/>
        </w:rPr>
        <w:t>3</w:t>
      </w:r>
      <w:r>
        <w:rPr>
          <w:rFonts w:hint="eastAsia" w:ascii="宋体" w:hAnsi="宋体" w:eastAsia="宋体" w:cs="宋体"/>
          <w:b/>
          <w:bCs/>
          <w:iCs/>
          <w:color w:val="auto"/>
          <w:kern w:val="2"/>
          <w:sz w:val="28"/>
          <w:szCs w:val="28"/>
          <w:highlight w:val="none"/>
          <w:lang w:val="en-US" w:eastAsia="zh-CN" w:bidi="ar-SA"/>
        </w:rPr>
        <w:t>.供应商可结合本项目的评审办法视自身情况自行提交其它相关证明材料。</w:t>
      </w:r>
    </w:p>
    <w:p w14:paraId="6A27C16F">
      <w:pPr>
        <w:rPr>
          <w:rFonts w:hint="eastAsia"/>
          <w:color w:val="auto"/>
          <w:highlight w:val="none"/>
        </w:rPr>
      </w:pPr>
    </w:p>
    <w:bookmarkEnd w:id="1858"/>
    <w:sectPr>
      <w:headerReference r:id="rId8" w:type="default"/>
      <w:footerReference r:id="rId9"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A4822">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5B557919">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fill on="f" focussize="0,0"/>
              <v:stroke on="f"/>
              <v:imagedata o:title=""/>
              <o:lock v:ext="edit" aspectratio="f"/>
              <v:textbox inset="0mm,0mm,0mm,0mm" style="mso-fit-shape-to-text:t;">
                <w:txbxContent>
                  <w:p w14:paraId="5B557919">
                    <w:pPr>
                      <w:pStyle w:val="1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B135">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B7428A8">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qq+fEAQAAmgMAAA4AAAAAAAAAAQAgAAAAHwEAAGRycy9lMm9Eb2MueG1s&#10;UEsFBgAAAAAGAAYAWQEAAFUFAAAAAA==&#10;">
              <v:fill on="f" focussize="0,0"/>
              <v:stroke on="f"/>
              <v:imagedata o:title=""/>
              <o:lock v:ext="edit" aspectratio="f"/>
              <v:textbox inset="0mm,0mm,0mm,0mm" style="mso-fit-shape-to-text:t;">
                <w:txbxContent>
                  <w:p w14:paraId="3B7428A8">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C8CA">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AFE9BA5">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14:paraId="0AFE9BA5">
                    <w:pPr>
                      <w:pStyle w:val="1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2AADF">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4468DD2">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14:paraId="34468DD2">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E1648">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F489">
                          <w:pPr>
                            <w:pStyle w:val="1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E2EF489">
                    <w:pPr>
                      <w:pStyle w:val="1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6A6CC">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D647C4D">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14:paraId="2D647C4D">
                    <w:pPr>
                      <w:pStyle w:val="12"/>
                    </w:pPr>
                    <w:r>
                      <w:fldChar w:fldCharType="begin"/>
                    </w:r>
                    <w:r>
                      <w:instrText xml:space="preserve"> PAGE  \* MERGEFORMAT </w:instrText>
                    </w:r>
                    <w:r>
                      <w:fldChar w:fldCharType="separate"/>
                    </w:r>
                    <w:r>
                      <w:t>64</w:t>
                    </w:r>
                    <w:r>
                      <w:fldChar w:fldCharType="end"/>
                    </w:r>
                  </w:p>
                </w:txbxContent>
              </v:textbox>
            </v:rect>
          </w:pict>
        </mc:Fallback>
      </mc:AlternateContent>
    </w:r>
  </w:p>
  <w:p w14:paraId="376BD866">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475F7">
    <w:pPr>
      <w:pStyle w:val="14"/>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2"/>
    <w:multiLevelType w:val="singleLevel"/>
    <w:tmpl w:val="00000002"/>
    <w:lvl w:ilvl="0" w:tentative="0">
      <w:start w:val="2"/>
      <w:numFmt w:val="decimal"/>
      <w:suff w:val="nothing"/>
      <w:lvlText w:val="（%1）"/>
      <w:lvlJc w:val="left"/>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4"/>
    <w:multiLevelType w:val="singleLevel"/>
    <w:tmpl w:val="00000004"/>
    <w:lvl w:ilvl="0" w:tentative="0">
      <w:start w:val="4"/>
      <w:numFmt w:val="decimal"/>
      <w:suff w:val="nothing"/>
      <w:lvlText w:val="（%1）"/>
      <w:lvlJc w:val="left"/>
      <w:pPr>
        <w:ind w:left="0"/>
      </w:pPr>
    </w:lvl>
  </w:abstractNum>
  <w:abstractNum w:abstractNumId="4">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0000006"/>
    <w:multiLevelType w:val="singleLevel"/>
    <w:tmpl w:val="00000006"/>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decimal"/>
      <w:lvlText w:val="%1."/>
      <w:lvlJc w:val="left"/>
      <w:pPr>
        <w:tabs>
          <w:tab w:val="left" w:pos="312"/>
        </w:tabs>
      </w:pPr>
    </w:lvl>
  </w:abstractNum>
  <w:abstractNum w:abstractNumId="7">
    <w:nsid w:val="00000008"/>
    <w:multiLevelType w:val="singleLevel"/>
    <w:tmpl w:val="00000008"/>
    <w:lvl w:ilvl="0" w:tentative="0">
      <w:start w:val="26"/>
      <w:numFmt w:val="decimal"/>
      <w:suff w:val="space"/>
      <w:lvlText w:val="%1."/>
      <w:lvlJc w:val="left"/>
    </w:lvl>
  </w:abstractNum>
  <w:abstractNum w:abstractNumId="8">
    <w:nsid w:val="00000010"/>
    <w:multiLevelType w:val="singleLevel"/>
    <w:tmpl w:val="00000010"/>
    <w:lvl w:ilvl="0" w:tentative="0">
      <w:start w:val="5"/>
      <w:numFmt w:val="decimal"/>
      <w:suff w:val="space"/>
      <w:lvlText w:val="%1."/>
      <w:lvlJc w:val="left"/>
    </w:lvl>
  </w:abstractNum>
  <w:abstractNum w:abstractNumId="9">
    <w:nsid w:val="175EDB75"/>
    <w:multiLevelType w:val="singleLevel"/>
    <w:tmpl w:val="175EDB75"/>
    <w:lvl w:ilvl="0" w:tentative="0">
      <w:start w:val="1"/>
      <w:numFmt w:val="decimal"/>
      <w:suff w:val="nothing"/>
      <w:lvlText w:val="（%1）"/>
      <w:lvlJc w:val="left"/>
    </w:lvl>
  </w:abstractNum>
  <w:abstractNum w:abstractNumId="10">
    <w:nsid w:val="2B3F3F89"/>
    <w:multiLevelType w:val="multilevel"/>
    <w:tmpl w:val="2B3F3F89"/>
    <w:lvl w:ilvl="0" w:tentative="0">
      <w:start w:val="1"/>
      <w:numFmt w:val="decimal"/>
      <w:lvlText w:val="%1."/>
      <w:lvlJc w:val="left"/>
      <w:pPr>
        <w:ind w:left="113" w:hanging="298"/>
      </w:pPr>
      <w:rPr>
        <w:rFonts w:hint="default" w:ascii="Times New Roman" w:hAnsi="Times New Roman" w:eastAsia="Times New Roman" w:cs="Times New Roman"/>
        <w:spacing w:val="0"/>
        <w:w w:val="99"/>
        <w:sz w:val="20"/>
        <w:szCs w:val="20"/>
        <w:lang w:val="zh-CN" w:eastAsia="zh-CN" w:bidi="zh-CN"/>
      </w:rPr>
    </w:lvl>
    <w:lvl w:ilvl="1" w:tentative="0">
      <w:start w:val="1"/>
      <w:numFmt w:val="decimal"/>
      <w:lvlText w:val="%1.%2"/>
      <w:lvlJc w:val="left"/>
      <w:pPr>
        <w:ind w:left="113" w:hanging="368"/>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957" w:hanging="368"/>
      </w:pPr>
      <w:rPr>
        <w:rFonts w:hint="default"/>
        <w:lang w:val="zh-CN" w:eastAsia="zh-CN" w:bidi="zh-CN"/>
      </w:rPr>
    </w:lvl>
    <w:lvl w:ilvl="3" w:tentative="0">
      <w:start w:val="0"/>
      <w:numFmt w:val="bullet"/>
      <w:lvlText w:val="•"/>
      <w:lvlJc w:val="left"/>
      <w:pPr>
        <w:ind w:left="2875" w:hanging="368"/>
      </w:pPr>
      <w:rPr>
        <w:rFonts w:hint="default"/>
        <w:lang w:val="zh-CN" w:eastAsia="zh-CN" w:bidi="zh-CN"/>
      </w:rPr>
    </w:lvl>
    <w:lvl w:ilvl="4" w:tentative="0">
      <w:start w:val="0"/>
      <w:numFmt w:val="bullet"/>
      <w:lvlText w:val="•"/>
      <w:lvlJc w:val="left"/>
      <w:pPr>
        <w:ind w:left="3794" w:hanging="368"/>
      </w:pPr>
      <w:rPr>
        <w:rFonts w:hint="default"/>
        <w:lang w:val="zh-CN" w:eastAsia="zh-CN" w:bidi="zh-CN"/>
      </w:rPr>
    </w:lvl>
    <w:lvl w:ilvl="5" w:tentative="0">
      <w:start w:val="0"/>
      <w:numFmt w:val="bullet"/>
      <w:lvlText w:val="•"/>
      <w:lvlJc w:val="left"/>
      <w:pPr>
        <w:ind w:left="4713" w:hanging="368"/>
      </w:pPr>
      <w:rPr>
        <w:rFonts w:hint="default"/>
        <w:lang w:val="zh-CN" w:eastAsia="zh-CN" w:bidi="zh-CN"/>
      </w:rPr>
    </w:lvl>
    <w:lvl w:ilvl="6" w:tentative="0">
      <w:start w:val="0"/>
      <w:numFmt w:val="bullet"/>
      <w:lvlText w:val="•"/>
      <w:lvlJc w:val="left"/>
      <w:pPr>
        <w:ind w:left="5631" w:hanging="368"/>
      </w:pPr>
      <w:rPr>
        <w:rFonts w:hint="default"/>
        <w:lang w:val="zh-CN" w:eastAsia="zh-CN" w:bidi="zh-CN"/>
      </w:rPr>
    </w:lvl>
    <w:lvl w:ilvl="7" w:tentative="0">
      <w:start w:val="0"/>
      <w:numFmt w:val="bullet"/>
      <w:lvlText w:val="•"/>
      <w:lvlJc w:val="left"/>
      <w:pPr>
        <w:ind w:left="6550" w:hanging="368"/>
      </w:pPr>
      <w:rPr>
        <w:rFonts w:hint="default"/>
        <w:lang w:val="zh-CN" w:eastAsia="zh-CN" w:bidi="zh-CN"/>
      </w:rPr>
    </w:lvl>
    <w:lvl w:ilvl="8" w:tentative="0">
      <w:start w:val="0"/>
      <w:numFmt w:val="bullet"/>
      <w:lvlText w:val="•"/>
      <w:lvlJc w:val="left"/>
      <w:pPr>
        <w:ind w:left="7468" w:hanging="368"/>
      </w:pPr>
      <w:rPr>
        <w:rFonts w:hint="default"/>
        <w:lang w:val="zh-CN" w:eastAsia="zh-CN" w:bidi="zh-CN"/>
      </w:rPr>
    </w:lvl>
  </w:abstractNum>
  <w:abstractNum w:abstractNumId="11">
    <w:nsid w:val="3810B10B"/>
    <w:multiLevelType w:val="singleLevel"/>
    <w:tmpl w:val="3810B10B"/>
    <w:lvl w:ilvl="0" w:tentative="0">
      <w:start w:val="1"/>
      <w:numFmt w:val="decimal"/>
      <w:lvlText w:val="%1."/>
      <w:lvlJc w:val="left"/>
      <w:pPr>
        <w:tabs>
          <w:tab w:val="left" w:pos="312"/>
        </w:tabs>
      </w:pPr>
    </w:lvl>
  </w:abstractNum>
  <w:abstractNum w:abstractNumId="12">
    <w:nsid w:val="623989FE"/>
    <w:multiLevelType w:val="singleLevel"/>
    <w:tmpl w:val="623989FE"/>
    <w:lvl w:ilvl="0" w:tentative="0">
      <w:start w:val="4"/>
      <w:numFmt w:val="decimal"/>
      <w:suff w:val="nothing"/>
      <w:lvlText w:val="%1、"/>
      <w:lvlJc w:val="left"/>
      <w:pPr>
        <w:ind w:left="-1"/>
      </w:pPr>
    </w:lvl>
  </w:abstractNum>
  <w:abstractNum w:abstractNumId="13">
    <w:nsid w:val="68830203"/>
    <w:multiLevelType w:val="multilevel"/>
    <w:tmpl w:val="68830203"/>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D7D6602"/>
    <w:multiLevelType w:val="singleLevel"/>
    <w:tmpl w:val="6D7D6602"/>
    <w:lvl w:ilvl="0" w:tentative="0">
      <w:start w:val="1"/>
      <w:numFmt w:val="decimal"/>
      <w:lvlText w:val="%1."/>
      <w:lvlJc w:val="left"/>
      <w:pPr>
        <w:tabs>
          <w:tab w:val="left" w:pos="312"/>
        </w:tabs>
      </w:pPr>
    </w:lvl>
  </w:abstractNum>
  <w:num w:numId="1">
    <w:abstractNumId w:val="4"/>
  </w:num>
  <w:num w:numId="2">
    <w:abstractNumId w:val="8"/>
  </w:num>
  <w:num w:numId="3">
    <w:abstractNumId w:val="3"/>
  </w:num>
  <w:num w:numId="4">
    <w:abstractNumId w:val="9"/>
  </w:num>
  <w:num w:numId="5">
    <w:abstractNumId w:val="1"/>
  </w:num>
  <w:num w:numId="6">
    <w:abstractNumId w:val="7"/>
  </w:num>
  <w:num w:numId="7">
    <w:abstractNumId w:val="12"/>
  </w:num>
  <w:num w:numId="8">
    <w:abstractNumId w:val="2"/>
  </w:num>
  <w:num w:numId="9">
    <w:abstractNumId w:val="5"/>
  </w:num>
  <w:num w:numId="10">
    <w:abstractNumId w:val="6"/>
  </w:num>
  <w:num w:numId="11">
    <w:abstractNumId w:val="10"/>
  </w:num>
  <w:num w:numId="12">
    <w:abstractNumId w:val="0"/>
  </w:num>
  <w:num w:numId="13">
    <w:abstractNumId w:val="11"/>
  </w:num>
  <w:num w:numId="14">
    <w:abstractNumId w:val="13"/>
    <w:lvlOverride w:ilvl="0">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A2248"/>
    <w:rsid w:val="2AC45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6"/>
      <w:szCs w:val="44"/>
    </w:rPr>
  </w:style>
  <w:style w:type="paragraph" w:styleId="2">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32"/>
    <w:qFormat/>
    <w:uiPriority w:val="0"/>
    <w:pPr>
      <w:keepNext/>
      <w:keepLines/>
      <w:widowControl/>
      <w:spacing w:before="260" w:after="260" w:line="416" w:lineRule="auto"/>
      <w:outlineLvl w:val="2"/>
    </w:pPr>
    <w:rPr>
      <w:b/>
      <w:bCs/>
      <w:sz w:val="24"/>
      <w:szCs w:val="32"/>
    </w:rPr>
  </w:style>
  <w:style w:type="paragraph" w:styleId="5">
    <w:name w:val="heading 4"/>
    <w:basedOn w:val="1"/>
    <w:next w:val="1"/>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index 8"/>
    <w:basedOn w:val="1"/>
    <w:next w:val="1"/>
    <w:qFormat/>
    <w:uiPriority w:val="0"/>
    <w:pPr>
      <w:ind w:left="1400" w:leftChars="1400" w:firstLine="0"/>
    </w:pPr>
  </w:style>
  <w:style w:type="paragraph" w:styleId="7">
    <w:name w:val="annotation text"/>
    <w:basedOn w:val="1"/>
    <w:qFormat/>
    <w:uiPriority w:val="0"/>
    <w:pPr>
      <w:widowControl/>
      <w:jc w:val="left"/>
    </w:pPr>
    <w:rPr>
      <w:rFonts w:ascii="Calibri" w:hAnsi="Calibri" w:eastAsia="宋体" w:cs="Times New Roman"/>
    </w:rPr>
  </w:style>
  <w:style w:type="paragraph" w:styleId="8">
    <w:name w:val="Body Text"/>
    <w:basedOn w:val="1"/>
    <w:next w:val="1"/>
    <w:qFormat/>
    <w:uiPriority w:val="0"/>
    <w:pPr>
      <w:spacing w:after="120"/>
    </w:pPr>
  </w:style>
  <w:style w:type="paragraph" w:styleId="9">
    <w:name w:val="Body Text Indent"/>
    <w:basedOn w:val="1"/>
    <w:qFormat/>
    <w:uiPriority w:val="0"/>
    <w:pPr>
      <w:spacing w:after="120" w:line="360" w:lineRule="exact"/>
      <w:ind w:left="420" w:leftChars="200" w:firstLine="200" w:firstLineChars="200"/>
    </w:pPr>
  </w:style>
  <w:style w:type="paragraph" w:styleId="10">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6"/>
    <w:qFormat/>
    <w:uiPriority w:val="0"/>
    <w:rPr>
      <w:rFonts w:ascii="宋体" w:hAnsi="Courier New" w:cs="Times New Roman"/>
      <w:szCs w:val="22"/>
    </w:rPr>
  </w:style>
  <w:style w:type="paragraph" w:styleId="12">
    <w:name w:val="footer"/>
    <w:basedOn w:val="1"/>
    <w:next w:val="13"/>
    <w:qFormat/>
    <w:uiPriority w:val="0"/>
    <w:pPr>
      <w:tabs>
        <w:tab w:val="center" w:pos="4153"/>
        <w:tab w:val="right" w:pos="8306"/>
      </w:tabs>
      <w:snapToGrid w:val="0"/>
      <w:jc w:val="left"/>
    </w:pPr>
    <w:rPr>
      <w:sz w:val="18"/>
      <w:szCs w:val="18"/>
    </w:rPr>
  </w:style>
  <w:style w:type="paragraph" w:customStyle="1" w:styleId="13">
    <w:name w:val="_Style 2"/>
    <w:next w:val="1"/>
    <w:qFormat/>
    <w:uiPriority w:val="0"/>
    <w:pPr>
      <w:wordWrap w:val="0"/>
      <w:spacing w:before="360" w:after="360"/>
      <w:ind w:left="950" w:right="950"/>
      <w:jc w:val="center"/>
    </w:pPr>
    <w:rPr>
      <w:rFonts w:ascii="Calibri" w:hAnsi="Calibri" w:eastAsia="宋体" w:cs="Times New Roman"/>
      <w:i/>
      <w:sz w:val="21"/>
      <w:szCs w:val="22"/>
      <w:lang w:val="en-US" w:eastAsia="zh-CN" w:bidi="ar-SA"/>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99"/>
    <w:pPr>
      <w:jc w:val="center"/>
    </w:pPr>
    <w:rPr>
      <w:rFonts w:ascii="Arial" w:hAnsi="Arial" w:eastAsia="宋体" w:cs="Arial"/>
      <w:b/>
      <w:sz w:val="32"/>
      <w:u w:val="single"/>
    </w:rPr>
  </w:style>
  <w:style w:type="paragraph" w:styleId="19">
    <w:name w:val="Body Text First Indent"/>
    <w:basedOn w:val="20"/>
    <w:next w:val="22"/>
    <w:qFormat/>
    <w:uiPriority w:val="0"/>
    <w:pPr>
      <w:spacing w:after="120"/>
      <w:ind w:firstLine="420" w:firstLineChars="100"/>
    </w:pPr>
    <w:rPr>
      <w:rFonts w:ascii="Times New Roman" w:hAnsi="Times New Roman"/>
      <w:szCs w:val="24"/>
    </w:rPr>
  </w:style>
  <w:style w:type="paragraph" w:customStyle="1" w:styleId="20">
    <w:name w:val="正文文本_0"/>
    <w:basedOn w:val="21"/>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21">
    <w:name w:val="正文_0"/>
    <w:next w:val="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缩进_0"/>
    <w:basedOn w:val="23"/>
    <w:next w:val="24"/>
    <w:qFormat/>
    <w:uiPriority w:val="99"/>
    <w:pPr>
      <w:ind w:firstLine="420"/>
    </w:pPr>
    <w:rPr>
      <w:rFonts w:ascii="Times New Roman" w:hAnsi="Times New Roman"/>
      <w:szCs w:val="20"/>
    </w:rPr>
  </w:style>
  <w:style w:type="paragraph" w:customStyle="1" w:styleId="23">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_Style 50"/>
    <w:basedOn w:val="23"/>
    <w:next w:val="25"/>
    <w:qFormat/>
    <w:uiPriority w:val="0"/>
    <w:pPr>
      <w:widowControl/>
      <w:spacing w:before="100" w:beforeAutospacing="1" w:after="100" w:afterAutospacing="1"/>
    </w:pPr>
    <w:rPr>
      <w:rFonts w:ascii="宋体" w:hAnsi="宋体"/>
    </w:rPr>
  </w:style>
  <w:style w:type="paragraph" w:customStyle="1" w:styleId="25">
    <w:name w:val="普通(网站)_0"/>
    <w:basedOn w:val="23"/>
    <w:next w:val="23"/>
    <w:qFormat/>
    <w:uiPriority w:val="0"/>
    <w:pPr>
      <w:widowControl/>
      <w:spacing w:before="100" w:beforeAutospacing="1" w:after="100" w:afterAutospacing="1"/>
      <w:jc w:val="left"/>
    </w:pPr>
    <w:rPr>
      <w:rFonts w:ascii="宋体" w:hAnsi="宋体" w:cs="宋体"/>
      <w:kern w:val="0"/>
      <w:sz w:val="24"/>
      <w:szCs w:val="24"/>
    </w:rPr>
  </w:style>
  <w:style w:type="paragraph" w:styleId="26">
    <w:name w:val="Body Text First Indent 2"/>
    <w:basedOn w:val="9"/>
    <w:qFormat/>
    <w:uiPriority w:val="99"/>
    <w:pPr>
      <w:ind w:firstLine="420" w:firstLineChars="200"/>
    </w:p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0">
    <w:name w:val="Default"/>
    <w:basedOn w:val="18"/>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1">
    <w:name w:val="List Paragraph"/>
    <w:basedOn w:val="1"/>
    <w:qFormat/>
    <w:uiPriority w:val="0"/>
    <w:pPr>
      <w:ind w:firstLine="420" w:firstLineChars="200"/>
    </w:pPr>
  </w:style>
  <w:style w:type="character" w:customStyle="1" w:styleId="32">
    <w:name w:val="标题 3 字符"/>
    <w:link w:val="4"/>
    <w:qFormat/>
    <w:uiPriority w:val="0"/>
    <w:rPr>
      <w:b/>
      <w:bCs/>
      <w:sz w:val="24"/>
      <w:szCs w:val="32"/>
    </w:rPr>
  </w:style>
  <w:style w:type="paragraph" w:customStyle="1" w:styleId="33">
    <w:name w:val="表格文字"/>
    <w:basedOn w:val="1"/>
    <w:qFormat/>
    <w:uiPriority w:val="0"/>
    <w:pPr>
      <w:spacing w:before="25" w:after="25" w:line="240" w:lineRule="auto"/>
      <w:ind w:firstLine="0"/>
      <w:jc w:val="left"/>
    </w:pPr>
    <w:rPr>
      <w:bCs/>
      <w:spacing w:val="10"/>
      <w:kern w:val="0"/>
      <w:sz w:val="24"/>
    </w:rPr>
  </w:style>
  <w:style w:type="paragraph" w:customStyle="1" w:styleId="34">
    <w:name w:val="p0"/>
    <w:basedOn w:val="1"/>
    <w:qFormat/>
    <w:uiPriority w:val="0"/>
    <w:pPr>
      <w:widowControl/>
    </w:pPr>
    <w:rPr>
      <w:rFonts w:ascii="Calibri" w:hAnsi="Calibri" w:cs="宋体"/>
      <w:kern w:val="0"/>
      <w:szCs w:val="21"/>
    </w:rPr>
  </w:style>
  <w:style w:type="paragraph" w:customStyle="1" w:styleId="35">
    <w:name w:val="首行缩进"/>
    <w:basedOn w:val="1"/>
    <w:qFormat/>
    <w:uiPriority w:val="0"/>
    <w:pPr>
      <w:spacing w:line="360" w:lineRule="auto"/>
      <w:ind w:firstLine="480" w:firstLineChars="200"/>
    </w:pPr>
    <w:rPr>
      <w:rFonts w:ascii="宋体" w:hAnsi="宋体"/>
      <w:kern w:val="0"/>
      <w:sz w:val="24"/>
    </w:rPr>
  </w:style>
  <w:style w:type="paragraph" w:customStyle="1" w:styleId="36">
    <w:name w:val="正文小标题_0"/>
    <w:basedOn w:val="37"/>
    <w:qFormat/>
    <w:uiPriority w:val="0"/>
    <w:pPr>
      <w:spacing w:line="420" w:lineRule="exact"/>
    </w:pPr>
    <w:rPr>
      <w:rFonts w:hAnsi="宋体" w:eastAsia="宋体"/>
      <w:sz w:val="21"/>
      <w:szCs w:val="21"/>
    </w:rPr>
  </w:style>
  <w:style w:type="paragraph" w:customStyle="1" w:styleId="37">
    <w:name w:val="标题 1_0"/>
    <w:basedOn w:val="21"/>
    <w:next w:val="21"/>
    <w:qFormat/>
    <w:uiPriority w:val="99"/>
    <w:pPr>
      <w:keepNext/>
      <w:keepLines/>
      <w:spacing w:line="360" w:lineRule="auto"/>
      <w:outlineLvl w:val="0"/>
    </w:pPr>
    <w:rPr>
      <w:rFonts w:eastAsia="黑体"/>
      <w:b/>
      <w:bCs/>
      <w:kern w:val="44"/>
      <w:sz w:val="32"/>
      <w:szCs w:val="44"/>
    </w:rPr>
  </w:style>
  <w:style w:type="paragraph" w:customStyle="1" w:styleId="3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列表段落1"/>
    <w:basedOn w:val="1"/>
    <w:qFormat/>
    <w:uiPriority w:val="1"/>
    <w:pPr>
      <w:ind w:left="435" w:firstLine="420"/>
    </w:pPr>
  </w:style>
  <w:style w:type="character" w:customStyle="1" w:styleId="40">
    <w:name w:val="NormalCharacter"/>
    <w:qFormat/>
    <w:uiPriority w:val="0"/>
  </w:style>
  <w:style w:type="paragraph" w:customStyle="1" w:styleId="41">
    <w:name w:val="BodyText"/>
    <w:basedOn w:val="1"/>
    <w:qFormat/>
    <w:uiPriority w:val="0"/>
    <w:pPr>
      <w:spacing w:after="60" w:line="360" w:lineRule="atLeast"/>
      <w:ind w:left="72" w:leftChars="30" w:right="30" w:rightChars="30"/>
      <w:jc w:val="center"/>
    </w:pPr>
    <w:rPr>
      <w:kern w:val="0"/>
      <w:sz w:val="20"/>
      <w:szCs w:val="20"/>
    </w:rPr>
  </w:style>
  <w:style w:type="paragraph" w:customStyle="1" w:styleId="42">
    <w:name w:val="PlainText"/>
    <w:basedOn w:val="1"/>
    <w:next w:val="43"/>
    <w:qFormat/>
    <w:uiPriority w:val="0"/>
    <w:rPr>
      <w:rFonts w:ascii="宋体" w:hAnsi="Courier New"/>
      <w:szCs w:val="20"/>
    </w:rPr>
  </w:style>
  <w:style w:type="paragraph" w:customStyle="1" w:styleId="43">
    <w:name w:val="Index8"/>
    <w:basedOn w:val="1"/>
    <w:next w:val="1"/>
    <w:qFormat/>
    <w:uiPriority w:val="0"/>
    <w:pPr>
      <w:ind w:left="2940"/>
    </w:pPr>
  </w:style>
  <w:style w:type="paragraph" w:customStyle="1" w:styleId="44">
    <w:name w:val="style4"/>
    <w:basedOn w:val="1"/>
    <w:next w:val="45"/>
    <w:qFormat/>
    <w:uiPriority w:val="0"/>
    <w:pPr>
      <w:widowControl/>
      <w:spacing w:before="280" w:after="280"/>
    </w:pPr>
    <w:rPr>
      <w:rFonts w:ascii="宋体"/>
      <w:sz w:val="18"/>
    </w:rPr>
  </w:style>
  <w:style w:type="paragraph" w:customStyle="1" w:styleId="45">
    <w:name w:val="2"/>
    <w:basedOn w:val="4"/>
    <w:next w:val="1"/>
    <w:qFormat/>
    <w:uiPriority w:val="0"/>
    <w:pPr>
      <w:widowControl w:val="0"/>
      <w:spacing w:before="120" w:beforeLines="50" w:after="120" w:afterLines="50" w:line="240" w:lineRule="auto"/>
      <w:jc w:val="center"/>
    </w:pPr>
    <w:rPr>
      <w:rFonts w:ascii="黑体" w:eastAsia="黑体"/>
      <w:sz w:val="44"/>
      <w:szCs w:val="28"/>
    </w:rPr>
  </w:style>
  <w:style w:type="paragraph" w:customStyle="1" w:styleId="46">
    <w:name w:val="正文_4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正文_1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48">
    <w:name w:val="正文呀2_0"/>
    <w:basedOn w:val="49"/>
    <w:qFormat/>
    <w:uiPriority w:val="0"/>
    <w:rPr>
      <w:rFonts w:ascii="Times New Roman" w:hAnsi="Times New Roman" w:eastAsia="宋体" w:cs="Times New Roman"/>
    </w:rPr>
  </w:style>
  <w:style w:type="paragraph" w:customStyle="1" w:styleId="49">
    <w:name w:val="正文呀_0"/>
    <w:basedOn w:val="38"/>
    <w:qFormat/>
    <w:uiPriority w:val="0"/>
    <w:pPr>
      <w:spacing w:line="420" w:lineRule="exact"/>
      <w:ind w:firstLine="420" w:firstLineChars="200"/>
    </w:pPr>
    <w:rPr>
      <w:rFonts w:ascii="宋体" w:hAnsi="宋体" w:eastAsia="宋体" w:cs="Times New Roman"/>
      <w:szCs w:val="21"/>
    </w:rPr>
  </w:style>
  <w:style w:type="paragraph" w:customStyle="1" w:styleId="50">
    <w:name w:val="正文呀2_1"/>
    <w:basedOn w:val="49"/>
    <w:qFormat/>
    <w:uiPriority w:val="0"/>
    <w:pPr>
      <w:spacing w:line="420" w:lineRule="exact"/>
      <w:ind w:firstLine="420" w:firstLineChars="200"/>
    </w:pPr>
    <w:rPr>
      <w:rFonts w:ascii="Times New Roman" w:hAnsi="Times New Roman" w:eastAsia="宋体" w:cs="Times New Roman"/>
      <w:szCs w:val="21"/>
    </w:rPr>
  </w:style>
  <w:style w:type="paragraph" w:customStyle="1" w:styleId="51">
    <w:name w:val="纯文本_0"/>
    <w:basedOn w:val="21"/>
    <w:qFormat/>
    <w:uiPriority w:val="0"/>
    <w:rPr>
      <w:rFonts w:ascii="宋体" w:hAnsi="Courier New" w:eastAsia="宋体" w:cs="Times New Roman"/>
      <w:szCs w:val="24"/>
    </w:rPr>
  </w:style>
  <w:style w:type="paragraph" w:customStyle="1" w:styleId="52">
    <w:name w:val="正文呀2"/>
    <w:basedOn w:val="53"/>
    <w:qFormat/>
    <w:uiPriority w:val="0"/>
    <w:rPr>
      <w:rFonts w:ascii="Times New Roman" w:hAnsi="Times New Roman" w:eastAsia="宋体" w:cs="Times New Roman"/>
    </w:rPr>
  </w:style>
  <w:style w:type="paragraph" w:customStyle="1" w:styleId="53">
    <w:name w:val="正文呀"/>
    <w:basedOn w:val="1"/>
    <w:qFormat/>
    <w:uiPriority w:val="0"/>
    <w:pPr>
      <w:spacing w:line="420" w:lineRule="exact"/>
      <w:ind w:firstLine="420" w:firstLineChars="200"/>
    </w:pPr>
    <w:rPr>
      <w:rFonts w:ascii="宋体" w:hAnsi="宋体" w:eastAsia="宋体" w:cs="Times New Roman"/>
      <w:szCs w:val="21"/>
    </w:rPr>
  </w:style>
  <w:style w:type="paragraph" w:customStyle="1" w:styleId="54">
    <w:name w:val="无间隔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835</Words>
  <Characters>1051</Characters>
  <Lines>0</Lines>
  <Paragraphs>0</Paragraphs>
  <TotalTime>17</TotalTime>
  <ScaleCrop>false</ScaleCrop>
  <LinksUpToDate>false</LinksUpToDate>
  <CharactersWithSpaces>1108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2025-06-08T23:33:00Z</dcterms:created>
  <dc:creator>220375721</dc:creator>
  <cp:lastModifiedBy>马糯糯</cp:lastModifiedBy>
  <dcterms:modified xsi:type="dcterms:W3CDTF">2025-07-30T03:04:28Z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37241A96BADF41EA8D0E0D5C193A6C2B_11</vt:lpwstr>
  </property>
  <property fmtid="{D5CDD505-2E9C-101B-9397-08002B2CF9AE}" pid="4" name="KSOTemplateDocerSaveRecord">
    <vt:lpwstr>eyJoZGlkIjoiOWFhMTJkN2M5MzNmZjA1ODQ1Njc3MmMwNTk4NmNkMDciLCJ1c2VySWQiOiIzOTEyNDkzNjkifQ==</vt:lpwstr>
  </property>
</Properties>
</file>