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2420F">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bCs/>
          <w:color w:val="auto"/>
          <w:sz w:val="72"/>
          <w:highlight w:val="none"/>
        </w:rPr>
        <w:cr/>
      </w:r>
    </w:p>
    <w:p w14:paraId="71F4889B">
      <w:pPr>
        <w:pStyle w:val="3"/>
        <w:rPr>
          <w:rFonts w:hint="eastAsia"/>
          <w:color w:val="auto"/>
          <w:highlight w:val="none"/>
        </w:rPr>
      </w:pPr>
    </w:p>
    <w:p w14:paraId="0346017F">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r>
        <w:rPr>
          <w:rFonts w:hint="eastAsia" w:ascii="宋体" w:hAnsi="宋体" w:eastAsia="宋体" w:cs="宋体"/>
          <w:b/>
          <w:color w:val="auto"/>
          <w:sz w:val="84"/>
          <w:szCs w:val="84"/>
          <w:highlight w:val="none"/>
        </w:rPr>
        <w:cr/>
      </w:r>
      <w:r>
        <w:rPr>
          <w:rFonts w:hint="eastAsia" w:ascii="宋体" w:hAnsi="宋体" w:eastAsia="宋体" w:cs="宋体"/>
          <w:b/>
          <w:color w:val="auto"/>
          <w:sz w:val="84"/>
          <w:szCs w:val="84"/>
          <w:highlight w:val="none"/>
        </w:rPr>
        <w:cr/>
      </w:r>
    </w:p>
    <w:p w14:paraId="4C8AE96A">
      <w:pPr>
        <w:pStyle w:val="11"/>
        <w:ind w:firstLine="3990" w:firstLineChars="1900"/>
        <w:rPr>
          <w:rFonts w:hint="eastAsia" w:ascii="宋体" w:hAnsi="宋体" w:eastAsia="宋体" w:cs="宋体"/>
          <w:color w:val="auto"/>
          <w:highlight w:val="none"/>
        </w:rPr>
      </w:pPr>
    </w:p>
    <w:p w14:paraId="5FBDE73D">
      <w:pPr>
        <w:pStyle w:val="11"/>
        <w:rPr>
          <w:rFonts w:hint="eastAsia" w:ascii="宋体" w:hAnsi="宋体" w:eastAsia="宋体" w:cs="宋体"/>
          <w:color w:val="auto"/>
          <w:highlight w:val="none"/>
        </w:rPr>
      </w:pPr>
    </w:p>
    <w:p w14:paraId="2E4866C8">
      <w:pPr>
        <w:ind w:left="2082" w:leftChars="304" w:hanging="1444" w:hangingChars="400"/>
        <w:jc w:val="both"/>
        <w:rPr>
          <w:rFonts w:hint="eastAsia" w:ascii="宋体" w:hAnsi="宋体" w:eastAsia="宋体" w:cs="宋体"/>
          <w:b/>
          <w:bCs/>
          <w:color w:val="auto"/>
          <w:spacing w:val="40"/>
          <w:sz w:val="28"/>
          <w:szCs w:val="22"/>
          <w:highlight w:val="none"/>
          <w:lang w:val="en-US" w:eastAsia="zh-CN"/>
        </w:rPr>
      </w:pPr>
      <w:r>
        <w:rPr>
          <w:rFonts w:hint="eastAsia" w:ascii="宋体" w:hAnsi="宋体" w:eastAsia="宋体" w:cs="宋体"/>
          <w:b/>
          <w:bCs/>
          <w:color w:val="auto"/>
          <w:spacing w:val="40"/>
          <w:sz w:val="28"/>
          <w:szCs w:val="22"/>
          <w:highlight w:val="none"/>
        </w:rPr>
        <w:t>项目名称：</w:t>
      </w:r>
      <w:r>
        <w:rPr>
          <w:rFonts w:hint="eastAsia" w:ascii="宋体" w:hAnsi="宋体" w:cs="宋体"/>
          <w:b/>
          <w:bCs/>
          <w:color w:val="auto"/>
          <w:spacing w:val="40"/>
          <w:sz w:val="28"/>
          <w:szCs w:val="22"/>
          <w:highlight w:val="none"/>
          <w:lang w:eastAsia="zh-CN"/>
        </w:rPr>
        <w:t>兴安严关修缮工程</w:t>
      </w:r>
    </w:p>
    <w:p w14:paraId="1B5A9979">
      <w:pPr>
        <w:ind w:firstLine="722" w:firstLineChars="200"/>
        <w:rPr>
          <w:rFonts w:hint="default" w:ascii="宋体" w:hAnsi="宋体" w:eastAsia="宋体" w:cs="宋体"/>
          <w:color w:val="auto"/>
          <w:highlight w:val="none"/>
          <w:lang w:val="en-US"/>
        </w:rPr>
      </w:pPr>
      <w:r>
        <w:rPr>
          <w:rFonts w:hint="eastAsia" w:ascii="宋体" w:hAnsi="宋体" w:eastAsia="宋体" w:cs="宋体"/>
          <w:b/>
          <w:bCs/>
          <w:color w:val="auto"/>
          <w:spacing w:val="40"/>
          <w:sz w:val="28"/>
          <w:szCs w:val="22"/>
          <w:highlight w:val="none"/>
        </w:rPr>
        <w:t>项目编号</w:t>
      </w:r>
      <w:r>
        <w:rPr>
          <w:rFonts w:hint="eastAsia" w:ascii="宋体" w:hAnsi="宋体" w:eastAsia="宋体" w:cs="宋体"/>
          <w:b/>
          <w:bCs/>
          <w:color w:val="auto"/>
          <w:spacing w:val="40"/>
          <w:sz w:val="28"/>
          <w:szCs w:val="22"/>
          <w:highlight w:val="none"/>
          <w:lang w:eastAsia="zh-CN"/>
        </w:rPr>
        <w:t>：</w:t>
      </w:r>
      <w:r>
        <w:rPr>
          <w:rFonts w:hint="eastAsia" w:ascii="宋体" w:hAnsi="宋体" w:cs="宋体"/>
          <w:b/>
          <w:bCs/>
          <w:color w:val="auto"/>
          <w:spacing w:val="40"/>
          <w:sz w:val="28"/>
          <w:szCs w:val="22"/>
          <w:highlight w:val="none"/>
          <w:lang w:eastAsia="zh-CN"/>
        </w:rPr>
        <w:t>GLZC2025-C2-250034-ZCJS</w:t>
      </w:r>
    </w:p>
    <w:p w14:paraId="0BAEE7AD">
      <w:pPr>
        <w:ind w:firstLine="401" w:firstLineChars="100"/>
        <w:jc w:val="both"/>
        <w:rPr>
          <w:rFonts w:hint="default" w:ascii="宋体" w:hAnsi="宋体" w:eastAsia="宋体" w:cs="宋体"/>
          <w:b/>
          <w:bCs/>
          <w:color w:val="auto"/>
          <w:spacing w:val="40"/>
          <w:sz w:val="32"/>
          <w:highlight w:val="none"/>
          <w:lang w:val="en-US"/>
        </w:rPr>
      </w:pPr>
    </w:p>
    <w:p w14:paraId="064585B5">
      <w:pPr>
        <w:ind w:firstLine="1050" w:firstLineChars="500"/>
        <w:rPr>
          <w:rFonts w:hint="eastAsia" w:ascii="宋体" w:hAnsi="宋体" w:eastAsia="宋体" w:cs="宋体"/>
          <w:color w:val="auto"/>
          <w:highlight w:val="none"/>
        </w:rPr>
      </w:pPr>
    </w:p>
    <w:p w14:paraId="4AEB009B">
      <w:pPr>
        <w:ind w:firstLine="1050" w:firstLineChars="500"/>
        <w:rPr>
          <w:rFonts w:hint="eastAsia" w:ascii="宋体" w:hAnsi="宋体" w:eastAsia="宋体" w:cs="宋体"/>
          <w:color w:val="auto"/>
          <w:highlight w:val="none"/>
        </w:rPr>
      </w:pPr>
    </w:p>
    <w:p w14:paraId="0A47D815">
      <w:pPr>
        <w:ind w:firstLine="1050" w:firstLineChars="500"/>
        <w:rPr>
          <w:rFonts w:hint="eastAsia" w:ascii="宋体" w:hAnsi="宋体" w:eastAsia="宋体" w:cs="宋体"/>
          <w:color w:val="auto"/>
          <w:highlight w:val="none"/>
        </w:rPr>
      </w:pPr>
    </w:p>
    <w:p w14:paraId="32B345F0">
      <w:pPr>
        <w:pStyle w:val="8"/>
        <w:rPr>
          <w:rFonts w:hint="eastAsia"/>
          <w:color w:val="auto"/>
          <w:highlight w:val="none"/>
        </w:rPr>
      </w:pPr>
    </w:p>
    <w:p w14:paraId="6FD6BA02">
      <w:pPr>
        <w:ind w:left="-2" w:leftChars="-1" w:firstLine="630" w:firstLineChars="300"/>
        <w:rPr>
          <w:rFonts w:hint="eastAsia" w:ascii="宋体" w:hAnsi="宋体" w:eastAsia="宋体" w:cs="宋体"/>
          <w:color w:val="auto"/>
          <w:highlight w:val="none"/>
        </w:rPr>
      </w:pPr>
    </w:p>
    <w:p w14:paraId="156F55D4">
      <w:pPr>
        <w:ind w:left="-2" w:leftChars="-1" w:firstLine="630" w:firstLineChars="300"/>
        <w:rPr>
          <w:rFonts w:hint="eastAsia" w:ascii="宋体" w:hAnsi="宋体" w:eastAsia="宋体" w:cs="宋体"/>
          <w:color w:val="auto"/>
          <w:highlight w:val="none"/>
        </w:rPr>
      </w:pPr>
    </w:p>
    <w:p w14:paraId="590A3F38">
      <w:pPr>
        <w:ind w:left="-2" w:leftChars="-1" w:firstLine="630" w:firstLineChars="300"/>
        <w:rPr>
          <w:rFonts w:hint="eastAsia" w:ascii="宋体" w:hAnsi="宋体" w:eastAsia="宋体" w:cs="宋体"/>
          <w:color w:val="auto"/>
          <w:highlight w:val="none"/>
        </w:rPr>
      </w:pPr>
    </w:p>
    <w:p w14:paraId="6A5715AF">
      <w:pPr>
        <w:pStyle w:val="12"/>
        <w:rPr>
          <w:rFonts w:hint="eastAsia"/>
          <w:color w:val="auto"/>
          <w:highlight w:val="none"/>
        </w:rPr>
      </w:pPr>
    </w:p>
    <w:p w14:paraId="0533A5C8">
      <w:pPr>
        <w:ind w:firstLine="643" w:firstLineChars="200"/>
        <w:rPr>
          <w:rFonts w:hint="eastAsia" w:ascii="宋体" w:hAnsi="宋体" w:eastAsia="宋体" w:cs="宋体"/>
          <w:color w:val="auto"/>
          <w:sz w:val="32"/>
          <w:szCs w:val="32"/>
          <w:highlight w:val="none"/>
        </w:rPr>
      </w:pP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采购代理机构：</w:t>
      </w:r>
      <w:r>
        <w:rPr>
          <w:rFonts w:hint="eastAsia" w:ascii="宋体" w:hAnsi="宋体" w:cs="宋体"/>
          <w:b/>
          <w:bCs/>
          <w:color w:val="auto"/>
          <w:sz w:val="32"/>
          <w:highlight w:val="none"/>
          <w:lang w:eastAsia="zh-CN"/>
        </w:rPr>
        <w:t>广西中承建设工程咨询有限公司</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pacing w:val="40"/>
          <w:kern w:val="0"/>
          <w:sz w:val="32"/>
          <w:highlight w:val="none"/>
        </w:rPr>
        <w:t xml:space="preserve">           </w:t>
      </w:r>
      <w:r>
        <w:rPr>
          <w:rFonts w:hint="eastAsia" w:ascii="宋体" w:hAnsi="宋体" w:eastAsia="宋体" w:cs="宋体"/>
          <w:color w:val="auto"/>
          <w:sz w:val="32"/>
          <w:szCs w:val="32"/>
          <w:highlight w:val="none"/>
        </w:rPr>
        <w:t xml:space="preserve">     </w:t>
      </w:r>
    </w:p>
    <w:p w14:paraId="2AC833F4">
      <w:pPr>
        <w:ind w:firstLine="3694" w:firstLineChars="1150"/>
        <w:rPr>
          <w:rFonts w:hint="eastAsia" w:ascii="宋体" w:hAnsi="宋体" w:eastAsia="宋体" w:cs="宋体"/>
          <w:color w:val="auto"/>
          <w:sz w:val="32"/>
          <w:highlight w:val="none"/>
        </w:rPr>
      </w:pPr>
      <w:r>
        <w:rPr>
          <w:rFonts w:hint="eastAsia" w:ascii="宋体" w:hAnsi="宋体" w:eastAsia="宋体" w:cs="宋体"/>
          <w:b/>
          <w:bCs/>
          <w:color w:val="auto"/>
          <w:sz w:val="32"/>
          <w:highlight w:val="none"/>
          <w:lang w:val="en-US" w:eastAsia="zh-CN"/>
        </w:rPr>
        <w:t>202</w:t>
      </w:r>
      <w:r>
        <w:rPr>
          <w:rFonts w:hint="eastAsia" w:ascii="宋体" w:hAnsi="宋体" w:cs="宋体"/>
          <w:b/>
          <w:bCs/>
          <w:color w:val="auto"/>
          <w:sz w:val="32"/>
          <w:highlight w:val="none"/>
          <w:lang w:val="en-US" w:eastAsia="zh-CN"/>
        </w:rPr>
        <w:t>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lang w:val="en-US" w:eastAsia="zh-CN"/>
        </w:rPr>
        <w:t>6</w:t>
      </w:r>
      <w:r>
        <w:rPr>
          <w:rFonts w:hint="eastAsia" w:ascii="宋体" w:hAnsi="宋体" w:eastAsia="宋体" w:cs="宋体"/>
          <w:b/>
          <w:bCs/>
          <w:color w:val="auto"/>
          <w:sz w:val="32"/>
          <w:highlight w:val="none"/>
        </w:rPr>
        <w:t>月</w:t>
      </w:r>
    </w:p>
    <w:p w14:paraId="1B948F10">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p>
    <w:p w14:paraId="244B6833">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start="1"/>
          <w:cols w:space="720" w:num="1"/>
          <w:titlePg/>
          <w:docGrid w:type="lines" w:linePitch="312" w:charSpace="0"/>
        </w:sectPr>
      </w:pPr>
    </w:p>
    <w:p w14:paraId="7EB01604">
      <w:pPr>
        <w:rPr>
          <w:rFonts w:hint="eastAsia"/>
          <w:color w:val="auto"/>
          <w:highlight w:val="none"/>
          <w:lang w:eastAsia="zh-CN"/>
        </w:rPr>
      </w:pPr>
    </w:p>
    <w:p w14:paraId="6F278914">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48"/>
          <w:szCs w:val="48"/>
          <w:highlight w:val="none"/>
          <w:lang w:eastAsia="zh-CN"/>
        </w:rPr>
      </w:pPr>
      <w:r>
        <w:rPr>
          <w:rFonts w:hint="eastAsia" w:ascii="宋体" w:hAnsi="宋体" w:eastAsia="宋体" w:cs="宋体"/>
          <w:b/>
          <w:color w:val="auto"/>
          <w:spacing w:val="-6"/>
          <w:kern w:val="0"/>
          <w:sz w:val="48"/>
          <w:szCs w:val="48"/>
          <w:highlight w:val="none"/>
          <w:lang w:eastAsia="zh-CN"/>
        </w:rPr>
        <w:t>目</w:t>
      </w:r>
      <w:r>
        <w:rPr>
          <w:rFonts w:hint="eastAsia" w:ascii="宋体" w:hAnsi="宋体" w:eastAsia="宋体" w:cs="宋体"/>
          <w:b/>
          <w:color w:val="auto"/>
          <w:spacing w:val="-6"/>
          <w:kern w:val="0"/>
          <w:sz w:val="48"/>
          <w:szCs w:val="48"/>
          <w:highlight w:val="none"/>
          <w:lang w:val="en-US" w:eastAsia="zh-CN"/>
        </w:rPr>
        <w:t xml:space="preserve">  </w:t>
      </w:r>
      <w:r>
        <w:rPr>
          <w:rFonts w:hint="eastAsia" w:ascii="宋体" w:hAnsi="宋体" w:eastAsia="宋体" w:cs="宋体"/>
          <w:b/>
          <w:color w:val="auto"/>
          <w:spacing w:val="-6"/>
          <w:kern w:val="0"/>
          <w:sz w:val="48"/>
          <w:szCs w:val="48"/>
          <w:highlight w:val="none"/>
          <w:lang w:eastAsia="zh-CN"/>
        </w:rPr>
        <w:t>录</w:t>
      </w:r>
    </w:p>
    <w:p w14:paraId="6E3DAA84">
      <w:pPr>
        <w:rPr>
          <w:rFonts w:hint="eastAsia"/>
          <w:color w:val="auto"/>
          <w:highlight w:val="none"/>
          <w:lang w:eastAsia="zh-CN"/>
        </w:rPr>
      </w:pPr>
    </w:p>
    <w:p w14:paraId="74CD16BB">
      <w:pPr>
        <w:pStyle w:val="14"/>
        <w:tabs>
          <w:tab w:val="right" w:leader="dot" w:pos="9660"/>
        </w:tabs>
        <w:rPr>
          <w:color w:val="auto"/>
          <w:sz w:val="28"/>
          <w:szCs w:val="36"/>
          <w:highlight w:val="none"/>
        </w:rPr>
      </w:pPr>
      <w:r>
        <w:rPr>
          <w:rFonts w:hint="eastAsia" w:ascii="宋体" w:hAnsi="宋体" w:eastAsia="宋体" w:cs="宋体"/>
          <w:b/>
          <w:color w:val="auto"/>
          <w:spacing w:val="-6"/>
          <w:kern w:val="0"/>
          <w:sz w:val="48"/>
          <w:szCs w:val="48"/>
          <w:highlight w:val="none"/>
        </w:rPr>
        <w:fldChar w:fldCharType="begin"/>
      </w:r>
      <w:r>
        <w:rPr>
          <w:rFonts w:hint="eastAsia" w:ascii="宋体" w:hAnsi="宋体" w:eastAsia="宋体" w:cs="宋体"/>
          <w:b/>
          <w:color w:val="auto"/>
          <w:spacing w:val="-6"/>
          <w:kern w:val="0"/>
          <w:sz w:val="48"/>
          <w:szCs w:val="48"/>
          <w:highlight w:val="none"/>
        </w:rPr>
        <w:instrText xml:space="preserve">TOC \o "1-2" \h \u </w:instrText>
      </w:r>
      <w:r>
        <w:rPr>
          <w:rFonts w:hint="eastAsia" w:ascii="宋体" w:hAnsi="宋体" w:eastAsia="宋体" w:cs="宋体"/>
          <w:b/>
          <w:color w:val="auto"/>
          <w:spacing w:val="-6"/>
          <w:kern w:val="0"/>
          <w:sz w:val="48"/>
          <w:szCs w:val="48"/>
          <w:highlight w:val="none"/>
        </w:rPr>
        <w:fldChar w:fldCharType="separate"/>
      </w: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_Toc8943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第一章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_Toc8943 \h </w:instrText>
      </w:r>
      <w:r>
        <w:rPr>
          <w:color w:val="auto"/>
          <w:sz w:val="28"/>
          <w:szCs w:val="36"/>
          <w:highlight w:val="none"/>
        </w:rPr>
        <w:fldChar w:fldCharType="separate"/>
      </w:r>
      <w:r>
        <w:rPr>
          <w:color w:val="auto"/>
          <w:sz w:val="28"/>
          <w:szCs w:val="36"/>
          <w:highlight w:val="none"/>
        </w:rPr>
        <w:t>2</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6878AA57">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_Toc11572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第二章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供应商须知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_Toc11572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22F1945F">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_Toc18727 </w:instrText>
      </w:r>
      <w:r>
        <w:rPr>
          <w:rFonts w:hint="eastAsia" w:ascii="宋体" w:hAnsi="宋体" w:eastAsia="宋体" w:cs="宋体"/>
          <w:color w:val="auto"/>
          <w:spacing w:val="-6"/>
          <w:kern w:val="0"/>
          <w:sz w:val="28"/>
          <w:szCs w:val="48"/>
          <w:highlight w:val="none"/>
        </w:rPr>
        <w:fldChar w:fldCharType="separate"/>
      </w:r>
      <w:r>
        <w:rPr>
          <w:rFonts w:hint="eastAsia"/>
          <w:color w:val="auto"/>
          <w:sz w:val="28"/>
          <w:szCs w:val="44"/>
          <w:highlight w:val="none"/>
        </w:rPr>
        <w:t xml:space="preserve">第三章 </w:t>
      </w:r>
      <w:r>
        <w:rPr>
          <w:rFonts w:hint="eastAsia"/>
          <w:color w:val="auto"/>
          <w:sz w:val="28"/>
          <w:szCs w:val="44"/>
          <w:highlight w:val="none"/>
          <w:lang w:eastAsia="zh-CN"/>
        </w:rPr>
        <w:t>工程量清单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_Toc18727 \h </w:instrText>
      </w:r>
      <w:r>
        <w:rPr>
          <w:color w:val="auto"/>
          <w:sz w:val="28"/>
          <w:szCs w:val="36"/>
          <w:highlight w:val="none"/>
        </w:rPr>
        <w:fldChar w:fldCharType="separate"/>
      </w:r>
      <w:r>
        <w:rPr>
          <w:color w:val="auto"/>
          <w:sz w:val="28"/>
          <w:szCs w:val="36"/>
          <w:highlight w:val="none"/>
        </w:rPr>
        <w:t>- 26 -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0A43F575">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_Toc4390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第四章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评审办法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_Toc4390 \h </w:instrText>
      </w:r>
      <w:r>
        <w:rPr>
          <w:color w:val="auto"/>
          <w:sz w:val="28"/>
          <w:szCs w:val="36"/>
          <w:highlight w:val="none"/>
        </w:rPr>
        <w:fldChar w:fldCharType="separate"/>
      </w:r>
      <w:r>
        <w:rPr>
          <w:color w:val="auto"/>
          <w:sz w:val="28"/>
          <w:szCs w:val="36"/>
          <w:highlight w:val="none"/>
        </w:rPr>
        <w:t>- 27 -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771301D9">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_Toc29318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第五章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采购合同（合同主要条款及格式）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_Toc29318 \h </w:instrText>
      </w:r>
      <w:r>
        <w:rPr>
          <w:color w:val="auto"/>
          <w:sz w:val="28"/>
          <w:szCs w:val="36"/>
          <w:highlight w:val="none"/>
        </w:rPr>
        <w:fldChar w:fldCharType="separate"/>
      </w:r>
      <w:r>
        <w:rPr>
          <w:color w:val="auto"/>
          <w:sz w:val="28"/>
          <w:szCs w:val="36"/>
          <w:highlight w:val="none"/>
        </w:rPr>
        <w:t>- 32 -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1EF39827">
      <w:pPr>
        <w:pStyle w:val="15"/>
        <w:tabs>
          <w:tab w:val="right" w:leader="dot" w:pos="9660"/>
        </w:tabs>
        <w:ind w:left="0" w:leftChars="0" w:firstLine="0" w:firstLineChars="0"/>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_Toc25671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bCs/>
          <w:color w:val="auto"/>
          <w:kern w:val="44"/>
          <w:sz w:val="28"/>
          <w:szCs w:val="44"/>
          <w:highlight w:val="none"/>
        </w:rPr>
        <w:t xml:space="preserve">第六章 </w:t>
      </w:r>
      <w:r>
        <w:rPr>
          <w:rFonts w:hint="eastAsia" w:ascii="宋体" w:hAnsi="宋体" w:eastAsia="宋体" w:cs="宋体"/>
          <w:bCs/>
          <w:color w:val="auto"/>
          <w:sz w:val="28"/>
          <w:szCs w:val="44"/>
          <w:highlight w:val="none"/>
        </w:rPr>
        <w:t>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_Toc25671 \h </w:instrText>
      </w:r>
      <w:r>
        <w:rPr>
          <w:color w:val="auto"/>
          <w:sz w:val="28"/>
          <w:szCs w:val="36"/>
          <w:highlight w:val="none"/>
        </w:rPr>
        <w:fldChar w:fldCharType="separate"/>
      </w:r>
      <w:r>
        <w:rPr>
          <w:color w:val="auto"/>
          <w:sz w:val="28"/>
          <w:szCs w:val="36"/>
          <w:highlight w:val="none"/>
        </w:rPr>
        <w:t>77</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1357532F">
      <w:pPr>
        <w:pStyle w:val="14"/>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_Toc26676 </w:instrText>
      </w:r>
      <w:r>
        <w:rPr>
          <w:rFonts w:hint="eastAsia" w:ascii="宋体" w:hAnsi="宋体" w:eastAsia="宋体" w:cs="宋体"/>
          <w:color w:val="auto"/>
          <w:spacing w:val="-6"/>
          <w:kern w:val="0"/>
          <w:sz w:val="28"/>
          <w:szCs w:val="48"/>
          <w:highlight w:val="none"/>
        </w:rPr>
        <w:fldChar w:fldCharType="separate"/>
      </w:r>
      <w:r>
        <w:rPr>
          <w:rFonts w:hint="eastAsia"/>
          <w:color w:val="auto"/>
          <w:sz w:val="28"/>
          <w:szCs w:val="36"/>
          <w:highlight w:val="none"/>
        </w:rPr>
        <w:t>第七章、图纸</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_Toc26676 \h </w:instrText>
      </w:r>
      <w:r>
        <w:rPr>
          <w:color w:val="auto"/>
          <w:sz w:val="28"/>
          <w:szCs w:val="36"/>
          <w:highlight w:val="none"/>
        </w:rPr>
        <w:fldChar w:fldCharType="separate"/>
      </w:r>
      <w:r>
        <w:rPr>
          <w:color w:val="auto"/>
          <w:sz w:val="28"/>
          <w:szCs w:val="36"/>
          <w:highlight w:val="none"/>
        </w:rPr>
        <w:t>101</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6CC5A8A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36"/>
          <w:szCs w:val="36"/>
          <w:highlight w:val="none"/>
        </w:rPr>
      </w:pPr>
      <w:r>
        <w:rPr>
          <w:rFonts w:hint="eastAsia" w:ascii="宋体" w:hAnsi="宋体" w:eastAsia="宋体" w:cs="宋体"/>
          <w:color w:val="auto"/>
          <w:spacing w:val="-6"/>
          <w:kern w:val="0"/>
          <w:sz w:val="28"/>
          <w:szCs w:val="48"/>
          <w:highlight w:val="none"/>
        </w:rPr>
        <w:fldChar w:fldCharType="end"/>
      </w:r>
    </w:p>
    <w:p w14:paraId="3DE3DEAD">
      <w:pPr>
        <w:pStyle w:val="3"/>
        <w:rPr>
          <w:rFonts w:hint="eastAsia" w:ascii="宋体" w:hAnsi="宋体" w:eastAsia="宋体" w:cs="宋体"/>
          <w:color w:val="auto"/>
          <w:spacing w:val="-6"/>
          <w:kern w:val="0"/>
          <w:sz w:val="24"/>
          <w:szCs w:val="24"/>
          <w:highlight w:val="none"/>
        </w:rPr>
      </w:pPr>
    </w:p>
    <w:p w14:paraId="709C8264">
      <w:pPr>
        <w:rPr>
          <w:rFonts w:hint="eastAsia" w:ascii="宋体" w:hAnsi="宋体" w:eastAsia="宋体" w:cs="宋体"/>
          <w:color w:val="auto"/>
          <w:spacing w:val="-6"/>
          <w:kern w:val="0"/>
          <w:sz w:val="24"/>
          <w:szCs w:val="24"/>
          <w:highlight w:val="none"/>
        </w:rPr>
      </w:pPr>
    </w:p>
    <w:p w14:paraId="1E600F26">
      <w:pPr>
        <w:pStyle w:val="3"/>
        <w:rPr>
          <w:rFonts w:hint="eastAsia" w:ascii="宋体" w:hAnsi="宋体" w:eastAsia="宋体" w:cs="宋体"/>
          <w:color w:val="auto"/>
          <w:spacing w:val="-6"/>
          <w:kern w:val="0"/>
          <w:sz w:val="24"/>
          <w:szCs w:val="24"/>
          <w:highlight w:val="none"/>
        </w:rPr>
      </w:pPr>
    </w:p>
    <w:p w14:paraId="5799FB52">
      <w:pPr>
        <w:rPr>
          <w:rFonts w:hint="eastAsia" w:ascii="宋体" w:hAnsi="宋体" w:eastAsia="宋体" w:cs="宋体"/>
          <w:color w:val="auto"/>
          <w:spacing w:val="-6"/>
          <w:kern w:val="0"/>
          <w:sz w:val="24"/>
          <w:szCs w:val="24"/>
          <w:highlight w:val="none"/>
        </w:rPr>
      </w:pPr>
    </w:p>
    <w:p w14:paraId="20768739">
      <w:pPr>
        <w:pStyle w:val="3"/>
        <w:rPr>
          <w:rFonts w:hint="eastAsia" w:ascii="宋体" w:hAnsi="宋体" w:eastAsia="宋体" w:cs="宋体"/>
          <w:color w:val="auto"/>
          <w:spacing w:val="-6"/>
          <w:kern w:val="0"/>
          <w:sz w:val="24"/>
          <w:szCs w:val="24"/>
          <w:highlight w:val="none"/>
        </w:rPr>
      </w:pPr>
    </w:p>
    <w:p w14:paraId="309D2B69">
      <w:pPr>
        <w:rPr>
          <w:color w:val="auto"/>
          <w:highlight w:val="none"/>
        </w:rPr>
      </w:pPr>
    </w:p>
    <w:p w14:paraId="24EC226D">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decimal" w:start="1"/>
          <w:cols w:space="720" w:num="1"/>
          <w:titlePg/>
          <w:docGrid w:type="lines" w:linePitch="312" w:charSpace="0"/>
        </w:sectPr>
      </w:pPr>
      <w:bookmarkStart w:id="0" w:name="_Toc30170"/>
      <w:bookmarkStart w:id="1" w:name="_Toc26809"/>
      <w:bookmarkStart w:id="2" w:name="_Toc35393797"/>
      <w:bookmarkStart w:id="3" w:name="_Toc28359011"/>
      <w:bookmarkStart w:id="4" w:name="_Toc21930"/>
    </w:p>
    <w:p w14:paraId="6622D66E">
      <w:pPr>
        <w:pStyle w:val="2"/>
        <w:numPr>
          <w:ilvl w:val="0"/>
          <w:numId w:val="0"/>
        </w:numPr>
        <w:tabs>
          <w:tab w:val="left" w:pos="0"/>
        </w:tabs>
        <w:autoSpaceDE w:val="0"/>
        <w:autoSpaceDN w:val="0"/>
        <w:adjustRightInd w:val="0"/>
        <w:spacing w:before="0" w:after="0" w:line="360" w:lineRule="auto"/>
        <w:ind w:left="425" w:leftChars="0"/>
        <w:jc w:val="center"/>
        <w:rPr>
          <w:rFonts w:hint="eastAsia" w:ascii="宋体" w:hAnsi="宋体" w:eastAsia="宋体" w:cs="宋体"/>
          <w:color w:val="auto"/>
          <w:sz w:val="32"/>
          <w:szCs w:val="32"/>
          <w:highlight w:val="none"/>
        </w:rPr>
      </w:pPr>
      <w:bookmarkStart w:id="5" w:name="_Toc8943"/>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竞争性磋商公告</w:t>
      </w:r>
      <w:bookmarkEnd w:id="0"/>
      <w:bookmarkEnd w:id="1"/>
      <w:bookmarkEnd w:id="2"/>
      <w:bookmarkEnd w:id="3"/>
      <w:bookmarkEnd w:id="4"/>
      <w:bookmarkEnd w:id="5"/>
    </w:p>
    <w:tbl>
      <w:tblPr>
        <w:tblStyle w:val="27"/>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0318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320" w:type="dxa"/>
            <w:noWrap w:val="0"/>
            <w:vAlign w:val="top"/>
          </w:tcPr>
          <w:p w14:paraId="39BDF1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w:t>
            </w:r>
            <w:r>
              <w:rPr>
                <w:rFonts w:hint="eastAsia" w:ascii="宋体" w:hAnsi="宋体" w:cs="宋体"/>
                <w:b w:val="0"/>
                <w:bCs w:val="0"/>
                <w:color w:val="auto"/>
                <w:kern w:val="2"/>
                <w:sz w:val="21"/>
                <w:szCs w:val="21"/>
                <w:highlight w:val="none"/>
                <w:u w:val="single"/>
                <w:lang w:val="en-US" w:eastAsia="zh-CN" w:bidi="ar-SA"/>
              </w:rPr>
              <w:t>兴安严关修缮工程</w:t>
            </w:r>
            <w:r>
              <w:rPr>
                <w:rFonts w:hint="eastAsia" w:ascii="宋体" w:hAnsi="宋体" w:eastAsia="宋体" w:cs="宋体"/>
                <w:b w:val="0"/>
                <w:bCs w:val="0"/>
                <w:color w:val="auto"/>
                <w:kern w:val="2"/>
                <w:sz w:val="21"/>
                <w:szCs w:val="21"/>
                <w:highlight w:val="none"/>
                <w:lang w:val="en-US" w:eastAsia="zh-CN" w:bidi="ar-SA"/>
              </w:rPr>
              <w:t>的潜在供应商登陆</w:t>
            </w:r>
            <w:r>
              <w:rPr>
                <w:rFonts w:hint="eastAsia" w:ascii="宋体" w:hAnsi="宋体" w:eastAsia="宋体" w:cs="宋体"/>
                <w:b w:val="0"/>
                <w:bCs w:val="0"/>
                <w:color w:val="auto"/>
                <w:kern w:val="2"/>
                <w:sz w:val="21"/>
                <w:szCs w:val="21"/>
                <w:highlight w:val="none"/>
                <w:u w:val="single"/>
                <w:lang w:val="en-US" w:eastAsia="zh-CN" w:bidi="ar-SA"/>
              </w:rPr>
              <w:t>广西政府采购云平台（ https://www.gcy.zfcg.gxzf.gov.cn/）</w:t>
            </w:r>
            <w:r>
              <w:rPr>
                <w:rFonts w:hint="eastAsia" w:ascii="宋体" w:hAnsi="宋体" w:eastAsia="宋体" w:cs="宋体"/>
                <w:b w:val="0"/>
                <w:bCs w:val="0"/>
                <w:color w:val="auto"/>
                <w:kern w:val="2"/>
                <w:sz w:val="21"/>
                <w:szCs w:val="21"/>
                <w:highlight w:val="none"/>
                <w:lang w:val="en-US" w:eastAsia="zh-CN" w:bidi="ar-SA"/>
              </w:rPr>
              <w:t>获取采购文件，并于</w:t>
            </w:r>
            <w:r>
              <w:rPr>
                <w:rFonts w:hint="eastAsia" w:ascii="宋体" w:hAnsi="宋体" w:cs="宋体"/>
                <w:b w:val="0"/>
                <w:bCs w:val="0"/>
                <w:color w:val="auto"/>
                <w:kern w:val="2"/>
                <w:sz w:val="21"/>
                <w:szCs w:val="21"/>
                <w:highlight w:val="none"/>
                <w:lang w:val="en-US" w:eastAsia="zh-CN" w:bidi="ar-SA"/>
              </w:rPr>
              <w:t>2025年6月24</w:t>
            </w:r>
            <w:r>
              <w:rPr>
                <w:rFonts w:hint="eastAsia" w:ascii="宋体" w:hAnsi="宋体" w:eastAsia="宋体" w:cs="宋体"/>
                <w:b w:val="0"/>
                <w:bCs w:val="0"/>
                <w:color w:val="auto"/>
                <w:kern w:val="2"/>
                <w:sz w:val="21"/>
                <w:szCs w:val="21"/>
                <w:highlight w:val="none"/>
                <w:lang w:val="en-US" w:eastAsia="zh-CN" w:bidi="ar-SA"/>
              </w:rPr>
              <w:t>日09：30（北京时间）前提交响应文件。</w:t>
            </w:r>
          </w:p>
        </w:tc>
      </w:tr>
    </w:tbl>
    <w:p w14:paraId="55FF088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bookmarkStart w:id="6" w:name="_Toc35393629"/>
      <w:bookmarkStart w:id="7" w:name="_Toc35393798"/>
      <w:bookmarkStart w:id="8" w:name="_Toc28359089"/>
      <w:bookmarkStart w:id="9" w:name="_Toc28359012"/>
      <w:r>
        <w:rPr>
          <w:rFonts w:hint="eastAsia" w:ascii="宋体" w:hAnsi="宋体" w:eastAsia="宋体" w:cs="宋体"/>
          <w:b/>
          <w:bCs/>
          <w:color w:val="auto"/>
          <w:sz w:val="21"/>
          <w:szCs w:val="21"/>
          <w:highlight w:val="none"/>
        </w:rPr>
        <w:t>一、项目基本情况</w:t>
      </w:r>
      <w:bookmarkEnd w:id="6"/>
      <w:bookmarkEnd w:id="7"/>
      <w:bookmarkEnd w:id="8"/>
      <w:bookmarkEnd w:id="9"/>
    </w:p>
    <w:p w14:paraId="52D457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10" w:name="_Toc35393630"/>
      <w:bookmarkStart w:id="11" w:name="_Toc28359013"/>
      <w:bookmarkStart w:id="12" w:name="_Toc28359090"/>
      <w:bookmarkStart w:id="13" w:name="_Toc35393799"/>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GLZC2025-C2-250034-ZCJS</w:t>
      </w:r>
    </w:p>
    <w:p w14:paraId="2464E8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兴安严关修缮工程</w:t>
      </w:r>
      <w:r>
        <w:rPr>
          <w:rFonts w:hint="eastAsia" w:ascii="宋体" w:hAnsi="宋体" w:eastAsia="宋体" w:cs="宋体"/>
          <w:color w:val="auto"/>
          <w:sz w:val="21"/>
          <w:szCs w:val="21"/>
          <w:highlight w:val="none"/>
          <w:lang w:val="en-US" w:eastAsia="zh-CN"/>
        </w:rPr>
        <w:t xml:space="preserve"> </w:t>
      </w:r>
    </w:p>
    <w:p w14:paraId="3F8491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采购方式：竞争性磋商 </w:t>
      </w:r>
    </w:p>
    <w:p w14:paraId="4873F2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预算总金额（元）：</w:t>
      </w:r>
      <w:r>
        <w:rPr>
          <w:rFonts w:hint="eastAsia" w:ascii="宋体" w:hAnsi="宋体" w:cs="宋体"/>
          <w:color w:val="auto"/>
          <w:sz w:val="21"/>
          <w:szCs w:val="21"/>
          <w:highlight w:val="none"/>
          <w:lang w:val="en-US" w:eastAsia="zh-CN"/>
        </w:rPr>
        <w:t>2300000.00</w:t>
      </w:r>
    </w:p>
    <w:p w14:paraId="21BD09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064A82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 w:val="21"/>
          <w:szCs w:val="21"/>
          <w:highlight w:val="none"/>
          <w:lang w:val="en-US" w:eastAsia="zh-CN"/>
        </w:rPr>
        <w:t>兴安严关修缮工程</w:t>
      </w:r>
    </w:p>
    <w:p w14:paraId="1AD9C3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数量:不限</w:t>
      </w:r>
    </w:p>
    <w:p w14:paraId="3F8771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2300000.00</w:t>
      </w:r>
    </w:p>
    <w:p w14:paraId="3F8817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对兴安县严关关墙建筑本体修缮及关墙东西两侧环境整治，主要修缮内容为墙体、地面、裂缝灌浆、台明等项目，采用科学合理的技术手段，对严关关墙存在的外鼓、松散、开裂等对墙体结构产生危害的病害进行治理，使建筑的病害得到遏制，消除安全隐患，保证关墙的结构安全。本次工程范围：严关关墙，总建筑面积368.62平方米。具体内容详见施工图纸及工程量清单。</w:t>
      </w:r>
    </w:p>
    <w:p w14:paraId="410E318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2110000.00</w:t>
      </w:r>
    </w:p>
    <w:p w14:paraId="569EDF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合同履约期限：自合同签订之日起</w:t>
      </w:r>
      <w:r>
        <w:rPr>
          <w:rFonts w:hint="eastAsia" w:ascii="宋体" w:hAnsi="宋体" w:cs="宋体"/>
          <w:color w:val="auto"/>
          <w:sz w:val="21"/>
          <w:szCs w:val="21"/>
          <w:highlight w:val="none"/>
          <w:lang w:val="en-US" w:eastAsia="zh-CN"/>
        </w:rPr>
        <w:t>120</w:t>
      </w:r>
      <w:r>
        <w:rPr>
          <w:rFonts w:hint="eastAsia" w:ascii="宋体" w:hAnsi="宋体" w:eastAsia="宋体" w:cs="宋体"/>
          <w:color w:val="auto"/>
          <w:sz w:val="21"/>
          <w:szCs w:val="21"/>
          <w:highlight w:val="none"/>
          <w:lang w:val="en-US" w:eastAsia="zh-CN"/>
        </w:rPr>
        <w:t>个日历天内完工</w:t>
      </w:r>
    </w:p>
    <w:p w14:paraId="463F11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704E2D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cs="宋体"/>
          <w:color w:val="auto"/>
          <w:sz w:val="21"/>
          <w:szCs w:val="21"/>
          <w:highlight w:val="none"/>
          <w:lang w:val="en-US" w:eastAsia="zh-CN"/>
        </w:rPr>
        <w:t>无</w:t>
      </w:r>
    </w:p>
    <w:p w14:paraId="2AFEC1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0"/>
      <w:bookmarkEnd w:id="11"/>
      <w:bookmarkEnd w:id="12"/>
      <w:bookmarkEnd w:id="13"/>
    </w:p>
    <w:p w14:paraId="42C4EB7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04211E6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14" w:name="_Toc28359091"/>
      <w:bookmarkStart w:id="15" w:name="_Toc2835901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14:paraId="1F75904C">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6" w:name="_Toc35393631"/>
      <w:bookmarkStart w:id="17" w:name="_Toc35393800"/>
      <w:r>
        <w:rPr>
          <w:rFonts w:hint="eastAsia" w:ascii="宋体" w:hAnsi="宋体" w:cs="宋体"/>
          <w:color w:val="auto"/>
          <w:sz w:val="21"/>
          <w:szCs w:val="21"/>
          <w:highlight w:val="none"/>
          <w:lang w:val="en-US" w:eastAsia="zh-CN"/>
        </w:rPr>
        <w:t>具备国家文物局颁发的文物保护工程施工二级（含）以上资质</w:t>
      </w:r>
      <w:r>
        <w:rPr>
          <w:rFonts w:hint="eastAsia" w:ascii="宋体" w:hAnsi="宋体" w:eastAsia="宋体" w:cs="宋体"/>
          <w:color w:val="auto"/>
          <w:sz w:val="21"/>
          <w:szCs w:val="21"/>
          <w:highlight w:val="none"/>
          <w:lang w:val="en-US" w:eastAsia="zh-CN"/>
        </w:rPr>
        <w:t>，</w:t>
      </w:r>
      <w:r>
        <w:rPr>
          <w:rFonts w:hint="eastAsia"/>
          <w:color w:val="auto"/>
          <w:sz w:val="21"/>
          <w:szCs w:val="21"/>
          <w:highlight w:val="none"/>
        </w:rPr>
        <w:t>具有有效的安全生产许可证</w:t>
      </w:r>
      <w:r>
        <w:rPr>
          <w:rFonts w:hint="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并在人员、设备、资金等方面具备相应的施工能力。</w:t>
      </w:r>
      <w:r>
        <w:rPr>
          <w:rFonts w:hint="eastAsia" w:ascii="宋体" w:hAnsi="宋体" w:cs="宋体"/>
          <w:color w:val="auto"/>
          <w:sz w:val="21"/>
          <w:szCs w:val="21"/>
          <w:highlight w:val="none"/>
          <w:lang w:val="en-US" w:eastAsia="zh-CN"/>
        </w:rPr>
        <w:t>项目经理须具备相关部门或协会颁发的文物保护工程责任工程师证书，且同时具备有中级（含）以上职称。</w:t>
      </w:r>
    </w:p>
    <w:bookmarkEnd w:id="14"/>
    <w:bookmarkEnd w:id="15"/>
    <w:bookmarkEnd w:id="16"/>
    <w:bookmarkEnd w:id="17"/>
    <w:p w14:paraId="59E7B421">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lang w:eastAsia="zh-CN"/>
        </w:rPr>
      </w:pPr>
      <w:bookmarkStart w:id="18" w:name="_Toc35393623"/>
      <w:bookmarkStart w:id="19" w:name="_Toc35393792"/>
      <w:bookmarkStart w:id="20" w:name="_Toc28359018"/>
      <w:bookmarkStart w:id="21" w:name="_Toc28359095"/>
      <w:bookmarkStart w:id="22" w:name="_Toc35393805"/>
      <w:bookmarkStart w:id="23" w:name="_Toc35393636"/>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8"/>
      <w:bookmarkEnd w:id="19"/>
      <w:r>
        <w:rPr>
          <w:rFonts w:hint="eastAsia" w:ascii="宋体" w:hAnsi="宋体" w:eastAsia="宋体" w:cs="宋体"/>
          <w:b/>
          <w:bCs/>
          <w:color w:val="auto"/>
          <w:sz w:val="21"/>
          <w:szCs w:val="21"/>
          <w:highlight w:val="none"/>
          <w:lang w:eastAsia="zh-CN"/>
        </w:rPr>
        <w:t>：</w:t>
      </w:r>
    </w:p>
    <w:p w14:paraId="6A4AB869">
      <w:pPr>
        <w:spacing w:line="380" w:lineRule="exact"/>
        <w:ind w:firstLine="540"/>
        <w:rPr>
          <w:rFonts w:hint="eastAsia" w:ascii="宋体" w:hAnsi="宋体" w:eastAsia="宋体" w:cs="宋体"/>
          <w:bCs/>
          <w:color w:val="auto"/>
          <w:kern w:val="0"/>
          <w:sz w:val="21"/>
          <w:szCs w:val="21"/>
          <w:highlight w:val="none"/>
        </w:rPr>
      </w:pPr>
      <w:bookmarkStart w:id="24" w:name="_Toc28359005"/>
      <w:bookmarkStart w:id="25" w:name="_Toc28359082"/>
      <w:bookmarkStart w:id="26" w:name="_Toc35393624"/>
      <w:bookmarkStart w:id="27" w:name="_Toc35393793"/>
      <w:r>
        <w:rPr>
          <w:rFonts w:hint="eastAsia" w:ascii="宋体" w:hAnsi="宋体" w:eastAsia="宋体" w:cs="宋体"/>
          <w:bCs/>
          <w:color w:val="auto"/>
          <w:kern w:val="0"/>
          <w:sz w:val="21"/>
          <w:szCs w:val="21"/>
          <w:highlight w:val="none"/>
        </w:rPr>
        <w:t>时间：</w:t>
      </w:r>
      <w:r>
        <w:rPr>
          <w:rFonts w:hint="eastAsia" w:ascii="宋体" w:hAnsi="宋体" w:cs="宋体"/>
          <w:bCs/>
          <w:color w:val="auto"/>
          <w:kern w:val="0"/>
          <w:sz w:val="21"/>
          <w:szCs w:val="21"/>
          <w:highlight w:val="none"/>
          <w:lang w:eastAsia="zh-CN"/>
        </w:rPr>
        <w:t>公告发布之日起</w:t>
      </w:r>
      <w:r>
        <w:rPr>
          <w:rFonts w:hint="eastAsia" w:ascii="宋体" w:hAnsi="宋体" w:eastAsia="宋体" w:cs="宋体"/>
          <w:bCs/>
          <w:color w:val="auto"/>
          <w:kern w:val="0"/>
          <w:sz w:val="21"/>
          <w:szCs w:val="21"/>
          <w:highlight w:val="none"/>
        </w:rPr>
        <w:t>至</w:t>
      </w:r>
      <w:r>
        <w:rPr>
          <w:rFonts w:hint="eastAsia" w:ascii="宋体" w:hAnsi="宋体" w:cs="宋体"/>
          <w:bCs/>
          <w:color w:val="auto"/>
          <w:kern w:val="0"/>
          <w:sz w:val="21"/>
          <w:szCs w:val="21"/>
          <w:highlight w:val="none"/>
          <w:lang w:eastAsia="zh-CN"/>
        </w:rPr>
        <w:t>2025年6月</w:t>
      </w:r>
      <w:r>
        <w:rPr>
          <w:rFonts w:hint="eastAsia" w:ascii="宋体" w:hAnsi="宋体" w:cs="宋体"/>
          <w:bCs/>
          <w:color w:val="auto"/>
          <w:kern w:val="0"/>
          <w:sz w:val="21"/>
          <w:szCs w:val="21"/>
          <w:highlight w:val="none"/>
          <w:lang w:val="en-US" w:eastAsia="zh-CN"/>
        </w:rPr>
        <w:t xml:space="preserve"> 24</w:t>
      </w:r>
      <w:bookmarkStart w:id="241" w:name="_GoBack"/>
      <w:bookmarkEnd w:id="241"/>
      <w:r>
        <w:rPr>
          <w:rFonts w:hint="eastAsia" w:ascii="宋体" w:hAnsi="宋体" w:eastAsia="宋体" w:cs="宋体"/>
          <w:bCs/>
          <w:color w:val="auto"/>
          <w:kern w:val="0"/>
          <w:sz w:val="21"/>
          <w:szCs w:val="21"/>
          <w:highlight w:val="none"/>
        </w:rPr>
        <w:t>日，每天上午00:00至12:00，下午12:00至23:59（北京时间，法定节假日除外）</w:t>
      </w:r>
    </w:p>
    <w:p w14:paraId="163E0955">
      <w:pPr>
        <w:spacing w:line="380" w:lineRule="exact"/>
        <w:ind w:firstLine="54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地点（网址）：</w:t>
      </w:r>
      <w:r>
        <w:rPr>
          <w:rFonts w:hint="eastAsia" w:ascii="宋体" w:hAnsi="宋体" w:eastAsia="宋体" w:cs="宋体"/>
          <w:color w:val="auto"/>
          <w:kern w:val="2"/>
          <w:sz w:val="21"/>
          <w:szCs w:val="21"/>
          <w:highlight w:val="none"/>
          <w:lang w:val="en-US" w:eastAsia="zh-CN"/>
        </w:rPr>
        <w:t>广西政府采购云平台（ https://www.gcy.zfcg.gxzf.gov.cn/）</w:t>
      </w:r>
      <w:r>
        <w:rPr>
          <w:rFonts w:hint="eastAsia" w:ascii="宋体" w:hAnsi="宋体" w:cs="宋体"/>
          <w:color w:val="auto"/>
          <w:kern w:val="2"/>
          <w:sz w:val="21"/>
          <w:szCs w:val="21"/>
          <w:highlight w:val="none"/>
          <w:lang w:val="en-US" w:eastAsia="zh-CN"/>
        </w:rPr>
        <w:t>。</w:t>
      </w:r>
      <w:r>
        <w:rPr>
          <w:rFonts w:hint="eastAsia" w:ascii="宋体" w:hAnsi="宋体" w:eastAsia="宋体" w:cs="宋体"/>
          <w:bCs/>
          <w:color w:val="auto"/>
          <w:kern w:val="0"/>
          <w:sz w:val="21"/>
          <w:szCs w:val="21"/>
          <w:highlight w:val="none"/>
        </w:rPr>
        <w:t>  </w:t>
      </w:r>
    </w:p>
    <w:p w14:paraId="5E1AA450">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kern w:val="2"/>
          <w:sz w:val="21"/>
          <w:szCs w:val="21"/>
          <w:highlight w:val="none"/>
          <w:lang w:val="en-US" w:eastAsia="zh-CN"/>
        </w:rPr>
        <w:t>供应商登录广西政府采购云平台（ https://www.gcy.zfcg.gxzf.gov.cn/）在线申请获取采购文件（进入“项目采购”应用，在获取采购文件菜单中选择项目，申请获取采购文件）</w:t>
      </w:r>
      <w:r>
        <w:rPr>
          <w:rFonts w:hint="eastAsia" w:ascii="宋体" w:hAnsi="宋体" w:eastAsia="宋体" w:cs="宋体"/>
          <w:bCs/>
          <w:color w:val="auto"/>
          <w:kern w:val="0"/>
          <w:sz w:val="21"/>
          <w:szCs w:val="21"/>
          <w:highlight w:val="none"/>
        </w:rPr>
        <w:t>。</w:t>
      </w:r>
    </w:p>
    <w:p w14:paraId="112B85FA">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p>
    <w:p w14:paraId="19A77E56">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24"/>
      <w:bookmarkEnd w:id="25"/>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bookmarkEnd w:id="26"/>
      <w:bookmarkEnd w:id="27"/>
    </w:p>
    <w:p w14:paraId="1B8FB4B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lang w:eastAsia="zh-CN"/>
        </w:rPr>
        <w:t>2025年6月</w:t>
      </w:r>
      <w:r>
        <w:rPr>
          <w:rFonts w:hint="eastAsia" w:ascii="宋体" w:hAnsi="宋体" w:cs="宋体"/>
          <w:color w:val="auto"/>
          <w:sz w:val="21"/>
          <w:szCs w:val="21"/>
          <w:highlight w:val="none"/>
          <w:lang w:val="en-US" w:eastAsia="zh-CN"/>
        </w:rPr>
        <w:t xml:space="preserve"> 24 </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bCs/>
          <w:color w:val="auto"/>
          <w:sz w:val="21"/>
          <w:szCs w:val="21"/>
          <w:highlight w:val="none"/>
        </w:rPr>
        <w:t>（北京时间）。</w:t>
      </w:r>
    </w:p>
    <w:p w14:paraId="765A504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r>
        <w:rPr>
          <w:rFonts w:hint="eastAsia" w:ascii="宋体" w:hAnsi="宋体" w:cs="Times New Roman"/>
          <w:color w:val="auto"/>
          <w:sz w:val="21"/>
          <w:szCs w:val="21"/>
          <w:highlight w:val="none"/>
          <w:lang w:eastAsia="zh-CN"/>
        </w:rPr>
        <w:t>。</w:t>
      </w:r>
    </w:p>
    <w:p w14:paraId="24868F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7A71FE1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2025年6月</w:t>
      </w:r>
      <w:r>
        <w:rPr>
          <w:rFonts w:hint="eastAsia" w:ascii="宋体" w:hAnsi="宋体" w:cs="宋体"/>
          <w:color w:val="auto"/>
          <w:sz w:val="21"/>
          <w:szCs w:val="21"/>
          <w:highlight w:val="none"/>
          <w:lang w:val="en-US" w:eastAsia="zh-CN"/>
        </w:rPr>
        <w:t xml:space="preserve"> 24 </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color w:val="auto"/>
          <w:sz w:val="21"/>
          <w:szCs w:val="21"/>
          <w:highlight w:val="none"/>
        </w:rPr>
        <w:t>（北京时间）截标后。</w:t>
      </w:r>
    </w:p>
    <w:p w14:paraId="2A6C87B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地点：桂林市公共资源交易中心</w:t>
      </w:r>
      <w:r>
        <w:rPr>
          <w:rFonts w:hint="eastAsia" w:ascii="宋体" w:hAnsi="宋体" w:cs="宋体"/>
          <w:b w:val="0"/>
          <w:bCs w:val="0"/>
          <w:color w:val="auto"/>
          <w:sz w:val="21"/>
          <w:szCs w:val="21"/>
          <w:highlight w:val="none"/>
          <w:u w:val="single"/>
          <w:lang w:val="en-US" w:eastAsia="zh-CN"/>
        </w:rPr>
        <w:t xml:space="preserve"> 2 </w:t>
      </w:r>
      <w:r>
        <w:rPr>
          <w:rFonts w:hint="eastAsia" w:ascii="宋体" w:hAnsi="宋体" w:eastAsia="宋体" w:cs="宋体"/>
          <w:b w:val="0"/>
          <w:bCs w:val="0"/>
          <w:color w:val="auto"/>
          <w:sz w:val="21"/>
          <w:szCs w:val="21"/>
          <w:highlight w:val="none"/>
          <w:u w:val="single"/>
          <w:lang w:val="en-US" w:eastAsia="zh-CN"/>
        </w:rPr>
        <w:t>号政采开标仓</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（广西桂林市临桂区西城中路69号创业大厦西辅楼4楼北区）通过广西政府采购云平台实行在线解密开启。</w:t>
      </w:r>
    </w:p>
    <w:p w14:paraId="512053A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28" w:name="_Toc28359007"/>
      <w:bookmarkStart w:id="29" w:name="_Toc35393625"/>
      <w:bookmarkStart w:id="30" w:name="_Toc35393794"/>
      <w:bookmarkStart w:id="31" w:name="_Toc28359084"/>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8"/>
      <w:bookmarkEnd w:id="29"/>
      <w:bookmarkEnd w:id="30"/>
      <w:bookmarkEnd w:id="31"/>
    </w:p>
    <w:p w14:paraId="1A9E17C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6555D2A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highlight w:val="none"/>
        </w:rPr>
      </w:pPr>
      <w:bookmarkStart w:id="32" w:name="_Toc35393795"/>
      <w:bookmarkStart w:id="33" w:name="_Toc35393626"/>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2"/>
      <w:bookmarkEnd w:id="33"/>
    </w:p>
    <w:p w14:paraId="7ABA41F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14:paraId="6BB9F021">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14:paraId="219D4A92">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778D6CF">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本项目信息发布媒体：http://www.ccgp.gov.cn（中国政府采购网）、http://zfcg.gxzf.gov.cn（广西壮族自治区政府采购网）、http://zfcg.czj.guilin.gov.cn（桂林市政府采购网）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lang w:eastAsia="zh-CN"/>
        </w:rPr>
        <w:t>。</w:t>
      </w:r>
    </w:p>
    <w:p w14:paraId="6AECA3ED">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响应文件解密时间：截标时间后30分钟内</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供应商可以登录广西政府采购云平台，用“项目采购-开标评标”功能进行解密</w:t>
      </w:r>
      <w:r>
        <w:rPr>
          <w:rFonts w:hint="eastAsia" w:ascii="宋体" w:hAnsi="宋体" w:eastAsia="宋体" w:cs="宋体"/>
          <w:b w:val="0"/>
          <w:bCs/>
          <w:color w:val="auto"/>
          <w:sz w:val="21"/>
          <w:szCs w:val="21"/>
          <w:highlight w:val="none"/>
          <w:u w:val="none"/>
          <w:lang w:val="en-US" w:eastAsia="zh-CN"/>
        </w:rPr>
        <w:t>电子</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lang w:val="en-US" w:eastAsia="zh-CN"/>
        </w:rPr>
        <w:t>响应</w:t>
      </w:r>
      <w:r>
        <w:rPr>
          <w:rFonts w:hint="eastAsia" w:ascii="宋体" w:hAnsi="宋体" w:eastAsia="宋体" w:cs="宋体"/>
          <w:b w:val="0"/>
          <w:bCs/>
          <w:color w:val="auto"/>
          <w:sz w:val="21"/>
          <w:szCs w:val="21"/>
          <w:highlight w:val="none"/>
          <w:u w:val="none"/>
        </w:rPr>
        <w:t>文件。若</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供应商在规定时间内无法解密或解密失败，可以以电子备份</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响应文件作为依据</w:t>
      </w:r>
      <w:r>
        <w:rPr>
          <w:rFonts w:hint="eastAsia" w:ascii="宋体" w:hAnsi="宋体" w:eastAsia="宋体" w:cs="宋体"/>
          <w:color w:val="auto"/>
          <w:sz w:val="21"/>
          <w:szCs w:val="21"/>
          <w:highlight w:val="none"/>
          <w:u w:val="none"/>
          <w:lang w:eastAsia="zh-CN"/>
        </w:rPr>
        <w:t>【</w:t>
      </w:r>
      <w:r>
        <w:rPr>
          <w:rFonts w:hint="eastAsia" w:ascii="宋体" w:hAnsi="宋体" w:eastAsia="宋体" w:cs="宋体"/>
          <w:b/>
          <w:bCs/>
          <w:color w:val="auto"/>
          <w:sz w:val="21"/>
          <w:szCs w:val="21"/>
          <w:highlight w:val="none"/>
          <w:u w:val="none"/>
          <w:lang w:val="en-US" w:eastAsia="zh-CN"/>
        </w:rPr>
        <w:t>在接到无法解密或解密失败的通知后，供应商可根据自身实际情况按通知时要求的时间到桂林市公共资源交易中心</w:t>
      </w:r>
      <w:r>
        <w:rPr>
          <w:rFonts w:hint="eastAsia" w:ascii="宋体" w:hAnsi="宋体" w:cs="宋体"/>
          <w:b/>
          <w:bCs/>
          <w:color w:val="auto"/>
          <w:sz w:val="21"/>
          <w:szCs w:val="21"/>
          <w:highlight w:val="none"/>
          <w:u w:val="single"/>
          <w:lang w:val="en-US" w:eastAsia="zh-CN"/>
        </w:rPr>
        <w:t xml:space="preserve"> 2 </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现场提交或以电子邮件的形式（以通知时所告知的电子邮箱地址为准）提交电子备份磋商响应文件</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，若</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供应商在规定时间内无法解密或解密失败且未提供电子备份</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响应文件的</w:t>
      </w:r>
      <w:r>
        <w:rPr>
          <w:rFonts w:hint="eastAsia" w:ascii="宋体" w:hAnsi="宋体" w:eastAsia="宋体" w:cs="宋体"/>
          <w:b w:val="0"/>
          <w:bCs/>
          <w:color w:val="auto"/>
          <w:sz w:val="21"/>
          <w:szCs w:val="21"/>
          <w:highlight w:val="none"/>
          <w:u w:val="none"/>
          <w:lang w:val="en-US" w:eastAsia="zh-CN"/>
        </w:rPr>
        <w:t>(包含提供的电子备份文件无效或无法解密的情况)</w:t>
      </w:r>
      <w:r>
        <w:rPr>
          <w:rFonts w:hint="eastAsia" w:ascii="宋体" w:hAnsi="宋体" w:eastAsia="宋体" w:cs="宋体"/>
          <w:b w:val="0"/>
          <w:bCs/>
          <w:color w:val="auto"/>
          <w:sz w:val="21"/>
          <w:szCs w:val="21"/>
          <w:highlight w:val="none"/>
          <w:u w:val="none"/>
        </w:rPr>
        <w:t>，视为</w:t>
      </w:r>
      <w:r>
        <w:rPr>
          <w:rFonts w:hint="eastAsia" w:ascii="宋体" w:hAnsi="宋体" w:eastAsia="宋体" w:cs="宋体"/>
          <w:b w:val="0"/>
          <w:bCs/>
          <w:color w:val="auto"/>
          <w:sz w:val="21"/>
          <w:szCs w:val="21"/>
          <w:highlight w:val="none"/>
          <w:u w:val="none"/>
          <w:lang w:val="en-US" w:eastAsia="zh-CN"/>
        </w:rPr>
        <w:t>无效</w:t>
      </w:r>
      <w:r>
        <w:rPr>
          <w:rFonts w:hint="eastAsia" w:ascii="宋体" w:hAnsi="宋体" w:eastAsia="宋体" w:cs="宋体"/>
          <w:b w:val="0"/>
          <w:bCs/>
          <w:color w:val="auto"/>
          <w:sz w:val="21"/>
          <w:szCs w:val="21"/>
          <w:highlight w:val="none"/>
          <w:u w:val="none"/>
        </w:rPr>
        <w:t>响应</w:t>
      </w:r>
      <w:r>
        <w:rPr>
          <w:rFonts w:hint="eastAsia" w:ascii="宋体" w:hAnsi="宋体" w:eastAsia="宋体" w:cs="宋体"/>
          <w:b w:val="0"/>
          <w:bCs/>
          <w:color w:val="auto"/>
          <w:sz w:val="21"/>
          <w:szCs w:val="21"/>
          <w:highlight w:val="none"/>
          <w:u w:val="none"/>
          <w:lang w:val="en-US" w:eastAsia="zh-CN"/>
        </w:rPr>
        <w:t>。</w:t>
      </w:r>
    </w:p>
    <w:p w14:paraId="1C8D684A">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6、本项目需要落实的政府采购政策：</w:t>
      </w:r>
    </w:p>
    <w:p w14:paraId="725E0EA6">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（1）政府采购促进中小企业发展。</w:t>
      </w:r>
    </w:p>
    <w:p w14:paraId="2828A4E9">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（2）政府采购促进残疾人就业政策。</w:t>
      </w:r>
    </w:p>
    <w:p w14:paraId="2945A88D">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（3）政府采购支持监狱企业发展。</w:t>
      </w:r>
    </w:p>
    <w:p w14:paraId="02F05B9A">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 广西政府采购云平台在线响应（电子响应）相关事宜说明：</w:t>
      </w:r>
    </w:p>
    <w:p w14:paraId="12B7B2CA">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18351B79">
      <w:pPr>
        <w:pStyle w:val="29"/>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1B0111B0">
      <w:pPr>
        <w:pStyle w:val="29"/>
        <w:keepNext w:val="0"/>
        <w:keepLines w:val="0"/>
        <w:pageBreakBefore w:val="0"/>
        <w:widowControl w:val="0"/>
        <w:kinsoku/>
        <w:wordWrap/>
        <w:overflowPunct/>
        <w:topLinePunct w:val="0"/>
        <w:bidi w:val="0"/>
        <w:snapToGrid/>
        <w:spacing w:line="420" w:lineRule="exact"/>
        <w:ind w:firstLine="422" w:firstLineChars="200"/>
        <w:jc w:val="both"/>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eastAsia="zh-CN"/>
        </w:rPr>
        <w:t>八</w:t>
      </w:r>
      <w:r>
        <w:rPr>
          <w:rFonts w:hint="eastAsia" w:ascii="宋体" w:hAnsi="宋体" w:eastAsia="宋体" w:cs="宋体"/>
          <w:b/>
          <w:bCs w:val="0"/>
          <w:color w:val="auto"/>
          <w:sz w:val="21"/>
          <w:szCs w:val="21"/>
          <w:highlight w:val="none"/>
          <w:u w:val="none"/>
        </w:rPr>
        <w:t>、凡对本次采购提出询问，请按以下方式联系。</w:t>
      </w:r>
      <w:bookmarkEnd w:id="20"/>
      <w:bookmarkEnd w:id="21"/>
      <w:bookmarkEnd w:id="22"/>
      <w:bookmarkEnd w:id="23"/>
    </w:p>
    <w:p w14:paraId="7AF888E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p>
    <w:p w14:paraId="2F3CF626">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灵渠博物院</w:t>
      </w:r>
    </w:p>
    <w:p w14:paraId="7020754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地址：</w:t>
      </w:r>
      <w:r>
        <w:rPr>
          <w:rFonts w:hint="eastAsia" w:ascii="宋体" w:hAnsi="宋体" w:cs="宋体"/>
          <w:color w:val="auto"/>
          <w:sz w:val="21"/>
          <w:szCs w:val="21"/>
          <w:highlight w:val="none"/>
          <w:lang w:eastAsia="zh-CN"/>
        </w:rPr>
        <w:t>兴安县兴安镇双灵路1号</w:t>
      </w:r>
    </w:p>
    <w:p w14:paraId="6DA9CC5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联系人：</w:t>
      </w:r>
      <w:r>
        <w:rPr>
          <w:rFonts w:hint="eastAsia" w:ascii="宋体" w:hAnsi="宋体" w:cs="宋体"/>
          <w:color w:val="auto"/>
          <w:sz w:val="21"/>
          <w:szCs w:val="21"/>
          <w:highlight w:val="none"/>
          <w:lang w:val="en-US" w:eastAsia="zh-CN"/>
        </w:rPr>
        <w:t>杨工</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联系电话：0773-6226904</w:t>
      </w:r>
    </w:p>
    <w:p w14:paraId="7C85778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p>
    <w:p w14:paraId="428C3260">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广西中承建设工程咨询有限公司</w:t>
      </w:r>
    </w:p>
    <w:p w14:paraId="0440FA2E">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桂林市临桂区临桂镇金山路147号彰泰·滟澜山B4幢20层01号</w:t>
      </w:r>
      <w:r>
        <w:rPr>
          <w:rFonts w:hint="eastAsia" w:ascii="宋体" w:hAnsi="宋体" w:eastAsia="宋体" w:cs="宋体"/>
          <w:color w:val="auto"/>
          <w:sz w:val="21"/>
          <w:szCs w:val="21"/>
          <w:highlight w:val="none"/>
        </w:rPr>
        <w:t xml:space="preserve">     </w:t>
      </w:r>
    </w:p>
    <w:p w14:paraId="570C25A9">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李根</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lang w:eastAsia="zh-CN"/>
        </w:rPr>
        <w:t>：</w:t>
      </w:r>
      <w:r>
        <w:rPr>
          <w:rFonts w:hint="eastAsia" w:ascii="宋体" w:hAnsi="宋体" w:cs="宋体"/>
          <w:highlight w:val="none"/>
          <w:lang w:eastAsia="zh-CN"/>
        </w:rPr>
        <w:t>0773-2608995</w:t>
      </w:r>
      <w:r>
        <w:rPr>
          <w:rFonts w:hint="eastAsia" w:ascii="宋体" w:hAnsi="宋体" w:eastAsia="宋体" w:cs="宋体"/>
          <w:color w:val="auto"/>
          <w:sz w:val="21"/>
          <w:szCs w:val="21"/>
          <w:highlight w:val="none"/>
          <w:lang w:val="en-US" w:eastAsia="zh-CN"/>
        </w:rPr>
        <w:t xml:space="preserve">                     </w:t>
      </w:r>
    </w:p>
    <w:p w14:paraId="52247E0C">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0ED6CE24">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DB6C8D4">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p>
    <w:p w14:paraId="04C1F2FF">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olor w:val="auto"/>
          <w:sz w:val="21"/>
          <w:szCs w:val="21"/>
          <w:highlight w:val="none"/>
          <w:lang w:eastAsia="zh-CN"/>
        </w:rPr>
        <w:t>广西中承建设工程咨询有限公司</w:t>
      </w:r>
    </w:p>
    <w:p w14:paraId="3093F3F5">
      <w:pPr>
        <w:keepNext w:val="0"/>
        <w:keepLines w:val="0"/>
        <w:pageBreakBefore w:val="0"/>
        <w:widowControl w:val="0"/>
        <w:kinsoku/>
        <w:wordWrap/>
        <w:overflowPunct/>
        <w:topLinePunct w:val="0"/>
        <w:autoSpaceDE/>
        <w:autoSpaceDN/>
        <w:bidi w:val="0"/>
        <w:adjustRightInd/>
        <w:snapToGrid/>
        <w:spacing w:line="360" w:lineRule="auto"/>
        <w:ind w:firstLine="6720" w:firstLineChars="3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2025年6月</w:t>
      </w:r>
      <w:r>
        <w:rPr>
          <w:rFonts w:hint="eastAsia" w:ascii="宋体" w:hAnsi="宋体"/>
          <w:color w:val="auto"/>
          <w:sz w:val="21"/>
          <w:szCs w:val="21"/>
          <w:highlight w:val="none"/>
          <w:lang w:val="en-US" w:eastAsia="zh-CN"/>
        </w:rPr>
        <w:t>12</w:t>
      </w:r>
      <w:r>
        <w:rPr>
          <w:rFonts w:hint="eastAsia" w:ascii="宋体" w:hAnsi="宋体"/>
          <w:color w:val="auto"/>
          <w:sz w:val="21"/>
          <w:szCs w:val="21"/>
          <w:highlight w:val="none"/>
        </w:rPr>
        <w:t>日</w:t>
      </w:r>
      <w:bookmarkStart w:id="34" w:name="_Toc26924"/>
    </w:p>
    <w:p w14:paraId="0683573A">
      <w:pPr>
        <w:pStyle w:val="12"/>
        <w:rPr>
          <w:rFonts w:hint="eastAsia"/>
          <w:color w:val="auto"/>
          <w:highlight w:val="none"/>
        </w:rPr>
      </w:pPr>
    </w:p>
    <w:p w14:paraId="086A5BD9">
      <w:pPr>
        <w:pStyle w:val="12"/>
        <w:rPr>
          <w:rFonts w:hint="eastAsia"/>
          <w:color w:val="auto"/>
          <w:highlight w:val="none"/>
        </w:rPr>
      </w:pPr>
    </w:p>
    <w:p w14:paraId="74861A72">
      <w:pPr>
        <w:pStyle w:val="12"/>
        <w:rPr>
          <w:rFonts w:hint="eastAsia"/>
          <w:color w:val="auto"/>
          <w:highlight w:val="none"/>
        </w:rPr>
      </w:pPr>
    </w:p>
    <w:p w14:paraId="5EE7AA9B">
      <w:pPr>
        <w:rPr>
          <w:rFonts w:hint="eastAsia"/>
          <w:color w:val="auto"/>
          <w:highlight w:val="none"/>
        </w:rPr>
      </w:pPr>
    </w:p>
    <w:p w14:paraId="67DD302E">
      <w:pPr>
        <w:pStyle w:val="12"/>
        <w:rPr>
          <w:rFonts w:hint="eastAsia"/>
          <w:color w:val="auto"/>
          <w:highlight w:val="none"/>
        </w:rPr>
      </w:pPr>
    </w:p>
    <w:p w14:paraId="6BBD1DE8">
      <w:pPr>
        <w:pStyle w:val="12"/>
        <w:rPr>
          <w:rFonts w:hint="eastAsia"/>
          <w:color w:val="auto"/>
          <w:highlight w:val="none"/>
        </w:rPr>
      </w:pPr>
    </w:p>
    <w:p w14:paraId="4C17D23A">
      <w:pPr>
        <w:pStyle w:val="12"/>
        <w:rPr>
          <w:rFonts w:hint="eastAsia"/>
          <w:color w:val="auto"/>
          <w:highlight w:val="none"/>
        </w:rPr>
      </w:pPr>
    </w:p>
    <w:p w14:paraId="0B85EE42">
      <w:pPr>
        <w:pStyle w:val="12"/>
        <w:rPr>
          <w:rFonts w:hint="eastAsia"/>
          <w:color w:val="auto"/>
          <w:highlight w:val="none"/>
          <w:lang w:eastAsia="zh-CN"/>
        </w:rPr>
      </w:pPr>
    </w:p>
    <w:p w14:paraId="44BF7B7D">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024DE126">
      <w:pPr>
        <w:pStyle w:val="2"/>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rPr>
      </w:pPr>
      <w:bookmarkStart w:id="35" w:name="_Toc11572"/>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35"/>
    </w:p>
    <w:p w14:paraId="671708BA">
      <w:pPr>
        <w:pStyle w:val="3"/>
        <w:keepNext/>
        <w:keepLines/>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color w:val="auto"/>
          <w:highlight w:val="none"/>
          <w:lang w:eastAsia="zh-CN"/>
        </w:rPr>
      </w:pPr>
      <w:bookmarkStart w:id="36" w:name="_Toc25063"/>
      <w:bookmarkStart w:id="37" w:name="_Toc9508"/>
      <w:bookmarkStart w:id="38" w:name="_Toc13547"/>
      <w:bookmarkStart w:id="39" w:name="_Toc1585"/>
      <w:bookmarkStart w:id="40" w:name="_Toc21622"/>
      <w:bookmarkStart w:id="41" w:name="_Toc25114"/>
      <w:r>
        <w:rPr>
          <w:rFonts w:hint="eastAsia" w:ascii="宋体" w:hAnsi="宋体" w:eastAsia="宋体" w:cs="宋体"/>
          <w:b/>
          <w:bCs w:val="0"/>
          <w:color w:val="auto"/>
          <w:sz w:val="24"/>
          <w:szCs w:val="24"/>
          <w:highlight w:val="none"/>
        </w:rPr>
        <w:t>供 应 商 须 知 前 附 表</w:t>
      </w:r>
      <w:bookmarkEnd w:id="36"/>
      <w:bookmarkEnd w:id="37"/>
      <w:bookmarkEnd w:id="38"/>
      <w:bookmarkEnd w:id="39"/>
      <w:bookmarkEnd w:id="40"/>
      <w:bookmarkEnd w:id="41"/>
    </w:p>
    <w:bookmarkEnd w:id="34"/>
    <w:tbl>
      <w:tblPr>
        <w:tblStyle w:val="26"/>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42D4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noWrap w:val="0"/>
            <w:vAlign w:val="center"/>
          </w:tcPr>
          <w:p w14:paraId="0CDE38B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noWrap w:val="0"/>
            <w:vAlign w:val="center"/>
          </w:tcPr>
          <w:p w14:paraId="032F1FB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noWrap w:val="0"/>
            <w:vAlign w:val="center"/>
          </w:tcPr>
          <w:p w14:paraId="35B3AAD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noWrap w:val="0"/>
            <w:vAlign w:val="center"/>
          </w:tcPr>
          <w:p w14:paraId="15BBE32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376C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noWrap w:val="0"/>
            <w:vAlign w:val="center"/>
          </w:tcPr>
          <w:p w14:paraId="25ADA1F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noWrap w:val="0"/>
            <w:vAlign w:val="center"/>
          </w:tcPr>
          <w:p w14:paraId="53069B6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noWrap w:val="0"/>
            <w:vAlign w:val="center"/>
          </w:tcPr>
          <w:p w14:paraId="59AF13B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noWrap w:val="0"/>
            <w:vAlign w:val="center"/>
          </w:tcPr>
          <w:p w14:paraId="3964DBB8">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兴安严关修缮工程</w:t>
            </w:r>
            <w:r>
              <w:rPr>
                <w:rFonts w:hint="eastAsia" w:ascii="宋体" w:hAnsi="宋体" w:eastAsia="宋体" w:cs="宋体"/>
                <w:color w:val="auto"/>
                <w:sz w:val="21"/>
                <w:szCs w:val="21"/>
                <w:highlight w:val="none"/>
              </w:rPr>
              <w:t xml:space="preserve">  </w:t>
            </w:r>
          </w:p>
          <w:p w14:paraId="57D080CC">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GLZC2025-C2-250034-ZCJS</w:t>
            </w:r>
          </w:p>
        </w:tc>
      </w:tr>
      <w:tr w14:paraId="3D06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1F6BEC4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noWrap w:val="0"/>
            <w:vAlign w:val="center"/>
          </w:tcPr>
          <w:p w14:paraId="2525968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noWrap w:val="0"/>
            <w:vAlign w:val="center"/>
          </w:tcPr>
          <w:p w14:paraId="01C9EBF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noWrap w:val="0"/>
            <w:vAlign w:val="center"/>
          </w:tcPr>
          <w:p w14:paraId="628692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1满足《中华人民共和国政府采购法》第二十二条规定；</w:t>
            </w:r>
          </w:p>
          <w:p w14:paraId="053C805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2落实政府采购政策需满足的资格要求：</w:t>
            </w:r>
            <w:r>
              <w:rPr>
                <w:rFonts w:hint="eastAsia" w:ascii="宋体" w:hAnsi="宋体" w:cs="宋体"/>
                <w:color w:val="auto"/>
                <w:sz w:val="21"/>
                <w:szCs w:val="21"/>
                <w:highlight w:val="none"/>
                <w:lang w:val="en-US" w:eastAsia="zh-CN"/>
              </w:rPr>
              <w:t>具备国家文物局颁发的文物保护工程施工二级（含）以上资质</w:t>
            </w:r>
            <w:r>
              <w:rPr>
                <w:rFonts w:hint="eastAsia" w:ascii="宋体" w:hAnsi="宋体" w:eastAsia="宋体" w:cs="宋体"/>
                <w:color w:val="auto"/>
                <w:sz w:val="21"/>
                <w:szCs w:val="21"/>
                <w:highlight w:val="none"/>
                <w:lang w:val="en-US" w:eastAsia="zh-CN"/>
              </w:rPr>
              <w:t>，</w:t>
            </w:r>
            <w:r>
              <w:rPr>
                <w:rFonts w:hint="eastAsia"/>
                <w:color w:val="auto"/>
                <w:sz w:val="21"/>
                <w:szCs w:val="21"/>
                <w:highlight w:val="none"/>
              </w:rPr>
              <w:t>具有有效的安全生产许可证</w:t>
            </w:r>
            <w:r>
              <w:rPr>
                <w:rFonts w:hint="eastAsia"/>
                <w:color w:val="auto"/>
                <w:sz w:val="21"/>
                <w:szCs w:val="21"/>
                <w:highlight w:val="none"/>
                <w:lang w:eastAsia="zh-CN"/>
              </w:rPr>
              <w:t>，</w:t>
            </w:r>
            <w:r>
              <w:rPr>
                <w:rFonts w:hint="eastAsia" w:ascii="宋体" w:hAnsi="宋体" w:eastAsia="宋体" w:cs="宋体"/>
                <w:color w:val="auto"/>
                <w:sz w:val="21"/>
                <w:szCs w:val="21"/>
                <w:highlight w:val="none"/>
                <w:lang w:val="en-US" w:eastAsia="zh-CN"/>
              </w:rPr>
              <w:t>并在人员、设备、资金等方面具备相应的施工能力。</w:t>
            </w:r>
            <w:r>
              <w:rPr>
                <w:rFonts w:hint="eastAsia" w:ascii="宋体" w:hAnsi="宋体" w:cs="宋体"/>
                <w:color w:val="auto"/>
                <w:sz w:val="21"/>
                <w:szCs w:val="21"/>
                <w:highlight w:val="none"/>
                <w:lang w:val="en-US" w:eastAsia="zh-CN"/>
              </w:rPr>
              <w:t>项目经理须具备相关部门或协会颁发的文物保护工程责任工程师证书，且同时具备有中级（含）以上职称</w:t>
            </w:r>
            <w:r>
              <w:rPr>
                <w:rFonts w:hint="eastAsia" w:ascii="宋体" w:hAnsi="宋体" w:cs="宋体"/>
                <w:color w:val="auto"/>
                <w:highlight w:val="none"/>
                <w:lang w:val="en-US" w:eastAsia="zh-CN"/>
              </w:rPr>
              <w:t>。</w:t>
            </w:r>
          </w:p>
        </w:tc>
      </w:tr>
      <w:tr w14:paraId="07EB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noWrap w:val="0"/>
            <w:vAlign w:val="center"/>
          </w:tcPr>
          <w:p w14:paraId="0384FDA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noWrap w:val="0"/>
            <w:vAlign w:val="center"/>
          </w:tcPr>
          <w:p w14:paraId="7A259BB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noWrap w:val="0"/>
            <w:vAlign w:val="center"/>
          </w:tcPr>
          <w:p w14:paraId="3BC56A1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noWrap w:val="0"/>
            <w:vAlign w:val="center"/>
          </w:tcPr>
          <w:p w14:paraId="58E2F1C5">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6C68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487D25F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noWrap w:val="0"/>
            <w:vAlign w:val="center"/>
          </w:tcPr>
          <w:p w14:paraId="5B90DFF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noWrap w:val="0"/>
            <w:vAlign w:val="center"/>
          </w:tcPr>
          <w:p w14:paraId="113AB721">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6912" w:type="dxa"/>
            <w:noWrap w:val="0"/>
            <w:vAlign w:val="center"/>
          </w:tcPr>
          <w:p w14:paraId="4482956B">
            <w:pPr>
              <w:spacing w:line="360" w:lineRule="exact"/>
              <w:ind w:firstLine="422" w:firstLineChars="200"/>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本工程</w:t>
            </w:r>
            <w:r>
              <w:rPr>
                <w:rFonts w:hint="eastAsia" w:ascii="宋体" w:hAnsi="宋体" w:cs="宋体"/>
                <w:b/>
                <w:color w:val="auto"/>
                <w:kern w:val="0"/>
                <w:szCs w:val="21"/>
                <w:highlight w:val="none"/>
                <w:lang w:val="en-US" w:eastAsia="zh-CN"/>
              </w:rPr>
              <w:t>预算价为</w:t>
            </w:r>
            <w:r>
              <w:rPr>
                <w:rFonts w:hint="eastAsia" w:ascii="宋体" w:hAnsi="宋体" w:cs="宋体"/>
                <w:b/>
                <w:color w:val="auto"/>
                <w:kern w:val="0"/>
                <w:szCs w:val="21"/>
                <w:highlight w:val="none"/>
              </w:rPr>
              <w:t>人民币</w:t>
            </w:r>
            <w:r>
              <w:rPr>
                <w:rFonts w:hint="eastAsia" w:ascii="宋体" w:hAnsi="宋体" w:cs="宋体"/>
                <w:b/>
                <w:color w:val="auto"/>
                <w:kern w:val="0"/>
                <w:szCs w:val="21"/>
                <w:highlight w:val="none"/>
                <w:u w:val="single"/>
                <w:lang w:val="en-US" w:eastAsia="zh-CN"/>
              </w:rPr>
              <w:t>2300000.00</w:t>
            </w:r>
            <w:r>
              <w:rPr>
                <w:rFonts w:hint="eastAsia" w:ascii="宋体" w:hAnsi="宋体" w:cs="宋体"/>
                <w:b/>
                <w:color w:val="auto"/>
                <w:kern w:val="0"/>
                <w:szCs w:val="21"/>
                <w:highlight w:val="none"/>
              </w:rPr>
              <w:t>元</w:t>
            </w:r>
            <w:r>
              <w:rPr>
                <w:rFonts w:hint="eastAsia" w:ascii="宋体" w:hAnsi="宋体" w:cs="宋体"/>
                <w:b/>
                <w:color w:val="auto"/>
                <w:kern w:val="0"/>
                <w:szCs w:val="21"/>
                <w:highlight w:val="none"/>
                <w:lang w:eastAsia="zh-CN"/>
              </w:rPr>
              <w:t>。</w:t>
            </w:r>
          </w:p>
          <w:p w14:paraId="287D08DF">
            <w:pPr>
              <w:spacing w:line="360" w:lineRule="exact"/>
              <w:ind w:firstLine="422" w:firstLineChars="200"/>
              <w:rPr>
                <w:rFonts w:hint="default" w:ascii="宋体" w:hAnsi="宋体" w:eastAsia="宋体" w:cs="宋体"/>
                <w:bCs/>
                <w:color w:val="auto"/>
                <w:szCs w:val="21"/>
                <w:highlight w:val="none"/>
                <w:lang w:val="en-US" w:eastAsia="zh-CN"/>
              </w:rPr>
            </w:pPr>
            <w:r>
              <w:rPr>
                <w:rFonts w:hint="eastAsia" w:ascii="宋体" w:hAnsi="宋体" w:cs="宋体"/>
                <w:b/>
                <w:bCs/>
                <w:color w:val="auto"/>
                <w:szCs w:val="21"/>
                <w:highlight w:val="none"/>
              </w:rPr>
              <w:t>本工程</w:t>
            </w:r>
            <w:r>
              <w:rPr>
                <w:rFonts w:hint="eastAsia" w:ascii="宋体" w:hAnsi="宋体" w:eastAsia="宋体" w:cs="宋体"/>
                <w:b/>
                <w:bCs/>
                <w:color w:val="auto"/>
                <w:kern w:val="0"/>
                <w:sz w:val="21"/>
                <w:szCs w:val="21"/>
                <w:highlight w:val="none"/>
                <w:lang w:eastAsia="zh-CN"/>
              </w:rPr>
              <w:t>预算控制价（最高限价）</w:t>
            </w:r>
            <w:r>
              <w:rPr>
                <w:rFonts w:hint="eastAsia" w:ascii="宋体" w:hAnsi="宋体" w:cs="宋体"/>
                <w:b/>
                <w:bCs/>
                <w:color w:val="auto"/>
                <w:szCs w:val="21"/>
                <w:highlight w:val="none"/>
              </w:rPr>
              <w:t>为</w:t>
            </w:r>
            <w:r>
              <w:rPr>
                <w:rFonts w:hint="eastAsia" w:ascii="宋体" w:hAnsi="宋体" w:cs="宋体"/>
                <w:b/>
                <w:bCs/>
                <w:color w:val="auto"/>
                <w:szCs w:val="21"/>
                <w:highlight w:val="none"/>
                <w:u w:val="single"/>
                <w:lang w:val="en-US" w:eastAsia="zh-CN"/>
              </w:rPr>
              <w:t xml:space="preserve"> 2110000.00 </w:t>
            </w:r>
            <w:r>
              <w:rPr>
                <w:rFonts w:hint="eastAsia" w:ascii="宋体" w:hAnsi="宋体" w:cs="宋体"/>
                <w:b/>
                <w:bCs/>
                <w:color w:val="auto"/>
                <w:kern w:val="0"/>
                <w:szCs w:val="21"/>
                <w:highlight w:val="none"/>
                <w:u w:val="single"/>
              </w:rPr>
              <w:t>元</w:t>
            </w:r>
            <w:r>
              <w:rPr>
                <w:rFonts w:hint="eastAsia" w:ascii="宋体" w:hAnsi="宋体" w:cs="宋体"/>
                <w:b/>
                <w:bCs/>
                <w:color w:val="auto"/>
                <w:szCs w:val="21"/>
                <w:highlight w:val="none"/>
                <w:lang w:eastAsia="zh-CN"/>
              </w:rPr>
              <w:t>。</w:t>
            </w:r>
          </w:p>
          <w:p w14:paraId="50E39416">
            <w:pPr>
              <w:keepNext w:val="0"/>
              <w:keepLines w:val="0"/>
              <w:pageBreakBefore w:val="0"/>
              <w:widowControl/>
              <w:kinsoku/>
              <w:wordWrap/>
              <w:overflowPunct/>
              <w:topLinePunct w:val="0"/>
              <w:autoSpaceDE/>
              <w:autoSpaceDN/>
              <w:bidi w:val="0"/>
              <w:adjustRightInd/>
              <w:snapToGrid w:val="0"/>
              <w:spacing w:line="360" w:lineRule="exact"/>
              <w:ind w:left="0" w:left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14:paraId="42FA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623AB22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noWrap w:val="0"/>
            <w:vAlign w:val="center"/>
          </w:tcPr>
          <w:p w14:paraId="772E282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noWrap w:val="0"/>
            <w:vAlign w:val="center"/>
          </w:tcPr>
          <w:p w14:paraId="635C449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noWrap w:val="0"/>
            <w:vAlign w:val="top"/>
          </w:tcPr>
          <w:p w14:paraId="4F82EDCE">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11A3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51AB1EC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noWrap w:val="0"/>
            <w:vAlign w:val="center"/>
          </w:tcPr>
          <w:p w14:paraId="11B7DA4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noWrap w:val="0"/>
            <w:vAlign w:val="center"/>
          </w:tcPr>
          <w:p w14:paraId="5ED7113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noWrap w:val="0"/>
            <w:vAlign w:val="top"/>
          </w:tcPr>
          <w:p w14:paraId="7DAF6CCC">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5E82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noWrap w:val="0"/>
            <w:vAlign w:val="center"/>
          </w:tcPr>
          <w:p w14:paraId="2EBF682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noWrap w:val="0"/>
            <w:vAlign w:val="center"/>
          </w:tcPr>
          <w:p w14:paraId="6D17FB6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noWrap w:val="0"/>
            <w:vAlign w:val="center"/>
          </w:tcPr>
          <w:p w14:paraId="5E3252C6">
            <w:pPr>
              <w:pStyle w:val="4"/>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val="0"/>
                <w:bCs/>
                <w:color w:val="auto"/>
                <w:sz w:val="21"/>
                <w:szCs w:val="21"/>
                <w:highlight w:val="none"/>
                <w:lang w:eastAsia="zh-CN"/>
              </w:rPr>
            </w:pPr>
            <w:bookmarkStart w:id="42" w:name="_Toc19911"/>
            <w:bookmarkStart w:id="43" w:name="_Toc19954"/>
            <w:bookmarkStart w:id="44" w:name="_Toc27452"/>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2"/>
            <w:bookmarkEnd w:id="43"/>
            <w:bookmarkEnd w:id="44"/>
          </w:p>
          <w:p w14:paraId="3405ED9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p>
        </w:tc>
        <w:tc>
          <w:tcPr>
            <w:tcW w:w="6912" w:type="dxa"/>
            <w:noWrap w:val="0"/>
            <w:vAlign w:val="center"/>
          </w:tcPr>
          <w:p w14:paraId="58BAA866">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val="en-US" w:eastAsia="zh-CN"/>
              </w:rPr>
              <w:t>数字证书（CA认证）</w:t>
            </w:r>
            <w:r>
              <w:rPr>
                <w:rFonts w:hint="eastAsia" w:ascii="宋体" w:hAnsi="宋体" w:eastAsia="宋体" w:cs="宋体"/>
                <w:color w:val="auto"/>
                <w:szCs w:val="21"/>
                <w:highlight w:val="none"/>
              </w:rPr>
              <w:t>签章，并根据“政府采购项目电子交易管理操作指南-供应商”及本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18F5E944">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05A2BB5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718FDB3D">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32D8FEAE">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1103B6C7">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正式注册入库供应商，并完成</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申领。因未注册入库、未办理</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等原因造成无法磋商或磋商失败等后果由供应商自行承担。 </w:t>
            </w:r>
          </w:p>
          <w:p w14:paraId="28CFC72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14:paraId="2DD2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noWrap w:val="0"/>
            <w:vAlign w:val="center"/>
          </w:tcPr>
          <w:p w14:paraId="772B0C1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noWrap w:val="0"/>
            <w:vAlign w:val="center"/>
          </w:tcPr>
          <w:p w14:paraId="3071C28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noWrap w:val="0"/>
            <w:vAlign w:val="center"/>
          </w:tcPr>
          <w:p w14:paraId="6BAC9FA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noWrap w:val="0"/>
            <w:vAlign w:val="center"/>
          </w:tcPr>
          <w:p w14:paraId="687197B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2025年6月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14:paraId="0102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0308CBF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noWrap w:val="0"/>
            <w:vAlign w:val="center"/>
          </w:tcPr>
          <w:p w14:paraId="24871DF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noWrap w:val="0"/>
            <w:vAlign w:val="center"/>
          </w:tcPr>
          <w:p w14:paraId="2B65125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6912" w:type="dxa"/>
            <w:noWrap w:val="0"/>
            <w:vAlign w:val="center"/>
          </w:tcPr>
          <w:p w14:paraId="7A75EF54">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分钟内磋商供应商可以登录</w:t>
            </w:r>
            <w:r>
              <w:rPr>
                <w:rFonts w:hint="eastAsia" w:ascii="宋体" w:hAnsi="宋体" w:cs="宋体"/>
                <w:b w:val="0"/>
                <w:bCs w:val="0"/>
                <w:color w:val="auto"/>
                <w:kern w:val="2"/>
                <w:highlight w:val="none"/>
                <w:lang w:eastAsia="zh-CN"/>
              </w:rPr>
              <w:t>广西政府采购云平台</w:t>
            </w:r>
            <w:r>
              <w:rPr>
                <w:rFonts w:hint="eastAsia" w:ascii="宋体" w:hAnsi="宋体" w:eastAsia="宋体" w:cs="宋体"/>
                <w:b w:val="0"/>
                <w:bCs w:val="0"/>
                <w:color w:val="auto"/>
                <w:kern w:val="2"/>
                <w:highlight w:val="none"/>
                <w:lang w:eastAsia="zh-CN"/>
              </w:rPr>
              <w:t>，用“项目采购-开标评标”功能进行解密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。若</w:t>
            </w:r>
            <w:r>
              <w:rPr>
                <w:rFonts w:hint="eastAsia" w:ascii="宋体" w:hAnsi="宋体" w:eastAsia="宋体" w:cs="宋体"/>
                <w:color w:val="auto"/>
                <w:highlight w:val="none"/>
                <w:lang w:eastAsia="zh-CN"/>
              </w:rPr>
              <w:t>磋商供应商</w:t>
            </w:r>
            <w:r>
              <w:rPr>
                <w:rFonts w:hint="eastAsia" w:ascii="宋体" w:hAnsi="宋体" w:eastAsia="宋体" w:cs="宋体"/>
                <w:b w:val="0"/>
                <w:bCs w:val="0"/>
                <w:color w:val="auto"/>
                <w:kern w:val="2"/>
                <w:highlight w:val="none"/>
                <w:lang w:eastAsia="zh-CN"/>
              </w:rPr>
              <w:t>在规定时间内无法解密或解密失败，可以以电子备份</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作为依据</w:t>
            </w:r>
            <w:r>
              <w:rPr>
                <w:rFonts w:hint="eastAsia" w:ascii="宋体" w:hAnsi="宋体" w:eastAsia="宋体" w:cs="宋体"/>
                <w:b/>
                <w:bCs/>
                <w:color w:val="auto"/>
                <w:kern w:val="2"/>
                <w:highlight w:val="none"/>
                <w:lang w:eastAsia="zh-CN"/>
              </w:rPr>
              <w:t>【在接到无法解密或解密失败的通知后，</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kern w:val="2"/>
                <w:highlight w:val="none"/>
                <w:lang w:eastAsia="zh-CN"/>
              </w:rPr>
              <w:t>可根据自身实际情况按通知时要求的时间到桂林市公共资源</w:t>
            </w:r>
            <w:r>
              <w:rPr>
                <w:rFonts w:hint="eastAsia" w:ascii="宋体" w:hAnsi="宋体" w:cs="宋体"/>
                <w:b/>
                <w:bCs/>
                <w:color w:val="auto"/>
                <w:kern w:val="2"/>
                <w:highlight w:val="none"/>
                <w:lang w:eastAsia="zh-CN"/>
              </w:rPr>
              <w:t>交易中心</w:t>
            </w:r>
            <w:r>
              <w:rPr>
                <w:rFonts w:hint="eastAsia" w:ascii="宋体" w:hAnsi="宋体" w:cs="宋体"/>
                <w:b/>
                <w:bCs/>
                <w:color w:val="auto"/>
                <w:sz w:val="21"/>
                <w:szCs w:val="21"/>
                <w:highlight w:val="none"/>
                <w:u w:val="single"/>
                <w:lang w:val="en-US" w:eastAsia="zh-CN"/>
              </w:rPr>
              <w:t xml:space="preserve"> 2 </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kern w:val="2"/>
                <w:highlight w:val="none"/>
                <w:lang w:eastAsia="zh-CN"/>
              </w:rPr>
              <w:t>现场提交或以电子邮件的形式（以通知时所告知的电子邮箱地址为准）提交电子备份</w:t>
            </w:r>
            <w:r>
              <w:rPr>
                <w:rFonts w:hint="eastAsia" w:ascii="宋体" w:hAnsi="宋体" w:eastAsia="宋体" w:cs="宋体"/>
                <w:b/>
                <w:bCs/>
                <w:color w:val="auto"/>
                <w:highlight w:val="none"/>
                <w:lang w:eastAsia="zh-CN"/>
              </w:rPr>
              <w:t>磋商响应文件</w:t>
            </w:r>
            <w:r>
              <w:rPr>
                <w:rFonts w:hint="eastAsia" w:ascii="宋体" w:hAnsi="宋体" w:eastAsia="宋体" w:cs="宋体"/>
                <w:b/>
                <w:bCs/>
                <w:color w:val="auto"/>
                <w:kern w:val="2"/>
                <w:highlight w:val="none"/>
                <w:lang w:eastAsia="zh-CN"/>
              </w:rPr>
              <w:t>】</w:t>
            </w:r>
            <w:r>
              <w:rPr>
                <w:rFonts w:hint="eastAsia" w:ascii="宋体" w:hAnsi="宋体" w:eastAsia="宋体" w:cs="宋体"/>
                <w:b w:val="0"/>
                <w:bCs w:val="0"/>
                <w:color w:val="auto"/>
                <w:kern w:val="2"/>
                <w:highlight w:val="none"/>
                <w:lang w:eastAsia="zh-CN"/>
              </w:rPr>
              <w:t>，若磋商供应商在规定时间内无法解密或解密失败且未提供电子备份磋商响应文件的(包含提供的电子备份文件无效或无法解密的情况)，视为无效响应。</w:t>
            </w:r>
          </w:p>
        </w:tc>
      </w:tr>
      <w:tr w14:paraId="24E9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noWrap w:val="0"/>
            <w:vAlign w:val="center"/>
          </w:tcPr>
          <w:p w14:paraId="443F85E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noWrap w:val="0"/>
            <w:vAlign w:val="center"/>
          </w:tcPr>
          <w:p w14:paraId="09E3CBC4">
            <w:pPr>
              <w:pageBreakBefore w:val="0"/>
              <w:widowControl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noWrap w:val="0"/>
            <w:vAlign w:val="center"/>
          </w:tcPr>
          <w:p w14:paraId="2C333A2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noWrap w:val="0"/>
            <w:vAlign w:val="center"/>
          </w:tcPr>
          <w:p w14:paraId="55B806F0">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14:paraId="7B3E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noWrap w:val="0"/>
            <w:vAlign w:val="center"/>
          </w:tcPr>
          <w:p w14:paraId="06C23F2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noWrap w:val="0"/>
            <w:vAlign w:val="center"/>
          </w:tcPr>
          <w:p w14:paraId="5169D4E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noWrap w:val="0"/>
            <w:vAlign w:val="center"/>
          </w:tcPr>
          <w:p w14:paraId="5A057F2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noWrap w:val="0"/>
            <w:vAlign w:val="top"/>
          </w:tcPr>
          <w:p w14:paraId="04A3175C">
            <w:pPr>
              <w:pageBreakBefore w:val="0"/>
              <w:widowControl w:val="0"/>
              <w:kinsoku/>
              <w:wordWrap/>
              <w:overflowPunct/>
              <w:topLinePunct w:val="0"/>
              <w:autoSpaceDE/>
              <w:autoSpaceDN/>
              <w:bidi w:val="0"/>
              <w:adjustRightInd/>
              <w:spacing w:line="440" w:lineRule="exact"/>
              <w:ind w:left="315" w:hanging="315" w:hangingChars="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2F0E8EE0">
            <w:pPr>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w:t>
            </w:r>
            <w:r>
              <w:rPr>
                <w:rFonts w:hint="eastAsia" w:ascii="宋体" w:hAnsi="宋体" w:eastAsia="宋体" w:cs="宋体"/>
                <w:b/>
                <w:bCs/>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14:paraId="5048CC1A">
            <w:pPr>
              <w:pageBreakBefore w:val="0"/>
              <w:widowControl w:val="0"/>
              <w:kinsoku/>
              <w:wordWrap/>
              <w:overflowPunct/>
              <w:topLinePunct w:val="0"/>
              <w:autoSpaceDE/>
              <w:autoSpaceDN/>
              <w:bidi w:val="0"/>
              <w:adjustRightInd/>
              <w:spacing w:line="440" w:lineRule="exact"/>
              <w:ind w:left="15" w:hanging="14" w:hangingChars="7"/>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w:t>
            </w:r>
            <w:r>
              <w:rPr>
                <w:rFonts w:hint="eastAsia" w:ascii="宋体" w:hAnsi="宋体" w:eastAsia="宋体" w:cs="宋体"/>
                <w:b w:val="0"/>
                <w:bCs w:val="0"/>
                <w:color w:val="auto"/>
                <w:sz w:val="21"/>
                <w:szCs w:val="21"/>
                <w:highlight w:val="none"/>
              </w:rPr>
              <w:t>供应商法定代表人、负责人、自然人或相应的委托代理人持有效身份证原件和供应商广西政府采购云平台CA数字证书参加磋商。请供应商实时登陆“广西政府采购云平台”等候在线磋商</w:t>
            </w:r>
            <w:r>
              <w:rPr>
                <w:rFonts w:hint="eastAsia" w:ascii="宋体" w:hAnsi="宋体" w:eastAsia="宋体" w:cs="宋体"/>
                <w:color w:val="auto"/>
                <w:szCs w:val="21"/>
                <w:highlight w:val="none"/>
              </w:rPr>
              <w:t>。</w:t>
            </w:r>
          </w:p>
          <w:p w14:paraId="51D887A4">
            <w:pPr>
              <w:pageBreakBefore w:val="0"/>
              <w:widowControl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22D6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noWrap w:val="0"/>
            <w:vAlign w:val="center"/>
          </w:tcPr>
          <w:p w14:paraId="7E01B54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noWrap w:val="0"/>
            <w:vAlign w:val="center"/>
          </w:tcPr>
          <w:p w14:paraId="732F449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noWrap w:val="0"/>
            <w:vAlign w:val="center"/>
          </w:tcPr>
          <w:p w14:paraId="6B98F455">
            <w:pPr>
              <w:pStyle w:val="11"/>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noWrap w:val="0"/>
            <w:vAlign w:val="center"/>
          </w:tcPr>
          <w:p w14:paraId="09F59B10">
            <w:pPr>
              <w:pageBreakBefore w:val="0"/>
              <w:widowControl w:val="0"/>
              <w:tabs>
                <w:tab w:val="left" w:pos="1140"/>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46F6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70C1FD8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noWrap w:val="0"/>
            <w:vAlign w:val="center"/>
          </w:tcPr>
          <w:p w14:paraId="2E497EA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noWrap w:val="0"/>
            <w:vAlign w:val="center"/>
          </w:tcPr>
          <w:p w14:paraId="25E8B35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noWrap w:val="0"/>
            <w:vAlign w:val="center"/>
          </w:tcPr>
          <w:p w14:paraId="2589A48D">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30D1E4FB">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148018D9">
            <w:pPr>
              <w:keepNext w:val="0"/>
              <w:keepLines w:val="0"/>
              <w:pageBreakBefore w:val="0"/>
              <w:widowControl w:val="0"/>
              <w:kinsoku/>
              <w:wordWrap/>
              <w:overflowPunct/>
              <w:topLinePunct w:val="0"/>
              <w:autoSpaceDE/>
              <w:autoSpaceDN/>
              <w:bidi w:val="0"/>
              <w:adjustRightInd/>
              <w:snapToGrid/>
              <w:spacing w:line="288" w:lineRule="auto"/>
              <w:ind w:left="315"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645DCD4">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6DA527C0">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674C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2" w:type="dxa"/>
            <w:noWrap w:val="0"/>
            <w:vAlign w:val="center"/>
          </w:tcPr>
          <w:p w14:paraId="309323E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noWrap w:val="0"/>
            <w:vAlign w:val="center"/>
          </w:tcPr>
          <w:p w14:paraId="46C0309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noWrap w:val="0"/>
            <w:vAlign w:val="center"/>
          </w:tcPr>
          <w:p w14:paraId="62DBA94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2805C8F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noWrap w:val="0"/>
            <w:vAlign w:val="top"/>
          </w:tcPr>
          <w:p w14:paraId="176EEE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870258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0D07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2" w:type="dxa"/>
            <w:noWrap w:val="0"/>
            <w:vAlign w:val="center"/>
          </w:tcPr>
          <w:p w14:paraId="50F9076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noWrap w:val="0"/>
            <w:vAlign w:val="center"/>
          </w:tcPr>
          <w:p w14:paraId="3BC6F9C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noWrap w:val="0"/>
            <w:vAlign w:val="center"/>
          </w:tcPr>
          <w:p w14:paraId="3E895FC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noWrap w:val="0"/>
            <w:vAlign w:val="center"/>
          </w:tcPr>
          <w:p w14:paraId="67816B6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hAnsi="宋体"/>
                <w:color w:val="auto"/>
                <w:szCs w:val="21"/>
                <w:highlight w:val="none"/>
                <w:lang w:eastAsia="zh-CN"/>
              </w:rPr>
              <w:t>本项目不收取履约保证金。</w:t>
            </w:r>
          </w:p>
        </w:tc>
      </w:tr>
      <w:tr w14:paraId="0C1A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6169B02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noWrap w:val="0"/>
            <w:vAlign w:val="center"/>
          </w:tcPr>
          <w:p w14:paraId="39C7CE6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noWrap w:val="0"/>
            <w:vAlign w:val="center"/>
          </w:tcPr>
          <w:p w14:paraId="5980ED3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noWrap w:val="0"/>
            <w:vAlign w:val="top"/>
          </w:tcPr>
          <w:p w14:paraId="6A60842B">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val="en-US" w:eastAsia="zh-CN"/>
              </w:rPr>
              <w:t>8个工作日</w:t>
            </w:r>
            <w:r>
              <w:rPr>
                <w:rFonts w:hint="eastAsia" w:ascii="宋体" w:hAnsi="宋体" w:eastAsia="宋体" w:cs="宋体"/>
                <w:bCs/>
                <w:color w:val="auto"/>
                <w:kern w:val="0"/>
                <w:szCs w:val="21"/>
                <w:highlight w:val="none"/>
              </w:rPr>
              <w:t>内签订合同</w:t>
            </w:r>
            <w:r>
              <w:rPr>
                <w:rFonts w:hint="eastAsia" w:ascii="宋体" w:hAnsi="宋体" w:eastAsia="宋体" w:cs="宋体"/>
                <w:color w:val="auto"/>
                <w:highlight w:val="none"/>
              </w:rPr>
              <w:t>。</w:t>
            </w:r>
            <w:r>
              <w:rPr>
                <w:rFonts w:hint="eastAsia" w:ascii="宋体" w:hAnsi="宋体" w:eastAsia="宋体" w:cs="宋体"/>
                <w:color w:val="auto"/>
                <w:szCs w:val="21"/>
                <w:highlight w:val="none"/>
              </w:rPr>
              <w:t>成交供应商领取成交通知书后，应按规定与采购人签订合同。</w:t>
            </w:r>
          </w:p>
        </w:tc>
      </w:tr>
      <w:tr w14:paraId="0256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593524C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noWrap w:val="0"/>
            <w:vAlign w:val="center"/>
          </w:tcPr>
          <w:p w14:paraId="7267A45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noWrap w:val="0"/>
            <w:vAlign w:val="center"/>
          </w:tcPr>
          <w:p w14:paraId="668B78B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noWrap w:val="0"/>
            <w:vAlign w:val="center"/>
          </w:tcPr>
          <w:p w14:paraId="26418DE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广西中承建设工程咨询有限公司</w:t>
            </w:r>
            <w:r>
              <w:rPr>
                <w:rFonts w:hint="eastAsia" w:ascii="宋体" w:hAnsi="宋体" w:eastAsia="宋体" w:cs="宋体"/>
                <w:color w:val="auto"/>
                <w:highlight w:val="none"/>
              </w:rPr>
              <w:t>存档。</w:t>
            </w:r>
          </w:p>
        </w:tc>
      </w:tr>
      <w:tr w14:paraId="209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noWrap w:val="0"/>
            <w:vAlign w:val="center"/>
          </w:tcPr>
          <w:p w14:paraId="665EC14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noWrap w:val="0"/>
            <w:vAlign w:val="center"/>
          </w:tcPr>
          <w:p w14:paraId="7A664F6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noWrap w:val="0"/>
            <w:vAlign w:val="center"/>
          </w:tcPr>
          <w:p w14:paraId="5F55B14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noWrap w:val="0"/>
            <w:vAlign w:val="top"/>
          </w:tcPr>
          <w:p w14:paraId="24AF52A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w:t>
            </w:r>
            <w:r>
              <w:rPr>
                <w:rFonts w:hint="eastAsia" w:ascii="宋体" w:hAnsi="宋体" w:eastAsia="宋体" w:cs="宋体"/>
                <w:color w:val="auto"/>
                <w:szCs w:val="21"/>
                <w:highlight w:val="none"/>
              </w:rPr>
              <w:t>（不足人民币</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000元的，按</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000元支付）</w:t>
            </w:r>
            <w:r>
              <w:rPr>
                <w:rFonts w:hint="eastAsia" w:ascii="宋体" w:hAnsi="宋体" w:eastAsia="宋体" w:cs="宋体"/>
                <w:color w:val="auto"/>
                <w:sz w:val="21"/>
                <w:szCs w:val="21"/>
                <w:highlight w:val="none"/>
              </w:rPr>
              <w:t>。</w:t>
            </w:r>
          </w:p>
        </w:tc>
      </w:tr>
      <w:tr w14:paraId="3B19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noWrap w:val="0"/>
            <w:vAlign w:val="center"/>
          </w:tcPr>
          <w:p w14:paraId="7E34619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noWrap w:val="0"/>
            <w:vAlign w:val="center"/>
          </w:tcPr>
          <w:p w14:paraId="24AF93B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noWrap w:val="0"/>
            <w:vAlign w:val="center"/>
          </w:tcPr>
          <w:p w14:paraId="01A0377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noWrap w:val="0"/>
            <w:vAlign w:val="top"/>
          </w:tcPr>
          <w:p w14:paraId="55E3754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2046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noWrap w:val="0"/>
            <w:vAlign w:val="center"/>
          </w:tcPr>
          <w:p w14:paraId="73DAA4A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noWrap w:val="0"/>
            <w:vAlign w:val="center"/>
          </w:tcPr>
          <w:p w14:paraId="40695EB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noWrap w:val="0"/>
            <w:vAlign w:val="center"/>
          </w:tcPr>
          <w:p w14:paraId="2966DDC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noWrap w:val="0"/>
            <w:vAlign w:val="center"/>
          </w:tcPr>
          <w:p w14:paraId="6610CF3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color w:val="auto"/>
                <w:highlight w:val="none"/>
                <w:lang w:eastAsia="zh-CN"/>
              </w:rPr>
              <w:t>兴安县采购中心</w:t>
            </w:r>
            <w:r>
              <w:rPr>
                <w:rFonts w:hint="eastAsia" w:ascii="宋体" w:hAnsi="宋体"/>
                <w:color w:val="auto"/>
                <w:highlight w:val="none"/>
                <w:lang w:val="en-US" w:eastAsia="zh-CN"/>
              </w:rPr>
              <w:t xml:space="preserve">      </w:t>
            </w:r>
            <w:r>
              <w:rPr>
                <w:rFonts w:hint="eastAsia" w:ascii="宋体" w:hAnsi="宋体"/>
                <w:color w:val="auto"/>
                <w:highlight w:val="none"/>
              </w:rPr>
              <w:t>联系电话：</w:t>
            </w:r>
            <w:r>
              <w:rPr>
                <w:rFonts w:hint="eastAsia" w:ascii="宋体" w:hAnsi="宋体"/>
                <w:color w:val="auto"/>
                <w:highlight w:val="none"/>
                <w:lang w:eastAsia="zh-CN"/>
              </w:rPr>
              <w:t>0773-6220651</w:t>
            </w:r>
          </w:p>
        </w:tc>
      </w:tr>
    </w:tbl>
    <w:p w14:paraId="4E93A5E8">
      <w:pPr>
        <w:pStyle w:val="25"/>
        <w:ind w:left="0" w:leftChars="0" w:firstLine="0" w:firstLineChars="0"/>
        <w:rPr>
          <w:rFonts w:hint="eastAsia" w:ascii="宋体" w:hAnsi="宋体" w:eastAsia="宋体" w:cs="宋体"/>
          <w:b/>
          <w:color w:val="auto"/>
          <w:sz w:val="28"/>
          <w:szCs w:val="28"/>
          <w:highlight w:val="none"/>
        </w:rPr>
      </w:pPr>
    </w:p>
    <w:p w14:paraId="705C0155">
      <w:pPr>
        <w:pStyle w:val="3"/>
        <w:tabs>
          <w:tab w:val="left" w:pos="567"/>
        </w:tabs>
        <w:ind w:left="0" w:leftChars="0" w:firstLine="0" w:firstLineChars="0"/>
        <w:jc w:val="both"/>
        <w:rPr>
          <w:rFonts w:hint="eastAsia" w:ascii="宋体" w:hAnsi="宋体" w:eastAsia="宋体" w:cs="宋体"/>
          <w:b/>
          <w:bCs w:val="0"/>
          <w:color w:val="auto"/>
          <w:szCs w:val="28"/>
          <w:highlight w:val="none"/>
        </w:rPr>
      </w:pPr>
    </w:p>
    <w:p w14:paraId="161ED359">
      <w:pPr>
        <w:rPr>
          <w:rFonts w:hint="eastAsia" w:ascii="宋体" w:hAnsi="宋体" w:eastAsia="宋体" w:cs="宋体"/>
          <w:b/>
          <w:bCs w:val="0"/>
          <w:color w:val="auto"/>
          <w:szCs w:val="28"/>
          <w:highlight w:val="none"/>
        </w:rPr>
      </w:pPr>
    </w:p>
    <w:p w14:paraId="7D6E2C46">
      <w:pPr>
        <w:pStyle w:val="3"/>
        <w:tabs>
          <w:tab w:val="left" w:pos="567"/>
        </w:tabs>
        <w:rPr>
          <w:rFonts w:hint="eastAsia" w:ascii="宋体" w:hAnsi="宋体" w:eastAsia="宋体" w:cs="宋体"/>
          <w:b/>
          <w:bCs w:val="0"/>
          <w:color w:val="auto"/>
          <w:szCs w:val="28"/>
          <w:highlight w:val="none"/>
        </w:rPr>
      </w:pPr>
    </w:p>
    <w:p w14:paraId="1DAB5208">
      <w:pPr>
        <w:pStyle w:val="3"/>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Cs w:val="28"/>
          <w:highlight w:val="none"/>
        </w:rPr>
        <w:sectPr>
          <w:footerReference r:id="rId6" w:type="first"/>
          <w:footerReference r:id="rId5" w:type="default"/>
          <w:pgSz w:w="11906" w:h="16838"/>
          <w:pgMar w:top="1077" w:right="1115" w:bottom="1191" w:left="1131" w:header="851" w:footer="992" w:gutter="0"/>
          <w:pgNumType w:fmt="decimal"/>
          <w:cols w:space="720" w:num="1"/>
          <w:titlePg/>
          <w:docGrid w:type="lines" w:linePitch="312" w:charSpace="0"/>
        </w:sectPr>
      </w:pPr>
      <w:bookmarkStart w:id="45" w:name="_Toc27120"/>
      <w:bookmarkStart w:id="46" w:name="_Toc22792"/>
    </w:p>
    <w:p w14:paraId="79A927BA">
      <w:pPr>
        <w:pStyle w:val="3"/>
        <w:pageBreakBefore w:val="0"/>
        <w:widowControl w:val="0"/>
        <w:tabs>
          <w:tab w:val="left" w:pos="567"/>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Cs w:val="28"/>
          <w:highlight w:val="none"/>
        </w:rPr>
      </w:pPr>
      <w:bookmarkStart w:id="47" w:name="_Toc22096"/>
      <w:bookmarkStart w:id="48" w:name="_Toc16308"/>
      <w:r>
        <w:rPr>
          <w:rFonts w:hint="eastAsia" w:ascii="宋体" w:hAnsi="宋体" w:eastAsia="宋体" w:cs="宋体"/>
          <w:b/>
          <w:bCs w:val="0"/>
          <w:color w:val="auto"/>
          <w:szCs w:val="28"/>
          <w:highlight w:val="none"/>
        </w:rPr>
        <w:t>一、总则</w:t>
      </w:r>
      <w:bookmarkEnd w:id="45"/>
      <w:bookmarkEnd w:id="46"/>
      <w:bookmarkEnd w:id="47"/>
      <w:bookmarkEnd w:id="48"/>
    </w:p>
    <w:p w14:paraId="039E9F27">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49" w:name="_Toc6626"/>
      <w:bookmarkStart w:id="50" w:name="_Toc3367"/>
      <w:r>
        <w:rPr>
          <w:rFonts w:hint="eastAsia" w:ascii="宋体" w:hAnsi="宋体" w:eastAsia="宋体" w:cs="宋体"/>
          <w:color w:val="auto"/>
          <w:sz w:val="21"/>
          <w:szCs w:val="21"/>
          <w:highlight w:val="none"/>
        </w:rPr>
        <w:t>1. 适应范围</w:t>
      </w:r>
      <w:bookmarkEnd w:id="49"/>
      <w:bookmarkEnd w:id="50"/>
    </w:p>
    <w:p w14:paraId="056B2718">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1.1项目名称及项目编号</w:t>
      </w:r>
    </w:p>
    <w:p w14:paraId="4686D01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Cs w:val="21"/>
          <w:highlight w:val="none"/>
          <w:lang w:eastAsia="zh-CN"/>
        </w:rPr>
        <w:t>兴安严关修缮工程</w:t>
      </w:r>
      <w:r>
        <w:rPr>
          <w:rFonts w:hint="eastAsia" w:ascii="宋体" w:hAnsi="宋体" w:eastAsia="宋体" w:cs="宋体"/>
          <w:color w:val="auto"/>
          <w:szCs w:val="21"/>
          <w:highlight w:val="none"/>
        </w:rPr>
        <w:t xml:space="preserve">  </w:t>
      </w:r>
    </w:p>
    <w:p w14:paraId="6C3C47E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GLZC2025-C2-250034-ZCJS</w:t>
      </w:r>
    </w:p>
    <w:p w14:paraId="08142ED1">
      <w:pPr>
        <w:pageBreakBefore w:val="0"/>
        <w:widowControl w:val="0"/>
        <w:kinsoku/>
        <w:wordWrap/>
        <w:overflowPunct/>
        <w:topLinePunct w:val="0"/>
        <w:autoSpaceDE/>
        <w:autoSpaceDN/>
        <w:bidi w:val="0"/>
        <w:adjustRightInd/>
        <w:snapToGrid/>
        <w:spacing w:line="288"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22776D41">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1" w:name="_Toc28336"/>
      <w:bookmarkStart w:id="52" w:name="_Toc2845"/>
      <w:r>
        <w:rPr>
          <w:rFonts w:hint="eastAsia" w:ascii="宋体" w:hAnsi="宋体" w:eastAsia="宋体" w:cs="宋体"/>
          <w:color w:val="auto"/>
          <w:sz w:val="21"/>
          <w:szCs w:val="21"/>
          <w:highlight w:val="none"/>
        </w:rPr>
        <w:t>2. 定义</w:t>
      </w:r>
      <w:bookmarkEnd w:id="51"/>
      <w:bookmarkEnd w:id="52"/>
    </w:p>
    <w:p w14:paraId="5C89F37A">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627BE980">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54CCA471">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6B0E4E29">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2123A907">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7F0AF51A">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3" w:name="_Toc13017"/>
      <w:bookmarkStart w:id="54" w:name="_Toc25441"/>
      <w:r>
        <w:rPr>
          <w:rFonts w:hint="eastAsia" w:ascii="宋体" w:hAnsi="宋体" w:eastAsia="宋体" w:cs="宋体"/>
          <w:color w:val="auto"/>
          <w:sz w:val="21"/>
          <w:szCs w:val="21"/>
          <w:highlight w:val="none"/>
        </w:rPr>
        <w:t>3. 供应商资格</w:t>
      </w:r>
      <w:bookmarkEnd w:id="53"/>
      <w:bookmarkEnd w:id="54"/>
    </w:p>
    <w:p w14:paraId="47D989B6">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bCs/>
          <w:color w:val="auto"/>
          <w:szCs w:val="21"/>
          <w:highlight w:val="none"/>
        </w:rPr>
        <w:t>；</w:t>
      </w:r>
    </w:p>
    <w:p w14:paraId="2958CB1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 w:val="21"/>
          <w:szCs w:val="21"/>
          <w:highlight w:val="none"/>
          <w:lang w:val="en-US" w:eastAsia="zh-CN"/>
        </w:rPr>
      </w:pPr>
      <w:bookmarkStart w:id="55" w:name="_Toc16496"/>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14:paraId="2927C28B">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cs="宋体"/>
          <w:b w:val="0"/>
          <w:bCs w:val="0"/>
          <w:color w:val="auto"/>
          <w:sz w:val="21"/>
          <w:szCs w:val="21"/>
          <w:highlight w:val="none"/>
          <w:lang w:val="en-US" w:eastAsia="zh-CN"/>
        </w:rPr>
      </w:pPr>
      <w:bookmarkStart w:id="56" w:name="_Toc4527"/>
      <w:bookmarkStart w:id="57" w:name="_Toc3452"/>
      <w:bookmarkStart w:id="58" w:name="_Toc5736"/>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本项目的特定资格要求：</w:t>
      </w:r>
      <w:bookmarkEnd w:id="56"/>
      <w:bookmarkEnd w:id="57"/>
      <w:bookmarkEnd w:id="58"/>
      <w:bookmarkStart w:id="59" w:name="_Toc9216"/>
      <w:r>
        <w:rPr>
          <w:rFonts w:hint="eastAsia" w:ascii="宋体" w:hAnsi="宋体" w:cs="宋体"/>
          <w:b w:val="0"/>
          <w:bCs w:val="0"/>
          <w:color w:val="auto"/>
          <w:sz w:val="21"/>
          <w:szCs w:val="21"/>
          <w:highlight w:val="none"/>
          <w:lang w:val="en-US" w:eastAsia="zh-CN"/>
        </w:rPr>
        <w:t>具备国家文物局颁发的文物保护工程施工二级（含）以上资质，具有有效的安全生产许可证，并在人员、设备、资金等方面具备相应的施工能力。项目经理须具备相关部门或协会颁发的文物保护工程责任工程师证书，且同时具备有中级（含）以上职称。</w:t>
      </w:r>
    </w:p>
    <w:p w14:paraId="0909C648">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5"/>
      <w:bookmarkEnd w:id="59"/>
    </w:p>
    <w:p w14:paraId="3EB4DC2D">
      <w:pPr>
        <w:pageBreakBefore w:val="0"/>
        <w:widowControl w:val="0"/>
        <w:tabs>
          <w:tab w:val="left" w:pos="1635"/>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0D9F31F6">
      <w:pPr>
        <w:pStyle w:val="4"/>
        <w:pageBreakBefore w:val="0"/>
        <w:widowControl w:val="0"/>
        <w:numPr>
          <w:ilvl w:val="0"/>
          <w:numId w:val="2"/>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0" w:name="_Toc31376"/>
      <w:bookmarkStart w:id="61" w:name="_Toc22877"/>
      <w:r>
        <w:rPr>
          <w:rFonts w:hint="eastAsia" w:ascii="宋体" w:hAnsi="宋体" w:eastAsia="宋体" w:cs="宋体"/>
          <w:color w:val="auto"/>
          <w:sz w:val="21"/>
          <w:szCs w:val="21"/>
          <w:highlight w:val="none"/>
        </w:rPr>
        <w:t>联合体要求</w:t>
      </w:r>
      <w:bookmarkEnd w:id="60"/>
      <w:bookmarkEnd w:id="61"/>
    </w:p>
    <w:p w14:paraId="45F1006F">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13171093">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2" w:name="_Toc4152"/>
      <w:bookmarkStart w:id="63" w:name="_Toc18940"/>
      <w:r>
        <w:rPr>
          <w:rFonts w:hint="eastAsia" w:ascii="宋体" w:hAnsi="宋体" w:eastAsia="宋体" w:cs="宋体"/>
          <w:color w:val="auto"/>
          <w:sz w:val="21"/>
          <w:szCs w:val="21"/>
          <w:highlight w:val="none"/>
        </w:rPr>
        <w:t>6. 质疑和投诉</w:t>
      </w:r>
      <w:bookmarkEnd w:id="62"/>
      <w:bookmarkEnd w:id="63"/>
      <w:r>
        <w:rPr>
          <w:rFonts w:hint="eastAsia" w:ascii="宋体" w:hAnsi="宋体" w:eastAsia="宋体" w:cs="宋体"/>
          <w:color w:val="auto"/>
          <w:sz w:val="21"/>
          <w:szCs w:val="21"/>
          <w:highlight w:val="none"/>
        </w:rPr>
        <w:tab/>
      </w:r>
    </w:p>
    <w:p w14:paraId="0D9F0A91">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bookmarkStart w:id="64" w:name="_Toc8195"/>
      <w:bookmarkStart w:id="65" w:name="_Toc26087"/>
      <w:r>
        <w:rPr>
          <w:rFonts w:hint="eastAsia" w:ascii="宋体" w:hAnsi="宋体" w:eastAsia="宋体" w:cs="宋体"/>
          <w:color w:val="auto"/>
          <w:szCs w:val="21"/>
          <w:highlight w:val="none"/>
          <w:u w:val="none"/>
        </w:rPr>
        <w:t>6.1供应对政府采购活动事项有疑问的，可以向采购人提出询问。</w:t>
      </w:r>
    </w:p>
    <w:p w14:paraId="343A7670">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79B03C90">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6.3供应商对采购代理机构的质疑答复不满意或者采购代理机构未在规定的时间内作出答复的，可以在答复期满后十五个工作日内向本级财政部门投诉。</w:t>
      </w:r>
    </w:p>
    <w:p w14:paraId="142E5828">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14C8C13C">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6.5质疑联系</w:t>
      </w:r>
      <w:bookmarkEnd w:id="64"/>
      <w:bookmarkEnd w:id="65"/>
      <w:r>
        <w:rPr>
          <w:rFonts w:hint="eastAsia" w:ascii="宋体" w:hAnsi="宋体" w:eastAsia="宋体" w:cs="宋体"/>
          <w:color w:val="auto"/>
          <w:szCs w:val="21"/>
          <w:highlight w:val="none"/>
          <w:u w:val="none"/>
          <w:lang w:eastAsia="zh-CN"/>
        </w:rPr>
        <w:t>方式，详见磋商公告。</w:t>
      </w:r>
    </w:p>
    <w:p w14:paraId="18B5225A">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6" w:name="_Toc5032"/>
      <w:bookmarkStart w:id="67" w:name="_Toc6998"/>
      <w:r>
        <w:rPr>
          <w:rFonts w:hint="eastAsia" w:ascii="宋体" w:hAnsi="宋体" w:eastAsia="宋体" w:cs="宋体"/>
          <w:color w:val="auto"/>
          <w:sz w:val="21"/>
          <w:szCs w:val="21"/>
          <w:highlight w:val="none"/>
        </w:rPr>
        <w:t>7. 转包与分包</w:t>
      </w:r>
      <w:bookmarkEnd w:id="66"/>
      <w:bookmarkEnd w:id="67"/>
    </w:p>
    <w:p w14:paraId="24296DA5">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shd w:val="clear" w:color="auto" w:fill="FFFFFF"/>
        </w:rPr>
        <w:t>.1 本项目不允许转包。</w:t>
      </w:r>
    </w:p>
    <w:p w14:paraId="2BD1D824">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7.2 本项目不可以分包。</w:t>
      </w:r>
    </w:p>
    <w:p w14:paraId="1FE8768F">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7.3本项目不允许挂靠。</w:t>
      </w:r>
    </w:p>
    <w:p w14:paraId="4AC06322">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7.4如发现有以上行为，采购人有权终止合同，所有损失由成交供应商承担。</w:t>
      </w:r>
    </w:p>
    <w:p w14:paraId="3382492D">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8" w:name="_Toc3368"/>
      <w:bookmarkStart w:id="69" w:name="_Toc15097"/>
      <w:r>
        <w:rPr>
          <w:rFonts w:hint="eastAsia" w:ascii="宋体" w:hAnsi="宋体" w:eastAsia="宋体" w:cs="宋体"/>
          <w:color w:val="auto"/>
          <w:sz w:val="21"/>
          <w:szCs w:val="21"/>
          <w:highlight w:val="none"/>
        </w:rPr>
        <w:t>8. 特别说明</w:t>
      </w:r>
      <w:bookmarkEnd w:id="68"/>
      <w:bookmarkEnd w:id="69"/>
    </w:p>
    <w:p w14:paraId="1E21BD3C">
      <w:pPr>
        <w:pageBreakBefore w:val="0"/>
        <w:widowControl w:val="0"/>
        <w:tabs>
          <w:tab w:val="left" w:pos="1635"/>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14:paraId="4005820A">
      <w:pPr>
        <w:pageBreakBefore w:val="0"/>
        <w:widowControl w:val="0"/>
        <w:tabs>
          <w:tab w:val="left" w:pos="1635"/>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68915CD6">
      <w:pPr>
        <w:pageBreakBefore w:val="0"/>
        <w:widowControl w:val="0"/>
        <w:tabs>
          <w:tab w:val="left" w:pos="1635"/>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）为本采购项目提供整体设计、规范编制或者项目管理、监理、检测等服务的供应商，不得再参加本次采购活动。</w:t>
      </w:r>
    </w:p>
    <w:p w14:paraId="79F211A5">
      <w:pPr>
        <w:pStyle w:val="8"/>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6074ACF3">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70" w:name="_Toc2997"/>
      <w:bookmarkStart w:id="71" w:name="_Toc29496"/>
      <w:bookmarkStart w:id="72" w:name="_Toc22498"/>
      <w:bookmarkStart w:id="73" w:name="_Toc2062"/>
      <w:r>
        <w:rPr>
          <w:rFonts w:hint="eastAsia" w:ascii="宋体" w:hAnsi="宋体" w:eastAsia="宋体" w:cs="宋体"/>
          <w:b/>
          <w:bCs w:val="0"/>
          <w:color w:val="auto"/>
          <w:szCs w:val="28"/>
          <w:highlight w:val="none"/>
        </w:rPr>
        <w:t>二、磋商文件</w:t>
      </w:r>
      <w:bookmarkEnd w:id="70"/>
      <w:bookmarkEnd w:id="71"/>
      <w:bookmarkEnd w:id="72"/>
      <w:bookmarkEnd w:id="73"/>
    </w:p>
    <w:p w14:paraId="627D50F0">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lang w:val="pt-BR"/>
        </w:rPr>
      </w:pPr>
      <w:bookmarkStart w:id="74" w:name="_Toc18964"/>
      <w:bookmarkStart w:id="75" w:name="_Toc20057"/>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74"/>
      <w:bookmarkEnd w:id="75"/>
    </w:p>
    <w:p w14:paraId="31AD2405">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2B2D793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4922214E">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（3）工程量清单</w:t>
      </w:r>
      <w:r>
        <w:rPr>
          <w:rFonts w:hint="eastAsia" w:ascii="宋体" w:hAnsi="宋体" w:eastAsia="宋体" w:cs="宋体"/>
          <w:bCs/>
          <w:color w:val="auto"/>
          <w:szCs w:val="21"/>
          <w:highlight w:val="none"/>
        </w:rPr>
        <w:t>；</w:t>
      </w:r>
    </w:p>
    <w:p w14:paraId="72148FF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7CDE614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4998704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（6）响应文件（格式）</w:t>
      </w:r>
      <w:r>
        <w:rPr>
          <w:rFonts w:hint="eastAsia" w:ascii="宋体" w:hAnsi="宋体" w:eastAsia="宋体" w:cs="宋体"/>
          <w:color w:val="auto"/>
          <w:szCs w:val="21"/>
          <w:highlight w:val="none"/>
          <w:lang w:eastAsia="zh-CN"/>
        </w:rPr>
        <w:t>；</w:t>
      </w:r>
    </w:p>
    <w:p w14:paraId="1D2C7DC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bookmarkStart w:id="76" w:name="_Toc9103"/>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图纸。</w:t>
      </w:r>
    </w:p>
    <w:p w14:paraId="7B5E63A8">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77" w:name="_Toc17932"/>
      <w:r>
        <w:rPr>
          <w:rFonts w:hint="eastAsia" w:ascii="宋体" w:hAnsi="宋体" w:eastAsia="宋体" w:cs="宋体"/>
          <w:color w:val="auto"/>
          <w:sz w:val="21"/>
          <w:szCs w:val="21"/>
          <w:highlight w:val="none"/>
        </w:rPr>
        <w:t>10. 磋商文件的澄清与修改</w:t>
      </w:r>
      <w:bookmarkEnd w:id="76"/>
      <w:bookmarkEnd w:id="77"/>
    </w:p>
    <w:p w14:paraId="3B6865BD">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w:t>
      </w:r>
    </w:p>
    <w:p w14:paraId="36618554">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03D9557D">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w:t>
      </w:r>
    </w:p>
    <w:p w14:paraId="35F55522">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如因供应商未及时登录相关网站了解澄清、修改等与项目有关的内容，从而导致响应文件无效的，由供应商自行承担责任。</w:t>
      </w:r>
    </w:p>
    <w:p w14:paraId="60964B50">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w:t>
      </w:r>
    </w:p>
    <w:p w14:paraId="546A4D76">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时，以最后发出的文件为准。</w:t>
      </w:r>
    </w:p>
    <w:p w14:paraId="0ED7BA6B">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w:t>
      </w:r>
    </w:p>
    <w:p w14:paraId="4FCD712B">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机构，不得擅自澄清或者修改磋商文件。</w:t>
      </w:r>
    </w:p>
    <w:p w14:paraId="4B945DFD">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w:t>
      </w:r>
    </w:p>
    <w:p w14:paraId="3B81E5FB">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告发布的同一媒体上发布变更公告。</w:t>
      </w:r>
    </w:p>
    <w:p w14:paraId="17C4BC28">
      <w:pPr>
        <w:pStyle w:val="29"/>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26C21675">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78" w:name="_Toc11316"/>
      <w:bookmarkStart w:id="79" w:name="_Toc17820"/>
      <w:bookmarkStart w:id="80" w:name="_Toc23267"/>
      <w:bookmarkStart w:id="81" w:name="_Toc20830"/>
      <w:r>
        <w:rPr>
          <w:rFonts w:hint="eastAsia" w:ascii="宋体" w:hAnsi="宋体" w:eastAsia="宋体" w:cs="宋体"/>
          <w:b/>
          <w:bCs w:val="0"/>
          <w:color w:val="auto"/>
          <w:szCs w:val="28"/>
          <w:highlight w:val="none"/>
        </w:rPr>
        <w:t>三、竞争性磋商响应文件的编制</w:t>
      </w:r>
      <w:bookmarkEnd w:id="78"/>
      <w:bookmarkEnd w:id="79"/>
      <w:bookmarkEnd w:id="80"/>
      <w:bookmarkEnd w:id="81"/>
    </w:p>
    <w:p w14:paraId="593FB71A">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color w:val="auto"/>
          <w:sz w:val="21"/>
          <w:szCs w:val="21"/>
          <w:highlight w:val="none"/>
          <w:lang w:val="en-US" w:eastAsia="zh-CN"/>
        </w:rPr>
      </w:pPr>
      <w:bookmarkStart w:id="82" w:name="_Toc19747"/>
      <w:r>
        <w:rPr>
          <w:rFonts w:hint="eastAsia" w:ascii="宋体" w:hAnsi="宋体" w:eastAsia="宋体" w:cs="宋体"/>
          <w:b/>
          <w:color w:val="auto"/>
          <w:sz w:val="21"/>
          <w:szCs w:val="21"/>
          <w:highlight w:val="none"/>
          <w:lang w:val="en-US" w:eastAsia="zh-CN"/>
        </w:rPr>
        <w:t>11.竞争性磋商响应文件编制基本要求</w:t>
      </w:r>
      <w:bookmarkEnd w:id="82"/>
    </w:p>
    <w:p w14:paraId="6178FB31">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本项目实行电子响应，供应商应准备电子磋商响应文件：</w:t>
      </w:r>
    </w:p>
    <w:p w14:paraId="3CB7AC17">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30168BBD">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71F687B1">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3303909E">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66BBA95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4361C01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除供应商为以下三种情形的：</w:t>
      </w:r>
    </w:p>
    <w:p w14:paraId="63207FDC">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14:paraId="1241CA94">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14:paraId="6B3AD84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09F814F5">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14:paraId="3AC2671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78B5E4D4">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14:paraId="67E98C0C">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6695BAC">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6DB6A698">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bidi="ar-SA"/>
        </w:rPr>
        <w:t>（必须提供其中一项）</w:t>
      </w:r>
      <w:r>
        <w:rPr>
          <w:rFonts w:hint="eastAsia" w:ascii="宋体" w:hAnsi="宋体" w:eastAsia="宋体" w:cs="宋体"/>
          <w:b/>
          <w:bCs w:val="0"/>
          <w:color w:val="auto"/>
          <w:kern w:val="0"/>
          <w:szCs w:val="21"/>
          <w:highlight w:val="none"/>
          <w:lang w:val="en-US" w:eastAsia="zh-CN"/>
        </w:rPr>
        <w:t>；</w:t>
      </w:r>
    </w:p>
    <w:p w14:paraId="77F82BA8">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供应商有效的安全生产许可证书复印件</w:t>
      </w:r>
      <w:r>
        <w:rPr>
          <w:rFonts w:hint="eastAsia" w:ascii="宋体" w:hAnsi="宋体" w:eastAsia="宋体" w:cs="宋体"/>
          <w:b/>
          <w:bCs w:val="0"/>
          <w:color w:val="auto"/>
          <w:kern w:val="0"/>
          <w:szCs w:val="21"/>
          <w:highlight w:val="none"/>
          <w:lang w:val="en-US" w:eastAsia="zh-CN"/>
        </w:rPr>
        <w:t>（必须提供）；</w:t>
      </w:r>
    </w:p>
    <w:p w14:paraId="4DC5C720">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highlight w:val="none"/>
        </w:rPr>
      </w:pPr>
      <w:r>
        <w:rPr>
          <w:rFonts w:hint="eastAsia" w:ascii="宋体" w:hAnsi="宋体" w:cs="宋体"/>
          <w:bCs/>
          <w:color w:val="auto"/>
          <w:kern w:val="0"/>
          <w:szCs w:val="21"/>
          <w:highlight w:val="none"/>
          <w:lang w:eastAsia="zh-CN"/>
        </w:rPr>
        <w:t>供应商2023年度以来财务状况报告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可</w:t>
      </w:r>
      <w:r>
        <w:rPr>
          <w:rFonts w:hint="eastAsia" w:ascii="宋体" w:hAnsi="宋体" w:eastAsia="宋体" w:cs="宋体"/>
          <w:b/>
          <w:bCs/>
          <w:color w:val="auto"/>
          <w:szCs w:val="21"/>
          <w:highlight w:val="none"/>
          <w:lang w:eastAsia="zh-CN"/>
        </w:rPr>
        <w:t>以是磋商供应商</w:t>
      </w:r>
      <w:r>
        <w:rPr>
          <w:rFonts w:hint="eastAsia" w:ascii="宋体" w:hAnsi="宋体" w:eastAsia="宋体" w:cs="宋体"/>
          <w:b/>
          <w:bCs/>
          <w:color w:val="auto"/>
          <w:szCs w:val="21"/>
          <w:highlight w:val="none"/>
        </w:rPr>
        <w:t>自行编制也可</w:t>
      </w:r>
      <w:r>
        <w:rPr>
          <w:rFonts w:hint="eastAsia" w:ascii="宋体" w:hAnsi="宋体" w:eastAsia="宋体" w:cs="宋体"/>
          <w:b/>
          <w:bCs/>
          <w:color w:val="auto"/>
          <w:szCs w:val="21"/>
          <w:highlight w:val="none"/>
          <w:lang w:eastAsia="zh-CN"/>
        </w:rPr>
        <w:t>是</w:t>
      </w:r>
      <w:r>
        <w:rPr>
          <w:rFonts w:hint="eastAsia" w:ascii="宋体" w:hAnsi="宋体" w:eastAsia="宋体" w:cs="宋体"/>
          <w:b/>
          <w:bCs/>
          <w:color w:val="auto"/>
          <w:szCs w:val="21"/>
          <w:highlight w:val="none"/>
        </w:rPr>
        <w:t>通过</w:t>
      </w:r>
      <w:r>
        <w:rPr>
          <w:rFonts w:hint="eastAsia" w:ascii="宋体" w:hAnsi="宋体" w:eastAsia="宋体" w:cs="宋体"/>
          <w:b/>
          <w:bCs/>
          <w:color w:val="auto"/>
          <w:szCs w:val="21"/>
          <w:highlight w:val="none"/>
          <w:lang w:eastAsia="zh-CN"/>
        </w:rPr>
        <w:t>第三方</w:t>
      </w:r>
      <w:r>
        <w:rPr>
          <w:rFonts w:hint="eastAsia" w:ascii="宋体" w:hAnsi="宋体" w:eastAsia="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Cs w:val="21"/>
          <w:highlight w:val="none"/>
        </w:rPr>
        <w:t>；</w:t>
      </w:r>
    </w:p>
    <w:p w14:paraId="562E7E90">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供应商近半年内任意一个月或任一季度依法缴纳税收的证明材料</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发票(税收完税证明)或企业所得税完税证明或税务部门出具的免税证明</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复印件</w:t>
      </w:r>
      <w:r>
        <w:rPr>
          <w:rFonts w:hint="eastAsia" w:ascii="宋体" w:hAnsi="宋体" w:eastAsia="宋体" w:cs="宋体"/>
          <w:b/>
          <w:bCs/>
          <w:color w:val="auto"/>
          <w:szCs w:val="21"/>
          <w:highlight w:val="none"/>
        </w:rPr>
        <w:t>（必须提供）。</w:t>
      </w:r>
    </w:p>
    <w:p w14:paraId="10865EC8">
      <w:pPr>
        <w:pStyle w:val="25"/>
        <w:pageBreakBefore w:val="0"/>
        <w:widowControl w:val="0"/>
        <w:kinsoku/>
        <w:wordWrap/>
        <w:overflowPunct/>
        <w:topLinePunct w:val="0"/>
        <w:autoSpaceDE/>
        <w:autoSpaceDN/>
        <w:bidi w:val="0"/>
        <w:adjustRightInd/>
        <w:snapToGrid/>
        <w:spacing w:line="288" w:lineRule="auto"/>
        <w:ind w:left="0" w:leftChars="0" w:firstLine="422"/>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2F51D0F3">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bookmarkStart w:id="83" w:name="_Toc16312"/>
      <w:bookmarkStart w:id="84" w:name="_Toc2809"/>
      <w:bookmarkStart w:id="85" w:name="_Toc28932"/>
      <w:r>
        <w:rPr>
          <w:rFonts w:hint="eastAsia" w:ascii="宋体" w:hAnsi="宋体" w:eastAsia="宋体" w:cs="宋体"/>
          <w:color w:val="auto"/>
          <w:szCs w:val="21"/>
          <w:highlight w:val="none"/>
          <w:lang w:val="en-US"/>
        </w:rPr>
        <w:t>（1）响应函（格式见附件）</w:t>
      </w:r>
      <w:r>
        <w:rPr>
          <w:rFonts w:hint="eastAsia" w:ascii="宋体" w:hAnsi="宋体" w:eastAsia="宋体" w:cs="宋体"/>
          <w:b/>
          <w:bCs/>
          <w:color w:val="auto"/>
          <w:szCs w:val="21"/>
          <w:highlight w:val="none"/>
          <w:lang w:val="en-US"/>
        </w:rPr>
        <w:t>（必须提供）</w:t>
      </w:r>
      <w:bookmarkEnd w:id="83"/>
      <w:r>
        <w:rPr>
          <w:rFonts w:hint="eastAsia" w:ascii="宋体" w:hAnsi="宋体" w:eastAsia="宋体" w:cs="宋体"/>
          <w:color w:val="auto"/>
          <w:szCs w:val="21"/>
          <w:highlight w:val="none"/>
          <w:lang w:val="en-US" w:eastAsia="zh-CN"/>
        </w:rPr>
        <w:t>；</w:t>
      </w:r>
      <w:bookmarkEnd w:id="84"/>
      <w:bookmarkEnd w:id="85"/>
    </w:p>
    <w:p w14:paraId="742FFD7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工程报价汇总表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16ADFE4">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已标价工程量清单</w:t>
      </w:r>
      <w:r>
        <w:rPr>
          <w:rFonts w:hint="eastAsia" w:ascii="宋体" w:hAnsi="宋体" w:eastAsia="宋体" w:cs="宋体"/>
          <w:b/>
          <w:bCs w:val="0"/>
          <w:color w:val="auto"/>
          <w:kern w:val="0"/>
          <w:szCs w:val="21"/>
          <w:highlight w:val="none"/>
        </w:rPr>
        <w:t>（必须提供）</w:t>
      </w:r>
      <w:r>
        <w:rPr>
          <w:rFonts w:hint="eastAsia" w:ascii="宋体" w:hAnsi="宋体" w:eastAsia="宋体" w:cs="宋体"/>
          <w:b w:val="0"/>
          <w:bCs/>
          <w:color w:val="auto"/>
          <w:kern w:val="0"/>
          <w:szCs w:val="21"/>
          <w:highlight w:val="none"/>
          <w:lang w:eastAsia="zh-CN"/>
        </w:rPr>
        <w:t>；</w:t>
      </w:r>
    </w:p>
    <w:p w14:paraId="2AFE7FB3">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）拟投入本工程主要施工管理人员表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15DFF2AB">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color w:val="auto"/>
          <w:szCs w:val="21"/>
          <w:highlight w:val="none"/>
        </w:rPr>
        <w:t>。</w:t>
      </w:r>
    </w:p>
    <w:p w14:paraId="09231308">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担任本工程的项目经理简历表（应附相关证书、身份证复印件）</w:t>
      </w:r>
      <w:r>
        <w:rPr>
          <w:rFonts w:hint="eastAsia" w:ascii="宋体" w:hAnsi="宋体" w:eastAsia="宋体" w:cs="宋体"/>
          <w:b/>
          <w:bCs/>
          <w:color w:val="auto"/>
          <w:szCs w:val="21"/>
          <w:highlight w:val="none"/>
        </w:rPr>
        <w:t>（必须提供）</w:t>
      </w:r>
      <w:r>
        <w:rPr>
          <w:rFonts w:hint="eastAsia" w:ascii="宋体" w:hAnsi="宋体" w:eastAsia="宋体" w:cs="宋体"/>
          <w:b w:val="0"/>
          <w:bCs w:val="0"/>
          <w:color w:val="auto"/>
          <w:szCs w:val="21"/>
          <w:highlight w:val="none"/>
        </w:rPr>
        <w:t>；</w:t>
      </w:r>
    </w:p>
    <w:p w14:paraId="5006AC4D">
      <w:pPr>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7EBB992E">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lang w:val="en-US" w:eastAsia="zh-CN"/>
        </w:rPr>
        <w:t>工</w:t>
      </w:r>
      <w:r>
        <w:rPr>
          <w:rFonts w:hint="eastAsia" w:ascii="宋体" w:hAnsi="宋体" w:eastAsia="宋体" w:cs="宋体"/>
          <w:bCs/>
          <w:color w:val="auto"/>
          <w:kern w:val="0"/>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5014941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0D3BBF1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Cs w:val="21"/>
          <w:highlight w:val="none"/>
          <w:lang w:eastAsia="zh-CN"/>
        </w:rPr>
        <w:t>。</w:t>
      </w:r>
    </w:p>
    <w:p w14:paraId="2264FD6C">
      <w:pPr>
        <w:pStyle w:val="25"/>
        <w:pageBreakBefore w:val="0"/>
        <w:widowControl w:val="0"/>
        <w:kinsoku/>
        <w:wordWrap/>
        <w:overflowPunct/>
        <w:topLinePunct w:val="0"/>
        <w:autoSpaceDE/>
        <w:autoSpaceDN/>
        <w:bidi w:val="0"/>
        <w:adjustRightInd/>
        <w:snapToGrid/>
        <w:spacing w:line="288" w:lineRule="auto"/>
        <w:ind w:left="0" w:leftChars="0" w:firstLine="422"/>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5FBF0F35">
      <w:pPr>
        <w:pageBreakBefore w:val="0"/>
        <w:widowControl w:val="0"/>
        <w:numPr>
          <w:ilvl w:val="0"/>
          <w:numId w:val="4"/>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lang w:eastAsia="zh-CN"/>
        </w:rPr>
        <w:t>2023年1月1日</w:t>
      </w:r>
      <w:r>
        <w:rPr>
          <w:rFonts w:hint="eastAsia" w:ascii="宋体" w:hAnsi="宋体" w:eastAsia="宋体" w:cs="宋体"/>
          <w:color w:val="auto"/>
          <w:szCs w:val="21"/>
          <w:highlight w:val="none"/>
          <w:lang w:eastAsia="zh-CN"/>
        </w:rPr>
        <w:t>以来具有类似工程业绩（</w:t>
      </w:r>
      <w:r>
        <w:rPr>
          <w:rFonts w:hint="eastAsia" w:ascii="宋体" w:hAnsi="宋体" w:cs="宋体"/>
          <w:color w:val="auto"/>
          <w:szCs w:val="21"/>
          <w:highlight w:val="none"/>
          <w:lang w:val="en-US" w:eastAsia="zh-CN"/>
        </w:rPr>
        <w:t>自治区级或省级文物保护单位</w:t>
      </w:r>
      <w:r>
        <w:rPr>
          <w:rFonts w:hint="eastAsia" w:ascii="宋体" w:hAnsi="宋体" w:eastAsia="宋体" w:cs="宋体"/>
          <w:color w:val="auto"/>
          <w:szCs w:val="21"/>
          <w:highlight w:val="none"/>
          <w:lang w:eastAsia="zh-CN"/>
        </w:rPr>
        <w:t>的工程业绩）（无不良记录，以中标（成交）通知书、签订的合同</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竣工证明文件为准，并能清晰反映项目的名称、采购内容、采购金额、采购时间）</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bCs/>
          <w:color w:val="auto"/>
          <w:szCs w:val="21"/>
          <w:highlight w:val="none"/>
        </w:rPr>
        <w:t>）；</w:t>
      </w:r>
    </w:p>
    <w:p w14:paraId="174EA7FA">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（2）供应商</w:t>
      </w:r>
      <w:r>
        <w:rPr>
          <w:rFonts w:hint="eastAsia" w:ascii="宋体" w:hAnsi="宋体" w:cs="宋体"/>
          <w:color w:val="auto"/>
          <w:szCs w:val="21"/>
          <w:highlight w:val="none"/>
          <w:lang w:val="en-US" w:eastAsia="zh-CN"/>
        </w:rPr>
        <w:t>2023年1月1日</w:t>
      </w:r>
      <w:r>
        <w:rPr>
          <w:rFonts w:hint="eastAsia" w:ascii="宋体" w:hAnsi="宋体" w:eastAsia="宋体" w:cs="宋体"/>
          <w:color w:val="auto"/>
          <w:szCs w:val="21"/>
          <w:highlight w:val="none"/>
          <w:lang w:val="en-US" w:eastAsia="zh-CN"/>
        </w:rPr>
        <w:t>以来获奖情况</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07264179">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p>
    <w:p w14:paraId="4599762C">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磋商供应商数字证书（CA认证）</w:t>
      </w:r>
      <w:r>
        <w:rPr>
          <w:rFonts w:hint="eastAsia" w:ascii="宋体" w:hAnsi="宋体" w:eastAsia="宋体" w:cs="宋体"/>
          <w:b/>
          <w:bCs/>
          <w:color w:val="auto"/>
          <w:highlight w:val="none"/>
        </w:rPr>
        <w:t>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2AC9DCE9">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6DE1B2CF">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6A40CFEA">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w:t>
      </w:r>
      <w:r>
        <w:rPr>
          <w:rFonts w:hint="eastAsia" w:ascii="宋体" w:hAnsi="宋体" w:eastAsia="宋体" w:cs="宋体"/>
          <w:b/>
          <w:color w:val="auto"/>
          <w:szCs w:val="21"/>
          <w:highlight w:val="none"/>
          <w:lang w:eastAsia="zh-CN"/>
        </w:rPr>
        <w:t>数字证书（CA认证）</w:t>
      </w:r>
      <w:r>
        <w:rPr>
          <w:rFonts w:hint="eastAsia" w:ascii="宋体" w:hAnsi="宋体" w:eastAsia="宋体" w:cs="宋体"/>
          <w:b/>
          <w:color w:val="auto"/>
          <w:szCs w:val="21"/>
          <w:highlight w:val="none"/>
        </w:rPr>
        <w:t>签章。若磋商文件中有专门标注的某关联点，并要求供应商在电子</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系统中作出磋商响应的，如供应商未对关联点进行响应或者在响应文件其它内容进行描述，造成电子评审不能查询的责任由供应商自行承担。</w:t>
      </w:r>
    </w:p>
    <w:p w14:paraId="6D3DEC8C">
      <w:pPr>
        <w:pageBreakBefore w:val="0"/>
        <w:widowControl w:val="0"/>
        <w:numPr>
          <w:ilvl w:val="0"/>
          <w:numId w:val="5"/>
        </w:numPr>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数字证书（CA认证）签章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6F264045">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86" w:name="_Toc13660"/>
      <w:bookmarkStart w:id="87" w:name="_Toc2180"/>
      <w:r>
        <w:rPr>
          <w:rFonts w:hint="eastAsia" w:ascii="宋体" w:hAnsi="宋体" w:eastAsia="宋体" w:cs="宋体"/>
          <w:color w:val="auto"/>
          <w:sz w:val="21"/>
          <w:szCs w:val="21"/>
          <w:highlight w:val="none"/>
        </w:rPr>
        <w:t>12. 响应文件的语言及计量</w:t>
      </w:r>
      <w:bookmarkEnd w:id="86"/>
      <w:bookmarkEnd w:id="87"/>
    </w:p>
    <w:p w14:paraId="1B54274C">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7964C4A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785A53E6">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88" w:name="_Toc10838"/>
      <w:bookmarkStart w:id="89" w:name="_Toc3058"/>
      <w:r>
        <w:rPr>
          <w:rFonts w:hint="eastAsia" w:ascii="宋体" w:hAnsi="宋体" w:eastAsia="宋体" w:cs="宋体"/>
          <w:color w:val="auto"/>
          <w:sz w:val="21"/>
          <w:szCs w:val="21"/>
          <w:highlight w:val="none"/>
        </w:rPr>
        <w:t>13. 磋商报价及采购预算金额</w:t>
      </w:r>
      <w:bookmarkEnd w:id="88"/>
      <w:bookmarkEnd w:id="89"/>
    </w:p>
    <w:p w14:paraId="28CADD8A">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14:paraId="5C2BA15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14:paraId="5C31E97E">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14:paraId="76919D07">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13.4、供应商按照采购人提供的工程量清单填写本合同各工程子目的单价、合价和总额价。磋商小组将按照下述规定对磋商报价进行算术性错误修正及其他错误修正。</w:t>
      </w:r>
    </w:p>
    <w:p w14:paraId="71C42396">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13.4.1磋商报价有算术错误的，磋商小组按以下原则对磋商报价进行修正，修正的价格经供应商书面确认后具有约束力。供应商不接受修正价格的，磋商小组应否决其投标。</w:t>
      </w:r>
    </w:p>
    <w:p w14:paraId="67A156AD">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(1)响应文件中的大写金额与小写金额不一致的，以大写金额为准;</w:t>
      </w:r>
    </w:p>
    <w:p w14:paraId="7CA5FF11">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）总价金额与依据单价计算出的结果不一致的，以单价金额为准修正总价，但单价金额小数点有明显错误的除外;</w:t>
      </w:r>
    </w:p>
    <w:p w14:paraId="529F928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）当单价与数量相乘不等于合价时，以单价计算为准，如果单价有明显的小数点位置差错，应以标出的合价为准，同时对单价予以修正;</w:t>
      </w:r>
    </w:p>
    <w:p w14:paraId="6446747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(4)当各子目的合价累计不等于总价时，应以各子目合价累计数为准，修正总价。</w:t>
      </w:r>
    </w:p>
    <w:p w14:paraId="31B4A66D">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13.4.2工程量清单中的磋商报价有其他错误的，磋商小组按以下原则对磋商报价进行修正，修正的价格经供应商书面确认后具有约束力。供应商不接受修正价格的，磋商小组应否决其投标。</w:t>
      </w:r>
    </w:p>
    <w:p w14:paraId="41CBA1A3">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487DF195">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7E34144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(3)当单价与数量的乘积与合价(金额)虽然一致，但供应商修改了该子目的工程数量，则其合价按采购人给定的工程数量乘以供应商所报单价予以修正。</w:t>
      </w:r>
    </w:p>
    <w:p w14:paraId="6C5043FB">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14:paraId="0CD6E668">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14:paraId="3532D4F1">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14:paraId="7CA09D6A">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0B62D609">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5AF49A7A">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14:paraId="3D251755">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14:paraId="74F0304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供应商应在规定时间内在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13820C3A">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0" w:name="_Toc30554"/>
      <w:bookmarkStart w:id="91" w:name="_Toc26881"/>
      <w:r>
        <w:rPr>
          <w:rFonts w:hint="eastAsia" w:ascii="宋体" w:hAnsi="宋体" w:eastAsia="宋体" w:cs="宋体"/>
          <w:color w:val="auto"/>
          <w:sz w:val="21"/>
          <w:szCs w:val="21"/>
          <w:highlight w:val="none"/>
        </w:rPr>
        <w:t>14. 响应文件有效期</w:t>
      </w:r>
      <w:bookmarkEnd w:id="90"/>
      <w:bookmarkEnd w:id="91"/>
    </w:p>
    <w:p w14:paraId="0E1AE11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37BE88B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5550EAA5">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2" w:name="_Toc20698"/>
      <w:bookmarkStart w:id="93" w:name="_Toc22602"/>
      <w:r>
        <w:rPr>
          <w:rFonts w:hint="eastAsia" w:ascii="宋体" w:hAnsi="宋体" w:eastAsia="宋体" w:cs="宋体"/>
          <w:color w:val="auto"/>
          <w:sz w:val="21"/>
          <w:szCs w:val="21"/>
          <w:highlight w:val="none"/>
        </w:rPr>
        <w:t>15. 保证金</w:t>
      </w:r>
      <w:bookmarkEnd w:id="92"/>
      <w:bookmarkEnd w:id="93"/>
    </w:p>
    <w:p w14:paraId="39FB390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02348F56">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4" w:name="_Toc387"/>
      <w:bookmarkStart w:id="95"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94"/>
      <w:r>
        <w:rPr>
          <w:rFonts w:hint="eastAsia" w:ascii="宋体" w:hAnsi="宋体" w:eastAsia="宋体" w:cs="宋体"/>
          <w:color w:val="auto"/>
          <w:sz w:val="21"/>
          <w:szCs w:val="21"/>
          <w:highlight w:val="none"/>
          <w:lang w:eastAsia="zh-CN"/>
        </w:rPr>
        <w:t>制作</w:t>
      </w:r>
      <w:bookmarkEnd w:id="95"/>
    </w:p>
    <w:p w14:paraId="3E84924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 xml:space="preserve">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4EA5B00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226E983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数字证书（CA认证）签章）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548FA18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21FC723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23EFF69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 xml:space="preserve">各供应商应在截标前应确保成为广西政府采购云平台正式注册入库供应商，并完成数字证书（CA认证） 申领。因未注册入库、未办理数字证书（CA认证）等原因造成无法磋商或磋商失败等后果由供应商自行承担。 </w:t>
      </w:r>
    </w:p>
    <w:p w14:paraId="2D5BC5B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供应商将广西政府采购云平台电子交易客户端下载、安装完成后，可通过账号密码或数字证书（CA认证） 登录客户端进行响应文件制作。客户端请至网站下载专区查看，如有问题可拨打广西政府采购云平台客户服务热线 95763 进行咨询。</w:t>
      </w:r>
    </w:p>
    <w:p w14:paraId="45BCA982">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6" w:name="_Toc9738"/>
      <w:r>
        <w:rPr>
          <w:rFonts w:hint="eastAsia" w:ascii="宋体" w:hAnsi="宋体" w:eastAsia="宋体" w:cs="宋体"/>
          <w:color w:val="auto"/>
          <w:sz w:val="21"/>
          <w:szCs w:val="21"/>
          <w:highlight w:val="none"/>
        </w:rPr>
        <w:t>17. 响应文件的修改和撤回</w:t>
      </w:r>
      <w:bookmarkEnd w:id="96"/>
    </w:p>
    <w:p w14:paraId="71E1E37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44B71CF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61071DC9">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7" w:name="_Toc24690"/>
      <w:bookmarkStart w:id="98" w:name="_Toc30156"/>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7"/>
      <w:bookmarkEnd w:id="98"/>
    </w:p>
    <w:p w14:paraId="3978D17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2025年6月</w:t>
      </w:r>
      <w:r>
        <w:rPr>
          <w:rFonts w:hint="eastAsia" w:ascii="宋体" w:hAnsi="宋体" w:cs="宋体"/>
          <w:color w:val="auto"/>
          <w:sz w:val="21"/>
          <w:szCs w:val="21"/>
          <w:highlight w:val="none"/>
          <w:u w:val="single"/>
          <w:lang w:val="en-US" w:eastAsia="zh-CN"/>
        </w:rPr>
        <w:t xml:space="preserve"> 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0889AA8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w:t>
      </w:r>
      <w:r>
        <w:rPr>
          <w:rFonts w:hint="eastAsia" w:ascii="宋体" w:hAnsi="宋体" w:eastAsia="宋体" w:cs="宋体"/>
          <w:color w:val="auto"/>
          <w:szCs w:val="21"/>
          <w:highlight w:val="none"/>
          <w:u w:val="none"/>
        </w:rPr>
        <w:t>间后30分钟内磋商</w:t>
      </w:r>
      <w:r>
        <w:rPr>
          <w:rFonts w:hint="eastAsia" w:ascii="宋体" w:hAnsi="宋体" w:eastAsia="宋体" w:cs="宋体"/>
          <w:color w:val="auto"/>
          <w:szCs w:val="21"/>
          <w:highlight w:val="none"/>
        </w:rPr>
        <w:t>供应商可以登录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w:t>
      </w:r>
      <w:r>
        <w:rPr>
          <w:rFonts w:hint="eastAsia" w:ascii="宋体" w:hAnsi="宋体" w:eastAsia="宋体" w:cs="宋体"/>
          <w:b/>
          <w:bCs/>
          <w:color w:val="auto"/>
          <w:szCs w:val="21"/>
          <w:highlight w:val="none"/>
          <w:lang w:eastAsia="zh-CN"/>
        </w:rPr>
        <w:t>磋商供应商</w:t>
      </w:r>
      <w:r>
        <w:rPr>
          <w:rFonts w:hint="eastAsia" w:ascii="宋体" w:hAnsi="宋体" w:eastAsia="宋体" w:cs="宋体"/>
          <w:b/>
          <w:bCs/>
          <w:color w:val="auto"/>
          <w:szCs w:val="21"/>
          <w:highlight w:val="none"/>
        </w:rPr>
        <w:t>可根据自身实际情况按通知时要求的时间到桂林市公共资源</w:t>
      </w:r>
      <w:r>
        <w:rPr>
          <w:rFonts w:hint="eastAsia" w:ascii="宋体" w:hAnsi="宋体" w:eastAsia="宋体" w:cs="宋体"/>
          <w:b/>
          <w:bCs/>
          <w:color w:val="auto"/>
          <w:szCs w:val="21"/>
          <w:highlight w:val="none"/>
          <w:lang w:eastAsia="zh-CN"/>
        </w:rPr>
        <w:t>交易中心</w:t>
      </w:r>
      <w:r>
        <w:rPr>
          <w:rFonts w:hint="eastAsia" w:ascii="宋体" w:hAnsi="宋体" w:cs="宋体"/>
          <w:b/>
          <w:bCs/>
          <w:color w:val="auto"/>
          <w:sz w:val="21"/>
          <w:szCs w:val="21"/>
          <w:highlight w:val="none"/>
          <w:u w:val="single"/>
          <w:lang w:val="en-US" w:eastAsia="zh-CN"/>
        </w:rPr>
        <w:t xml:space="preserve"> 2  </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Cs w:val="21"/>
          <w:highlight w:val="none"/>
        </w:rPr>
        <w:t>现场提交或以电子邮件的形式（以通知时所告知的电子邮箱地址为准）提交电子备份</w:t>
      </w:r>
      <w:r>
        <w:rPr>
          <w:rFonts w:hint="eastAsia" w:ascii="宋体" w:hAnsi="宋体" w:eastAsia="宋体" w:cs="宋体"/>
          <w:b/>
          <w:bCs/>
          <w:color w:val="auto"/>
          <w:szCs w:val="21"/>
          <w:highlight w:val="none"/>
          <w:lang w:eastAsia="zh-CN"/>
        </w:rPr>
        <w:t>磋商响应文件</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66101C3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014EF9D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0775F32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698CED0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2603B932">
      <w:pPr>
        <w:rPr>
          <w:rFonts w:hint="eastAsia" w:ascii="宋体" w:hAnsi="宋体" w:eastAsia="宋体" w:cs="宋体"/>
          <w:b/>
          <w:bCs w:val="0"/>
          <w:color w:val="auto"/>
          <w:szCs w:val="28"/>
          <w:highlight w:val="none"/>
        </w:rPr>
      </w:pPr>
      <w:bookmarkStart w:id="99" w:name="_Toc5807"/>
      <w:bookmarkStart w:id="100" w:name="_Toc25701"/>
      <w:bookmarkStart w:id="101" w:name="_Toc2433"/>
      <w:bookmarkStart w:id="102" w:name="_Toc16485"/>
      <w:r>
        <w:rPr>
          <w:rFonts w:hint="eastAsia" w:ascii="宋体" w:hAnsi="宋体" w:eastAsia="宋体" w:cs="宋体"/>
          <w:b/>
          <w:bCs w:val="0"/>
          <w:color w:val="auto"/>
          <w:szCs w:val="28"/>
          <w:highlight w:val="none"/>
        </w:rPr>
        <w:br w:type="page"/>
      </w:r>
    </w:p>
    <w:p w14:paraId="67D74E59">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四、竞争性磋商（简称磋商）与评审</w:t>
      </w:r>
      <w:bookmarkEnd w:id="99"/>
      <w:bookmarkEnd w:id="100"/>
      <w:bookmarkEnd w:id="101"/>
      <w:bookmarkEnd w:id="102"/>
    </w:p>
    <w:p w14:paraId="74002563">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3" w:name="_Toc11021"/>
      <w:bookmarkStart w:id="104" w:name="_Toc31588"/>
      <w:r>
        <w:rPr>
          <w:rFonts w:hint="eastAsia" w:ascii="宋体" w:hAnsi="宋体" w:eastAsia="宋体" w:cs="宋体"/>
          <w:color w:val="auto"/>
          <w:sz w:val="21"/>
          <w:szCs w:val="21"/>
          <w:highlight w:val="none"/>
        </w:rPr>
        <w:t>19. 磋商小组组成及磋商时间、地点、人员</w:t>
      </w:r>
      <w:bookmarkEnd w:id="103"/>
      <w:bookmarkEnd w:id="104"/>
    </w:p>
    <w:p w14:paraId="288DF63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磋商小组组成：</w:t>
      </w:r>
    </w:p>
    <w:p w14:paraId="63423BC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 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p w14:paraId="3ADC272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磋商时间、地点、人员：</w:t>
      </w:r>
    </w:p>
    <w:p w14:paraId="629BCCF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05" w:name="_Toc9878"/>
      <w:r>
        <w:rPr>
          <w:rFonts w:hint="eastAsia" w:ascii="宋体" w:hAnsi="宋体" w:eastAsia="宋体" w:cs="宋体"/>
          <w:color w:val="auto"/>
          <w:sz w:val="21"/>
          <w:szCs w:val="21"/>
          <w:highlight w:val="none"/>
        </w:rPr>
        <w:t>19.2.1磋商时间：响应文件递交截止时间后。</w:t>
      </w:r>
      <w:bookmarkEnd w:id="105"/>
    </w:p>
    <w:p w14:paraId="6AAE218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bookmarkStart w:id="106" w:name="_Toc29268"/>
      <w:r>
        <w:rPr>
          <w:rFonts w:hint="eastAsia" w:ascii="宋体" w:hAnsi="宋体" w:eastAsia="宋体" w:cs="宋体"/>
          <w:color w:val="auto"/>
          <w:sz w:val="21"/>
          <w:szCs w:val="21"/>
          <w:highlight w:val="none"/>
          <w:lang w:val="en-US" w:eastAsia="zh-CN"/>
        </w:rPr>
        <w:t>19.2.2磋商地点</w:t>
      </w:r>
      <w:r>
        <w:rPr>
          <w:rFonts w:hint="eastAsia" w:ascii="宋体" w:hAnsi="宋体" w:eastAsia="宋体" w:cs="宋体"/>
          <w:color w:val="auto"/>
          <w:sz w:val="21"/>
          <w:szCs w:val="21"/>
          <w:highlight w:val="none"/>
        </w:rPr>
        <w:t>：</w:t>
      </w:r>
      <w:bookmarkEnd w:id="106"/>
      <w:r>
        <w:rPr>
          <w:rFonts w:hint="eastAsia" w:ascii="宋体" w:hAnsi="宋体" w:eastAsia="宋体" w:cs="宋体"/>
          <w:color w:val="auto"/>
          <w:sz w:val="21"/>
          <w:szCs w:val="21"/>
          <w:highlight w:val="none"/>
        </w:rPr>
        <w:t>本项目需要磋商供应商代表在截标当天截标后，按磋商小组要求及时登陆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等候在线磋商</w:t>
      </w:r>
      <w:r>
        <w:rPr>
          <w:rFonts w:hint="eastAsia" w:ascii="宋体" w:hAnsi="宋体" w:eastAsia="宋体" w:cs="宋体"/>
          <w:color w:val="auto"/>
          <w:sz w:val="21"/>
          <w:szCs w:val="21"/>
          <w:highlight w:val="none"/>
          <w:lang w:eastAsia="zh-CN"/>
        </w:rPr>
        <w:t>。</w:t>
      </w:r>
    </w:p>
    <w:p w14:paraId="0666E6B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07" w:name="_Toc21307"/>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w:t>
      </w:r>
      <w:r>
        <w:rPr>
          <w:rFonts w:hint="eastAsia" w:ascii="宋体" w:hAnsi="宋体" w:eastAsia="宋体" w:cs="宋体"/>
          <w:b w:val="0"/>
          <w:bCs/>
          <w:color w:val="auto"/>
          <w:sz w:val="21"/>
          <w:szCs w:val="21"/>
          <w:highlight w:val="none"/>
          <w:u w:val="single"/>
          <w:lang w:eastAsia="zh-CN"/>
        </w:rPr>
        <w:t>原件</w:t>
      </w:r>
      <w:r>
        <w:rPr>
          <w:rFonts w:hint="eastAsia" w:ascii="宋体" w:hAnsi="宋体" w:eastAsia="宋体" w:cs="宋体"/>
          <w:b w:val="0"/>
          <w:bCs/>
          <w:color w:val="auto"/>
          <w:sz w:val="21"/>
          <w:szCs w:val="21"/>
          <w:highlight w:val="none"/>
        </w:rPr>
        <w:t>和供应商</w:t>
      </w:r>
      <w:r>
        <w:rPr>
          <w:rFonts w:hint="eastAsia" w:ascii="宋体" w:hAnsi="宋体" w:eastAsia="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参加磋商。请供应商按时等候磋商。</w:t>
      </w:r>
      <w:bookmarkEnd w:id="107"/>
    </w:p>
    <w:p w14:paraId="0311CE6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08"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8"/>
    </w:p>
    <w:p w14:paraId="756A9AE9">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9" w:name="_Toc25258"/>
      <w:bookmarkStart w:id="110" w:name="_Toc21088"/>
      <w:r>
        <w:rPr>
          <w:rFonts w:hint="eastAsia" w:ascii="宋体" w:hAnsi="宋体" w:eastAsia="宋体" w:cs="宋体"/>
          <w:color w:val="auto"/>
          <w:sz w:val="21"/>
          <w:szCs w:val="21"/>
          <w:highlight w:val="none"/>
        </w:rPr>
        <w:t>20. 评审原则</w:t>
      </w:r>
      <w:bookmarkEnd w:id="109"/>
      <w:bookmarkEnd w:id="110"/>
    </w:p>
    <w:p w14:paraId="78C4650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磋商小组必须坚持公平、公正、科学和择优的原则。</w:t>
      </w:r>
    </w:p>
    <w:p w14:paraId="76A508A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评审办法：综合评分法，具体详见第四章评审办法。</w:t>
      </w:r>
    </w:p>
    <w:p w14:paraId="2D542BB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磋商小组应按磋商文件进行评审，不得擅自更改评审办法。</w:t>
      </w:r>
    </w:p>
    <w:p w14:paraId="06D81D9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在评审过程中，磋商小组任何人不得对某个供应商发表任何倾向性意见，不得向其他磋商小组成员明示或者暗示自己的评审意见。</w:t>
      </w:r>
    </w:p>
    <w:p w14:paraId="4BB22529">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4FF5F3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响应文件最后报价出现前后不一致的，除竞争性磋商文件另有规定外，按照下列规定修正：</w:t>
      </w:r>
    </w:p>
    <w:p w14:paraId="4E589880">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响应文件中磋商报价表内容与响应文件中相应内容不一致的，以最后磋商报价表为准；</w:t>
      </w:r>
    </w:p>
    <w:p w14:paraId="534DD279">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14:paraId="31E74DB3">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总价金额与依据单价计算出的结果不一致的，以单价金额为准修正总价，但单价金额小数点有明显错误的除外；</w:t>
      </w:r>
    </w:p>
    <w:p w14:paraId="7444DCB6">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当单价与数量相乘不等于合价时，以单价计算为准，如果单价有明显的小数点位置差错，应以标出的合价为准，同时对单价予以修正。</w:t>
      </w:r>
    </w:p>
    <w:p w14:paraId="78940F20">
      <w:pPr>
        <w:pStyle w:val="30"/>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当各子目的合价累计不等于总价时，应以各子目合价累计数为准，修正总价。</w:t>
      </w:r>
    </w:p>
    <w:p w14:paraId="0D4C090A">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58817C4D">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1" w:name="_Toc21012"/>
      <w:bookmarkStart w:id="112" w:name="_Toc27193"/>
      <w:r>
        <w:rPr>
          <w:rFonts w:hint="eastAsia" w:ascii="宋体" w:hAnsi="宋体" w:eastAsia="宋体" w:cs="宋体"/>
          <w:color w:val="auto"/>
          <w:sz w:val="21"/>
          <w:szCs w:val="21"/>
          <w:highlight w:val="none"/>
        </w:rPr>
        <w:t>21. 评审程序及磋商要求</w:t>
      </w:r>
      <w:bookmarkEnd w:id="111"/>
      <w:bookmarkEnd w:id="112"/>
    </w:p>
    <w:p w14:paraId="7B2AF7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14:paraId="60CBFBC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AD89E1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7EA2417">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0214B5F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查询渠道：《国家企业信用信息公示系统》（网址：www.gsxt.gov.cn/index.html）</w:t>
      </w:r>
    </w:p>
    <w:p w14:paraId="5609B98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14:paraId="07D8263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14:paraId="43E838C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5A8D7DA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14:paraId="3C36319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14:paraId="214B10B3">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14:paraId="18BAC87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个人数字证书（CA认证）签章)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rPr>
        <w:t>。</w:t>
      </w:r>
    </w:p>
    <w:p w14:paraId="4A0B889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根据磋商文件规定的程序、评定成交的标准等事项与实质性响应竞争性磋商文件要求的供应商进行磋商。 </w:t>
      </w:r>
    </w:p>
    <w:p w14:paraId="0B14AFB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未实质性响应磋商文件的响应文件按无效处理，磋商小组应当告知有关供应商。 </w:t>
      </w:r>
    </w:p>
    <w:p w14:paraId="442C2FD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磋商小组所有成员应当按已确定的磋商顺序集中与单一供应商分别进行磋商，并给予所有实质性响应竞争性磋商文件要求的供应商平等的磋商机会。 </w:t>
      </w:r>
    </w:p>
    <w:p w14:paraId="7996A37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磋商中，磋商小组不得透露与磋商有关的其他供应商的技术资料、价格和其他信息。 </w:t>
      </w:r>
    </w:p>
    <w:p w14:paraId="683CB81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磋商小组对磋商过程和重要磋商内容进行记录，磋商双方在记录上签字确认。 </w:t>
      </w:r>
    </w:p>
    <w:p w14:paraId="6C8684B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4F6BFEF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4A41106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w:t>
      </w:r>
      <w:r>
        <w:rPr>
          <w:rFonts w:hint="eastAsia" w:ascii="宋体" w:hAnsi="宋体" w:eastAsia="宋体" w:cs="宋体"/>
          <w:color w:val="auto"/>
          <w:sz w:val="21"/>
          <w:szCs w:val="21"/>
          <w:highlight w:val="none"/>
          <w:lang w:eastAsia="zh-CN"/>
        </w:rPr>
        <w:t>通过广西政府采购云平台同时</w:t>
      </w:r>
      <w:r>
        <w:rPr>
          <w:rFonts w:hint="eastAsia" w:ascii="宋体" w:hAnsi="宋体" w:eastAsia="宋体" w:cs="宋体"/>
          <w:color w:val="auto"/>
          <w:sz w:val="21"/>
          <w:szCs w:val="21"/>
          <w:highlight w:val="none"/>
        </w:rPr>
        <w:t xml:space="preserve">通知所有参加磋商的供应商。 </w:t>
      </w:r>
    </w:p>
    <w:p w14:paraId="64515E3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供应商应当按照磋商文件的变动情况和磋商小组的要求重新提交响应文件，并由其法定代表人、负责人、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rPr>
        <w:t xml:space="preserve">。逾时不交的，视同放弃磋商。 </w:t>
      </w:r>
    </w:p>
    <w:p w14:paraId="362CFFB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第二轮磋商</w:t>
      </w:r>
    </w:p>
    <w:p w14:paraId="5CF824E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684F5FF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14:paraId="6510377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6F8E657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21.10 在采购过程中符合竞争要求的供应商或者报价未超过采购预算的供应商不足 3 家的，采购人或者采购代理机构应当终止竞争性磋商采购活动。 </w:t>
      </w:r>
    </w:p>
    <w:p w14:paraId="6A4D7D8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 最后报价 </w:t>
      </w:r>
    </w:p>
    <w:p w14:paraId="3E675CC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14:paraId="54AA956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14:paraId="12E3C18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ascii="宋体" w:hAnsi="宋体" w:eastAsia="宋体" w:cs="宋体"/>
          <w:color w:val="auto"/>
          <w:kern w:val="0"/>
          <w:sz w:val="21"/>
          <w:szCs w:val="21"/>
          <w:highlight w:val="none"/>
        </w:rPr>
        <w:t>最后报价（应答文件）是供应商响应文件的有效组成部分：</w:t>
      </w:r>
      <w:r>
        <w:rPr>
          <w:rFonts w:hint="eastAsia" w:ascii="宋体" w:hAnsi="宋体" w:eastAsia="宋体" w:cs="宋体"/>
          <w:b/>
          <w:color w:val="auto"/>
          <w:spacing w:val="-4"/>
          <w:sz w:val="21"/>
          <w:szCs w:val="21"/>
          <w:highlight w:val="none"/>
        </w:rPr>
        <w:t>供应商做最终报价时，如供应商维持磋商报价不变</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ascii="宋体" w:hAnsi="宋体" w:eastAsia="宋体" w:cs="宋体"/>
          <w:b/>
          <w:color w:val="auto"/>
          <w:spacing w:val="-4"/>
          <w:sz w:val="21"/>
          <w:szCs w:val="21"/>
          <w:highlight w:val="none"/>
          <w:lang w:eastAsia="zh-CN"/>
        </w:rPr>
        <w:t>电子</w:t>
      </w:r>
      <w:r>
        <w:rPr>
          <w:rFonts w:hint="eastAsia" w:ascii="宋体" w:hAnsi="宋体" w:eastAsia="宋体" w:cs="宋体"/>
          <w:b/>
          <w:color w:val="auto"/>
          <w:spacing w:val="-4"/>
          <w:sz w:val="21"/>
          <w:szCs w:val="21"/>
          <w:highlight w:val="none"/>
        </w:rPr>
        <w:t>版的，其报价不予认可，视供应商维持原磋商报价不变</w:t>
      </w:r>
      <w:r>
        <w:rPr>
          <w:rFonts w:hint="eastAsia" w:ascii="宋体" w:hAnsi="宋体" w:eastAsia="宋体" w:cs="宋体"/>
          <w:b/>
          <w:color w:val="auto"/>
          <w:sz w:val="21"/>
          <w:szCs w:val="21"/>
          <w:highlight w:val="none"/>
        </w:rPr>
        <w:t>。</w:t>
      </w:r>
      <w:r>
        <w:rPr>
          <w:rFonts w:hint="eastAsia" w:ascii="宋体" w:hAnsi="宋体" w:eastAsia="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rPr>
        <w:t>。</w:t>
      </w:r>
    </w:p>
    <w:p w14:paraId="121C648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根据《财政部关于政府采购竞争性磋商采购方式管理暂行办法有关问题的补充通知》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7DFC7D1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根据《政府采购竞争性磋商采购方式管理暂行办法》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w:t>
      </w:r>
      <w:r>
        <w:rPr>
          <w:rFonts w:hint="eastAsia" w:ascii="宋体" w:hAnsi="宋体" w:eastAsia="宋体" w:cs="宋体"/>
          <w:b/>
          <w:bCs/>
          <w:color w:val="auto"/>
          <w:sz w:val="21"/>
          <w:szCs w:val="21"/>
          <w:highlight w:val="none"/>
        </w:rPr>
        <w:t xml:space="preserve">最后报价是供应商响应文件的有效组成部分。 </w:t>
      </w:r>
      <w:r>
        <w:rPr>
          <w:rFonts w:hint="eastAsia" w:ascii="宋体" w:hAnsi="宋体" w:eastAsia="宋体" w:cs="宋体"/>
          <w:color w:val="auto"/>
          <w:sz w:val="21"/>
          <w:szCs w:val="21"/>
          <w:highlight w:val="none"/>
        </w:rPr>
        <w:t>符合本办法(财库〔2014〕214号文)第三条第四项情形的，提交最后报价的供应商可以为2家。</w:t>
      </w:r>
      <w:r>
        <w:rPr>
          <w:rFonts w:hint="eastAsia" w:ascii="宋体" w:hAnsi="宋体" w:eastAsia="宋体" w:cs="宋体"/>
          <w:b/>
          <w:bCs/>
          <w:color w:val="auto"/>
          <w:sz w:val="21"/>
          <w:szCs w:val="21"/>
          <w:highlight w:val="none"/>
        </w:rPr>
        <w:t>（财库〔2014〕214号文第三条第四项：市场竞争不充分的科研项目，以及需要扶持的科技成果转化项目。）</w:t>
      </w:r>
    </w:p>
    <w:p w14:paraId="120AECE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21.12 已提交响应文件的供应商，在提交最后报价之前，可以根据磋商情况书面退出磋商。 </w:t>
      </w:r>
    </w:p>
    <w:p w14:paraId="546E2C0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14:paraId="04F60CA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14:paraId="4F9848C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磋商小组应当从质量和服务均能满足磋商文件全部实质性响应要求的供应商中，按照最后综合得分由高到低的顺序提出 3 名以上（含 3 名）成交候选人，并编写评审报告。</w:t>
      </w:r>
    </w:p>
    <w:p w14:paraId="18FE21E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2EB99FB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采购代理机构发现磋商小组有明显的违规倾向或歧视现象，或不按评审办法进行，或其他不正常行为的，应当及时制止。如制止无效，应及时向政府采购监督管理机构报告。</w:t>
      </w:r>
    </w:p>
    <w:p w14:paraId="01F74EB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 w:val="21"/>
          <w:szCs w:val="21"/>
          <w:highlight w:val="none"/>
        </w:rPr>
        <w:t>综合评分法。</w:t>
      </w:r>
    </w:p>
    <w:p w14:paraId="75E49A35">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3" w:name="_Toc32470"/>
      <w:bookmarkStart w:id="114" w:name="_Toc18722"/>
      <w:r>
        <w:rPr>
          <w:rFonts w:hint="eastAsia" w:ascii="宋体" w:hAnsi="宋体" w:eastAsia="宋体" w:cs="宋体"/>
          <w:color w:val="auto"/>
          <w:sz w:val="21"/>
          <w:szCs w:val="21"/>
          <w:highlight w:val="none"/>
        </w:rPr>
        <w:t>22. 确定成交供应商</w:t>
      </w:r>
      <w:bookmarkEnd w:id="113"/>
      <w:bookmarkEnd w:id="114"/>
    </w:p>
    <w:p w14:paraId="5A6AB49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68F4D64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22.2采购单位应当确定磋商小组推荐排名第一的成交候选人为成交供应商。</w:t>
      </w:r>
    </w:p>
    <w:p w14:paraId="6B46D13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0D3AFC9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14:paraId="3683A25B">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5" w:name="_Toc15332"/>
      <w:bookmarkStart w:id="116" w:name="_Toc21715"/>
      <w:r>
        <w:rPr>
          <w:rFonts w:hint="eastAsia" w:ascii="宋体" w:hAnsi="宋体" w:eastAsia="宋体" w:cs="宋体"/>
          <w:color w:val="auto"/>
          <w:sz w:val="21"/>
          <w:szCs w:val="21"/>
          <w:highlight w:val="none"/>
        </w:rPr>
        <w:t>23. 属于下列情况之一者，响应文件无效</w:t>
      </w:r>
      <w:bookmarkEnd w:id="115"/>
      <w:bookmarkEnd w:id="116"/>
    </w:p>
    <w:p w14:paraId="4F56374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14:paraId="76F0D47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（2）不具备磋商文件规定的资格要求的；</w:t>
      </w:r>
    </w:p>
    <w:p w14:paraId="77880AB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46C88A9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）响应文件未按磋商文件的内容和要求编制，或提供虚假材料的；</w:t>
      </w:r>
    </w:p>
    <w:p w14:paraId="71D5AF1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14:paraId="37CB088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）未在磋商小组规定的时间内提交响应文件(包括最后报价)的；</w:t>
      </w:r>
    </w:p>
    <w:p w14:paraId="1E3DD89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）超越了按照法律法规规定必须获得行政许可或者行政审批的经营范围的；</w:t>
      </w:r>
    </w:p>
    <w:p w14:paraId="56EBAED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）未满足磋商文件实质性要求的或者响应文件有采购人不能接受的附加条件的；</w:t>
      </w:r>
    </w:p>
    <w:p w14:paraId="4B5FBBD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）响应文件实质性要求未做变动，供应商最后报价高于第一次报价的；</w:t>
      </w:r>
    </w:p>
    <w:p w14:paraId="3165EF0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）不符合法律、法规和磋商文件规定的其他实质性要求和条件的。</w:t>
      </w:r>
    </w:p>
    <w:p w14:paraId="5E9881B9">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供应商有下列情形之一的视为供应商相互串通磋商，响应文件将被视为无效</w:t>
      </w:r>
    </w:p>
    <w:p w14:paraId="1A71E33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14:paraId="5244342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（2）不同供应商委托同一单位或者个人办理磋商事宜；</w:t>
      </w:r>
    </w:p>
    <w:p w14:paraId="7CB49D8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14:paraId="34AAD7F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14:paraId="6B9752E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w:t>
      </w:r>
    </w:p>
    <w:p w14:paraId="6C77689E">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7" w:name="_Toc27786"/>
      <w:bookmarkStart w:id="118"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17"/>
      <w:bookmarkEnd w:id="118"/>
    </w:p>
    <w:p w14:paraId="783D367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2623230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14:paraId="6B79D8E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（除财库〔2014〕214 号《政府采购竞争性磋商采购方式管理暂行办法》第二十一条第三款规定的情形外） </w:t>
      </w:r>
    </w:p>
    <w:p w14:paraId="4687CDBE">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9" w:name="_Toc19910"/>
      <w:bookmarkStart w:id="120" w:name="_Toc19105"/>
      <w:r>
        <w:rPr>
          <w:rFonts w:hint="eastAsia" w:ascii="宋体" w:hAnsi="宋体" w:eastAsia="宋体" w:cs="宋体"/>
          <w:color w:val="auto"/>
          <w:sz w:val="21"/>
          <w:szCs w:val="21"/>
          <w:highlight w:val="none"/>
        </w:rPr>
        <w:t>25. 磋商过程的监控</w:t>
      </w:r>
      <w:bookmarkEnd w:id="119"/>
      <w:bookmarkEnd w:id="120"/>
    </w:p>
    <w:p w14:paraId="319E1B0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本项目磋商过程实行全程录音、录像监控，供应商在磋商过程中所进行的试图影响磋商结果的不公正活动，可能导致其磋商被拒绝。</w:t>
      </w:r>
    </w:p>
    <w:p w14:paraId="6B586E98">
      <w:pPr>
        <w:pStyle w:val="4"/>
        <w:pageBreakBefore w:val="0"/>
        <w:widowControl w:val="0"/>
        <w:numPr>
          <w:ilvl w:val="0"/>
          <w:numId w:val="6"/>
        </w:numPr>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1" w:name="_Toc26291"/>
      <w:bookmarkStart w:id="122" w:name="_Toc14787"/>
      <w:r>
        <w:rPr>
          <w:rFonts w:hint="eastAsia" w:ascii="宋体" w:hAnsi="宋体" w:eastAsia="宋体" w:cs="宋体"/>
          <w:color w:val="auto"/>
          <w:sz w:val="21"/>
          <w:szCs w:val="21"/>
          <w:highlight w:val="none"/>
        </w:rPr>
        <w:t>信用查询</w:t>
      </w:r>
      <w:bookmarkEnd w:id="121"/>
      <w:bookmarkEnd w:id="122"/>
    </w:p>
    <w:p w14:paraId="24D37B9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6D352F17">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（1）查询渠道：“信用中国”网站(www.creditchina.gov.cn)、中国政府采购网(www.ccgp.gov.cn)等；</w:t>
      </w:r>
    </w:p>
    <w:p w14:paraId="0C557715">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14:paraId="07584C14">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14:paraId="1C46E913">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2CAAFD8">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3" w:name="_Toc9438"/>
      <w:bookmarkStart w:id="124" w:name="_Toc25468"/>
      <w:r>
        <w:rPr>
          <w:rFonts w:hint="eastAsia" w:ascii="宋体" w:hAnsi="宋体" w:eastAsia="宋体" w:cs="宋体"/>
          <w:color w:val="auto"/>
          <w:sz w:val="21"/>
          <w:szCs w:val="21"/>
          <w:highlight w:val="none"/>
        </w:rPr>
        <w:t>27. 成交结果公告及成交通知书</w:t>
      </w:r>
      <w:bookmarkEnd w:id="123"/>
      <w:bookmarkEnd w:id="124"/>
    </w:p>
    <w:p w14:paraId="78BF3E5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6E08C5A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14:paraId="2251684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14:paraId="5CC7EBA1">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1"/>
          <w:szCs w:val="21"/>
          <w:highlight w:val="none"/>
        </w:rPr>
      </w:pPr>
      <w:bookmarkStart w:id="125" w:name="_Toc25593"/>
    </w:p>
    <w:p w14:paraId="553505FD">
      <w:pPr>
        <w:rPr>
          <w:rFonts w:hint="eastAsia" w:ascii="宋体" w:hAnsi="宋体" w:eastAsia="宋体" w:cs="宋体"/>
          <w:b/>
          <w:bCs w:val="0"/>
          <w:color w:val="auto"/>
          <w:szCs w:val="28"/>
          <w:highlight w:val="none"/>
        </w:rPr>
      </w:pPr>
      <w:bookmarkStart w:id="126" w:name="_Toc14642"/>
      <w:bookmarkStart w:id="127" w:name="_Toc24102"/>
      <w:bookmarkStart w:id="128" w:name="_Toc29518"/>
      <w:r>
        <w:rPr>
          <w:rFonts w:hint="eastAsia" w:ascii="宋体" w:hAnsi="宋体" w:eastAsia="宋体" w:cs="宋体"/>
          <w:b/>
          <w:bCs w:val="0"/>
          <w:color w:val="auto"/>
          <w:szCs w:val="28"/>
          <w:highlight w:val="none"/>
        </w:rPr>
        <w:br w:type="page"/>
      </w:r>
    </w:p>
    <w:p w14:paraId="06CE7560">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五、签订合同</w:t>
      </w:r>
      <w:bookmarkEnd w:id="125"/>
      <w:bookmarkEnd w:id="126"/>
      <w:bookmarkEnd w:id="127"/>
      <w:bookmarkEnd w:id="128"/>
    </w:p>
    <w:p w14:paraId="4F881EC6">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9" w:name="_Toc26520"/>
      <w:bookmarkStart w:id="130" w:name="_Toc1032"/>
      <w:r>
        <w:rPr>
          <w:rFonts w:hint="eastAsia" w:ascii="宋体" w:hAnsi="宋体" w:eastAsia="宋体" w:cs="宋体"/>
          <w:color w:val="auto"/>
          <w:sz w:val="21"/>
          <w:szCs w:val="21"/>
          <w:highlight w:val="none"/>
        </w:rPr>
        <w:t>28. 履约保证金</w:t>
      </w:r>
      <w:bookmarkEnd w:id="129"/>
      <w:bookmarkEnd w:id="130"/>
    </w:p>
    <w:p w14:paraId="4D6550C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31" w:name="_Toc22004"/>
      <w:bookmarkStart w:id="132" w:name="_Toc4956"/>
      <w:r>
        <w:rPr>
          <w:rFonts w:hint="eastAsia" w:ascii="宋体" w:hAnsi="宋体" w:cs="宋体"/>
          <w:color w:val="auto"/>
          <w:sz w:val="21"/>
          <w:szCs w:val="21"/>
          <w:highlight w:val="none"/>
          <w:lang w:eastAsia="zh-CN"/>
        </w:rPr>
        <w:t>本项目不收取履约保证金</w:t>
      </w:r>
      <w:r>
        <w:rPr>
          <w:rFonts w:hint="eastAsia" w:ascii="宋体" w:hAnsi="宋体" w:eastAsia="宋体" w:cs="宋体"/>
          <w:color w:val="auto"/>
          <w:sz w:val="21"/>
          <w:szCs w:val="21"/>
          <w:highlight w:val="none"/>
        </w:rPr>
        <w:t>。</w:t>
      </w:r>
    </w:p>
    <w:p w14:paraId="7AEA5570">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31"/>
      <w:bookmarkEnd w:id="132"/>
    </w:p>
    <w:p w14:paraId="2409D160">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w:t>
      </w:r>
      <w:r>
        <w:rPr>
          <w:rFonts w:hint="eastAsia" w:ascii="宋体" w:hAnsi="宋体" w:eastAsia="宋体" w:cs="宋体"/>
          <w:b/>
          <w:bCs/>
          <w:color w:val="auto"/>
          <w:sz w:val="21"/>
          <w:szCs w:val="21"/>
          <w:highlight w:val="none"/>
          <w:lang w:eastAsia="zh-CN"/>
        </w:rPr>
        <w:t>成交通知书</w:t>
      </w:r>
      <w:r>
        <w:rPr>
          <w:rFonts w:hint="eastAsia" w:ascii="宋体" w:hAnsi="宋体" w:eastAsia="宋体" w:cs="宋体"/>
          <w:b/>
          <w:bCs/>
          <w:color w:val="auto"/>
          <w:sz w:val="21"/>
          <w:szCs w:val="21"/>
          <w:highlight w:val="none"/>
        </w:rPr>
        <w:t>发出之日起8个工作日内签订合同。成交供应商领取成交通知书后，应按规定与采购人签订合同。</w:t>
      </w:r>
    </w:p>
    <w:p w14:paraId="3FC643F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DA93A4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14:paraId="140ABC1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14:paraId="5282492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14:paraId="0C53ED4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sz w:val="21"/>
          <w:szCs w:val="21"/>
          <w:highlight w:val="none"/>
          <w:lang w:eastAsia="zh-CN"/>
        </w:rPr>
        <w:t>广西中承建设工程咨询有限公司</w:t>
      </w:r>
      <w:r>
        <w:rPr>
          <w:rFonts w:hint="eastAsia" w:ascii="宋体" w:hAnsi="宋体" w:eastAsia="宋体" w:cs="宋体"/>
          <w:color w:val="auto"/>
          <w:sz w:val="21"/>
          <w:szCs w:val="21"/>
          <w:highlight w:val="none"/>
        </w:rPr>
        <w:t>存档。</w:t>
      </w:r>
    </w:p>
    <w:p w14:paraId="5A24D51D">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1"/>
          <w:szCs w:val="21"/>
          <w:highlight w:val="none"/>
        </w:rPr>
        <w:sectPr>
          <w:pgSz w:w="11906" w:h="16838"/>
          <w:pgMar w:top="1418" w:right="1115" w:bottom="1418" w:left="1131" w:header="851" w:footer="992" w:gutter="0"/>
          <w:pgNumType w:fmt="decimal"/>
          <w:cols w:space="720" w:num="1"/>
          <w:titlePg/>
          <w:docGrid w:type="lines" w:linePitch="312" w:charSpace="0"/>
        </w:sectPr>
      </w:pPr>
      <w:bookmarkStart w:id="133" w:name="_Toc16348"/>
      <w:bookmarkStart w:id="134" w:name="_Toc17898"/>
    </w:p>
    <w:p w14:paraId="3D90F886">
      <w:pPr>
        <w:pStyle w:val="3"/>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35" w:name="_Toc9050"/>
      <w:bookmarkStart w:id="136" w:name="_Toc30713"/>
      <w:r>
        <w:rPr>
          <w:rFonts w:hint="eastAsia" w:ascii="宋体" w:hAnsi="宋体" w:eastAsia="宋体" w:cs="宋体"/>
          <w:b/>
          <w:bCs w:val="0"/>
          <w:color w:val="auto"/>
          <w:szCs w:val="28"/>
          <w:highlight w:val="none"/>
        </w:rPr>
        <w:t>六、其他事项</w:t>
      </w:r>
      <w:bookmarkEnd w:id="133"/>
      <w:bookmarkEnd w:id="134"/>
      <w:bookmarkEnd w:id="135"/>
      <w:bookmarkEnd w:id="136"/>
    </w:p>
    <w:p w14:paraId="4B0B0639">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37" w:name="_Toc29572"/>
      <w:bookmarkStart w:id="138" w:name="_Toc28647"/>
      <w:r>
        <w:rPr>
          <w:rFonts w:hint="eastAsia" w:ascii="宋体" w:hAnsi="宋体" w:eastAsia="宋体" w:cs="宋体"/>
          <w:color w:val="auto"/>
          <w:sz w:val="21"/>
          <w:szCs w:val="21"/>
          <w:highlight w:val="none"/>
        </w:rPr>
        <w:t>30. 采购代理服务费</w:t>
      </w:r>
      <w:bookmarkEnd w:id="137"/>
      <w:bookmarkEnd w:id="138"/>
    </w:p>
    <w:p w14:paraId="2FCC3B6D">
      <w:pPr>
        <w:spacing w:line="400" w:lineRule="exact"/>
        <w:ind w:firstLine="420"/>
        <w:rPr>
          <w:rFonts w:hint="eastAsia" w:ascii="宋体" w:hAnsi="宋体" w:eastAsia="宋体" w:cs="宋体"/>
          <w:color w:val="auto"/>
          <w:sz w:val="21"/>
          <w:szCs w:val="21"/>
          <w:highlight w:val="none"/>
        </w:rPr>
      </w:pPr>
      <w:bookmarkStart w:id="139" w:name="_Toc12374"/>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成交供应商领取成交通知书前，向</w:t>
      </w:r>
      <w:r>
        <w:rPr>
          <w:rFonts w:hint="eastAsia" w:ascii="宋体" w:hAnsi="宋体" w:cs="宋体"/>
          <w:color w:val="auto"/>
          <w:sz w:val="21"/>
          <w:szCs w:val="21"/>
          <w:highlight w:val="none"/>
          <w:lang w:eastAsia="zh-CN"/>
        </w:rPr>
        <w:t>广西中承建设工程咨询有限公司</w:t>
      </w:r>
      <w:r>
        <w:rPr>
          <w:rFonts w:hint="eastAsia" w:ascii="宋体" w:hAnsi="宋体" w:eastAsia="宋体" w:cs="宋体"/>
          <w:color w:val="auto"/>
          <w:sz w:val="21"/>
          <w:szCs w:val="21"/>
          <w:highlight w:val="none"/>
        </w:rPr>
        <w:t>一次性付清代理服务费。本项目招标代理服务收费标准参照计价格[2002]1980号《招标代理服务收费管理暂行办法》</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bl>
      <w:tblPr>
        <w:tblStyle w:val="26"/>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1255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65BDA250">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14:paraId="34573D58">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14:paraId="4083D618">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noWrap w:val="0"/>
            <w:vAlign w:val="center"/>
          </w:tcPr>
          <w:p w14:paraId="572F5F55">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noWrap w:val="0"/>
            <w:vAlign w:val="center"/>
          </w:tcPr>
          <w:p w14:paraId="370A3D9E">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noWrap w:val="0"/>
            <w:vAlign w:val="center"/>
          </w:tcPr>
          <w:p w14:paraId="1590889B">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13CF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187B0AF6">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noWrap w:val="0"/>
            <w:vAlign w:val="top"/>
          </w:tcPr>
          <w:p w14:paraId="6C5C93FA">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noWrap w:val="0"/>
            <w:vAlign w:val="top"/>
          </w:tcPr>
          <w:p w14:paraId="598048A0">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noWrap w:val="0"/>
            <w:vAlign w:val="top"/>
          </w:tcPr>
          <w:p w14:paraId="17839F11">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1E84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6E43EE09">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noWrap w:val="0"/>
            <w:vAlign w:val="top"/>
          </w:tcPr>
          <w:p w14:paraId="3ACF67B1">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noWrap w:val="0"/>
            <w:vAlign w:val="top"/>
          </w:tcPr>
          <w:p w14:paraId="34766B0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noWrap w:val="0"/>
            <w:vAlign w:val="top"/>
          </w:tcPr>
          <w:p w14:paraId="286A17D7">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05B9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37EE220">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noWrap w:val="0"/>
            <w:vAlign w:val="top"/>
          </w:tcPr>
          <w:p w14:paraId="33F65FBF">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noWrap w:val="0"/>
            <w:vAlign w:val="top"/>
          </w:tcPr>
          <w:p w14:paraId="10DD781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noWrap w:val="0"/>
            <w:vAlign w:val="top"/>
          </w:tcPr>
          <w:p w14:paraId="65F3D401">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7EF1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CC5EF30">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noWrap w:val="0"/>
            <w:vAlign w:val="top"/>
          </w:tcPr>
          <w:p w14:paraId="78D76856">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noWrap w:val="0"/>
            <w:vAlign w:val="top"/>
          </w:tcPr>
          <w:p w14:paraId="00EC4D75">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noWrap w:val="0"/>
            <w:vAlign w:val="top"/>
          </w:tcPr>
          <w:p w14:paraId="0F36364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1C65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53FF8A3D">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noWrap w:val="0"/>
            <w:vAlign w:val="top"/>
          </w:tcPr>
          <w:p w14:paraId="6520475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noWrap w:val="0"/>
            <w:vAlign w:val="top"/>
          </w:tcPr>
          <w:p w14:paraId="13BA15F4">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noWrap w:val="0"/>
            <w:vAlign w:val="top"/>
          </w:tcPr>
          <w:p w14:paraId="7F1A2BF0">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14:paraId="210326D2">
      <w:pPr>
        <w:spacing w:before="0" w:after="0" w:line="400" w:lineRule="exact"/>
        <w:ind w:left="2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14:paraId="1B27FFFA">
      <w:pPr>
        <w:spacing w:before="0" w:after="0" w:line="400" w:lineRule="exact"/>
        <w:ind w:firstLine="42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30.2</w:t>
      </w:r>
      <w:r>
        <w:rPr>
          <w:rFonts w:hint="eastAsia" w:ascii="宋体" w:hAnsi="宋体" w:eastAsia="宋体" w:cs="宋体"/>
          <w:b w:val="0"/>
          <w:bCs/>
          <w:color w:val="auto"/>
          <w:sz w:val="21"/>
          <w:szCs w:val="21"/>
          <w:highlight w:val="none"/>
        </w:rPr>
        <w:t>招标代理服务费缴纳账户：</w:t>
      </w:r>
    </w:p>
    <w:p w14:paraId="7D65782D">
      <w:pPr>
        <w:pageBreakBefore w:val="0"/>
        <w:widowControl w:val="0"/>
        <w:kinsoku/>
        <w:wordWrap/>
        <w:overflowPunct/>
        <w:topLinePunct w:val="0"/>
        <w:bidi w:val="0"/>
        <w:spacing w:line="440" w:lineRule="exact"/>
        <w:ind w:firstLine="420" w:firstLineChars="200"/>
        <w:textAlignment w:val="auto"/>
        <w:rPr>
          <w:rStyle w:val="31"/>
          <w:rFonts w:hint="eastAsia" w:ascii="宋体" w:hAnsi="宋体" w:eastAsia="宋体" w:cs="宋体"/>
          <w:b w:val="0"/>
          <w:bCs w:val="0"/>
          <w:color w:val="auto"/>
          <w:sz w:val="21"/>
          <w:szCs w:val="21"/>
          <w:highlight w:val="none"/>
        </w:rPr>
      </w:pPr>
      <w:bookmarkStart w:id="140" w:name="_Toc9779"/>
      <w:r>
        <w:rPr>
          <w:rStyle w:val="31"/>
          <w:rFonts w:hint="eastAsia" w:ascii="宋体" w:hAnsi="宋体" w:eastAsia="宋体" w:cs="宋体"/>
          <w:b w:val="0"/>
          <w:bCs w:val="0"/>
          <w:color w:val="auto"/>
          <w:sz w:val="21"/>
          <w:szCs w:val="21"/>
          <w:highlight w:val="none"/>
        </w:rPr>
        <w:t>账户名称：</w:t>
      </w:r>
      <w:r>
        <w:rPr>
          <w:rStyle w:val="31"/>
          <w:rFonts w:hint="eastAsia" w:ascii="宋体" w:hAnsi="宋体" w:eastAsia="宋体" w:cs="宋体"/>
          <w:b w:val="0"/>
          <w:bCs w:val="0"/>
          <w:color w:val="auto"/>
          <w:sz w:val="21"/>
          <w:szCs w:val="21"/>
          <w:highlight w:val="none"/>
          <w:lang w:val="en-US" w:eastAsia="zh-CN"/>
        </w:rPr>
        <w:t>广西中承建设工程咨询有限公司第一分公司</w:t>
      </w:r>
    </w:p>
    <w:p w14:paraId="0C2BD622">
      <w:pPr>
        <w:pageBreakBefore w:val="0"/>
        <w:widowControl w:val="0"/>
        <w:kinsoku/>
        <w:wordWrap/>
        <w:overflowPunct/>
        <w:topLinePunct w:val="0"/>
        <w:bidi w:val="0"/>
        <w:spacing w:line="440" w:lineRule="exact"/>
        <w:ind w:firstLine="420" w:firstLineChars="200"/>
        <w:textAlignment w:val="auto"/>
        <w:rPr>
          <w:rStyle w:val="31"/>
          <w:rFonts w:hint="eastAsia" w:ascii="宋体" w:hAnsi="宋体" w:eastAsia="宋体" w:cs="宋体"/>
          <w:b w:val="0"/>
          <w:bCs w:val="0"/>
          <w:color w:val="auto"/>
          <w:sz w:val="21"/>
          <w:szCs w:val="21"/>
          <w:highlight w:val="none"/>
        </w:rPr>
      </w:pPr>
      <w:r>
        <w:rPr>
          <w:rStyle w:val="31"/>
          <w:rFonts w:hint="eastAsia" w:ascii="宋体" w:hAnsi="宋体" w:eastAsia="宋体" w:cs="宋体"/>
          <w:b w:val="0"/>
          <w:bCs w:val="0"/>
          <w:color w:val="auto"/>
          <w:sz w:val="21"/>
          <w:szCs w:val="21"/>
          <w:highlight w:val="none"/>
        </w:rPr>
        <w:t xml:space="preserve">开户银行：中国建设银行股份有限公司桂林西山路支行 </w:t>
      </w:r>
    </w:p>
    <w:p w14:paraId="494E62B1">
      <w:pPr>
        <w:pageBreakBefore w:val="0"/>
        <w:widowControl w:val="0"/>
        <w:kinsoku/>
        <w:wordWrap/>
        <w:overflowPunct/>
        <w:topLinePunct w:val="0"/>
        <w:bidi w:val="0"/>
        <w:spacing w:line="440" w:lineRule="exact"/>
        <w:ind w:firstLine="420" w:firstLineChars="200"/>
        <w:textAlignment w:val="auto"/>
        <w:rPr>
          <w:rStyle w:val="31"/>
          <w:rFonts w:hint="eastAsia" w:ascii="宋体" w:hAnsi="宋体" w:eastAsia="宋体" w:cs="宋体"/>
          <w:b w:val="0"/>
          <w:bCs w:val="0"/>
          <w:color w:val="auto"/>
          <w:sz w:val="21"/>
          <w:szCs w:val="21"/>
          <w:highlight w:val="none"/>
          <w:lang w:val="en-US" w:eastAsia="zh-CN"/>
        </w:rPr>
      </w:pPr>
      <w:r>
        <w:rPr>
          <w:rStyle w:val="31"/>
          <w:rFonts w:hint="eastAsia" w:ascii="宋体" w:hAnsi="宋体" w:eastAsia="宋体" w:cs="宋体"/>
          <w:b w:val="0"/>
          <w:bCs w:val="0"/>
          <w:color w:val="auto"/>
          <w:sz w:val="21"/>
          <w:szCs w:val="21"/>
          <w:highlight w:val="none"/>
        </w:rPr>
        <w:t>银行账号：</w:t>
      </w:r>
      <w:r>
        <w:rPr>
          <w:rStyle w:val="31"/>
          <w:rFonts w:hint="eastAsia" w:ascii="宋体" w:hAnsi="宋体" w:eastAsia="宋体" w:cs="宋体"/>
          <w:b w:val="0"/>
          <w:bCs w:val="0"/>
          <w:color w:val="auto"/>
          <w:sz w:val="21"/>
          <w:szCs w:val="21"/>
          <w:highlight w:val="none"/>
          <w:lang w:val="en-US" w:eastAsia="zh-CN"/>
        </w:rPr>
        <w:t>45050163510700000194</w:t>
      </w:r>
    </w:p>
    <w:p w14:paraId="4E54F44E">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31. 解释权</w:t>
      </w:r>
      <w:bookmarkEnd w:id="139"/>
      <w:bookmarkEnd w:id="140"/>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CC26511">
      <w:pPr>
        <w:spacing w:line="360" w:lineRule="exact"/>
        <w:ind w:left="315"/>
        <w:rPr>
          <w:rFonts w:ascii="宋体" w:hAnsi="宋体"/>
          <w:color w:val="auto"/>
          <w:sz w:val="21"/>
          <w:szCs w:val="21"/>
          <w:highlight w:val="none"/>
        </w:rPr>
      </w:pPr>
      <w:bookmarkStart w:id="141" w:name="_Toc32738"/>
      <w:r>
        <w:rPr>
          <w:rStyle w:val="31"/>
          <w:rFonts w:hint="eastAsia" w:ascii="宋体" w:hAnsi="宋体" w:eastAsia="宋体" w:cs="宋体"/>
          <w:color w:val="auto"/>
          <w:sz w:val="21"/>
          <w:szCs w:val="21"/>
          <w:highlight w:val="none"/>
        </w:rPr>
        <w:t>32. 监督管理机构</w:t>
      </w:r>
      <w:bookmarkEnd w:id="141"/>
      <w:r>
        <w:rPr>
          <w:rFonts w:hint="eastAsia" w:ascii="宋体" w:hAnsi="宋体" w:eastAsia="宋体" w:cs="宋体"/>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兴安县采购中心</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lang w:eastAsia="zh-CN"/>
        </w:rPr>
        <w:t>0773-6220651</w:t>
      </w:r>
    </w:p>
    <w:p w14:paraId="7D40387E">
      <w:pPr>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p>
    <w:p w14:paraId="324907FA">
      <w:pPr>
        <w:pageBreakBefore w:val="0"/>
        <w:widowControl w:val="0"/>
        <w:kinsoku/>
        <w:wordWrap/>
        <w:overflowPunct/>
        <w:topLinePunct w:val="0"/>
        <w:bidi w:val="0"/>
        <w:spacing w:line="440" w:lineRule="exact"/>
        <w:textAlignment w:val="auto"/>
        <w:rPr>
          <w:rFonts w:hint="eastAsia"/>
          <w:color w:val="auto"/>
          <w:sz w:val="21"/>
          <w:szCs w:val="21"/>
          <w:highlight w:val="none"/>
          <w:lang w:eastAsia="zh-CN"/>
        </w:rPr>
      </w:pPr>
    </w:p>
    <w:p w14:paraId="2944BC73">
      <w:pPr>
        <w:pStyle w:val="10"/>
        <w:rPr>
          <w:rFonts w:hint="eastAsia"/>
          <w:color w:val="auto"/>
          <w:highlight w:val="none"/>
          <w:lang w:eastAsia="zh-CN"/>
        </w:rPr>
      </w:pPr>
    </w:p>
    <w:p w14:paraId="28E8639C">
      <w:pPr>
        <w:pStyle w:val="10"/>
        <w:rPr>
          <w:rFonts w:hint="eastAsia"/>
          <w:color w:val="auto"/>
          <w:highlight w:val="none"/>
          <w:lang w:eastAsia="zh-CN"/>
        </w:rPr>
      </w:pPr>
    </w:p>
    <w:p w14:paraId="315F0A27">
      <w:pPr>
        <w:pStyle w:val="10"/>
        <w:rPr>
          <w:rFonts w:hint="eastAsia"/>
          <w:color w:val="auto"/>
          <w:highlight w:val="none"/>
          <w:lang w:eastAsia="zh-CN"/>
        </w:rPr>
      </w:pPr>
    </w:p>
    <w:p w14:paraId="6A9C77E4">
      <w:pPr>
        <w:snapToGrid w:val="0"/>
        <w:rPr>
          <w:rFonts w:hint="eastAsia"/>
          <w:b/>
          <w:color w:val="auto"/>
          <w:kern w:val="0"/>
          <w:sz w:val="24"/>
          <w:highlight w:val="none"/>
        </w:rPr>
      </w:pPr>
    </w:p>
    <w:p w14:paraId="08B379DD">
      <w:pPr>
        <w:snapToGrid w:val="0"/>
        <w:rPr>
          <w:rFonts w:hint="eastAsia"/>
          <w:b/>
          <w:color w:val="auto"/>
          <w:kern w:val="0"/>
          <w:sz w:val="24"/>
          <w:highlight w:val="none"/>
        </w:rPr>
      </w:pPr>
    </w:p>
    <w:p w14:paraId="70B50B9F">
      <w:pPr>
        <w:snapToGrid w:val="0"/>
        <w:rPr>
          <w:rFonts w:hint="eastAsia"/>
          <w:b/>
          <w:color w:val="auto"/>
          <w:kern w:val="0"/>
          <w:sz w:val="24"/>
          <w:highlight w:val="none"/>
        </w:rPr>
        <w:sectPr>
          <w:pgSz w:w="11906" w:h="16838"/>
          <w:pgMar w:top="1418" w:right="1115" w:bottom="1418" w:left="1131" w:header="851" w:footer="992" w:gutter="0"/>
          <w:pgNumType w:fmt="decimal"/>
          <w:cols w:space="720" w:num="1"/>
          <w:titlePg/>
          <w:docGrid w:type="lines" w:linePitch="312" w:charSpace="0"/>
        </w:sectPr>
      </w:pPr>
    </w:p>
    <w:p w14:paraId="2BB649BE">
      <w:pPr>
        <w:snapToGrid w:val="0"/>
        <w:rPr>
          <w:rFonts w:hint="eastAsia"/>
          <w:b/>
          <w:color w:val="auto"/>
          <w:kern w:val="0"/>
          <w:sz w:val="24"/>
          <w:highlight w:val="none"/>
        </w:rPr>
      </w:pPr>
    </w:p>
    <w:p w14:paraId="5B3940BD">
      <w:pPr>
        <w:snapToGrid w:val="0"/>
        <w:rPr>
          <w:rFonts w:hAnsi="宋体"/>
          <w:b/>
          <w:color w:val="auto"/>
          <w:kern w:val="0"/>
          <w:sz w:val="24"/>
          <w:highlight w:val="none"/>
        </w:rPr>
      </w:pPr>
      <w:r>
        <w:rPr>
          <w:rFonts w:hint="eastAsia"/>
          <w:b/>
          <w:color w:val="auto"/>
          <w:kern w:val="0"/>
          <w:sz w:val="24"/>
          <w:highlight w:val="none"/>
        </w:rPr>
        <w:t>附表1：</w:t>
      </w:r>
    </w:p>
    <w:p w14:paraId="59DDF24E">
      <w:pPr>
        <w:spacing w:line="460" w:lineRule="exact"/>
        <w:jc w:val="center"/>
        <w:rPr>
          <w:rFonts w:eastAsia="隶书"/>
          <w:color w:val="auto"/>
          <w:kern w:val="0"/>
          <w:sz w:val="44"/>
          <w:highlight w:val="none"/>
        </w:rPr>
      </w:pPr>
      <w:r>
        <w:rPr>
          <w:rFonts w:hint="eastAsia" w:eastAsia="隶书"/>
          <w:color w:val="auto"/>
          <w:kern w:val="0"/>
          <w:sz w:val="44"/>
          <w:highlight w:val="none"/>
        </w:rPr>
        <w:t>质疑函（格式）</w:t>
      </w:r>
    </w:p>
    <w:p w14:paraId="704B5889">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一、质疑供应商基本信息：</w:t>
      </w:r>
    </w:p>
    <w:p w14:paraId="5B63EEC2">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质疑供应商：</w:t>
      </w:r>
    </w:p>
    <w:p w14:paraId="24633BCE">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36B07C54">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0CA2943D">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授权代表：</w:t>
      </w:r>
    </w:p>
    <w:p w14:paraId="28ACBF6A">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联系电话：</w:t>
      </w:r>
    </w:p>
    <w:p w14:paraId="3AD48854">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4E90B0B3">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二、质疑项目基本情况：</w:t>
      </w:r>
    </w:p>
    <w:p w14:paraId="409BF580">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项目的名称：</w:t>
      </w:r>
    </w:p>
    <w:p w14:paraId="671D43D9">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项目的编号：</w:t>
      </w:r>
    </w:p>
    <w:p w14:paraId="4F247F63">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w:t>
      </w:r>
    </w:p>
    <w:p w14:paraId="34152269">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w:t>
      </w:r>
    </w:p>
    <w:p w14:paraId="0D7C6B26">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采购文件   采购文件获取日期：</w:t>
      </w:r>
    </w:p>
    <w:p w14:paraId="06E62B78">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采购过程   </w:t>
      </w:r>
    </w:p>
    <w:p w14:paraId="754D015C">
      <w:pPr>
        <w:spacing w:line="360" w:lineRule="exact"/>
        <w:ind w:left="25" w:leftChars="12" w:firstLine="441" w:firstLineChars="147"/>
        <w:rPr>
          <w:rFonts w:hint="eastAsia" w:ascii="宋体" w:hAnsi="宋体" w:eastAsia="宋体" w:cs="宋体"/>
          <w:bCs/>
          <w:color w:val="auto"/>
          <w:kern w:val="0"/>
          <w:highlight w:val="none"/>
          <w:u w:val="singl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成交结果   </w:t>
      </w:r>
    </w:p>
    <w:p w14:paraId="3923C68D">
      <w:pPr>
        <w:spacing w:line="36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三、质疑事项具体内容</w:t>
      </w:r>
    </w:p>
    <w:p w14:paraId="043E6E6E">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p>
    <w:p w14:paraId="571A1CC7">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事实依据：</w:t>
      </w:r>
    </w:p>
    <w:p w14:paraId="01976EF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法律依据：</w:t>
      </w:r>
    </w:p>
    <w:p w14:paraId="60721820">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p>
    <w:p w14:paraId="0E6057F1">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338A518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四、与质疑事项相关的质疑请求：</w:t>
      </w:r>
    </w:p>
    <w:p w14:paraId="4C46460A">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5F0FA05E">
      <w:pPr>
        <w:spacing w:line="360" w:lineRule="exact"/>
        <w:ind w:left="25" w:leftChars="12" w:firstLine="308" w:firstLineChars="147"/>
        <w:rPr>
          <w:rFonts w:hint="eastAsia" w:ascii="宋体" w:hAnsi="宋体" w:eastAsia="宋体" w:cs="宋体"/>
          <w:color w:val="auto"/>
          <w:kern w:val="0"/>
          <w:szCs w:val="21"/>
          <w:highlight w:val="none"/>
        </w:rPr>
      </w:pPr>
    </w:p>
    <w:p w14:paraId="3EE8CB15">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2FE08EB1">
      <w:pPr>
        <w:spacing w:line="360" w:lineRule="exact"/>
        <w:ind w:left="25" w:leftChars="12" w:firstLine="308" w:firstLineChars="147"/>
        <w:rPr>
          <w:rFonts w:hint="eastAsia" w:ascii="宋体" w:hAnsi="宋体" w:eastAsia="宋体" w:cs="宋体"/>
          <w:color w:val="auto"/>
          <w:kern w:val="0"/>
          <w:szCs w:val="21"/>
          <w:highlight w:val="none"/>
        </w:rPr>
      </w:pPr>
    </w:p>
    <w:p w14:paraId="66A4907C">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3892E85E">
      <w:pPr>
        <w:snapToGrid w:val="0"/>
        <w:spacing w:line="340" w:lineRule="exact"/>
        <w:rPr>
          <w:rFonts w:hint="eastAsia" w:ascii="宋体" w:hAnsi="宋体" w:eastAsia="宋体" w:cs="宋体"/>
          <w:b/>
          <w:color w:val="auto"/>
          <w:kern w:val="0"/>
          <w:szCs w:val="21"/>
          <w:highlight w:val="none"/>
        </w:rPr>
      </w:pPr>
    </w:p>
    <w:p w14:paraId="59C70104">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7DA28E1C">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1.供应商提出质疑时，应提交质疑函和必要的证明材料</w:t>
      </w:r>
      <w:r>
        <w:rPr>
          <w:rFonts w:hint="eastAsia" w:ascii="宋体" w:hAnsi="宋体" w:eastAsia="宋体" w:cs="宋体"/>
          <w:b/>
          <w:bCs/>
          <w:color w:val="auto"/>
          <w:kern w:val="0"/>
          <w:highlight w:val="none"/>
        </w:rPr>
        <w:t>。</w:t>
      </w:r>
    </w:p>
    <w:p w14:paraId="2834DB69">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1B6E72">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3.质疑函的质疑事项应具体、明确，并有必要的事实依据和法律依据。</w:t>
      </w:r>
    </w:p>
    <w:p w14:paraId="352B1266">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4.质疑函的质疑请求应与质疑事项相关。</w:t>
      </w:r>
    </w:p>
    <w:p w14:paraId="4FBCBC24">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6.质疑供应商为法人或者其他组织的，质疑函应由法定代表人、主要负责人，或者其授权代表签字或者盖章，并加盖公章。</w:t>
      </w:r>
    </w:p>
    <w:p w14:paraId="571C3D7F">
      <w:pPr>
        <w:snapToGrid w:val="0"/>
        <w:rPr>
          <w:rFonts w:hAnsi="宋体"/>
          <w:b/>
          <w:color w:val="auto"/>
          <w:kern w:val="0"/>
          <w:sz w:val="24"/>
          <w:highlight w:val="none"/>
        </w:rPr>
      </w:pPr>
      <w:r>
        <w:rPr>
          <w:rFonts w:hint="eastAsia"/>
          <w:b/>
          <w:color w:val="auto"/>
          <w:kern w:val="0"/>
          <w:sz w:val="24"/>
          <w:highlight w:val="none"/>
        </w:rPr>
        <w:t>附表2：</w:t>
      </w:r>
    </w:p>
    <w:p w14:paraId="5899E111">
      <w:pPr>
        <w:spacing w:line="460" w:lineRule="exact"/>
        <w:jc w:val="center"/>
        <w:rPr>
          <w:rFonts w:eastAsia="隶书"/>
          <w:color w:val="auto"/>
          <w:kern w:val="0"/>
          <w:sz w:val="44"/>
          <w:highlight w:val="none"/>
        </w:rPr>
      </w:pPr>
    </w:p>
    <w:p w14:paraId="7804AF83">
      <w:pPr>
        <w:spacing w:line="460" w:lineRule="exact"/>
        <w:jc w:val="center"/>
        <w:rPr>
          <w:rFonts w:eastAsia="隶书"/>
          <w:color w:val="auto"/>
          <w:kern w:val="0"/>
          <w:sz w:val="44"/>
          <w:highlight w:val="none"/>
        </w:rPr>
      </w:pPr>
      <w:r>
        <w:rPr>
          <w:rFonts w:hint="eastAsia" w:eastAsia="隶书"/>
          <w:color w:val="auto"/>
          <w:kern w:val="0"/>
          <w:sz w:val="44"/>
          <w:highlight w:val="none"/>
        </w:rPr>
        <w:t>投诉书（格式）</w:t>
      </w:r>
    </w:p>
    <w:p w14:paraId="6CAD175D">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一、投诉相关主体基本情况：</w:t>
      </w:r>
    </w:p>
    <w:p w14:paraId="125E45F0">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供应商：</w:t>
      </w:r>
    </w:p>
    <w:p w14:paraId="6386DA6C">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0C77037B">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法定代表人/主要负责人：</w:t>
      </w:r>
    </w:p>
    <w:p w14:paraId="0A577D94">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联系电话：</w:t>
      </w:r>
    </w:p>
    <w:p w14:paraId="4D7BE99E">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授权代表：联系电话：</w:t>
      </w:r>
    </w:p>
    <w:p w14:paraId="173E930A">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4BB7FEF4">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被投诉人1：</w:t>
      </w:r>
    </w:p>
    <w:p w14:paraId="02392817">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538F0796">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联系人：联系电话：</w:t>
      </w:r>
    </w:p>
    <w:p w14:paraId="29942F82">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被投诉人2：</w:t>
      </w:r>
    </w:p>
    <w:p w14:paraId="69B5CE4E">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3B5CE9F3">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相关供应商：</w:t>
      </w:r>
    </w:p>
    <w:p w14:paraId="3225E4A4">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地址：邮编：</w:t>
      </w:r>
    </w:p>
    <w:p w14:paraId="1B220D02">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3AB5A712">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二、投诉项目基本情况：</w:t>
      </w:r>
    </w:p>
    <w:p w14:paraId="50C9C1AA">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项目的名称：</w:t>
      </w:r>
    </w:p>
    <w:p w14:paraId="422F93D8">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项目的编号：</w:t>
      </w:r>
    </w:p>
    <w:p w14:paraId="4969AD2E">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采购人名称：</w:t>
      </w:r>
    </w:p>
    <w:p w14:paraId="16AACCB5">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代理机构名称：</w:t>
      </w:r>
    </w:p>
    <w:p w14:paraId="444AA49D">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采购文件公告：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116F86ED">
      <w:pPr>
        <w:spacing w:line="400" w:lineRule="exact"/>
        <w:ind w:left="25" w:leftChars="12" w:firstLine="413" w:firstLineChars="197"/>
        <w:rPr>
          <w:rFonts w:hint="eastAsia" w:ascii="宋体" w:hAnsi="宋体" w:eastAsia="宋体" w:cs="宋体"/>
          <w:b/>
          <w:color w:val="auto"/>
          <w:kern w:val="0"/>
          <w:szCs w:val="21"/>
          <w:highlight w:val="none"/>
        </w:rPr>
      </w:pPr>
      <w:r>
        <w:rPr>
          <w:rFonts w:hint="eastAsia" w:ascii="宋体" w:hAnsi="宋体" w:eastAsia="宋体" w:cs="宋体"/>
          <w:bCs/>
          <w:color w:val="auto"/>
          <w:kern w:val="0"/>
          <w:highlight w:val="none"/>
        </w:rPr>
        <w:t>采购结果公告：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1E01CEDF">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三、质疑基本情况</w:t>
      </w:r>
    </w:p>
    <w:p w14:paraId="17F23F04">
      <w:pPr>
        <w:spacing w:line="400" w:lineRule="exact"/>
        <w:ind w:left="25" w:leftChars="12" w:firstLine="833" w:firstLineChars="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投诉人于年月日，向提出质疑，质疑事项为：</w:t>
      </w:r>
    </w:p>
    <w:p w14:paraId="52978C13">
      <w:pPr>
        <w:spacing w:line="400" w:lineRule="exact"/>
        <w:rPr>
          <w:rFonts w:hint="eastAsia" w:ascii="宋体" w:hAnsi="宋体" w:eastAsia="宋体" w:cs="宋体"/>
          <w:bCs/>
          <w:color w:val="auto"/>
          <w:kern w:val="0"/>
          <w:highlight w:val="none"/>
          <w:u w:val="single"/>
        </w:rPr>
      </w:pPr>
    </w:p>
    <w:p w14:paraId="1B3223C4">
      <w:pPr>
        <w:spacing w:line="400" w:lineRule="exact"/>
        <w:rPr>
          <w:rFonts w:hint="eastAsia" w:ascii="宋体" w:hAnsi="宋体" w:eastAsia="宋体" w:cs="宋体"/>
          <w:bCs/>
          <w:color w:val="auto"/>
          <w:kern w:val="0"/>
          <w:highlight w:val="none"/>
          <w:u w:val="single"/>
        </w:rPr>
      </w:pPr>
    </w:p>
    <w:p w14:paraId="23D941FF">
      <w:pPr>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u w:val="single"/>
        </w:rPr>
        <w:t>采购人/代理机构</w:t>
      </w:r>
      <w:r>
        <w:rPr>
          <w:rFonts w:hint="eastAsia" w:ascii="宋体" w:hAnsi="宋体" w:eastAsia="宋体" w:cs="宋体"/>
          <w:bCs/>
          <w:color w:val="auto"/>
          <w:kern w:val="0"/>
          <w:highlight w:val="none"/>
        </w:rPr>
        <w:t>于</w:t>
      </w:r>
      <w:r>
        <w:rPr>
          <w:rFonts w:hint="eastAsia" w:ascii="宋体" w:hAnsi="宋体" w:eastAsia="宋体" w:cs="宋体"/>
          <w:color w:val="auto"/>
          <w:kern w:val="0"/>
          <w:szCs w:val="21"/>
          <w:highlight w:val="none"/>
        </w:rPr>
        <w:t>年月日，</w:t>
      </w:r>
      <w:r>
        <w:rPr>
          <w:rFonts w:hint="eastAsia" w:ascii="宋体" w:hAnsi="宋体" w:eastAsia="宋体" w:cs="宋体"/>
          <w:bCs/>
          <w:color w:val="auto"/>
          <w:kern w:val="0"/>
          <w:highlight w:val="none"/>
        </w:rPr>
        <w:t xml:space="preserve">就质疑事项作出了答复/没有在法定期限内作出答复。                                                                                             </w:t>
      </w:r>
    </w:p>
    <w:p w14:paraId="6CCD746D">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四、投诉事项具体内容</w:t>
      </w:r>
    </w:p>
    <w:p w14:paraId="67059A56">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投诉事项1：</w:t>
      </w:r>
    </w:p>
    <w:p w14:paraId="0114B481">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事实依据：</w:t>
      </w:r>
    </w:p>
    <w:p w14:paraId="21A23CDA">
      <w:pPr>
        <w:spacing w:line="400" w:lineRule="exact"/>
        <w:ind w:left="25" w:leftChars="12" w:firstLine="413" w:firstLineChars="197"/>
        <w:rPr>
          <w:rFonts w:hint="eastAsia" w:ascii="宋体" w:hAnsi="宋体" w:eastAsia="宋体" w:cs="宋体"/>
          <w:color w:val="auto"/>
          <w:kern w:val="0"/>
          <w:szCs w:val="21"/>
          <w:highlight w:val="none"/>
        </w:rPr>
      </w:pPr>
    </w:p>
    <w:p w14:paraId="7FE5F1F4">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法律依据：</w:t>
      </w:r>
    </w:p>
    <w:p w14:paraId="544E45CC">
      <w:pPr>
        <w:spacing w:line="400" w:lineRule="exact"/>
        <w:ind w:left="25" w:leftChars="12" w:firstLine="308" w:firstLineChars="147"/>
        <w:rPr>
          <w:rFonts w:hint="eastAsia" w:ascii="宋体" w:hAnsi="宋体" w:eastAsia="宋体" w:cs="宋体"/>
          <w:bCs/>
          <w:color w:val="auto"/>
          <w:kern w:val="0"/>
          <w:highlight w:val="none"/>
          <w:u w:val="single"/>
        </w:rPr>
      </w:pPr>
    </w:p>
    <w:p w14:paraId="593ED6B9">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color w:val="auto"/>
          <w:kern w:val="0"/>
          <w:szCs w:val="21"/>
          <w:highlight w:val="none"/>
        </w:rPr>
        <w:t xml:space="preserve">投诉事项2  </w:t>
      </w:r>
    </w:p>
    <w:p w14:paraId="77322113">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7D3F6EC0">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五、与投诉事项相关的投诉请求：</w:t>
      </w:r>
    </w:p>
    <w:p w14:paraId="1E020C74">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5F439023">
      <w:pPr>
        <w:spacing w:line="400" w:lineRule="exact"/>
        <w:ind w:left="25" w:leftChars="12" w:firstLine="308" w:firstLineChars="147"/>
        <w:rPr>
          <w:rFonts w:hint="eastAsia" w:ascii="宋体" w:hAnsi="宋体" w:eastAsia="宋体" w:cs="宋体"/>
          <w:color w:val="auto"/>
          <w:kern w:val="0"/>
          <w:szCs w:val="21"/>
          <w:highlight w:val="none"/>
        </w:rPr>
      </w:pPr>
    </w:p>
    <w:p w14:paraId="56107809">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556DA72A">
      <w:pPr>
        <w:spacing w:line="400" w:lineRule="exact"/>
        <w:ind w:left="25" w:leftChars="12" w:firstLine="308" w:firstLineChars="147"/>
        <w:rPr>
          <w:rFonts w:hint="eastAsia" w:ascii="宋体" w:hAnsi="宋体" w:eastAsia="宋体" w:cs="宋体"/>
          <w:color w:val="auto"/>
          <w:kern w:val="0"/>
          <w:szCs w:val="21"/>
          <w:highlight w:val="none"/>
        </w:rPr>
      </w:pPr>
    </w:p>
    <w:p w14:paraId="3F128403">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35144954">
      <w:pPr>
        <w:spacing w:line="360" w:lineRule="exact"/>
        <w:ind w:left="25" w:leftChars="12" w:firstLine="413" w:firstLineChars="197"/>
        <w:rPr>
          <w:rFonts w:hint="eastAsia" w:ascii="宋体" w:hAnsi="宋体" w:eastAsia="宋体" w:cs="宋体"/>
          <w:color w:val="auto"/>
          <w:kern w:val="0"/>
          <w:szCs w:val="21"/>
          <w:highlight w:val="none"/>
        </w:rPr>
      </w:pPr>
    </w:p>
    <w:p w14:paraId="65CE88B2">
      <w:pPr>
        <w:snapToGrid w:val="0"/>
        <w:spacing w:line="340" w:lineRule="exact"/>
        <w:rPr>
          <w:rFonts w:hint="eastAsia" w:ascii="宋体" w:hAnsi="宋体" w:eastAsia="宋体" w:cs="宋体"/>
          <w:b/>
          <w:color w:val="auto"/>
          <w:kern w:val="0"/>
          <w:szCs w:val="21"/>
          <w:highlight w:val="none"/>
        </w:rPr>
      </w:pPr>
    </w:p>
    <w:p w14:paraId="00D4CD93">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086CFAA3">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highlight w:val="none"/>
        </w:rPr>
        <w:t>。</w:t>
      </w:r>
    </w:p>
    <w:p w14:paraId="0A67246C">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D0DD81">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3.投诉书应简要列明质疑事项，质疑函、质疑答复等作为附件材料提供。</w:t>
      </w:r>
    </w:p>
    <w:p w14:paraId="17A1A71B">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4.投诉书的投诉事项应具体、明确，并有必要的事实依据和法律依据。</w:t>
      </w:r>
    </w:p>
    <w:p w14:paraId="4076662F">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5.投诉书的投诉请求应与投诉事项相关。</w:t>
      </w:r>
    </w:p>
    <w:p w14:paraId="240B5C38">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投诉人为法人或者其他组织的，投诉书应由法定代表人、主要负责人，或者其授权代表签字或者盖章，并加盖公章。</w:t>
      </w:r>
    </w:p>
    <w:p w14:paraId="79DE70A4">
      <w:pPr>
        <w:spacing w:line="340" w:lineRule="exact"/>
        <w:ind w:left="25" w:leftChars="12" w:firstLine="310" w:firstLineChars="147"/>
        <w:rPr>
          <w:rFonts w:hAnsi="宋体"/>
          <w:b/>
          <w:color w:val="auto"/>
          <w:kern w:val="0"/>
          <w:szCs w:val="21"/>
          <w:highlight w:val="none"/>
        </w:rPr>
      </w:pPr>
    </w:p>
    <w:p w14:paraId="6C836F1C">
      <w:pPr>
        <w:pStyle w:val="3"/>
        <w:rPr>
          <w:rFonts w:hint="eastAsia"/>
          <w:color w:val="auto"/>
          <w:highlight w:val="none"/>
          <w:lang w:eastAsia="zh-CN"/>
        </w:rPr>
      </w:pPr>
    </w:p>
    <w:p w14:paraId="21FD6AD6">
      <w:pPr>
        <w:rPr>
          <w:rFonts w:hint="eastAsia"/>
          <w:color w:val="auto"/>
          <w:highlight w:val="none"/>
          <w:lang w:eastAsia="zh-CN"/>
        </w:rPr>
      </w:pPr>
    </w:p>
    <w:p w14:paraId="0365799D">
      <w:pPr>
        <w:pStyle w:val="3"/>
        <w:rPr>
          <w:rFonts w:hint="eastAsia"/>
          <w:color w:val="auto"/>
          <w:highlight w:val="none"/>
          <w:lang w:eastAsia="zh-CN"/>
        </w:rPr>
      </w:pPr>
    </w:p>
    <w:p w14:paraId="7EA96860">
      <w:pPr>
        <w:rPr>
          <w:rFonts w:hint="eastAsia"/>
          <w:color w:val="auto"/>
          <w:highlight w:val="none"/>
          <w:lang w:eastAsia="zh-CN"/>
        </w:rPr>
      </w:pPr>
    </w:p>
    <w:p w14:paraId="431DF66D">
      <w:pPr>
        <w:pStyle w:val="3"/>
        <w:rPr>
          <w:rFonts w:hint="eastAsia"/>
          <w:color w:val="auto"/>
          <w:highlight w:val="none"/>
          <w:lang w:eastAsia="zh-CN"/>
        </w:rPr>
      </w:pPr>
    </w:p>
    <w:p w14:paraId="2C1849BF">
      <w:pPr>
        <w:rPr>
          <w:rFonts w:hint="eastAsia"/>
          <w:color w:val="auto"/>
          <w:highlight w:val="none"/>
          <w:lang w:eastAsia="zh-CN"/>
        </w:rPr>
      </w:pPr>
    </w:p>
    <w:p w14:paraId="24623516">
      <w:pPr>
        <w:rPr>
          <w:rFonts w:hint="eastAsia"/>
          <w:color w:val="auto"/>
          <w:highlight w:val="none"/>
          <w:lang w:eastAsia="zh-CN"/>
        </w:rPr>
      </w:pPr>
    </w:p>
    <w:p w14:paraId="7DFE5E53">
      <w:pPr>
        <w:rPr>
          <w:rFonts w:hint="eastAsia"/>
          <w:color w:val="auto"/>
          <w:highlight w:val="none"/>
          <w:lang w:eastAsia="zh-CN"/>
        </w:rPr>
      </w:pPr>
    </w:p>
    <w:p w14:paraId="09B49365">
      <w:pPr>
        <w:pStyle w:val="32"/>
        <w:rPr>
          <w:rFonts w:hint="eastAsia"/>
          <w:color w:val="auto"/>
          <w:highlight w:val="none"/>
          <w:lang w:eastAsia="zh-CN"/>
        </w:rPr>
      </w:pPr>
    </w:p>
    <w:p w14:paraId="69E7CFE8">
      <w:pPr>
        <w:rPr>
          <w:rFonts w:hint="eastAsia"/>
          <w:color w:val="auto"/>
          <w:highlight w:val="none"/>
          <w:lang w:eastAsia="zh-CN"/>
        </w:rPr>
      </w:pPr>
    </w:p>
    <w:p w14:paraId="12CE49C0">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auto"/>
          <w:sz w:val="32"/>
          <w:szCs w:val="32"/>
          <w:highlight w:val="none"/>
          <w:lang w:eastAsia="zh-CN"/>
        </w:rPr>
      </w:pPr>
      <w:bookmarkStart w:id="142" w:name="_Toc18727"/>
      <w:bookmarkStart w:id="143" w:name="_Toc28939"/>
      <w:bookmarkStart w:id="144" w:name="_Toc2989"/>
      <w:r>
        <w:rPr>
          <w:rFonts w:hint="eastAsia"/>
          <w:color w:val="auto"/>
          <w:sz w:val="32"/>
          <w:szCs w:val="32"/>
          <w:highlight w:val="none"/>
        </w:rPr>
        <w:t xml:space="preserve">第三章  </w:t>
      </w:r>
      <w:r>
        <w:rPr>
          <w:rFonts w:hint="eastAsia"/>
          <w:color w:val="auto"/>
          <w:sz w:val="32"/>
          <w:szCs w:val="32"/>
          <w:highlight w:val="none"/>
          <w:lang w:eastAsia="zh-CN"/>
        </w:rPr>
        <w:t>工程量清单</w:t>
      </w:r>
      <w:bookmarkEnd w:id="142"/>
      <w:bookmarkEnd w:id="143"/>
    </w:p>
    <w:p w14:paraId="50F0276F">
      <w:pPr>
        <w:pStyle w:val="11"/>
        <w:spacing w:line="400" w:lineRule="exact"/>
        <w:rPr>
          <w:rFonts w:hint="eastAsia" w:hAnsi="宋体" w:cs="宋体"/>
          <w:color w:val="auto"/>
          <w:kern w:val="21"/>
          <w:highlight w:val="none"/>
        </w:rPr>
      </w:pPr>
      <w:bookmarkStart w:id="145" w:name="_Toc164138057"/>
      <w:bookmarkStart w:id="146" w:name="_Toc160609998"/>
      <w:bookmarkStart w:id="147" w:name="_Toc194308407"/>
      <w:r>
        <w:rPr>
          <w:rFonts w:hint="eastAsia" w:hAnsi="宋体" w:cs="宋体"/>
          <w:b/>
          <w:color w:val="auto"/>
          <w:sz w:val="24"/>
          <w:szCs w:val="24"/>
          <w:highlight w:val="none"/>
        </w:rPr>
        <w:t>一、工程量清单说明</w:t>
      </w:r>
      <w:bookmarkEnd w:id="145"/>
      <w:bookmarkEnd w:id="146"/>
      <w:r>
        <w:rPr>
          <w:rFonts w:hint="eastAsia" w:hAnsi="宋体" w:cs="宋体"/>
          <w:color w:val="auto"/>
          <w:kern w:val="21"/>
          <w:sz w:val="32"/>
          <w:szCs w:val="32"/>
          <w:highlight w:val="none"/>
        </w:rPr>
        <w:t>：</w:t>
      </w:r>
      <w:bookmarkEnd w:id="147"/>
      <w:r>
        <w:rPr>
          <w:rFonts w:hint="eastAsia" w:hAnsi="宋体" w:cs="宋体"/>
          <w:color w:val="auto"/>
          <w:kern w:val="21"/>
          <w:highlight w:val="none"/>
        </w:rPr>
        <w:t xml:space="preserve"> </w:t>
      </w:r>
    </w:p>
    <w:p w14:paraId="798F9957">
      <w:pPr>
        <w:tabs>
          <w:tab w:val="left" w:pos="210"/>
        </w:tabs>
        <w:spacing w:line="360" w:lineRule="exact"/>
        <w:ind w:left="420"/>
        <w:rPr>
          <w:rFonts w:hint="eastAsia" w:ascii="宋体" w:hAnsi="宋体" w:cs="宋体"/>
          <w:color w:val="auto"/>
          <w:szCs w:val="21"/>
          <w:highlight w:val="none"/>
          <w:lang w:eastAsia="zh-CN"/>
        </w:rPr>
      </w:pPr>
      <w:r>
        <w:rPr>
          <w:rFonts w:hint="eastAsia" w:hAnsi="宋体" w:cs="宋体"/>
          <w:color w:val="auto"/>
          <w:kern w:val="21"/>
          <w:highlight w:val="none"/>
          <w:lang w:eastAsia="zh-CN"/>
        </w:rPr>
        <w:t xml:space="preserve">  </w:t>
      </w:r>
      <w:r>
        <w:rPr>
          <w:rFonts w:hint="eastAsia" w:ascii="宋体" w:hAnsi="宋体" w:cs="宋体"/>
          <w:color w:val="auto"/>
          <w:szCs w:val="21"/>
          <w:highlight w:val="none"/>
          <w:lang w:eastAsia="zh-CN"/>
        </w:rPr>
        <w:t>1、工程概况：</w:t>
      </w:r>
    </w:p>
    <w:p w14:paraId="68187A61">
      <w:pPr>
        <w:tabs>
          <w:tab w:val="left" w:pos="210"/>
        </w:tabs>
        <w:spacing w:line="360" w:lineRule="exact"/>
        <w:ind w:left="420"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工程名称：兴安严关修缮工程；</w:t>
      </w:r>
    </w:p>
    <w:p w14:paraId="0AF927F3">
      <w:pPr>
        <w:tabs>
          <w:tab w:val="left" w:pos="210"/>
        </w:tabs>
        <w:spacing w:line="360" w:lineRule="exact"/>
        <w:ind w:firstLine="630" w:firstLineChars="300"/>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本工程主要为：</w:t>
      </w:r>
      <w:r>
        <w:rPr>
          <w:rFonts w:hint="eastAsia" w:ascii="宋体" w:hAnsi="宋体" w:cs="宋体"/>
          <w:color w:val="auto"/>
          <w:szCs w:val="21"/>
          <w:highlight w:val="none"/>
          <w:lang w:val="en-US" w:eastAsia="zh-CN"/>
        </w:rPr>
        <w:t>对兴安县严关关墙建筑本体修缮及关墙东西两侧环境整治，主要修缮内容为墙体、地面、裂缝灌浆、台明等项目，采用科学合理的技术手段，对严关关墙存在的外鼓、松散、开裂等对墙体结构产生危害的病害进行治理，使建筑的病害得到遏制，消除安全隐患，保证关墙的结构安全。本次工程范围：严关关墙，总建筑面积368.62平方米。具体详见施工图纸及工程量清单。</w:t>
      </w:r>
    </w:p>
    <w:p w14:paraId="7B402740">
      <w:pPr>
        <w:tabs>
          <w:tab w:val="left" w:pos="210"/>
        </w:tabs>
        <w:spacing w:line="360" w:lineRule="exact"/>
        <w:ind w:left="42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 xml:space="preserve">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、编制依据：</w:t>
      </w:r>
    </w:p>
    <w:p w14:paraId="39B2EAAF">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 xml:space="preserve"> 广西壮族自治区文化和旅游厅关于《兴安县严关修缮工程设计方案》的批复（桂文旅许字[2023]75号）； </w:t>
      </w:r>
    </w:p>
    <w:p w14:paraId="4EE1574D">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 xml:space="preserve">《财政部、国家文物局关于印发《国家文物保护资金管理办法》（财教[2023]279 号）；《国家重点文物保护专项补助资金项目预（概）算编制规范》； </w:t>
      </w:r>
    </w:p>
    <w:p w14:paraId="3E76C97D">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《广西壮族自治区古建筑修缮工程消耗量及费用定额》（2019）、《广西壮族自治区仿古建筑工程消耗量定额》（2013）、《广西壮族自治区园林绿化工程消耗量定额 》（2013）、《广西建筑装饰装修工程消耗量定额》（2013）、《广西壮族自治区安装工程费用定额》（2017）、《全国统一房屋修缮工程预算定额（古建筑分册）广西单位估价表》、《桂建标[2018]19号关于调整建设工程定额人工费及有关费率的通知》和《关于广西壮族自治文物保护项目人工费审核原则的说明》； </w:t>
      </w:r>
    </w:p>
    <w:p w14:paraId="5EF78439">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 xml:space="preserve">《关于做好建筑业营改增建设工程计价依据调整准备工作的通知》（建办标[2016]4号）、《关于全面推开营业税改征增值税试点的通知》（财税[2016]36号）、《关于建筑业增值税计价政策调整的通知》（建办标函[2019]193号）； </w:t>
      </w:r>
    </w:p>
    <w:p w14:paraId="0AC14A28">
      <w:pPr>
        <w:adjustRightInd w:val="0"/>
        <w:spacing w:line="40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《兴安县严关修缮工程设计方案（修订稿）》。</w:t>
      </w:r>
    </w:p>
    <w:p w14:paraId="225CCFFF">
      <w:pPr>
        <w:adjustRightInd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、注意事项及要求：</w:t>
      </w:r>
    </w:p>
    <w:p w14:paraId="1B6C4875">
      <w:pPr>
        <w:keepNext w:val="0"/>
        <w:keepLines w:val="0"/>
        <w:pageBreakBefore w:val="0"/>
        <w:widowControl w:val="0"/>
        <w:tabs>
          <w:tab w:val="left" w:pos="210"/>
        </w:tabs>
        <w:kinsoku/>
        <w:wordWrap/>
        <w:overflowPunct/>
        <w:topLinePunct w:val="0"/>
        <w:autoSpaceDE/>
        <w:autoSpaceDN/>
        <w:bidi w:val="0"/>
        <w:adjustRightInd/>
        <w:snapToGrid/>
        <w:spacing w:line="360" w:lineRule="exact"/>
        <w:ind w:left="420"/>
        <w:textAlignment w:val="auto"/>
        <w:rPr>
          <w:rFonts w:hint="eastAsia" w:ascii="宋体" w:hAnsi="宋体" w:cs="宋体"/>
          <w:color w:val="auto"/>
          <w:szCs w:val="21"/>
          <w:highlight w:val="none"/>
        </w:rPr>
      </w:pPr>
      <w:r>
        <w:rPr>
          <w:rFonts w:hint="eastAsia" w:ascii="宋体" w:hAnsi="宋体" w:cs="宋体"/>
          <w:color w:val="auto"/>
          <w:szCs w:val="21"/>
          <w:highlight w:val="none"/>
        </w:rPr>
        <w:t>1、严格按国家标准及本项目工程量清单、图纸要求施工；</w:t>
      </w:r>
    </w:p>
    <w:p w14:paraId="7C97A483">
      <w:pPr>
        <w:pStyle w:val="11"/>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宋体" w:cs="宋体"/>
          <w:color w:val="auto"/>
          <w:highlight w:val="none"/>
        </w:rPr>
      </w:pPr>
      <w:r>
        <w:rPr>
          <w:rFonts w:hint="eastAsia" w:hAnsi="宋体" w:cs="宋体"/>
          <w:color w:val="auto"/>
          <w:szCs w:val="21"/>
          <w:highlight w:val="none"/>
        </w:rPr>
        <w:t>2、</w:t>
      </w:r>
      <w:r>
        <w:rPr>
          <w:rFonts w:hint="eastAsia" w:hAnsi="宋体" w:cs="宋体"/>
          <w:color w:val="auto"/>
          <w:szCs w:val="21"/>
          <w:highlight w:val="none"/>
          <w:lang w:val="en-US" w:eastAsia="zh-CN"/>
        </w:rPr>
        <w:t>合同履约期限：</w:t>
      </w:r>
      <w:r>
        <w:rPr>
          <w:rFonts w:hint="eastAsia" w:ascii="宋体" w:hAnsi="宋体"/>
          <w:color w:val="auto"/>
          <w:szCs w:val="21"/>
          <w:highlight w:val="none"/>
          <w:lang w:val="en-US" w:eastAsia="zh-CN"/>
        </w:rPr>
        <w:t>自合同签订之日起</w:t>
      </w:r>
      <w:r>
        <w:rPr>
          <w:rFonts w:hint="eastAsia" w:hAnsi="宋体"/>
          <w:color w:val="auto"/>
          <w:szCs w:val="21"/>
          <w:highlight w:val="none"/>
          <w:lang w:val="en-US" w:eastAsia="zh-CN"/>
        </w:rPr>
        <w:t>120</w:t>
      </w:r>
      <w:r>
        <w:rPr>
          <w:rFonts w:hint="eastAsia" w:ascii="宋体" w:hAnsi="宋体"/>
          <w:color w:val="auto"/>
          <w:szCs w:val="21"/>
          <w:highlight w:val="none"/>
          <w:lang w:val="en-US" w:eastAsia="zh-CN"/>
        </w:rPr>
        <w:t>个日历天内完工</w:t>
      </w:r>
      <w:r>
        <w:rPr>
          <w:rFonts w:hint="eastAsia" w:ascii="宋体" w:hAnsi="宋体" w:eastAsia="宋体" w:cs="宋体"/>
          <w:i w:val="0"/>
          <w:iCs w:val="0"/>
          <w:color w:val="auto"/>
          <w:sz w:val="21"/>
          <w:szCs w:val="21"/>
          <w:highlight w:val="none"/>
          <w:lang w:val="en-US" w:eastAsia="zh-CN"/>
        </w:rPr>
        <w:t>。</w:t>
      </w:r>
      <w:r>
        <w:rPr>
          <w:rFonts w:hint="eastAsia" w:hAnsi="宋体" w:cs="宋体"/>
          <w:color w:val="auto"/>
          <w:highlight w:val="none"/>
        </w:rPr>
        <w:t xml:space="preserve"> </w:t>
      </w:r>
    </w:p>
    <w:p w14:paraId="5B745A6A">
      <w:pPr>
        <w:keepNext w:val="0"/>
        <w:keepLines w:val="0"/>
        <w:pageBreakBefore w:val="0"/>
        <w:widowControl w:val="0"/>
        <w:tabs>
          <w:tab w:val="left" w:pos="210"/>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质量标准：</w:t>
      </w:r>
      <w:r>
        <w:rPr>
          <w:rFonts w:hint="eastAsia" w:ascii="宋体" w:hAnsi="宋体" w:cs="宋体"/>
          <w:color w:val="auto"/>
          <w:highlight w:val="none"/>
          <w:lang w:val="en-US" w:eastAsia="zh-CN"/>
        </w:rPr>
        <w:t>合格</w:t>
      </w:r>
      <w:r>
        <w:rPr>
          <w:rFonts w:hint="eastAsia" w:ascii="宋体" w:hAnsi="宋体" w:cs="宋体"/>
          <w:color w:val="auto"/>
          <w:highlight w:val="none"/>
        </w:rPr>
        <w:t>。</w:t>
      </w:r>
    </w:p>
    <w:p w14:paraId="4734FF20">
      <w:pPr>
        <w:keepNext w:val="0"/>
        <w:keepLines w:val="0"/>
        <w:pageBreakBefore w:val="0"/>
        <w:widowControl w:val="0"/>
        <w:tabs>
          <w:tab w:val="left" w:pos="210"/>
        </w:tabs>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b/>
          <w:bCs/>
          <w:color w:val="auto"/>
          <w:szCs w:val="21"/>
          <w:highlight w:val="none"/>
        </w:rPr>
        <w:t>供应商承诺工程竣工后，供应商应按照采购人的要求免费对开工的工程场地进行清理及清洁。</w:t>
      </w:r>
    </w:p>
    <w:p w14:paraId="60BFF4E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、工程量不明确的，供应商在现场考察时详细测量，</w:t>
      </w:r>
      <w:r>
        <w:rPr>
          <w:rFonts w:hint="eastAsia" w:ascii="宋体" w:hAnsi="宋体" w:cs="宋体"/>
          <w:color w:val="auto"/>
          <w:highlight w:val="none"/>
          <w:lang w:val="en-US" w:eastAsia="zh-CN"/>
        </w:rPr>
        <w:t>磋商</w:t>
      </w:r>
      <w:r>
        <w:rPr>
          <w:rFonts w:hint="eastAsia" w:ascii="宋体" w:hAnsi="宋体" w:cs="宋体"/>
          <w:color w:val="auto"/>
          <w:highlight w:val="none"/>
        </w:rPr>
        <w:t>时必须详细列明所报工作范围，并在施工方案中保证工程完整、全面。</w:t>
      </w:r>
    </w:p>
    <w:p w14:paraId="0C2AB8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color w:val="auto"/>
          <w:kern w:val="0"/>
          <w:szCs w:val="21"/>
          <w:highlight w:val="none"/>
          <w:lang w:eastAsia="zh-CN"/>
        </w:rPr>
      </w:pP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s="宋体"/>
          <w:b/>
          <w:color w:val="auto"/>
          <w:kern w:val="0"/>
          <w:szCs w:val="21"/>
          <w:highlight w:val="none"/>
        </w:rPr>
        <w:t>本工程</w:t>
      </w:r>
      <w:r>
        <w:rPr>
          <w:rFonts w:hint="eastAsia" w:ascii="宋体" w:hAnsi="宋体" w:cs="宋体"/>
          <w:b/>
          <w:color w:val="auto"/>
          <w:kern w:val="0"/>
          <w:szCs w:val="21"/>
          <w:highlight w:val="none"/>
          <w:lang w:val="en-US" w:eastAsia="zh-CN"/>
        </w:rPr>
        <w:t>预算价为</w:t>
      </w:r>
      <w:r>
        <w:rPr>
          <w:rFonts w:hint="eastAsia" w:ascii="宋体" w:hAnsi="宋体" w:cs="宋体"/>
          <w:b/>
          <w:color w:val="auto"/>
          <w:kern w:val="0"/>
          <w:szCs w:val="21"/>
          <w:highlight w:val="none"/>
        </w:rPr>
        <w:t>人民币</w:t>
      </w:r>
      <w:r>
        <w:rPr>
          <w:rFonts w:hint="eastAsia" w:ascii="宋体" w:hAnsi="宋体" w:cs="宋体"/>
          <w:b/>
          <w:color w:val="auto"/>
          <w:kern w:val="0"/>
          <w:szCs w:val="21"/>
          <w:highlight w:val="none"/>
          <w:u w:val="single"/>
          <w:lang w:val="en-US" w:eastAsia="zh-CN"/>
        </w:rPr>
        <w:t>2300000.00</w:t>
      </w:r>
      <w:r>
        <w:rPr>
          <w:rFonts w:hint="eastAsia" w:ascii="宋体" w:hAnsi="宋体" w:cs="宋体"/>
          <w:b/>
          <w:color w:val="auto"/>
          <w:kern w:val="0"/>
          <w:szCs w:val="21"/>
          <w:highlight w:val="none"/>
        </w:rPr>
        <w:t>元</w:t>
      </w:r>
      <w:r>
        <w:rPr>
          <w:rFonts w:hint="eastAsia" w:ascii="宋体" w:hAnsi="宋体" w:cs="宋体"/>
          <w:b/>
          <w:color w:val="auto"/>
          <w:kern w:val="0"/>
          <w:szCs w:val="21"/>
          <w:highlight w:val="none"/>
          <w:lang w:eastAsia="zh-CN"/>
        </w:rPr>
        <w:t>。</w:t>
      </w:r>
    </w:p>
    <w:p w14:paraId="4EC17C7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本工程</w:t>
      </w:r>
      <w:r>
        <w:rPr>
          <w:rFonts w:hint="eastAsia" w:ascii="宋体" w:hAnsi="宋体" w:eastAsia="宋体" w:cs="宋体"/>
          <w:b/>
          <w:bCs/>
          <w:color w:val="auto"/>
          <w:kern w:val="0"/>
          <w:sz w:val="21"/>
          <w:szCs w:val="21"/>
          <w:highlight w:val="none"/>
          <w:lang w:eastAsia="zh-CN"/>
        </w:rPr>
        <w:t>预算控制价（最高限价）</w:t>
      </w:r>
      <w:r>
        <w:rPr>
          <w:rFonts w:hint="eastAsia" w:ascii="宋体" w:hAnsi="宋体" w:cs="宋体"/>
          <w:b/>
          <w:bCs/>
          <w:color w:val="auto"/>
          <w:szCs w:val="21"/>
          <w:highlight w:val="none"/>
        </w:rPr>
        <w:t>为</w:t>
      </w:r>
      <w:r>
        <w:rPr>
          <w:rFonts w:hint="eastAsia" w:ascii="宋体" w:hAnsi="宋体" w:cs="宋体"/>
          <w:b/>
          <w:bCs/>
          <w:color w:val="auto"/>
          <w:szCs w:val="21"/>
          <w:highlight w:val="none"/>
          <w:u w:val="single"/>
          <w:lang w:val="en-US" w:eastAsia="zh-CN"/>
        </w:rPr>
        <w:t xml:space="preserve">2110000.00 </w:t>
      </w:r>
      <w:r>
        <w:rPr>
          <w:rFonts w:hint="eastAsia" w:ascii="宋体" w:hAnsi="宋体" w:cs="宋体"/>
          <w:b/>
          <w:bCs/>
          <w:color w:val="auto"/>
          <w:kern w:val="0"/>
          <w:szCs w:val="21"/>
          <w:highlight w:val="none"/>
          <w:u w:val="single"/>
        </w:rPr>
        <w:t>元</w:t>
      </w:r>
      <w:r>
        <w:rPr>
          <w:rFonts w:hint="eastAsia" w:ascii="宋体" w:hAnsi="宋体" w:cs="宋体"/>
          <w:b/>
          <w:bCs/>
          <w:color w:val="auto"/>
          <w:szCs w:val="21"/>
          <w:highlight w:val="none"/>
          <w:lang w:eastAsia="zh-CN"/>
        </w:rPr>
        <w:t>。</w:t>
      </w:r>
    </w:p>
    <w:p w14:paraId="3785CA25">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p w14:paraId="5DF213EB">
      <w:pPr>
        <w:adjustRightInd w:val="0"/>
        <w:spacing w:line="400" w:lineRule="exact"/>
        <w:rPr>
          <w:rFonts w:hint="eastAsia" w:ascii="宋体" w:hAnsi="宋体" w:eastAsia="宋体" w:cs="宋体"/>
          <w:color w:val="auto"/>
          <w:sz w:val="32"/>
          <w:szCs w:val="32"/>
          <w:highlight w:val="none"/>
          <w:lang w:eastAsia="zh-CN"/>
        </w:rPr>
      </w:pPr>
      <w:r>
        <w:rPr>
          <w:rFonts w:hint="eastAsia" w:ascii="宋体" w:hAnsi="宋体" w:cs="宋体"/>
          <w:b/>
          <w:color w:val="auto"/>
          <w:sz w:val="24"/>
          <w:szCs w:val="24"/>
          <w:highlight w:val="none"/>
        </w:rPr>
        <w:t>三、工程量清单（另册），是本竞争</w:t>
      </w:r>
      <w:r>
        <w:rPr>
          <w:rFonts w:hint="eastAsia" w:ascii="宋体" w:hAnsi="宋体" w:cs="宋体"/>
          <w:b/>
          <w:color w:val="auto"/>
          <w:sz w:val="24"/>
          <w:szCs w:val="24"/>
          <w:highlight w:val="none"/>
          <w:lang w:val="en-US" w:eastAsia="zh-CN"/>
        </w:rPr>
        <w:t>性磋商</w:t>
      </w:r>
      <w:r>
        <w:rPr>
          <w:rFonts w:hint="eastAsia" w:ascii="宋体" w:hAnsi="宋体" w:cs="宋体"/>
          <w:b/>
          <w:color w:val="auto"/>
          <w:sz w:val="24"/>
          <w:szCs w:val="24"/>
          <w:highlight w:val="none"/>
        </w:rPr>
        <w:t>文件的一个重要组成部分</w:t>
      </w:r>
      <w:bookmarkEnd w:id="144"/>
    </w:p>
    <w:p w14:paraId="6CF81154">
      <w:pPr>
        <w:rPr>
          <w:rFonts w:hint="eastAsia"/>
          <w:color w:val="auto"/>
          <w:highlight w:val="none"/>
          <w:lang w:eastAsia="zh-CN"/>
        </w:rPr>
      </w:pPr>
    </w:p>
    <w:p w14:paraId="0B4D022D">
      <w:pPr>
        <w:pStyle w:val="2"/>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auto"/>
          <w:highlight w:val="none"/>
        </w:rPr>
      </w:pPr>
      <w:bookmarkStart w:id="148" w:name="_Toc4390"/>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48"/>
    </w:p>
    <w:p w14:paraId="65EFE524">
      <w:pPr>
        <w:pStyle w:val="11"/>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一、评审依据及方式</w:t>
      </w:r>
    </w:p>
    <w:p w14:paraId="46BE460E">
      <w:pPr>
        <w:pStyle w:val="11"/>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1.评审依据：磋商小组以竞争性磋商文件和响应文件为评审依据，</w:t>
      </w:r>
      <w:r>
        <w:rPr>
          <w:rFonts w:hint="eastAsia" w:ascii="宋体" w:hAnsi="宋体" w:eastAsia="宋体" w:cs="宋体"/>
          <w:color w:val="auto"/>
          <w:highlight w:val="none"/>
          <w:lang w:val="en-US" w:eastAsia="zh-CN"/>
        </w:rPr>
        <w:t>对磋商供应商的响应文件按百分制打分</w:t>
      </w:r>
      <w:r>
        <w:rPr>
          <w:rFonts w:hint="eastAsia" w:ascii="宋体" w:hAnsi="宋体" w:eastAsia="宋体" w:cs="宋体"/>
          <w:color w:val="auto"/>
          <w:highlight w:val="none"/>
        </w:rPr>
        <w:t>。</w:t>
      </w:r>
    </w:p>
    <w:p w14:paraId="39749958">
      <w:pPr>
        <w:pStyle w:val="11"/>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2.评审方式：以封闭方式进行评审。</w:t>
      </w:r>
    </w:p>
    <w:p w14:paraId="40AE1246">
      <w:pPr>
        <w:pStyle w:val="11"/>
        <w:pageBreakBefore w:val="0"/>
        <w:widowControl w:val="0"/>
        <w:kinsoku/>
        <w:wordWrap/>
        <w:overflowPunct/>
        <w:topLinePunct w:val="0"/>
        <w:bidi w:val="0"/>
        <w:snapToGrid/>
        <w:spacing w:line="440" w:lineRule="exact"/>
        <w:ind w:left="210" w:leftChars="100"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3.根据财库〔2012〕69号文规定，采购人和采购代理机构，磋商小组成员要严格遵守政府采购相关法律制度，依法履行各自职责，公正、客观、审慎地组织和参与评审工作。</w:t>
      </w:r>
    </w:p>
    <w:p w14:paraId="1ADF5225">
      <w:pPr>
        <w:pStyle w:val="11"/>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二、评审办法</w:t>
      </w:r>
    </w:p>
    <w:p w14:paraId="730B5F30">
      <w:pPr>
        <w:pStyle w:val="1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（一）本次评标采用综合评分法。</w:t>
      </w:r>
      <w:r>
        <w:rPr>
          <w:rFonts w:hint="eastAsia" w:hAnsi="宋体" w:eastAsia="宋体" w:cs="宋体"/>
          <w:bCs/>
          <w:color w:val="auto"/>
          <w:highlight w:val="none"/>
          <w:lang w:eastAsia="zh-CN"/>
        </w:rPr>
        <w:t>磋商小组</w:t>
      </w:r>
      <w:r>
        <w:rPr>
          <w:rFonts w:hint="eastAsia" w:ascii="宋体" w:hAnsi="宋体" w:eastAsia="宋体" w:cs="宋体"/>
          <w:bCs/>
          <w:color w:val="auto"/>
          <w:highlight w:val="none"/>
        </w:rPr>
        <w:t>会首先对</w:t>
      </w:r>
      <w:r>
        <w:rPr>
          <w:rFonts w:hint="eastAsia" w:hAnsi="宋体" w:eastAsia="宋体" w:cs="宋体"/>
          <w:bCs/>
          <w:color w:val="auto"/>
          <w:highlight w:val="none"/>
          <w:lang w:eastAsia="zh-CN"/>
        </w:rPr>
        <w:t>磋商供应商</w:t>
      </w:r>
      <w:r>
        <w:rPr>
          <w:rFonts w:hint="eastAsia" w:ascii="宋体" w:hAnsi="宋体" w:eastAsia="宋体" w:cs="宋体"/>
          <w:bCs/>
          <w:color w:val="auto"/>
          <w:highlight w:val="none"/>
        </w:rPr>
        <w:t>提交的响应文件进行资格性审查和符合性审查，只有通过了资格性审查和符合性审查才能进入详评。</w:t>
      </w:r>
    </w:p>
    <w:p w14:paraId="2ABA4958">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b/>
          <w:color w:val="auto"/>
          <w:w w:val="99"/>
          <w:kern w:val="0"/>
          <w:sz w:val="24"/>
          <w:szCs w:val="24"/>
          <w:highlight w:val="none"/>
          <w:lang w:val="en-US" w:eastAsia="zh-CN"/>
        </w:rPr>
      </w:pPr>
      <w:r>
        <w:rPr>
          <w:rFonts w:hint="eastAsia" w:ascii="宋体" w:hAnsi="宋体" w:eastAsia="宋体" w:cs="宋体"/>
          <w:b/>
          <w:color w:val="auto"/>
          <w:w w:val="99"/>
          <w:kern w:val="0"/>
          <w:sz w:val="24"/>
          <w:szCs w:val="24"/>
          <w:highlight w:val="none"/>
          <w:lang w:val="en-US" w:eastAsia="zh-CN"/>
        </w:rPr>
        <w:t>初步评审：</w:t>
      </w:r>
    </w:p>
    <w:tbl>
      <w:tblPr>
        <w:tblStyle w:val="26"/>
        <w:tblW w:w="9948" w:type="dxa"/>
        <w:jc w:val="center"/>
        <w:tblLayout w:type="fixed"/>
        <w:tblCellMar>
          <w:top w:w="0" w:type="dxa"/>
          <w:left w:w="108" w:type="dxa"/>
          <w:bottom w:w="0" w:type="dxa"/>
          <w:right w:w="108" w:type="dxa"/>
        </w:tblCellMar>
      </w:tblPr>
      <w:tblGrid>
        <w:gridCol w:w="944"/>
        <w:gridCol w:w="1460"/>
        <w:gridCol w:w="2344"/>
        <w:gridCol w:w="5200"/>
      </w:tblGrid>
      <w:tr w14:paraId="52077111">
        <w:tblPrEx>
          <w:tblCellMar>
            <w:top w:w="0" w:type="dxa"/>
            <w:left w:w="108" w:type="dxa"/>
            <w:bottom w:w="0" w:type="dxa"/>
            <w:right w:w="108" w:type="dxa"/>
          </w:tblCellMar>
        </w:tblPrEx>
        <w:trPr>
          <w:trHeight w:val="542" w:hRule="atLeast"/>
          <w:jc w:val="center"/>
        </w:trPr>
        <w:tc>
          <w:tcPr>
            <w:tcW w:w="944" w:type="dxa"/>
            <w:tcBorders>
              <w:top w:val="single" w:color="auto" w:sz="4" w:space="0"/>
              <w:left w:val="single" w:color="auto" w:sz="4" w:space="0"/>
              <w:bottom w:val="single" w:color="auto" w:sz="4" w:space="0"/>
              <w:right w:val="single" w:color="auto" w:sz="4" w:space="0"/>
            </w:tcBorders>
            <w:noWrap w:val="0"/>
            <w:vAlign w:val="center"/>
          </w:tcPr>
          <w:p w14:paraId="14C15E85">
            <w:pPr>
              <w:pStyle w:val="33"/>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条款号</w:t>
            </w:r>
          </w:p>
        </w:tc>
        <w:tc>
          <w:tcPr>
            <w:tcW w:w="9004" w:type="dxa"/>
            <w:gridSpan w:val="3"/>
            <w:tcBorders>
              <w:top w:val="single" w:color="auto" w:sz="4" w:space="0"/>
              <w:left w:val="single" w:color="auto" w:sz="4" w:space="0"/>
              <w:bottom w:val="single" w:color="auto" w:sz="4" w:space="0"/>
              <w:right w:val="single" w:color="auto" w:sz="4" w:space="0"/>
            </w:tcBorders>
            <w:noWrap w:val="0"/>
            <w:vAlign w:val="center"/>
          </w:tcPr>
          <w:p w14:paraId="01A67232">
            <w:pPr>
              <w:pStyle w:val="33"/>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评审标准</w:t>
            </w:r>
          </w:p>
        </w:tc>
      </w:tr>
      <w:tr w14:paraId="7239B9CC">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4E693D53">
            <w:pPr>
              <w:keepNext w:val="0"/>
              <w:keepLines w:val="0"/>
              <w:pageBreakBefore w:val="0"/>
              <w:widowControl/>
              <w:kinsoku/>
              <w:wordWrap/>
              <w:overflowPunct/>
              <w:topLinePunct w:val="0"/>
              <w:autoSpaceDE/>
              <w:autoSpaceDN/>
              <w:bidi w:val="0"/>
              <w:adjustRightInd/>
              <w:spacing w:line="360" w:lineRule="exact"/>
              <w:jc w:val="center"/>
              <w:rPr>
                <w:rFonts w:hint="eastAsia" w:ascii="宋体" w:hAnsi="宋体" w:cs="宋体"/>
                <w:color w:val="auto"/>
                <w:highlight w:val="none"/>
              </w:rPr>
            </w:pPr>
            <w:r>
              <w:rPr>
                <w:rFonts w:hint="eastAsia" w:ascii="宋体" w:hAnsi="宋体" w:cs="宋体"/>
                <w:color w:val="auto"/>
                <w:highlight w:val="none"/>
              </w:rPr>
              <w:t>2.1.1</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14:paraId="2E2493C6">
            <w:pPr>
              <w:pStyle w:val="33"/>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pacing w:val="-6"/>
                <w:highlight w:val="none"/>
                <w:lang w:eastAsia="zh-CN"/>
              </w:rPr>
            </w:pPr>
            <w:r>
              <w:rPr>
                <w:rFonts w:hint="eastAsia" w:ascii="宋体" w:hAnsi="宋体" w:cs="宋体"/>
                <w:color w:val="auto"/>
                <w:highlight w:val="none"/>
              </w:rPr>
              <w:t>资格</w:t>
            </w:r>
            <w:r>
              <w:rPr>
                <w:rFonts w:hint="eastAsia" w:ascii="宋体" w:hAnsi="宋体" w:cs="宋体"/>
                <w:color w:val="auto"/>
                <w:highlight w:val="none"/>
                <w:lang w:eastAsia="zh-CN"/>
              </w:rPr>
              <w:t>评审</w:t>
            </w:r>
          </w:p>
          <w:p w14:paraId="024CD6B2">
            <w:pPr>
              <w:pStyle w:val="14"/>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cs="宋体"/>
                <w:color w:val="auto"/>
                <w:spacing w:val="-6"/>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0BC02ACE">
            <w:pPr>
              <w:pStyle w:val="33"/>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0D1FA8C5">
            <w:pPr>
              <w:pStyle w:val="33"/>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宋体" w:hAnsi="宋体" w:cs="宋体"/>
                <w:b/>
                <w:color w:val="auto"/>
                <w:highlight w:val="none"/>
              </w:rPr>
            </w:pPr>
            <w:r>
              <w:rPr>
                <w:rFonts w:hint="eastAsia" w:ascii="宋体" w:hAnsi="宋体" w:cs="宋体"/>
                <w:b/>
                <w:color w:val="auto"/>
                <w:highlight w:val="none"/>
              </w:rPr>
              <w:t>评审标准</w:t>
            </w:r>
            <w:r>
              <w:rPr>
                <w:rFonts w:hint="eastAsia" w:ascii="宋体" w:hAnsi="宋体" w:cs="宋体"/>
                <w:b/>
                <w:bCs/>
                <w:color w:val="auto"/>
                <w:highlight w:val="none"/>
              </w:rPr>
              <w:t>（合格标准：缺少任何一项或有任何一项不合格者，其资格</w:t>
            </w:r>
            <w:r>
              <w:rPr>
                <w:rFonts w:hint="eastAsia" w:ascii="宋体" w:hAnsi="宋体" w:cs="宋体"/>
                <w:b/>
                <w:bCs/>
                <w:color w:val="auto"/>
                <w:highlight w:val="none"/>
                <w:lang w:eastAsia="zh-CN"/>
              </w:rPr>
              <w:t>评审</w:t>
            </w:r>
            <w:r>
              <w:rPr>
                <w:rFonts w:hint="eastAsia" w:ascii="宋体" w:hAnsi="宋体" w:cs="宋体"/>
                <w:b/>
                <w:bCs/>
                <w:color w:val="auto"/>
                <w:highlight w:val="none"/>
              </w:rPr>
              <w:t>视为不合格）</w:t>
            </w:r>
          </w:p>
        </w:tc>
      </w:tr>
      <w:tr w14:paraId="4107D777">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4122D89">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28A33311">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333EC75">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rPr>
              <w:t>法定代表人</w:t>
            </w:r>
            <w:r>
              <w:rPr>
                <w:rFonts w:hint="eastAsia"/>
                <w:color w:val="auto"/>
                <w:highlight w:val="none"/>
                <w:lang w:eastAsia="zh-CN"/>
              </w:rPr>
              <w:t>、委托代理人身份证明</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3D2D47F8">
            <w:pPr>
              <w:pStyle w:val="33"/>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s="宋体"/>
                <w:color w:val="auto"/>
                <w:highlight w:val="none"/>
              </w:rPr>
            </w:pPr>
            <w:r>
              <w:rPr>
                <w:rFonts w:hint="eastAsia" w:ascii="宋体" w:hAnsi="宋体" w:cs="宋体"/>
                <w:color w:val="auto"/>
                <w:highlight w:val="none"/>
              </w:rPr>
              <w:t>有效的法定代表人身份</w:t>
            </w:r>
            <w:r>
              <w:rPr>
                <w:rFonts w:hint="eastAsia" w:ascii="宋体" w:hAnsi="宋体" w:cs="宋体"/>
                <w:color w:val="auto"/>
                <w:highlight w:val="none"/>
                <w:lang w:eastAsia="zh-CN"/>
              </w:rPr>
              <w:t>证</w:t>
            </w:r>
            <w:r>
              <w:rPr>
                <w:rFonts w:hint="eastAsia" w:ascii="宋体" w:hAnsi="宋体" w:cs="宋体"/>
                <w:color w:val="auto"/>
                <w:highlight w:val="none"/>
              </w:rPr>
              <w:t>复印件</w:t>
            </w:r>
            <w:r>
              <w:rPr>
                <w:rFonts w:hint="eastAsia" w:ascii="宋体" w:hAnsi="宋体" w:cs="宋体"/>
                <w:color w:val="auto"/>
                <w:highlight w:val="none"/>
                <w:lang w:eastAsia="zh-CN"/>
              </w:rPr>
              <w:t>、</w:t>
            </w:r>
            <w:r>
              <w:rPr>
                <w:rFonts w:hint="eastAsia" w:ascii="宋体" w:hAnsi="宋体" w:cs="宋体"/>
                <w:color w:val="auto"/>
                <w:highlight w:val="none"/>
              </w:rPr>
              <w:t>法人授权委托书（附身份证复印件，</w:t>
            </w:r>
            <w:r>
              <w:rPr>
                <w:rFonts w:hint="eastAsia" w:ascii="宋体" w:hAnsi="宋体" w:cs="宋体"/>
                <w:color w:val="auto"/>
                <w:highlight w:val="none"/>
                <w:lang w:eastAsia="zh-CN"/>
              </w:rPr>
              <w:t>社会保险缴纳证明材料</w:t>
            </w:r>
            <w:r>
              <w:rPr>
                <w:rFonts w:hint="eastAsia" w:ascii="宋体" w:hAnsi="宋体" w:cs="宋体"/>
                <w:color w:val="auto"/>
                <w:highlight w:val="none"/>
              </w:rPr>
              <w:t>授权代理时提供）</w:t>
            </w:r>
          </w:p>
        </w:tc>
      </w:tr>
      <w:tr w14:paraId="00F58214">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05589A1">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60BC68CA">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9F52604">
            <w:pPr>
              <w:keepNext w:val="0"/>
              <w:keepLines w:val="0"/>
              <w:pageBreakBefore w:val="0"/>
              <w:kinsoku/>
              <w:wordWrap/>
              <w:overflowPunct/>
              <w:topLinePunct w:val="0"/>
              <w:autoSpaceDE/>
              <w:autoSpaceDN/>
              <w:bidi w:val="0"/>
              <w:adjustRightInd/>
              <w:spacing w:line="360" w:lineRule="exact"/>
              <w:rPr>
                <w:rFonts w:hint="eastAsia"/>
                <w:color w:val="auto"/>
                <w:highlight w:val="none"/>
                <w:lang w:val="en-US" w:eastAsia="zh-CN"/>
              </w:rPr>
            </w:pPr>
            <w:r>
              <w:rPr>
                <w:rFonts w:hint="eastAsia"/>
                <w:color w:val="auto"/>
                <w:highlight w:val="none"/>
                <w:lang w:eastAsia="zh-CN"/>
              </w:rPr>
              <w:t>无</w:t>
            </w:r>
            <w:r>
              <w:rPr>
                <w:rFonts w:hint="eastAsia"/>
                <w:color w:val="auto"/>
                <w:highlight w:val="none"/>
              </w:rPr>
              <w:t>重大违法记录的书面声明</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4CF8AF3A">
            <w:pPr>
              <w:pStyle w:val="33"/>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参加政府采购活动前3年内在经营活动中没有重大违法记录的书面声明</w:t>
            </w:r>
          </w:p>
        </w:tc>
      </w:tr>
      <w:tr w14:paraId="2415580B">
        <w:tblPrEx>
          <w:tblCellMar>
            <w:top w:w="0" w:type="dxa"/>
            <w:left w:w="108" w:type="dxa"/>
            <w:bottom w:w="0" w:type="dxa"/>
            <w:right w:w="108" w:type="dxa"/>
          </w:tblCellMar>
        </w:tblPrEx>
        <w:trPr>
          <w:trHeight w:val="43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61CC0E8">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7569B2B8">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C090EFF">
            <w:pPr>
              <w:keepNext w:val="0"/>
              <w:keepLines w:val="0"/>
              <w:pageBreakBefore w:val="0"/>
              <w:kinsoku/>
              <w:wordWrap/>
              <w:overflowPunct/>
              <w:topLinePunct w:val="0"/>
              <w:autoSpaceDE/>
              <w:autoSpaceDN/>
              <w:bidi w:val="0"/>
              <w:adjustRightInd/>
              <w:spacing w:line="360" w:lineRule="exact"/>
              <w:rPr>
                <w:rFonts w:hint="eastAsia"/>
                <w:color w:val="auto"/>
                <w:highlight w:val="none"/>
              </w:rPr>
            </w:pPr>
            <w:r>
              <w:rPr>
                <w:rFonts w:hint="eastAsia"/>
                <w:color w:val="auto"/>
                <w:highlight w:val="none"/>
              </w:rPr>
              <w:t>营业执照</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7D91BE7">
            <w:pPr>
              <w:pStyle w:val="33"/>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bCs/>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有效的营业执照</w:t>
            </w:r>
            <w:r>
              <w:rPr>
                <w:rFonts w:hint="eastAsia" w:ascii="宋体" w:hAnsi="宋体" w:cs="宋体"/>
                <w:color w:val="auto"/>
                <w:highlight w:val="none"/>
                <w:lang w:eastAsia="zh-CN"/>
              </w:rPr>
              <w:t>复印件</w:t>
            </w:r>
          </w:p>
        </w:tc>
      </w:tr>
      <w:tr w14:paraId="5409EB49">
        <w:tblPrEx>
          <w:tblCellMar>
            <w:top w:w="0" w:type="dxa"/>
            <w:left w:w="108" w:type="dxa"/>
            <w:bottom w:w="0" w:type="dxa"/>
            <w:right w:w="108" w:type="dxa"/>
          </w:tblCellMar>
        </w:tblPrEx>
        <w:trPr>
          <w:trHeight w:val="526"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0C9197B">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5FEC7CDF">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750C36D1">
            <w:pPr>
              <w:keepNext w:val="0"/>
              <w:keepLines w:val="0"/>
              <w:pageBreakBefore w:val="0"/>
              <w:kinsoku/>
              <w:wordWrap/>
              <w:overflowPunct/>
              <w:topLinePunct w:val="0"/>
              <w:autoSpaceDE/>
              <w:autoSpaceDN/>
              <w:bidi w:val="0"/>
              <w:adjustRightInd/>
              <w:spacing w:line="360" w:lineRule="exact"/>
              <w:rPr>
                <w:rFonts w:hint="eastAsia"/>
                <w:color w:val="auto"/>
                <w:highlight w:val="none"/>
                <w:lang w:val="en-US" w:eastAsia="zh-CN"/>
              </w:rPr>
            </w:pPr>
            <w:r>
              <w:rPr>
                <w:rFonts w:hint="eastAsia"/>
                <w:color w:val="auto"/>
                <w:highlight w:val="none"/>
                <w:lang w:eastAsia="zh-CN"/>
              </w:rPr>
              <w:t>资质证书</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73BE5589">
            <w:pPr>
              <w:pStyle w:val="33"/>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rPr>
              <w:t>符合</w:t>
            </w:r>
            <w:r>
              <w:rPr>
                <w:rFonts w:hint="eastAsia" w:ascii="宋体" w:hAnsi="宋体" w:cs="宋体"/>
                <w:color w:val="auto"/>
                <w:highlight w:val="none"/>
                <w:lang w:eastAsia="zh-CN"/>
              </w:rPr>
              <w:t>采购文件要求。</w:t>
            </w:r>
          </w:p>
        </w:tc>
      </w:tr>
      <w:tr w14:paraId="4DFE52ED">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EBC27CE">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4F4EA97D">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35426043">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val="en-US" w:eastAsia="zh-CN"/>
              </w:rPr>
              <w:t>落实政府采购政策需满足的资格要求</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7397B206">
            <w:pPr>
              <w:pStyle w:val="33"/>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s="宋体"/>
                <w:color w:val="auto"/>
                <w:highlight w:val="none"/>
              </w:rPr>
            </w:pPr>
            <w:r>
              <w:rPr>
                <w:rFonts w:hint="eastAsia" w:ascii="宋体" w:hAnsi="宋体" w:cs="宋体"/>
                <w:color w:val="auto"/>
                <w:highlight w:val="none"/>
                <w:lang w:val="en-US" w:eastAsia="zh-CN"/>
              </w:rPr>
              <w:t>《中小企业声明函》或《残疾人福利性单位声明函》或省级以上监狱管理局、戒毒管理局（含新疆生产建设兵团）出具的属于监狱企业的证明文件复印件（必须提供其中一项）</w:t>
            </w:r>
          </w:p>
        </w:tc>
      </w:tr>
      <w:tr w14:paraId="16488D6E">
        <w:tblPrEx>
          <w:tblCellMar>
            <w:top w:w="0" w:type="dxa"/>
            <w:left w:w="108" w:type="dxa"/>
            <w:bottom w:w="0" w:type="dxa"/>
            <w:right w:w="108" w:type="dxa"/>
          </w:tblCellMar>
        </w:tblPrEx>
        <w:trPr>
          <w:trHeight w:val="497"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68F3E68">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63E85F91">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38E745F5">
            <w:pPr>
              <w:keepNext w:val="0"/>
              <w:keepLines w:val="0"/>
              <w:pageBreakBefore w:val="0"/>
              <w:kinsoku/>
              <w:wordWrap/>
              <w:overflowPunct/>
              <w:topLinePunct w:val="0"/>
              <w:autoSpaceDE/>
              <w:autoSpaceDN/>
              <w:bidi w:val="0"/>
              <w:adjustRightInd/>
              <w:spacing w:line="360" w:lineRule="exact"/>
              <w:rPr>
                <w:rFonts w:hint="eastAsia"/>
                <w:color w:val="auto"/>
                <w:highlight w:val="none"/>
              </w:rPr>
            </w:pPr>
            <w:r>
              <w:rPr>
                <w:rFonts w:hint="eastAsia"/>
                <w:color w:val="auto"/>
                <w:highlight w:val="none"/>
              </w:rPr>
              <w:t>安全生产许可证</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1FBBAD4E">
            <w:pPr>
              <w:pStyle w:val="33"/>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有效的安全生产许可证</w:t>
            </w:r>
            <w:r>
              <w:rPr>
                <w:rFonts w:hint="eastAsia" w:ascii="宋体" w:hAnsi="宋体" w:cs="宋体"/>
                <w:color w:val="auto"/>
                <w:highlight w:val="none"/>
                <w:lang w:eastAsia="zh-CN"/>
              </w:rPr>
              <w:t>复印件取得“三证合一”的除外。</w:t>
            </w:r>
          </w:p>
        </w:tc>
      </w:tr>
      <w:tr w14:paraId="52791926">
        <w:tblPrEx>
          <w:tblCellMar>
            <w:top w:w="0" w:type="dxa"/>
            <w:left w:w="108" w:type="dxa"/>
            <w:bottom w:w="0" w:type="dxa"/>
            <w:right w:w="108" w:type="dxa"/>
          </w:tblCellMar>
        </w:tblPrEx>
        <w:trPr>
          <w:trHeight w:val="450"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3647759A">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0ADB32C7">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3686679C">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eastAsia="zh-CN"/>
              </w:rPr>
              <w:t>财务状况报告</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6FC40BFF">
            <w:pPr>
              <w:pStyle w:val="33"/>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s="宋体"/>
                <w:color w:val="auto"/>
                <w:highlight w:val="none"/>
              </w:rPr>
            </w:pPr>
            <w:r>
              <w:rPr>
                <w:rFonts w:hint="eastAsia" w:ascii="宋体" w:hAnsi="宋体" w:cs="宋体"/>
                <w:color w:val="auto"/>
                <w:highlight w:val="none"/>
                <w:lang w:eastAsia="zh-CN"/>
              </w:rPr>
              <w:t>按采购文件要求提供。</w:t>
            </w:r>
          </w:p>
        </w:tc>
      </w:tr>
      <w:tr w14:paraId="5A27F0DC">
        <w:tblPrEx>
          <w:tblCellMar>
            <w:top w:w="0" w:type="dxa"/>
            <w:left w:w="108" w:type="dxa"/>
            <w:bottom w:w="0" w:type="dxa"/>
            <w:right w:w="108" w:type="dxa"/>
          </w:tblCellMar>
        </w:tblPrEx>
        <w:trPr>
          <w:trHeight w:val="443" w:hRule="atLeast"/>
          <w:jc w:val="center"/>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0D5F011">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14:paraId="2E4A5920">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noWrap w:val="0"/>
            <w:vAlign w:val="center"/>
          </w:tcPr>
          <w:p w14:paraId="44F385D9">
            <w:pPr>
              <w:keepNext w:val="0"/>
              <w:keepLines w:val="0"/>
              <w:pageBreakBefore w:val="0"/>
              <w:kinsoku/>
              <w:wordWrap/>
              <w:overflowPunct/>
              <w:topLinePunct w:val="0"/>
              <w:autoSpaceDE/>
              <w:autoSpaceDN/>
              <w:bidi w:val="0"/>
              <w:adjustRightInd/>
              <w:spacing w:line="360" w:lineRule="exact"/>
              <w:rPr>
                <w:rFonts w:hint="eastAsia"/>
                <w:color w:val="auto"/>
                <w:highlight w:val="none"/>
                <w:lang w:val="en-US" w:eastAsia="zh-CN"/>
              </w:rPr>
            </w:pPr>
            <w:r>
              <w:rPr>
                <w:rFonts w:hint="eastAsia"/>
                <w:color w:val="auto"/>
                <w:highlight w:val="none"/>
                <w:lang w:eastAsia="zh-CN"/>
              </w:rPr>
              <w:t>依法纳税证明材料</w:t>
            </w:r>
          </w:p>
        </w:tc>
        <w:tc>
          <w:tcPr>
            <w:tcW w:w="5200" w:type="dxa"/>
            <w:tcBorders>
              <w:top w:val="single" w:color="auto" w:sz="4" w:space="0"/>
              <w:left w:val="single" w:color="auto" w:sz="4" w:space="0"/>
              <w:right w:val="single" w:color="auto" w:sz="4" w:space="0"/>
            </w:tcBorders>
            <w:noWrap w:val="0"/>
            <w:vAlign w:val="center"/>
          </w:tcPr>
          <w:p w14:paraId="59ED2845">
            <w:pPr>
              <w:pStyle w:val="33"/>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eastAsia="zh-CN"/>
              </w:rPr>
              <w:t>按采购文件要求提供。</w:t>
            </w:r>
          </w:p>
        </w:tc>
      </w:tr>
      <w:tr w14:paraId="03B0A2C5">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2205F0DD">
            <w:pPr>
              <w:keepNext w:val="0"/>
              <w:keepLines w:val="0"/>
              <w:pageBreakBefore w:val="0"/>
              <w:kinsoku/>
              <w:wordWrap/>
              <w:overflowPunct/>
              <w:topLinePunct w:val="0"/>
              <w:autoSpaceDE/>
              <w:autoSpaceDN/>
              <w:bidi w:val="0"/>
              <w:adjustRightInd/>
              <w:spacing w:line="360" w:lineRule="exact"/>
              <w:jc w:val="center"/>
              <w:rPr>
                <w:rFonts w:hint="eastAsia" w:ascii="宋体" w:hAnsi="宋体" w:cs="宋体"/>
                <w:b/>
                <w:color w:val="auto"/>
                <w:highlight w:val="none"/>
              </w:rPr>
            </w:pPr>
            <w:r>
              <w:rPr>
                <w:rFonts w:hint="eastAsia" w:ascii="宋体" w:hAnsi="宋体" w:cs="宋体"/>
                <w:bCs/>
                <w:color w:val="auto"/>
                <w:highlight w:val="none"/>
              </w:rPr>
              <w:t>2.1.2</w:t>
            </w:r>
          </w:p>
        </w:tc>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14:paraId="54DDF9E0">
            <w:pPr>
              <w:keepNext w:val="0"/>
              <w:keepLines w:val="0"/>
              <w:pageBreakBefore w:val="0"/>
              <w:kinsoku/>
              <w:wordWrap/>
              <w:overflowPunct/>
              <w:topLinePunct w:val="0"/>
              <w:autoSpaceDE/>
              <w:autoSpaceDN/>
              <w:bidi w:val="0"/>
              <w:adjustRightInd/>
              <w:spacing w:line="3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符合性评审</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2CAA1541">
            <w:pPr>
              <w:keepNext w:val="0"/>
              <w:keepLines w:val="0"/>
              <w:pageBreakBefore w:val="0"/>
              <w:kinsoku/>
              <w:wordWrap/>
              <w:overflowPunct/>
              <w:topLinePunct w:val="0"/>
              <w:autoSpaceDE/>
              <w:autoSpaceDN/>
              <w:bidi w:val="0"/>
              <w:adjustRightInd/>
              <w:spacing w:line="360" w:lineRule="exact"/>
              <w:rPr>
                <w:rFonts w:hint="eastAsia"/>
                <w:color w:val="auto"/>
                <w:highlight w:val="none"/>
              </w:rPr>
            </w:pPr>
            <w:r>
              <w:rPr>
                <w:rFonts w:hint="eastAsia"/>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noWrap w:val="0"/>
            <w:vAlign w:val="center"/>
          </w:tcPr>
          <w:p w14:paraId="53519256">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s="宋体"/>
                <w:b/>
                <w:bCs/>
                <w:color w:val="auto"/>
                <w:highlight w:val="none"/>
              </w:rPr>
            </w:pPr>
            <w:r>
              <w:rPr>
                <w:rFonts w:hint="eastAsia" w:ascii="宋体" w:hAnsi="宋体" w:cs="宋体"/>
                <w:b/>
                <w:bCs/>
                <w:color w:val="auto"/>
                <w:highlight w:val="none"/>
              </w:rPr>
              <w:t>评审标准（合格标准：缺少任何一项或有任何一项不合格者，其</w:t>
            </w:r>
            <w:r>
              <w:rPr>
                <w:rFonts w:hint="eastAsia" w:ascii="宋体" w:hAnsi="宋体" w:cs="宋体"/>
                <w:b/>
                <w:bCs/>
                <w:color w:val="auto"/>
                <w:highlight w:val="none"/>
                <w:lang w:eastAsia="zh-CN"/>
              </w:rPr>
              <w:t>符合性评审</w:t>
            </w:r>
            <w:r>
              <w:rPr>
                <w:rFonts w:hint="eastAsia" w:ascii="宋体" w:hAnsi="宋体" w:cs="宋体"/>
                <w:b/>
                <w:bCs/>
                <w:color w:val="auto"/>
                <w:highlight w:val="none"/>
              </w:rPr>
              <w:t>视为不合格）</w:t>
            </w:r>
          </w:p>
        </w:tc>
      </w:tr>
      <w:tr w14:paraId="7435DEE2">
        <w:tblPrEx>
          <w:tblCellMar>
            <w:top w:w="0" w:type="dxa"/>
            <w:left w:w="108" w:type="dxa"/>
            <w:bottom w:w="0" w:type="dxa"/>
            <w:right w:w="108" w:type="dxa"/>
          </w:tblCellMar>
        </w:tblPrEx>
        <w:trPr>
          <w:trHeight w:val="3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731DF50C">
            <w:pPr>
              <w:keepNext w:val="0"/>
              <w:keepLines w:val="0"/>
              <w:pageBreakBefore w:val="0"/>
              <w:kinsoku/>
              <w:wordWrap/>
              <w:overflowPunct/>
              <w:topLinePunct w:val="0"/>
              <w:autoSpaceDE/>
              <w:autoSpaceDN/>
              <w:bidi w:val="0"/>
              <w:adjustRightInd/>
              <w:spacing w:line="360" w:lineRule="exac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1A951132">
            <w:pPr>
              <w:keepNext w:val="0"/>
              <w:keepLines w:val="0"/>
              <w:pageBreakBefore w:val="0"/>
              <w:kinsoku/>
              <w:wordWrap/>
              <w:overflowPunct/>
              <w:topLinePunct w:val="0"/>
              <w:autoSpaceDE/>
              <w:autoSpaceDN/>
              <w:bidi w:val="0"/>
              <w:adjustRightInd/>
              <w:spacing w:line="360" w:lineRule="exact"/>
              <w:rPr>
                <w:rFonts w:hint="eastAsia" w:ascii="宋体" w:hAnsi="宋体" w:cs="宋体"/>
                <w:color w:val="auto"/>
                <w:highlight w:val="none"/>
              </w:rPr>
            </w:pPr>
          </w:p>
        </w:tc>
        <w:tc>
          <w:tcPr>
            <w:tcW w:w="2344" w:type="dxa"/>
            <w:tcBorders>
              <w:top w:val="single" w:color="auto" w:sz="4" w:space="0"/>
              <w:left w:val="single" w:color="000000" w:sz="4" w:space="0"/>
              <w:bottom w:val="single" w:color="000000" w:sz="4" w:space="0"/>
              <w:right w:val="single" w:color="000000" w:sz="4" w:space="0"/>
            </w:tcBorders>
            <w:noWrap w:val="0"/>
            <w:vAlign w:val="center"/>
          </w:tcPr>
          <w:p w14:paraId="23CC4278">
            <w:pPr>
              <w:keepNext w:val="0"/>
              <w:keepLines w:val="0"/>
              <w:pageBreakBefore w:val="0"/>
              <w:kinsoku/>
              <w:wordWrap/>
              <w:overflowPunct/>
              <w:topLinePunct w:val="0"/>
              <w:autoSpaceDE/>
              <w:autoSpaceDN/>
              <w:bidi w:val="0"/>
              <w:adjustRightInd/>
              <w:spacing w:line="360" w:lineRule="exact"/>
              <w:rPr>
                <w:rFonts w:hint="eastAsia"/>
                <w:color w:val="auto"/>
                <w:highlight w:val="none"/>
              </w:rPr>
            </w:pPr>
            <w:r>
              <w:rPr>
                <w:rFonts w:hint="eastAsia"/>
                <w:color w:val="auto"/>
                <w:highlight w:val="none"/>
                <w:lang w:eastAsia="zh-CN"/>
              </w:rPr>
              <w:t>响应函</w:t>
            </w:r>
          </w:p>
        </w:tc>
        <w:tc>
          <w:tcPr>
            <w:tcW w:w="5200" w:type="dxa"/>
            <w:tcBorders>
              <w:top w:val="single" w:color="auto" w:sz="4" w:space="0"/>
              <w:left w:val="single" w:color="000000" w:sz="4" w:space="0"/>
              <w:bottom w:val="single" w:color="000000" w:sz="4" w:space="0"/>
              <w:right w:val="single" w:color="000000" w:sz="4" w:space="0"/>
            </w:tcBorders>
            <w:noWrap w:val="0"/>
            <w:vAlign w:val="center"/>
          </w:tcPr>
          <w:p w14:paraId="62A06745">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3BA17A4B">
        <w:tblPrEx>
          <w:tblCellMar>
            <w:top w:w="0" w:type="dxa"/>
            <w:left w:w="108" w:type="dxa"/>
            <w:bottom w:w="0" w:type="dxa"/>
            <w:right w:w="108" w:type="dxa"/>
          </w:tblCellMar>
        </w:tblPrEx>
        <w:trPr>
          <w:trHeight w:val="90"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32B37836">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2CC237FA">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691FF5B7">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eastAsia="zh-CN"/>
              </w:rPr>
              <w:t>工程报价汇总表</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4EA1328E">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74D15C15">
        <w:tblPrEx>
          <w:tblCellMar>
            <w:top w:w="0" w:type="dxa"/>
            <w:left w:w="108" w:type="dxa"/>
            <w:bottom w:w="0" w:type="dxa"/>
            <w:right w:w="108" w:type="dxa"/>
          </w:tblCellMar>
        </w:tblPrEx>
        <w:trPr>
          <w:trHeight w:val="5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1E826156">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19F19898">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14:paraId="5D72B379">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eastAsia="zh-CN"/>
              </w:rPr>
              <w:t>已标价工程量清单</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650C30DB">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13C46ABE">
        <w:tblPrEx>
          <w:tblCellMar>
            <w:top w:w="0" w:type="dxa"/>
            <w:left w:w="108" w:type="dxa"/>
            <w:bottom w:w="0" w:type="dxa"/>
            <w:right w:w="108" w:type="dxa"/>
          </w:tblCellMar>
        </w:tblPrEx>
        <w:trPr>
          <w:trHeight w:val="638"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2C9FD6B5">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76112D30">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2344" w:type="dxa"/>
            <w:tcBorders>
              <w:top w:val="single" w:color="auto" w:sz="4" w:space="0"/>
              <w:left w:val="single" w:color="000000" w:sz="4" w:space="0"/>
              <w:bottom w:val="single" w:color="auto" w:sz="4" w:space="0"/>
              <w:right w:val="single" w:color="000000" w:sz="4" w:space="0"/>
            </w:tcBorders>
            <w:noWrap w:val="0"/>
            <w:vAlign w:val="center"/>
          </w:tcPr>
          <w:p w14:paraId="69B8F10B">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eastAsia="zh-CN"/>
              </w:rPr>
              <w:t>拟投入主要施工管理人员</w:t>
            </w:r>
          </w:p>
        </w:tc>
        <w:tc>
          <w:tcPr>
            <w:tcW w:w="5200" w:type="dxa"/>
            <w:tcBorders>
              <w:top w:val="single" w:color="000000" w:sz="4" w:space="0"/>
              <w:left w:val="single" w:color="000000" w:sz="4" w:space="0"/>
              <w:bottom w:val="single" w:color="auto" w:sz="4" w:space="0"/>
              <w:right w:val="single" w:color="000000" w:sz="4" w:space="0"/>
            </w:tcBorders>
            <w:noWrap w:val="0"/>
            <w:vAlign w:val="center"/>
          </w:tcPr>
          <w:p w14:paraId="00D74100">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符合采购文件要求</w:t>
            </w:r>
          </w:p>
        </w:tc>
      </w:tr>
      <w:tr w14:paraId="6052DC64">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21401BEA">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7B9886AC">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76B3132C">
            <w:pPr>
              <w:keepNext w:val="0"/>
              <w:keepLines w:val="0"/>
              <w:pageBreakBefore w:val="0"/>
              <w:kinsoku/>
              <w:wordWrap/>
              <w:overflowPunct/>
              <w:topLinePunct w:val="0"/>
              <w:autoSpaceDE/>
              <w:autoSpaceDN/>
              <w:bidi w:val="0"/>
              <w:adjustRightInd/>
              <w:spacing w:line="360" w:lineRule="exact"/>
              <w:rPr>
                <w:rFonts w:hint="default"/>
                <w:color w:val="auto"/>
                <w:highlight w:val="none"/>
                <w:lang w:val="en-US" w:eastAsia="zh-CN"/>
              </w:rPr>
            </w:pPr>
            <w:r>
              <w:rPr>
                <w:rFonts w:hint="eastAsia"/>
                <w:color w:val="auto"/>
                <w:highlight w:val="none"/>
                <w:lang w:eastAsia="zh-CN"/>
              </w:rPr>
              <w:t>项目经理</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606C41A9">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s="宋体"/>
                <w:color w:val="auto"/>
                <w:highlight w:val="none"/>
              </w:rPr>
            </w:pPr>
            <w:r>
              <w:rPr>
                <w:rFonts w:hint="eastAsia" w:ascii="宋体" w:hAnsi="宋体" w:cs="宋体"/>
                <w:color w:val="auto"/>
                <w:kern w:val="0"/>
                <w:highlight w:val="none"/>
                <w:lang w:eastAsia="zh-CN"/>
              </w:rPr>
              <w:t>符合采购文件要求</w:t>
            </w:r>
          </w:p>
        </w:tc>
      </w:tr>
      <w:tr w14:paraId="50950245">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485A1416">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0D8165FF">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092C4B60">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eastAsia="zh-CN"/>
              </w:rPr>
              <w:t>施工组织设计方案</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217900E5">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70EDD464">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6367ED88">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2D17F1DD">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0D11DC12">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eastAsia="zh-CN"/>
              </w:rPr>
              <w:t>工程完工服务承诺书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5BD004CF">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15828B1E">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4C292136">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5E1C3906">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noWrap w:val="0"/>
            <w:vAlign w:val="center"/>
          </w:tcPr>
          <w:p w14:paraId="174B2974">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eastAsia="zh-CN"/>
              </w:rPr>
              <w:t>农民工工资保障金缴纳与使用承诺书</w:t>
            </w:r>
          </w:p>
        </w:tc>
        <w:tc>
          <w:tcPr>
            <w:tcW w:w="5200" w:type="dxa"/>
            <w:tcBorders>
              <w:top w:val="single" w:color="000000" w:sz="4" w:space="0"/>
              <w:left w:val="single" w:color="000000" w:sz="4" w:space="0"/>
              <w:bottom w:val="single" w:color="000000" w:sz="4" w:space="0"/>
              <w:right w:val="single" w:color="auto" w:sz="4" w:space="0"/>
            </w:tcBorders>
            <w:noWrap w:val="0"/>
            <w:vAlign w:val="center"/>
          </w:tcPr>
          <w:p w14:paraId="695480DE">
            <w:pPr>
              <w:keepNext w:val="0"/>
              <w:keepLines w:val="0"/>
              <w:pageBreakBefore w:val="0"/>
              <w:kinsoku/>
              <w:wordWrap/>
              <w:overflowPunct/>
              <w:topLinePunct w:val="0"/>
              <w:autoSpaceDE/>
              <w:autoSpaceDN/>
              <w:bidi w:val="0"/>
              <w:adjustRightInd/>
              <w:spacing w:line="360" w:lineRule="exact"/>
              <w:textAlignment w:val="auto"/>
              <w:rPr>
                <w:rFonts w:hint="eastAsia" w:ascii="宋体" w:hAnsi="宋体" w:cs="宋体"/>
                <w:bCs/>
                <w:color w:val="auto"/>
                <w:highlight w:val="none"/>
              </w:rPr>
            </w:pPr>
            <w:r>
              <w:rPr>
                <w:rFonts w:hint="eastAsia" w:ascii="宋体" w:hAnsi="宋体" w:cs="宋体"/>
                <w:color w:val="auto"/>
                <w:kern w:val="0"/>
                <w:highlight w:val="none"/>
                <w:lang w:eastAsia="zh-CN"/>
              </w:rPr>
              <w:t>必须提供</w:t>
            </w:r>
          </w:p>
        </w:tc>
      </w:tr>
      <w:tr w14:paraId="383CC3FB">
        <w:tblPrEx>
          <w:tblCellMar>
            <w:top w:w="0" w:type="dxa"/>
            <w:left w:w="108" w:type="dxa"/>
            <w:bottom w:w="0" w:type="dxa"/>
            <w:right w:w="108" w:type="dxa"/>
          </w:tblCellMar>
        </w:tblPrEx>
        <w:trPr>
          <w:trHeight w:val="743" w:hRule="exact"/>
          <w:jc w:val="center"/>
        </w:trPr>
        <w:tc>
          <w:tcPr>
            <w:tcW w:w="944" w:type="dxa"/>
            <w:vMerge w:val="continue"/>
            <w:tcBorders>
              <w:top w:val="single" w:color="auto" w:sz="4" w:space="0"/>
              <w:left w:val="single" w:color="auto" w:sz="4" w:space="0"/>
              <w:bottom w:val="single" w:color="auto" w:sz="4" w:space="0"/>
              <w:right w:val="single" w:color="000000" w:sz="4" w:space="0"/>
            </w:tcBorders>
            <w:noWrap w:val="0"/>
            <w:vAlign w:val="center"/>
          </w:tcPr>
          <w:p w14:paraId="2072245E">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noWrap w:val="0"/>
            <w:vAlign w:val="center"/>
          </w:tcPr>
          <w:p w14:paraId="1D4089C9">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noWrap w:val="0"/>
            <w:vAlign w:val="center"/>
          </w:tcPr>
          <w:p w14:paraId="7BFEDF40">
            <w:pPr>
              <w:keepNext w:val="0"/>
              <w:keepLines w:val="0"/>
              <w:pageBreakBefore w:val="0"/>
              <w:kinsoku/>
              <w:wordWrap/>
              <w:overflowPunct/>
              <w:topLinePunct w:val="0"/>
              <w:autoSpaceDE/>
              <w:autoSpaceDN/>
              <w:bidi w:val="0"/>
              <w:adjustRightInd/>
              <w:spacing w:line="360" w:lineRule="exact"/>
              <w:rPr>
                <w:rFonts w:hint="eastAsia"/>
                <w:color w:val="auto"/>
                <w:highlight w:val="none"/>
                <w:lang w:eastAsia="zh-CN"/>
              </w:rPr>
            </w:pPr>
            <w:r>
              <w:rPr>
                <w:rFonts w:hint="eastAsia"/>
                <w:color w:val="auto"/>
                <w:highlight w:val="none"/>
                <w:lang w:eastAsia="zh-CN"/>
              </w:rPr>
              <w:t>城乡清洁工程渣土清运承诺书</w:t>
            </w:r>
          </w:p>
        </w:tc>
        <w:tc>
          <w:tcPr>
            <w:tcW w:w="5200" w:type="dxa"/>
            <w:tcBorders>
              <w:top w:val="single" w:color="000000" w:sz="4" w:space="0"/>
              <w:left w:val="single" w:color="000000" w:sz="4" w:space="0"/>
              <w:bottom w:val="single" w:color="auto" w:sz="4" w:space="0"/>
              <w:right w:val="single" w:color="auto" w:sz="4" w:space="0"/>
            </w:tcBorders>
            <w:noWrap w:val="0"/>
            <w:vAlign w:val="center"/>
          </w:tcPr>
          <w:p w14:paraId="0D9466FF">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cs="宋体"/>
                <w:color w:val="auto"/>
                <w:kern w:val="0"/>
                <w:highlight w:val="none"/>
              </w:rPr>
            </w:pPr>
            <w:r>
              <w:rPr>
                <w:rFonts w:hint="eastAsia" w:ascii="宋体" w:hAnsi="宋体" w:cs="宋体"/>
                <w:color w:val="auto"/>
                <w:kern w:val="0"/>
                <w:highlight w:val="none"/>
                <w:lang w:eastAsia="zh-CN"/>
              </w:rPr>
              <w:t>必须提供</w:t>
            </w:r>
          </w:p>
        </w:tc>
      </w:tr>
    </w:tbl>
    <w:p w14:paraId="67326E19">
      <w:pPr>
        <w:pStyle w:val="11"/>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highlight w:val="none"/>
        </w:rPr>
      </w:pPr>
      <w:r>
        <w:rPr>
          <w:rFonts w:hint="eastAsia" w:hAnsi="宋体" w:eastAsia="宋体" w:cs="宋体"/>
          <w:b/>
          <w:bCs w:val="0"/>
          <w:color w:val="auto"/>
          <w:sz w:val="24"/>
          <w:szCs w:val="24"/>
          <w:highlight w:val="none"/>
          <w:lang w:eastAsia="zh-CN"/>
        </w:rPr>
        <w:t>详细评审：</w:t>
      </w:r>
    </w:p>
    <w:p w14:paraId="35F2B1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1、价格分…………………………………………………………………………………</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满分30</w:t>
      </w:r>
      <w:r>
        <w:rPr>
          <w:rFonts w:hint="eastAsia" w:ascii="宋体" w:hAnsi="宋体" w:eastAsia="宋体" w:cs="宋体"/>
          <w:b/>
          <w:color w:val="auto"/>
          <w:highlight w:val="none"/>
        </w:rPr>
        <w:t>分</w:t>
      </w:r>
    </w:p>
    <w:p w14:paraId="30C8F4B7">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（1）本项目为专门面向中小微企业采购的项目（供应商应为中小微企业、监狱企业、残疾人福利性单位)，不再执行价格评审优惠的扶持政策。即评标价=最终报价。</w:t>
      </w:r>
    </w:p>
    <w:p w14:paraId="63B1B1D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88B8B2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人为残疾人福利性单位的，随</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结果公告其《残疾人福利性单位声明函》，接受社会监督。</w:t>
      </w:r>
    </w:p>
    <w:p w14:paraId="76AC1657">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（2）以进入评审的最低的评标价为</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477D5C24">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（3）某供应商价格分 = 供应商最低评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报价（金额）/某供应商评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w:t>
      </w: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p w14:paraId="754DE55F">
      <w:pPr>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技术分</w:t>
      </w:r>
      <w:r>
        <w:rPr>
          <w:rFonts w:hint="eastAsia" w:ascii="宋体" w:hAnsi="宋体" w:eastAsia="宋体" w:cs="宋体"/>
          <w:b/>
          <w:color w:val="auto"/>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w:t>
      </w:r>
      <w:r>
        <w:rPr>
          <w:rFonts w:hint="eastAsia" w:ascii="宋体" w:hAnsi="宋体" w:cs="宋体"/>
          <w:b/>
          <w:color w:val="auto"/>
          <w:highlight w:val="none"/>
          <w:lang w:val="en-US" w:eastAsia="zh-CN"/>
        </w:rPr>
        <w:t>46</w:t>
      </w:r>
      <w:r>
        <w:rPr>
          <w:rFonts w:hint="eastAsia" w:ascii="宋体" w:hAnsi="宋体" w:eastAsia="宋体" w:cs="宋体"/>
          <w:b/>
          <w:color w:val="auto"/>
          <w:highlight w:val="none"/>
        </w:rPr>
        <w:t>分</w:t>
      </w:r>
    </w:p>
    <w:p w14:paraId="3AD16673">
      <w:pPr>
        <w:pStyle w:val="11"/>
        <w:keepNext w:val="0"/>
        <w:keepLines w:val="0"/>
        <w:pageBreakBefore w:val="0"/>
        <w:widowControl w:val="0"/>
        <w:tabs>
          <w:tab w:val="left" w:leader="middleDot" w:pos="8820"/>
        </w:tabs>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（1）</w:t>
      </w:r>
      <w:r>
        <w:rPr>
          <w:rFonts w:hint="eastAsia" w:ascii="宋体" w:hAnsi="宋体" w:eastAsia="宋体" w:cs="宋体"/>
          <w:b/>
          <w:bCs w:val="0"/>
          <w:color w:val="auto"/>
          <w:szCs w:val="21"/>
          <w:highlight w:val="none"/>
        </w:rPr>
        <w:t>总体概述</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3</w:t>
      </w:r>
      <w:r>
        <w:rPr>
          <w:rFonts w:hint="eastAsia" w:ascii="宋体" w:hAnsi="宋体" w:eastAsia="宋体" w:cs="宋体"/>
          <w:b/>
          <w:bCs w:val="0"/>
          <w:color w:val="auto"/>
          <w:szCs w:val="21"/>
          <w:highlight w:val="none"/>
        </w:rPr>
        <w:t>分</w:t>
      </w:r>
    </w:p>
    <w:p w14:paraId="25EAF0D5">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优</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3</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：对项目总体有深刻认识，表达清晰、完整、严谨、合理，措施先进、具体、有效、成熟；施工段划分清晰、合理，符合规范要求</w:t>
      </w:r>
      <w:r>
        <w:rPr>
          <w:rFonts w:hint="eastAsia" w:ascii="宋体" w:hAnsi="宋体" w:eastAsia="宋体" w:cs="宋体"/>
          <w:b w:val="0"/>
          <w:bCs/>
          <w:color w:val="auto"/>
          <w:kern w:val="0"/>
          <w:szCs w:val="21"/>
          <w:highlight w:val="none"/>
          <w:lang w:eastAsia="zh-CN"/>
        </w:rPr>
        <w:t>；</w:t>
      </w:r>
    </w:p>
    <w:p w14:paraId="323DE6E3">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良</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：对项目总体有一定认识，表达清晰、完整，措施具体有效；施工段划分清晰，符合规范要求</w:t>
      </w:r>
      <w:r>
        <w:rPr>
          <w:rFonts w:hint="eastAsia" w:ascii="宋体" w:hAnsi="宋体" w:eastAsia="宋体" w:cs="宋体"/>
          <w:b w:val="0"/>
          <w:bCs/>
          <w:color w:val="auto"/>
          <w:kern w:val="0"/>
          <w:szCs w:val="21"/>
          <w:highlight w:val="none"/>
          <w:lang w:eastAsia="zh-CN"/>
        </w:rPr>
        <w:t>；</w:t>
      </w:r>
    </w:p>
    <w:p w14:paraId="52BD0B16">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中</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1</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：对项目总体有认识，有一定的措施但部分不具体；施工段划分较合理，符合规范要求</w:t>
      </w:r>
      <w:r>
        <w:rPr>
          <w:rFonts w:hint="eastAsia" w:ascii="宋体" w:hAnsi="宋体" w:eastAsia="宋体" w:cs="宋体"/>
          <w:b w:val="0"/>
          <w:bCs/>
          <w:color w:val="auto"/>
          <w:kern w:val="0"/>
          <w:szCs w:val="21"/>
          <w:highlight w:val="none"/>
          <w:lang w:eastAsia="zh-CN"/>
        </w:rPr>
        <w:t>；</w:t>
      </w:r>
    </w:p>
    <w:p w14:paraId="6DD0510C">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差</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0</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：对项目认识不足，表达不清晰，措施不具体；施工段划分不合理。</w:t>
      </w:r>
    </w:p>
    <w:p w14:paraId="734D25BE">
      <w:pPr>
        <w:pStyle w:val="11"/>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（2）主要施工方法…………</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9</w:t>
      </w:r>
      <w:r>
        <w:rPr>
          <w:rFonts w:hint="eastAsia" w:ascii="宋体" w:hAnsi="宋体" w:eastAsia="宋体" w:cs="宋体"/>
          <w:b/>
          <w:bCs w:val="0"/>
          <w:color w:val="auto"/>
          <w:szCs w:val="21"/>
          <w:highlight w:val="none"/>
        </w:rPr>
        <w:t>分</w:t>
      </w:r>
    </w:p>
    <w:p w14:paraId="62B9B812">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9</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：各主要分部施工方法符合项目实际，有详尽的施工技术方案，工艺先进、方法科学合理、可行，能指导具体施工并确保安全；</w:t>
      </w:r>
    </w:p>
    <w:p w14:paraId="71B35547">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：各主要分部施工方法符合项目实际，有较详尽的施工技术方案，工艺较好、方法科学合理、可行，能指导具体施工并确保安全；</w:t>
      </w:r>
    </w:p>
    <w:p w14:paraId="7A27A91D">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：各主要分部施工方法能满足项目需求，有施工技术方案，能指导具体施工并确保安全；</w:t>
      </w:r>
    </w:p>
    <w:p w14:paraId="1D7FEBEC">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：各主要分部施工方法不能满足项目需求，没有施工技术方案，不能指导具体施工并确保安全。</w:t>
      </w:r>
    </w:p>
    <w:p w14:paraId="3CA3A61C">
      <w:pPr>
        <w:pStyle w:val="11"/>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（3）施工进度计划和各阶段进度的保证措施</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9</w:t>
      </w:r>
      <w:r>
        <w:rPr>
          <w:rFonts w:hint="eastAsia" w:ascii="宋体" w:hAnsi="宋体" w:eastAsia="宋体" w:cs="宋体"/>
          <w:b/>
          <w:bCs w:val="0"/>
          <w:color w:val="auto"/>
          <w:szCs w:val="21"/>
          <w:highlight w:val="none"/>
        </w:rPr>
        <w:t>分</w:t>
      </w:r>
    </w:p>
    <w:p w14:paraId="32B3001C">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kern w:val="0"/>
          <w:szCs w:val="21"/>
          <w:highlight w:val="none"/>
          <w:lang w:eastAsia="zh-CN"/>
        </w:rPr>
        <w:t>（</w:t>
      </w:r>
      <w:r>
        <w:rPr>
          <w:rFonts w:hint="eastAsia" w:hAnsi="宋体" w:cs="宋体"/>
          <w:b w:val="0"/>
          <w:bCs/>
          <w:color w:val="auto"/>
          <w:kern w:val="0"/>
          <w:szCs w:val="21"/>
          <w:highlight w:val="none"/>
          <w:lang w:val="en-US" w:eastAsia="zh-CN"/>
        </w:rPr>
        <w:t>9</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：关键线路清晰、准确、完整，计划编制合理、可行，关键节点的控制措施有力、合理、可行</w:t>
      </w:r>
      <w:r>
        <w:rPr>
          <w:rFonts w:hint="eastAsia" w:ascii="宋体" w:hAnsi="宋体" w:eastAsia="宋体" w:cs="宋体"/>
          <w:b w:val="0"/>
          <w:bCs/>
          <w:color w:val="auto"/>
          <w:szCs w:val="21"/>
          <w:highlight w:val="none"/>
          <w:lang w:eastAsia="zh-CN"/>
        </w:rPr>
        <w:t>；</w:t>
      </w:r>
    </w:p>
    <w:p w14:paraId="6DD95F74">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6</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：关键线路清晰、准确、完整，计划编制可行，关键节点的控制措施合理、可行</w:t>
      </w:r>
      <w:r>
        <w:rPr>
          <w:rFonts w:hint="eastAsia" w:ascii="宋体" w:hAnsi="宋体" w:eastAsia="宋体" w:cs="宋体"/>
          <w:b w:val="0"/>
          <w:bCs/>
          <w:color w:val="auto"/>
          <w:szCs w:val="21"/>
          <w:highlight w:val="none"/>
          <w:lang w:eastAsia="zh-CN"/>
        </w:rPr>
        <w:t>；</w:t>
      </w:r>
    </w:p>
    <w:p w14:paraId="5D9091A2">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3</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：关键线路基本准确，计划编制合理，关键节点的控制措施基本可行</w:t>
      </w:r>
      <w:r>
        <w:rPr>
          <w:rFonts w:hint="eastAsia" w:ascii="宋体" w:hAnsi="宋体" w:eastAsia="宋体" w:cs="宋体"/>
          <w:b w:val="0"/>
          <w:bCs/>
          <w:color w:val="auto"/>
          <w:szCs w:val="21"/>
          <w:highlight w:val="none"/>
          <w:lang w:eastAsia="zh-CN"/>
        </w:rPr>
        <w:t>；</w:t>
      </w:r>
    </w:p>
    <w:p w14:paraId="6E274547">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：关键线路不准确，计划编制不合理，关键节点的控制不可行。</w:t>
      </w:r>
    </w:p>
    <w:p w14:paraId="44CF3959">
      <w:pPr>
        <w:pStyle w:val="11"/>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（4）劳动力和材料投入计划及其保证措施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hAnsi="宋体" w:cs="宋体"/>
          <w:b/>
          <w:color w:val="auto"/>
          <w:highlight w:val="none"/>
          <w:lang w:val="en-US" w:eastAsia="zh-CN"/>
        </w:rPr>
        <w:t>5</w:t>
      </w:r>
      <w:r>
        <w:rPr>
          <w:rFonts w:hint="eastAsia" w:ascii="宋体" w:hAnsi="宋体" w:eastAsia="宋体" w:cs="宋体"/>
          <w:b/>
          <w:bCs w:val="0"/>
          <w:color w:val="auto"/>
          <w:szCs w:val="21"/>
          <w:highlight w:val="none"/>
        </w:rPr>
        <w:t>分</w:t>
      </w:r>
    </w:p>
    <w:p w14:paraId="1C0FDC1E">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：投入计划与进度计划呼应，较好满足施工需要，调配投入计划合理、准确</w:t>
      </w:r>
      <w:r>
        <w:rPr>
          <w:rFonts w:hint="eastAsia" w:ascii="宋体" w:hAnsi="宋体" w:eastAsia="宋体" w:cs="宋体"/>
          <w:b w:val="0"/>
          <w:bCs/>
          <w:color w:val="auto"/>
          <w:szCs w:val="21"/>
          <w:highlight w:val="none"/>
          <w:lang w:eastAsia="zh-CN"/>
        </w:rPr>
        <w:t>；</w:t>
      </w:r>
    </w:p>
    <w:p w14:paraId="547AA961">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：投入计划与进度计划呼应，基本满足施工需要，调配投入计划基本合理、准确</w:t>
      </w:r>
      <w:r>
        <w:rPr>
          <w:rFonts w:hint="eastAsia" w:ascii="宋体" w:hAnsi="宋体" w:eastAsia="宋体" w:cs="宋体"/>
          <w:b w:val="0"/>
          <w:bCs/>
          <w:color w:val="auto"/>
          <w:szCs w:val="21"/>
          <w:highlight w:val="none"/>
          <w:lang w:eastAsia="zh-CN"/>
        </w:rPr>
        <w:t>；</w:t>
      </w:r>
    </w:p>
    <w:p w14:paraId="1555C295">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w:t>
      </w:r>
      <w:r>
        <w:rPr>
          <w:rFonts w:hint="eastAsia" w:ascii="宋体" w:hAnsi="宋体" w:eastAsia="宋体" w:cs="宋体"/>
          <w:b w:val="0"/>
          <w:bCs/>
          <w:color w:val="auto"/>
          <w:szCs w:val="21"/>
          <w:highlight w:val="none"/>
          <w:lang w:eastAsia="zh-CN"/>
        </w:rPr>
        <w:t>；</w:t>
      </w:r>
    </w:p>
    <w:p w14:paraId="5520B14C">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：投入计划与进度计划不呼应，不能满足施工需要。</w:t>
      </w:r>
    </w:p>
    <w:p w14:paraId="77B86F7F">
      <w:pPr>
        <w:pStyle w:val="11"/>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（5）施工平面布置和临时设施布置</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5</w:t>
      </w:r>
      <w:r>
        <w:rPr>
          <w:rFonts w:hint="eastAsia" w:ascii="宋体" w:hAnsi="宋体" w:eastAsia="宋体" w:cs="宋体"/>
          <w:b/>
          <w:bCs w:val="0"/>
          <w:color w:val="auto"/>
          <w:szCs w:val="21"/>
          <w:highlight w:val="none"/>
        </w:rPr>
        <w:t>分</w:t>
      </w:r>
    </w:p>
    <w:p w14:paraId="0910CEA6">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：总体布置有针对性、合理，较好满足施工需要，符合安全、文明生产要求</w:t>
      </w:r>
      <w:r>
        <w:rPr>
          <w:rFonts w:hint="eastAsia" w:ascii="宋体" w:hAnsi="宋体" w:eastAsia="宋体" w:cs="宋体"/>
          <w:b w:val="0"/>
          <w:bCs/>
          <w:color w:val="auto"/>
          <w:szCs w:val="21"/>
          <w:highlight w:val="none"/>
          <w:lang w:eastAsia="zh-CN"/>
        </w:rPr>
        <w:t>；</w:t>
      </w:r>
    </w:p>
    <w:p w14:paraId="4B1A0001">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：总体布置合理，能满足施工需要，基本符合安全、文明生产要求</w:t>
      </w:r>
      <w:r>
        <w:rPr>
          <w:rFonts w:hint="eastAsia" w:ascii="宋体" w:hAnsi="宋体" w:eastAsia="宋体" w:cs="宋体"/>
          <w:b w:val="0"/>
          <w:bCs/>
          <w:color w:val="auto"/>
          <w:szCs w:val="21"/>
          <w:highlight w:val="none"/>
          <w:lang w:eastAsia="zh-CN"/>
        </w:rPr>
        <w:t>；</w:t>
      </w:r>
    </w:p>
    <w:p w14:paraId="2A1EE70E">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：总体布置基本合理，基本满足施工需要</w:t>
      </w:r>
      <w:r>
        <w:rPr>
          <w:rFonts w:hint="eastAsia" w:ascii="宋体" w:hAnsi="宋体" w:eastAsia="宋体" w:cs="宋体"/>
          <w:b w:val="0"/>
          <w:bCs/>
          <w:color w:val="auto"/>
          <w:szCs w:val="21"/>
          <w:highlight w:val="none"/>
          <w:lang w:eastAsia="zh-CN"/>
        </w:rPr>
        <w:t>；</w:t>
      </w:r>
    </w:p>
    <w:p w14:paraId="2D527A79">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：总体布置不合理，不符合安全、文明生产要求。</w:t>
      </w:r>
    </w:p>
    <w:p w14:paraId="328A665C">
      <w:pPr>
        <w:pStyle w:val="11"/>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（6）关键施工技术、工艺及工程实施的重点、难点和解决方案</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6</w:t>
      </w:r>
      <w:r>
        <w:rPr>
          <w:rFonts w:hint="eastAsia" w:ascii="宋体" w:hAnsi="宋体" w:eastAsia="宋体" w:cs="宋体"/>
          <w:b/>
          <w:bCs w:val="0"/>
          <w:color w:val="auto"/>
          <w:szCs w:val="21"/>
          <w:highlight w:val="none"/>
        </w:rPr>
        <w:t>分</w:t>
      </w:r>
    </w:p>
    <w:p w14:paraId="124831AC">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：对项目关键技术、工艺有深入的表达，对重点、难点有先进合理的施工措施并有可行的安全措施，解决方案完整、经济、安全、切实可行，措施得力。</w:t>
      </w:r>
    </w:p>
    <w:p w14:paraId="3F357E53">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：对项目关键技术、工艺有深入的表达，对重点、难点有合理的建议，解决方案经济、安全、基本可行。</w:t>
      </w:r>
    </w:p>
    <w:p w14:paraId="7D478DF1">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：对项目关键技术有一定了解，对重点、难点有建议，解决方案基本可行。</w:t>
      </w:r>
    </w:p>
    <w:p w14:paraId="2D371005">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：对项目关键技术有表述，对重点、难点有建议，解决方案不可行。</w:t>
      </w:r>
    </w:p>
    <w:p w14:paraId="6ABB8BB3">
      <w:pPr>
        <w:pStyle w:val="11"/>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rPr>
        <w:t>（7）安全文明施工措施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szCs w:val="21"/>
          <w:highlight w:val="none"/>
          <w:lang w:val="en-US" w:eastAsia="zh-CN"/>
        </w:rPr>
        <w:t>4</w:t>
      </w:r>
      <w:r>
        <w:rPr>
          <w:rFonts w:hint="eastAsia" w:ascii="宋体" w:hAnsi="宋体" w:eastAsia="宋体" w:cs="宋体"/>
          <w:b/>
          <w:bCs w:val="0"/>
          <w:color w:val="auto"/>
          <w:szCs w:val="21"/>
          <w:highlight w:val="none"/>
        </w:rPr>
        <w:t>分</w:t>
      </w:r>
    </w:p>
    <w:p w14:paraId="4F79F174">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：针对项目实际情况，有先进、具体、完整、可行的实施措施，采用规范正确、清晰。</w:t>
      </w:r>
    </w:p>
    <w:p w14:paraId="7456C123">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：针对项目实际情况，有合理的措施且具体、完整，采用规范正确。</w:t>
      </w:r>
    </w:p>
    <w:p w14:paraId="68EA8A60">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：有基本合理的措施，采用规范正确。</w:t>
      </w:r>
    </w:p>
    <w:p w14:paraId="62BFF358">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：安全文明措施不得力，采用规范不正确。</w:t>
      </w:r>
    </w:p>
    <w:p w14:paraId="2998D2F6">
      <w:pPr>
        <w:pStyle w:val="11"/>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（8）质量保证与承诺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3</w:t>
      </w:r>
      <w:r>
        <w:rPr>
          <w:rFonts w:hint="eastAsia" w:ascii="宋体" w:hAnsi="宋体" w:eastAsia="宋体" w:cs="宋体"/>
          <w:b/>
          <w:bCs w:val="0"/>
          <w:color w:val="auto"/>
          <w:szCs w:val="21"/>
          <w:highlight w:val="none"/>
        </w:rPr>
        <w:t>分</w:t>
      </w:r>
    </w:p>
    <w:p w14:paraId="0905796A">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：针对项目实际提出先进、可行、具体的保证措施，超过招标文件的质量要求及施工验收规范要求。</w:t>
      </w:r>
    </w:p>
    <w:p w14:paraId="0C61FA01">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：针对项目实际提出先进、可行、具体的保证措施，满足招标文件的质量要求。</w:t>
      </w:r>
    </w:p>
    <w:p w14:paraId="5C7F5B43">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：具体措施可行，满足招标文件的质量要求。</w:t>
      </w:r>
    </w:p>
    <w:p w14:paraId="0633D7EB">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：措施不可行。</w:t>
      </w:r>
    </w:p>
    <w:p w14:paraId="3C3369F3">
      <w:pPr>
        <w:pStyle w:val="11"/>
        <w:keepNext w:val="0"/>
        <w:keepLines w:val="0"/>
        <w:pageBreakBefore w:val="0"/>
        <w:widowControl w:val="0"/>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（9）新技术应用与承诺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2</w:t>
      </w:r>
      <w:r>
        <w:rPr>
          <w:rFonts w:hint="eastAsia" w:ascii="宋体" w:hAnsi="宋体" w:eastAsia="宋体" w:cs="宋体"/>
          <w:b/>
          <w:bCs w:val="0"/>
          <w:color w:val="auto"/>
          <w:szCs w:val="21"/>
          <w:highlight w:val="none"/>
        </w:rPr>
        <w:t>分</w:t>
      </w:r>
    </w:p>
    <w:p w14:paraId="33B81272">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eastAsia="zh-CN"/>
        </w:rPr>
        <w:t>（</w:t>
      </w:r>
      <w:r>
        <w:rPr>
          <w:rFonts w:hint="eastAsia" w:hAnsi="宋体" w:cs="宋体"/>
          <w:color w:val="auto"/>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14:paraId="4F3F022E">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eastAsia="zh-CN"/>
        </w:rPr>
        <w:t>（</w:t>
      </w:r>
      <w:r>
        <w:rPr>
          <w:rFonts w:hint="eastAsia"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：针对项目实际，提出采用新技术的具体措施。新技术的验证材料可靠，对节约投资和工期有保证措施。对采用新技术可能产生的风险有一定的预见。</w:t>
      </w:r>
    </w:p>
    <w:p w14:paraId="0C8056B9">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w:t>
      </w:r>
      <w:r>
        <w:rPr>
          <w:rFonts w:hint="eastAsia" w:hAnsi="宋体" w:cs="宋体"/>
          <w:b w:val="0"/>
          <w:bCs w:val="0"/>
          <w:color w:val="auto"/>
          <w:kern w:val="0"/>
          <w:sz w:val="21"/>
          <w:szCs w:val="21"/>
          <w:highlight w:val="none"/>
          <w:lang w:val="en-US" w:eastAsia="zh-CN"/>
        </w:rPr>
        <w:t>0.5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：有新技术措施，但验证材料不充分，对节约投资和工期可能有一定收益，对</w:t>
      </w:r>
      <w:r>
        <w:rPr>
          <w:rFonts w:hint="eastAsia" w:ascii="宋体" w:hAnsi="宋体" w:eastAsia="宋体" w:cs="宋体"/>
          <w:color w:val="auto"/>
          <w:sz w:val="21"/>
          <w:szCs w:val="21"/>
          <w:highlight w:val="none"/>
        </w:rPr>
        <w:t>采用新技术可能产生的风险预见不足。</w:t>
      </w:r>
    </w:p>
    <w:p w14:paraId="7D061598">
      <w:pPr>
        <w:pStyle w:val="11"/>
        <w:keepNext w:val="0"/>
        <w:keepLines w:val="0"/>
        <w:pageBreakBefore w:val="0"/>
        <w:widowControl w:val="0"/>
        <w:kinsoku/>
        <w:wordWrap/>
        <w:overflowPunct/>
        <w:topLinePunct w:val="0"/>
        <w:autoSpaceDE/>
        <w:autoSpaceDN/>
        <w:bidi w:val="0"/>
        <w:adjustRightInd/>
        <w:snapToGrid/>
        <w:spacing w:line="360" w:lineRule="exact"/>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：采用的新技术针对性不强或验证材料不可靠，对节约投资和工期没有具体收益。</w:t>
      </w:r>
    </w:p>
    <w:p w14:paraId="61B172C0">
      <w:pPr>
        <w:keepNext w:val="0"/>
        <w:keepLines w:val="0"/>
        <w:pageBreakBefore w:val="0"/>
        <w:widowControl w:val="0"/>
        <w:kinsoku/>
        <w:wordWrap/>
        <w:overflowPunct/>
        <w:topLinePunct w:val="0"/>
        <w:autoSpaceDE/>
        <w:autoSpaceDN/>
        <w:bidi w:val="0"/>
        <w:adjustRightInd/>
        <w:snapToGrid/>
        <w:spacing w:line="360" w:lineRule="exact"/>
        <w:ind w:firstLine="316" w:firstLineChars="150"/>
        <w:textAlignment w:val="auto"/>
        <w:outlineLvl w:val="0"/>
        <w:rPr>
          <w:rFonts w:hint="eastAsia" w:ascii="宋体" w:hAnsi="宋体" w:eastAsia="宋体" w:cs="宋体"/>
          <w:b/>
          <w:bCs/>
          <w:color w:val="auto"/>
          <w:kern w:val="0"/>
          <w:sz w:val="21"/>
          <w:szCs w:val="21"/>
          <w:highlight w:val="none"/>
        </w:rPr>
      </w:pPr>
      <w:bookmarkStart w:id="149" w:name="_Toc6762"/>
      <w:bookmarkStart w:id="150" w:name="_Toc7396"/>
      <w:r>
        <w:rPr>
          <w:rFonts w:hint="eastAsia" w:ascii="宋体" w:hAnsi="宋体" w:eastAsia="宋体" w:cs="宋体"/>
          <w:b/>
          <w:color w:val="auto"/>
          <w:kern w:val="0"/>
          <w:sz w:val="21"/>
          <w:szCs w:val="21"/>
          <w:highlight w:val="none"/>
        </w:rPr>
        <w:t>注：</w:t>
      </w:r>
      <w:r>
        <w:rPr>
          <w:rFonts w:hint="eastAsia" w:ascii="宋体" w:hAnsi="宋体" w:eastAsia="宋体" w:cs="宋体"/>
          <w:b/>
          <w:bCs/>
          <w:color w:val="auto"/>
          <w:kern w:val="0"/>
          <w:sz w:val="21"/>
          <w:szCs w:val="21"/>
          <w:highlight w:val="none"/>
        </w:rPr>
        <w:t>供应商未提供上述“施工组织技术方案”相应内容的，相应项不得分。</w:t>
      </w:r>
      <w:bookmarkEnd w:id="149"/>
      <w:bookmarkEnd w:id="150"/>
    </w:p>
    <w:p w14:paraId="3C699909">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211" w:firstLineChars="100"/>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3、拟投入主要管理人员配置………………………………………………………………………</w:t>
      </w:r>
      <w:r>
        <w:rPr>
          <w:rFonts w:hint="eastAsia" w:ascii="宋体" w:hAnsi="宋体" w:cs="宋体"/>
          <w:b/>
          <w:bCs/>
          <w:color w:val="auto"/>
          <w:kern w:val="0"/>
          <w:sz w:val="21"/>
          <w:szCs w:val="21"/>
          <w:highlight w:val="none"/>
          <w:lang w:val="en-US" w:eastAsia="zh-CN" w:bidi="ar-SA"/>
        </w:rPr>
        <w:t>12</w:t>
      </w:r>
      <w:r>
        <w:rPr>
          <w:rFonts w:hint="eastAsia" w:ascii="宋体" w:hAnsi="宋体" w:eastAsia="宋体" w:cs="宋体"/>
          <w:b/>
          <w:bCs/>
          <w:color w:val="auto"/>
          <w:kern w:val="0"/>
          <w:sz w:val="21"/>
          <w:szCs w:val="21"/>
          <w:highlight w:val="none"/>
          <w:lang w:val="en-US" w:eastAsia="zh-CN" w:bidi="ar-SA"/>
        </w:rPr>
        <w:t>分</w:t>
      </w:r>
    </w:p>
    <w:p w14:paraId="5B7C9E85">
      <w:pPr>
        <w:keepNext w:val="0"/>
        <w:keepLines w:val="0"/>
        <w:pageBreakBefore w:val="0"/>
        <w:numPr>
          <w:ilvl w:val="0"/>
          <w:numId w:val="0"/>
        </w:numPr>
        <w:kinsoku/>
        <w:wordWrap/>
        <w:overflowPunct/>
        <w:topLinePunct w:val="0"/>
        <w:autoSpaceDE/>
        <w:autoSpaceDN/>
        <w:bidi w:val="0"/>
        <w:adjustRightInd/>
        <w:spacing w:line="360" w:lineRule="exact"/>
        <w:ind w:firstLine="210" w:firstLineChars="1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项目经理</w:t>
      </w:r>
      <w:r>
        <w:rPr>
          <w:rFonts w:hint="eastAsia" w:ascii="宋体" w:hAnsi="宋体" w:cs="宋体"/>
          <w:color w:val="auto"/>
          <w:highlight w:val="none"/>
          <w:lang w:eastAsia="zh-CN"/>
        </w:rPr>
        <w:t>资格</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6</w:t>
      </w:r>
      <w:r>
        <w:rPr>
          <w:rFonts w:hint="eastAsia" w:ascii="宋体" w:hAnsi="宋体" w:cs="宋体"/>
          <w:b/>
          <w:bCs/>
          <w:color w:val="auto"/>
          <w:highlight w:val="none"/>
        </w:rPr>
        <w:t>分）</w:t>
      </w:r>
      <w:r>
        <w:rPr>
          <w:rFonts w:hint="eastAsia" w:ascii="宋体" w:hAnsi="宋体" w:cs="宋体"/>
          <w:color w:val="auto"/>
          <w:highlight w:val="none"/>
        </w:rPr>
        <w:t>：</w:t>
      </w:r>
    </w:p>
    <w:p w14:paraId="115DF65E">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ascii="宋体" w:hAnsi="宋体" w:cs="宋体"/>
          <w:b/>
          <w:bCs/>
          <w:color w:val="auto"/>
          <w:highlight w:val="none"/>
        </w:rPr>
      </w:pPr>
      <w:r>
        <w:rPr>
          <w:rFonts w:hint="eastAsia" w:ascii="宋体" w:hAnsi="宋体" w:cs="宋体"/>
          <w:color w:val="auto"/>
          <w:kern w:val="0"/>
          <w:highlight w:val="none"/>
          <w:lang w:val="en-US" w:eastAsia="zh-CN" w:bidi="ar"/>
        </w:rPr>
        <w:t>a.</w:t>
      </w:r>
      <w:r>
        <w:rPr>
          <w:rFonts w:hint="eastAsia" w:ascii="宋体" w:hAnsi="宋体" w:cs="宋体"/>
          <w:color w:val="auto"/>
          <w:sz w:val="21"/>
          <w:szCs w:val="21"/>
          <w:highlight w:val="none"/>
          <w:lang w:val="en-US" w:eastAsia="zh-CN"/>
        </w:rPr>
        <w:t>具有相关部门或协会颁发的文物保护工程责任工程师证书得1分。</w:t>
      </w:r>
    </w:p>
    <w:p w14:paraId="4587B5BB">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ascii="宋体" w:hAnsi="宋体" w:cs="宋体"/>
          <w:b/>
          <w:bCs/>
          <w:color w:val="auto"/>
          <w:highlight w:val="none"/>
        </w:rPr>
      </w:pPr>
      <w:r>
        <w:rPr>
          <w:rFonts w:hint="eastAsia" w:ascii="宋体" w:hAnsi="宋体" w:cs="宋体"/>
          <w:color w:val="auto"/>
          <w:kern w:val="0"/>
          <w:highlight w:val="none"/>
          <w:lang w:val="en-US" w:eastAsia="zh-CN" w:bidi="ar"/>
        </w:rPr>
        <w:t>b.</w:t>
      </w:r>
      <w:r>
        <w:rPr>
          <w:rFonts w:hint="eastAsia" w:ascii="宋体" w:hAnsi="宋体" w:cs="宋体"/>
          <w:color w:val="auto"/>
          <w:sz w:val="21"/>
          <w:szCs w:val="21"/>
          <w:highlight w:val="none"/>
          <w:lang w:val="en-US" w:eastAsia="zh-CN"/>
        </w:rPr>
        <w:t>具有相关部门或协会颁发的文物保护工程责任工程师证书</w:t>
      </w:r>
      <w:r>
        <w:rPr>
          <w:rFonts w:hint="eastAsia" w:ascii="宋体" w:hAnsi="宋体" w:cs="宋体"/>
          <w:color w:val="auto"/>
          <w:kern w:val="0"/>
          <w:highlight w:val="none"/>
          <w:lang w:eastAsia="zh-CN" w:bidi="ar"/>
        </w:rPr>
        <w:t>且同时具有</w:t>
      </w:r>
      <w:r>
        <w:rPr>
          <w:rFonts w:hint="eastAsia" w:ascii="宋体" w:hAnsi="宋体" w:cs="宋体"/>
          <w:color w:val="auto"/>
          <w:kern w:val="0"/>
          <w:highlight w:val="none"/>
          <w:lang w:val="en-US" w:eastAsia="zh-CN" w:bidi="ar"/>
        </w:rPr>
        <w:t>文物博物系列高级</w:t>
      </w:r>
      <w:r>
        <w:rPr>
          <w:rFonts w:hint="eastAsia" w:ascii="宋体" w:hAnsi="宋体" w:cs="宋体"/>
          <w:color w:val="auto"/>
          <w:highlight w:val="none"/>
        </w:rPr>
        <w:t>职称</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分</w:t>
      </w:r>
      <w:r>
        <w:rPr>
          <w:rFonts w:hint="eastAsia"/>
          <w:color w:val="auto"/>
          <w:highlight w:val="none"/>
          <w:lang w:eastAsia="zh-CN"/>
        </w:rPr>
        <w:t>，</w:t>
      </w:r>
      <w:r>
        <w:rPr>
          <w:rFonts w:hint="eastAsia" w:ascii="宋体" w:hAnsi="宋体" w:cs="宋体"/>
          <w:color w:val="auto"/>
          <w:kern w:val="0"/>
          <w:highlight w:val="none"/>
          <w:lang w:eastAsia="zh-CN" w:bidi="ar"/>
        </w:rPr>
        <w:t>具有</w:t>
      </w:r>
      <w:r>
        <w:rPr>
          <w:rFonts w:hint="eastAsia" w:ascii="宋体" w:hAnsi="宋体" w:cs="宋体"/>
          <w:color w:val="auto"/>
          <w:kern w:val="0"/>
          <w:highlight w:val="none"/>
          <w:lang w:val="en-US" w:eastAsia="zh-CN" w:bidi="ar"/>
        </w:rPr>
        <w:t>文物博物系列中级</w:t>
      </w:r>
      <w:r>
        <w:rPr>
          <w:rFonts w:hint="eastAsia" w:ascii="宋体" w:hAnsi="宋体" w:cs="宋体"/>
          <w:color w:val="auto"/>
          <w:highlight w:val="none"/>
        </w:rPr>
        <w:t>职称</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2</w:t>
      </w:r>
      <w:r>
        <w:rPr>
          <w:rFonts w:hint="eastAsia" w:ascii="宋体" w:hAnsi="宋体" w:cs="宋体"/>
          <w:color w:val="auto"/>
          <w:kern w:val="0"/>
          <w:highlight w:val="none"/>
          <w:lang w:bidi="ar"/>
        </w:rPr>
        <w:t>分</w:t>
      </w:r>
      <w:r>
        <w:rPr>
          <w:rFonts w:hint="eastAsia" w:ascii="宋体" w:hAnsi="宋体" w:cs="宋体"/>
          <w:color w:val="auto"/>
          <w:kern w:val="0"/>
          <w:highlight w:val="none"/>
          <w:lang w:val="en-US" w:eastAsia="zh-CN" w:bidi="ar"/>
        </w:rPr>
        <w:t>。</w:t>
      </w:r>
    </w:p>
    <w:p w14:paraId="32D6B248">
      <w:pPr>
        <w:keepNext w:val="0"/>
        <w:keepLines w:val="0"/>
        <w:pageBreakBefore w:val="0"/>
        <w:numPr>
          <w:ilvl w:val="0"/>
          <w:numId w:val="0"/>
        </w:numPr>
        <w:kinsoku/>
        <w:wordWrap/>
        <w:overflowPunct/>
        <w:topLinePunct w:val="0"/>
        <w:autoSpaceDE/>
        <w:autoSpaceDN/>
        <w:bidi w:val="0"/>
        <w:adjustRightInd/>
        <w:spacing w:line="360" w:lineRule="exact"/>
        <w:ind w:firstLine="420" w:firstLineChars="200"/>
        <w:rPr>
          <w:rFonts w:hint="eastAsia"/>
          <w:color w:val="auto"/>
          <w:highlight w:val="none"/>
        </w:rPr>
      </w:pPr>
      <w:r>
        <w:rPr>
          <w:rFonts w:hint="eastAsia" w:ascii="宋体" w:hAnsi="宋体" w:cs="宋体"/>
          <w:color w:val="auto"/>
          <w:sz w:val="21"/>
          <w:szCs w:val="21"/>
          <w:highlight w:val="none"/>
          <w:lang w:val="en-US" w:eastAsia="zh-CN"/>
        </w:rPr>
        <w:t>c.具有相关部门或协会颁发的文物保护工程责任工程师证书</w:t>
      </w:r>
      <w:r>
        <w:rPr>
          <w:rFonts w:hint="eastAsia" w:ascii="宋体" w:hAnsi="宋体" w:cs="宋体"/>
          <w:color w:val="auto"/>
          <w:kern w:val="0"/>
          <w:highlight w:val="none"/>
          <w:lang w:eastAsia="zh-CN" w:bidi="ar"/>
        </w:rPr>
        <w:t>且同时具有</w:t>
      </w:r>
      <w:r>
        <w:rPr>
          <w:rFonts w:hint="eastAsia" w:ascii="宋体" w:hAnsi="宋体" w:cs="宋体"/>
          <w:color w:val="auto"/>
          <w:kern w:val="0"/>
          <w:highlight w:val="none"/>
          <w:lang w:val="en-US" w:eastAsia="zh-CN" w:bidi="ar"/>
        </w:rPr>
        <w:t>建筑工程系列高级</w:t>
      </w:r>
      <w:r>
        <w:rPr>
          <w:rFonts w:hint="eastAsia" w:ascii="宋体" w:hAnsi="宋体" w:cs="宋体"/>
          <w:color w:val="auto"/>
          <w:highlight w:val="none"/>
        </w:rPr>
        <w:t>职称</w:t>
      </w:r>
      <w:r>
        <w:rPr>
          <w:rFonts w:hint="eastAsia" w:ascii="宋体" w:hAnsi="宋体" w:cs="宋体"/>
          <w:color w:val="auto"/>
          <w:kern w:val="0"/>
          <w:highlight w:val="none"/>
          <w:lang w:bidi="ar"/>
        </w:rPr>
        <w:t>的</w:t>
      </w:r>
      <w:r>
        <w:rPr>
          <w:rFonts w:hint="eastAsia" w:ascii="宋体" w:hAnsi="宋体" w:cs="宋体"/>
          <w:color w:val="auto"/>
          <w:kern w:val="0"/>
          <w:highlight w:val="none"/>
          <w:lang w:val="en-US" w:eastAsia="zh-CN" w:bidi="ar"/>
        </w:rPr>
        <w:t>2分。</w:t>
      </w:r>
    </w:p>
    <w:p w14:paraId="698A3F7D">
      <w:pPr>
        <w:pStyle w:val="33"/>
        <w:keepNext w:val="0"/>
        <w:keepLines w:val="0"/>
        <w:pageBreakBefore w:val="0"/>
        <w:kinsoku/>
        <w:wordWrap/>
        <w:overflowPunct/>
        <w:topLinePunct w:val="0"/>
        <w:autoSpaceDE/>
        <w:autoSpaceDN/>
        <w:bidi w:val="0"/>
        <w:adjustRightInd/>
        <w:snapToGrid w:val="0"/>
        <w:spacing w:line="360" w:lineRule="exact"/>
        <w:ind w:firstLine="210" w:firstLineChars="1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技术负责人职称：</w:t>
      </w:r>
      <w:r>
        <w:rPr>
          <w:rFonts w:hint="eastAsia" w:ascii="宋体" w:hAnsi="宋体" w:cs="宋体"/>
          <w:color w:val="auto"/>
          <w:kern w:val="0"/>
          <w:highlight w:val="none"/>
          <w:lang w:eastAsia="zh-CN" w:bidi="ar"/>
        </w:rPr>
        <w:t>具有</w:t>
      </w:r>
      <w:r>
        <w:rPr>
          <w:rFonts w:hint="eastAsia" w:ascii="宋体" w:hAnsi="宋体" w:cs="宋体"/>
          <w:color w:val="auto"/>
          <w:kern w:val="0"/>
          <w:highlight w:val="none"/>
          <w:lang w:val="en-US" w:eastAsia="zh-CN" w:bidi="ar"/>
        </w:rPr>
        <w:t>文物博物系列高级</w:t>
      </w:r>
      <w:r>
        <w:rPr>
          <w:rFonts w:hint="eastAsia" w:ascii="宋体" w:hAnsi="宋体" w:cs="宋体"/>
          <w:color w:val="auto"/>
          <w:highlight w:val="none"/>
        </w:rPr>
        <w:t>职称</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r>
        <w:rPr>
          <w:rFonts w:hint="eastAsia" w:ascii="宋体" w:hAnsi="宋体" w:cs="宋体"/>
          <w:color w:val="auto"/>
          <w:kern w:val="0"/>
          <w:highlight w:val="none"/>
          <w:lang w:eastAsia="zh-CN" w:bidi="ar"/>
        </w:rPr>
        <w:t>，具有</w:t>
      </w:r>
      <w:r>
        <w:rPr>
          <w:rFonts w:hint="eastAsia" w:ascii="宋体" w:hAnsi="宋体" w:cs="宋体"/>
          <w:color w:val="auto"/>
          <w:kern w:val="0"/>
          <w:highlight w:val="none"/>
          <w:lang w:val="en-US" w:eastAsia="zh-CN" w:bidi="ar"/>
        </w:rPr>
        <w:t>建筑工程系列高级</w:t>
      </w:r>
      <w:r>
        <w:rPr>
          <w:rFonts w:hint="eastAsia" w:ascii="宋体" w:hAnsi="宋体" w:cs="宋体"/>
          <w:color w:val="auto"/>
          <w:highlight w:val="none"/>
        </w:rPr>
        <w:t>职称</w:t>
      </w:r>
      <w:r>
        <w:rPr>
          <w:rFonts w:hint="eastAsia" w:ascii="宋体" w:hAnsi="宋体" w:cs="宋体"/>
          <w:color w:val="auto"/>
          <w:kern w:val="0"/>
          <w:highlight w:val="none"/>
          <w:lang w:bidi="ar"/>
        </w:rPr>
        <w:t>的</w:t>
      </w:r>
      <w:r>
        <w:rPr>
          <w:rFonts w:hint="eastAsia" w:ascii="宋体" w:hAnsi="宋体" w:cs="宋体"/>
          <w:color w:val="auto"/>
          <w:kern w:val="0"/>
          <w:highlight w:val="none"/>
          <w:lang w:val="en-US" w:eastAsia="zh-CN" w:bidi="ar"/>
        </w:rPr>
        <w:t>2分。</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3</w:t>
      </w:r>
      <w:r>
        <w:rPr>
          <w:rFonts w:hint="eastAsia" w:ascii="宋体" w:hAnsi="宋体" w:cs="宋体"/>
          <w:b/>
          <w:bCs/>
          <w:color w:val="auto"/>
          <w:highlight w:val="none"/>
        </w:rPr>
        <w:t>分）</w:t>
      </w:r>
    </w:p>
    <w:p w14:paraId="4AAD57CF">
      <w:pPr>
        <w:keepNext w:val="0"/>
        <w:keepLines w:val="0"/>
        <w:pageBreakBefore w:val="0"/>
        <w:widowControl/>
        <w:kinsoku/>
        <w:wordWrap/>
        <w:overflowPunct/>
        <w:topLinePunct w:val="0"/>
        <w:autoSpaceDE/>
        <w:autoSpaceDN/>
        <w:bidi w:val="0"/>
        <w:adjustRightInd/>
        <w:spacing w:line="360" w:lineRule="exact"/>
        <w:ind w:firstLine="210" w:firstLineChars="100"/>
        <w:jc w:val="left"/>
        <w:textAlignment w:val="center"/>
        <w:rPr>
          <w:rFonts w:hint="eastAsia" w:ascii="宋体" w:hAnsi="宋体" w:cs="宋体"/>
          <w:b/>
          <w:bCs/>
          <w:color w:val="auto"/>
          <w:highlight w:val="none"/>
        </w:rPr>
      </w:pP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安全员具备有效安全生产考核合格证书（C类）</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14:paraId="66A8E4A7">
      <w:pPr>
        <w:keepNext w:val="0"/>
        <w:keepLines w:val="0"/>
        <w:pageBreakBefore w:val="0"/>
        <w:widowControl/>
        <w:kinsoku/>
        <w:wordWrap/>
        <w:overflowPunct/>
        <w:topLinePunct w:val="0"/>
        <w:autoSpaceDE/>
        <w:autoSpaceDN/>
        <w:bidi w:val="0"/>
        <w:adjustRightInd/>
        <w:spacing w:line="360" w:lineRule="exact"/>
        <w:ind w:firstLine="210" w:firstLineChars="100"/>
        <w:jc w:val="left"/>
        <w:textAlignment w:val="center"/>
        <w:rPr>
          <w:rFonts w:hint="eastAsia" w:ascii="宋体" w:hAnsi="宋体" w:cs="宋体"/>
          <w:b/>
          <w:bCs/>
          <w:color w:val="auto"/>
          <w:kern w:val="0"/>
          <w:highlight w:val="none"/>
          <w:lang w:bidi="ar"/>
        </w:rPr>
      </w:pPr>
      <w:r>
        <w:rPr>
          <w:rFonts w:hint="eastAsia" w:ascii="宋体" w:hAnsi="宋体" w:cs="宋体"/>
          <w:color w:val="auto"/>
          <w:kern w:val="0"/>
          <w:highlight w:val="none"/>
          <w:lang w:val="en-US" w:eastAsia="zh-CN" w:bidi="ar"/>
        </w:rPr>
        <w:t>（4）</w:t>
      </w:r>
      <w:r>
        <w:rPr>
          <w:rFonts w:hint="eastAsia" w:ascii="宋体" w:hAnsi="宋体" w:cs="宋体"/>
          <w:color w:val="auto"/>
          <w:kern w:val="0"/>
          <w:highlight w:val="none"/>
          <w:lang w:bidi="ar"/>
        </w:rPr>
        <w:t>施工员具备有工程师或以上职称的得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分，具有助理工程师的得</w:t>
      </w:r>
      <w:r>
        <w:rPr>
          <w:rFonts w:hint="eastAsia" w:ascii="宋体" w:hAnsi="宋体" w:cs="宋体"/>
          <w:color w:val="auto"/>
          <w:kern w:val="0"/>
          <w:highlight w:val="none"/>
          <w:lang w:val="en-US" w:eastAsia="zh-CN" w:bidi="ar"/>
        </w:rPr>
        <w:t>0.5</w:t>
      </w:r>
      <w:r>
        <w:rPr>
          <w:rFonts w:hint="eastAsia" w:ascii="宋体" w:hAnsi="宋体" w:cs="宋体"/>
          <w:color w:val="auto"/>
          <w:kern w:val="0"/>
          <w:highlight w:val="none"/>
          <w:lang w:bidi="ar"/>
        </w:rPr>
        <w:t>分。</w:t>
      </w:r>
      <w:r>
        <w:rPr>
          <w:rFonts w:hint="eastAsia" w:ascii="宋体" w:hAnsi="宋体" w:cs="宋体"/>
          <w:b/>
          <w:bCs/>
          <w:color w:val="auto"/>
          <w:kern w:val="0"/>
          <w:highlight w:val="none"/>
          <w:lang w:bidi="ar"/>
        </w:rPr>
        <w:t>（满分</w:t>
      </w:r>
      <w:r>
        <w:rPr>
          <w:rFonts w:hint="eastAsia" w:ascii="宋体" w:hAnsi="宋体" w:cs="宋体"/>
          <w:b/>
          <w:bCs/>
          <w:color w:val="auto"/>
          <w:kern w:val="0"/>
          <w:highlight w:val="none"/>
          <w:lang w:val="en-US" w:eastAsia="zh-CN" w:bidi="ar"/>
        </w:rPr>
        <w:t>1</w:t>
      </w:r>
      <w:r>
        <w:rPr>
          <w:rFonts w:hint="eastAsia" w:ascii="宋体" w:hAnsi="宋体" w:cs="宋体"/>
          <w:b/>
          <w:bCs/>
          <w:color w:val="auto"/>
          <w:kern w:val="0"/>
          <w:highlight w:val="none"/>
          <w:lang w:bidi="ar"/>
        </w:rPr>
        <w:t>分）</w:t>
      </w:r>
    </w:p>
    <w:p w14:paraId="75AE19F7">
      <w:pPr>
        <w:keepNext w:val="0"/>
        <w:keepLines w:val="0"/>
        <w:pageBreakBefore w:val="0"/>
        <w:widowControl/>
        <w:kinsoku/>
        <w:wordWrap/>
        <w:overflowPunct/>
        <w:topLinePunct w:val="0"/>
        <w:autoSpaceDE/>
        <w:autoSpaceDN/>
        <w:bidi w:val="0"/>
        <w:adjustRightInd/>
        <w:spacing w:line="360" w:lineRule="exact"/>
        <w:ind w:firstLine="210" w:firstLineChars="100"/>
        <w:jc w:val="left"/>
        <w:textAlignment w:val="center"/>
        <w:rPr>
          <w:rFonts w:hint="eastAsia" w:ascii="宋体" w:hAnsi="宋体" w:cs="宋体"/>
          <w:b/>
          <w:bCs/>
          <w:color w:val="auto"/>
          <w:highlight w:val="none"/>
        </w:rPr>
      </w:pP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质量员</w:t>
      </w:r>
      <w:r>
        <w:rPr>
          <w:rFonts w:hint="eastAsia" w:ascii="宋体" w:hAnsi="宋体" w:cs="宋体"/>
          <w:color w:val="auto"/>
          <w:highlight w:val="none"/>
        </w:rPr>
        <w:t>具有工程师或以上职称的得</w:t>
      </w:r>
      <w:r>
        <w:rPr>
          <w:rFonts w:hint="eastAsia" w:ascii="宋体" w:hAnsi="宋体" w:cs="宋体"/>
          <w:color w:val="auto"/>
          <w:highlight w:val="none"/>
          <w:lang w:val="en-US" w:eastAsia="zh-CN"/>
        </w:rPr>
        <w:t>1</w:t>
      </w:r>
      <w:r>
        <w:rPr>
          <w:rFonts w:hint="eastAsia" w:ascii="宋体" w:hAnsi="宋体" w:cs="宋体"/>
          <w:color w:val="auto"/>
          <w:highlight w:val="none"/>
        </w:rPr>
        <w:t>分，具有助理工程师的得</w:t>
      </w:r>
      <w:r>
        <w:rPr>
          <w:rFonts w:hint="eastAsia" w:ascii="宋体" w:hAnsi="宋体" w:cs="宋体"/>
          <w:color w:val="auto"/>
          <w:highlight w:val="none"/>
          <w:lang w:val="en-US" w:eastAsia="zh-CN"/>
        </w:rPr>
        <w:t>0.5</w:t>
      </w:r>
      <w:r>
        <w:rPr>
          <w:rFonts w:hint="eastAsia" w:ascii="宋体" w:hAnsi="宋体" w:cs="宋体"/>
          <w:color w:val="auto"/>
          <w:highlight w:val="none"/>
        </w:rPr>
        <w:t>分。</w:t>
      </w:r>
      <w:r>
        <w:rPr>
          <w:rFonts w:hint="eastAsia" w:ascii="宋体" w:hAnsi="宋体" w:cs="宋体"/>
          <w:b/>
          <w:bCs/>
          <w:color w:val="auto"/>
          <w:highlight w:val="none"/>
        </w:rPr>
        <w:t>（满分</w:t>
      </w:r>
      <w:r>
        <w:rPr>
          <w:rFonts w:hint="eastAsia" w:ascii="宋体" w:hAnsi="宋体" w:cs="宋体"/>
          <w:b/>
          <w:bCs/>
          <w:color w:val="auto"/>
          <w:highlight w:val="none"/>
          <w:lang w:val="en-US" w:eastAsia="zh-CN"/>
        </w:rPr>
        <w:t>1</w:t>
      </w:r>
      <w:r>
        <w:rPr>
          <w:rFonts w:hint="eastAsia" w:ascii="宋体" w:hAnsi="宋体" w:cs="宋体"/>
          <w:b/>
          <w:bCs/>
          <w:color w:val="auto"/>
          <w:highlight w:val="none"/>
        </w:rPr>
        <w:t>分）</w:t>
      </w:r>
    </w:p>
    <w:p w14:paraId="3A4B668D">
      <w:pPr>
        <w:keepNext w:val="0"/>
        <w:keepLines w:val="0"/>
        <w:pageBreakBefore w:val="0"/>
        <w:kinsoku/>
        <w:wordWrap/>
        <w:overflowPunct/>
        <w:topLinePunct w:val="0"/>
        <w:autoSpaceDE/>
        <w:autoSpaceDN/>
        <w:bidi w:val="0"/>
        <w:adjustRightInd/>
        <w:spacing w:line="360" w:lineRule="exact"/>
        <w:ind w:firstLine="422" w:firstLineChars="200"/>
        <w:rPr>
          <w:rFonts w:hint="eastAsia"/>
          <w:b/>
          <w:bCs/>
          <w:color w:val="auto"/>
          <w:highlight w:val="none"/>
          <w:lang w:val="en-US" w:eastAsia="zh-CN"/>
        </w:rPr>
      </w:pPr>
      <w:r>
        <w:rPr>
          <w:rFonts w:hint="eastAsia"/>
          <w:b/>
          <w:bCs/>
          <w:color w:val="auto"/>
          <w:highlight w:val="none"/>
          <w:lang w:val="en-US" w:eastAsia="zh-CN"/>
        </w:rPr>
        <w:t>注：以上人员须提供由县级以上（含县级）社会养老保险经办机构出具的供应商为委托代理人交纳的响应文件递交截止时间前半年内任意连续三个月社保证明复印件</w:t>
      </w:r>
    </w:p>
    <w:p w14:paraId="44C9234A">
      <w:pPr>
        <w:keepNext w:val="0"/>
        <w:keepLines w:val="0"/>
        <w:pageBreakBefore w:val="0"/>
        <w:widowControl w:val="0"/>
        <w:numPr>
          <w:ilvl w:val="0"/>
          <w:numId w:val="7"/>
        </w:numPr>
        <w:tabs>
          <w:tab w:val="left" w:pos="1305"/>
        </w:tabs>
        <w:kinsoku/>
        <w:wordWrap/>
        <w:overflowPunct/>
        <w:topLinePunct w:val="0"/>
        <w:autoSpaceDE/>
        <w:autoSpaceDN/>
        <w:bidi w:val="0"/>
        <w:adjustRightInd/>
        <w:snapToGrid/>
        <w:spacing w:line="360" w:lineRule="exact"/>
        <w:ind w:left="-1" w:leftChars="0" w:firstLine="211" w:firstLineChars="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信誉业绩分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cs="宋体"/>
          <w:b/>
          <w:bCs/>
          <w:color w:val="auto"/>
          <w:szCs w:val="21"/>
          <w:highlight w:val="none"/>
          <w:lang w:val="en-US" w:eastAsia="zh-CN"/>
        </w:rPr>
        <w:t>12</w:t>
      </w:r>
      <w:r>
        <w:rPr>
          <w:rFonts w:hint="eastAsia" w:ascii="宋体" w:hAnsi="宋体" w:eastAsia="宋体" w:cs="宋体"/>
          <w:b/>
          <w:bCs/>
          <w:color w:val="auto"/>
          <w:szCs w:val="21"/>
          <w:highlight w:val="none"/>
        </w:rPr>
        <w:t>分</w:t>
      </w:r>
    </w:p>
    <w:p w14:paraId="6491A0F0">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val="en-US" w:eastAsia="zh-CN" w:bidi="ar"/>
        </w:rPr>
        <w:t>业绩：</w:t>
      </w:r>
      <w:r>
        <w:rPr>
          <w:rFonts w:hint="eastAsia" w:ascii="宋体" w:hAnsi="宋体" w:cs="宋体"/>
          <w:color w:val="auto"/>
          <w:kern w:val="0"/>
          <w:highlight w:val="none"/>
          <w:lang w:eastAsia="zh-CN" w:bidi="ar"/>
        </w:rPr>
        <w:t>供应商2023年1月1日以来具有类似工程业绩（</w:t>
      </w:r>
      <w:r>
        <w:rPr>
          <w:rFonts w:hint="eastAsia" w:ascii="宋体" w:hAnsi="宋体" w:cs="宋体"/>
          <w:color w:val="auto"/>
          <w:kern w:val="0"/>
          <w:highlight w:val="none"/>
          <w:lang w:val="en-US" w:eastAsia="zh-CN" w:bidi="ar"/>
        </w:rPr>
        <w:t>自治区级或省级</w:t>
      </w:r>
      <w:r>
        <w:rPr>
          <w:rFonts w:hint="eastAsia" w:ascii="宋体" w:hAnsi="宋体" w:cs="宋体"/>
          <w:color w:val="auto"/>
          <w:kern w:val="0"/>
          <w:highlight w:val="none"/>
          <w:lang w:eastAsia="zh-CN" w:bidi="ar"/>
        </w:rPr>
        <w:t>文物保护单位的工程业绩）（无不良记录，以中标（成交）通知书、签订的合同</w:t>
      </w:r>
      <w:r>
        <w:rPr>
          <w:rFonts w:hint="eastAsia" w:ascii="宋体" w:hAnsi="宋体" w:cs="宋体"/>
          <w:color w:val="auto"/>
          <w:kern w:val="0"/>
          <w:highlight w:val="none"/>
          <w:lang w:val="en-US" w:eastAsia="zh-CN" w:bidi="ar"/>
        </w:rPr>
        <w:t>、</w:t>
      </w:r>
      <w:r>
        <w:rPr>
          <w:rFonts w:hint="eastAsia" w:ascii="宋体" w:hAnsi="宋体" w:cs="宋体"/>
          <w:color w:val="auto"/>
          <w:kern w:val="0"/>
          <w:highlight w:val="none"/>
          <w:lang w:eastAsia="zh-CN" w:bidi="ar"/>
        </w:rPr>
        <w:t>竣工证明文件为准，并能清晰反映项目的名称、采购内容、采购金额、采购时间，每提供一个得</w:t>
      </w:r>
      <w:r>
        <w:rPr>
          <w:rFonts w:hint="eastAsia" w:ascii="宋体" w:hAnsi="宋体" w:cs="宋体"/>
          <w:color w:val="auto"/>
          <w:kern w:val="0"/>
          <w:highlight w:val="none"/>
          <w:lang w:val="en-US" w:eastAsia="zh-CN" w:bidi="ar"/>
        </w:rPr>
        <w:t>3分，满分12分。</w:t>
      </w:r>
    </w:p>
    <w:p w14:paraId="1E06CE16">
      <w:pPr>
        <w:pStyle w:val="34"/>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default" w:ascii="宋体" w:hAnsi="宋体" w:eastAsia="宋体" w:cs="宋体"/>
          <w:b/>
          <w:color w:val="auto"/>
          <w:szCs w:val="21"/>
          <w:highlight w:val="none"/>
          <w:lang w:val="en-US" w:eastAsia="zh-CN"/>
        </w:rPr>
      </w:pPr>
      <w:r>
        <w:rPr>
          <w:rFonts w:hint="eastAsia" w:eastAsia="宋体" w:cs="宋体"/>
          <w:b/>
          <w:color w:val="auto"/>
          <w:szCs w:val="21"/>
          <w:highlight w:val="none"/>
          <w:lang w:val="en-US" w:eastAsia="zh-CN"/>
        </w:rPr>
        <w:t xml:space="preserve">  5、</w:t>
      </w:r>
      <w:r>
        <w:rPr>
          <w:rFonts w:hint="eastAsia" w:ascii="宋体" w:hAnsi="宋体" w:eastAsia="宋体" w:cs="宋体"/>
          <w:b/>
          <w:color w:val="auto"/>
          <w:szCs w:val="21"/>
          <w:highlight w:val="none"/>
          <w:lang w:val="en-US" w:eastAsia="zh-CN"/>
        </w:rPr>
        <w:t>综合得分＝1+2</w:t>
      </w:r>
      <w:r>
        <w:rPr>
          <w:rFonts w:hint="eastAsia" w:eastAsia="宋体" w:cs="宋体"/>
          <w:b/>
          <w:color w:val="auto"/>
          <w:szCs w:val="21"/>
          <w:highlight w:val="none"/>
          <w:lang w:val="en-US" w:eastAsia="zh-CN"/>
        </w:rPr>
        <w:t>+3+4</w:t>
      </w:r>
    </w:p>
    <w:p w14:paraId="358F2AA3">
      <w:pPr>
        <w:keepNext w:val="0"/>
        <w:keepLines w:val="0"/>
        <w:pageBreakBefore w:val="0"/>
        <w:widowControl w:val="0"/>
        <w:tabs>
          <w:tab w:val="left" w:pos="1305"/>
        </w:tabs>
        <w:kinsoku/>
        <w:wordWrap/>
        <w:overflowPunct/>
        <w:topLinePunct w:val="0"/>
        <w:autoSpaceDE/>
        <w:autoSpaceDN/>
        <w:bidi w:val="0"/>
        <w:adjustRightInd/>
        <w:snapToGrid/>
        <w:spacing w:line="360" w:lineRule="exact"/>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推荐成交候选人原则</w:t>
      </w:r>
    </w:p>
    <w:p w14:paraId="4F53A935">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w:t>
      </w:r>
      <w:r>
        <w:rPr>
          <w:rFonts w:hint="eastAsia" w:ascii="宋体" w:hAnsi="宋体" w:eastAsia="宋体" w:cs="宋体"/>
          <w:color w:val="auto"/>
          <w:szCs w:val="21"/>
          <w:highlight w:val="none"/>
        </w:rPr>
        <w:t>若仍相同的，依次按技术分、</w:t>
      </w:r>
      <w:r>
        <w:rPr>
          <w:rFonts w:hint="eastAsia" w:ascii="宋体" w:hAnsi="宋体" w:eastAsia="宋体" w:cs="宋体"/>
          <w:color w:val="auto"/>
          <w:szCs w:val="21"/>
          <w:highlight w:val="none"/>
          <w:lang w:val="en-US" w:eastAsia="zh-CN"/>
        </w:rPr>
        <w:t>企业信誉实力</w:t>
      </w:r>
      <w:r>
        <w:rPr>
          <w:rFonts w:hint="eastAsia" w:ascii="宋体" w:hAnsi="宋体" w:eastAsia="宋体" w:cs="宋体"/>
          <w:color w:val="auto"/>
          <w:szCs w:val="21"/>
          <w:highlight w:val="none"/>
        </w:rPr>
        <w:t>分由高到低顺序排列并推荐成交候选供应商</w:t>
      </w:r>
      <w:r>
        <w:rPr>
          <w:rFonts w:hint="eastAsia" w:ascii="宋体" w:hAnsi="宋体" w:eastAsia="宋体" w:cs="宋体"/>
          <w:color w:val="auto"/>
          <w:sz w:val="21"/>
          <w:szCs w:val="21"/>
          <w:highlight w:val="none"/>
        </w:rPr>
        <w:t>。</w:t>
      </w:r>
    </w:p>
    <w:p w14:paraId="09226E26">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14:paraId="032BE3E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602BC6FF">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0CE177E2">
      <w:pPr>
        <w:pStyle w:val="2"/>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51" w:name="_Toc29318"/>
      <w:bookmarkStart w:id="152" w:name="_Toc8466"/>
      <w:bookmarkStart w:id="153" w:name="_Toc25717"/>
      <w:bookmarkStart w:id="154" w:name="_Toc4774"/>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51"/>
      <w:bookmarkEnd w:id="152"/>
      <w:bookmarkEnd w:id="153"/>
      <w:bookmarkEnd w:id="154"/>
    </w:p>
    <w:p w14:paraId="373318C4">
      <w:pPr>
        <w:pStyle w:val="35"/>
        <w:numPr>
          <w:ilvl w:val="0"/>
          <w:numId w:val="0"/>
        </w:numPr>
        <w:spacing w:line="340" w:lineRule="exact"/>
        <w:jc w:val="both"/>
        <w:rPr>
          <w:rFonts w:ascii="宋体"/>
          <w:color w:val="auto"/>
          <w:sz w:val="32"/>
          <w:highlight w:val="none"/>
        </w:rPr>
      </w:pPr>
      <w:bookmarkStart w:id="155" w:name="_Toc24269"/>
      <w:bookmarkStart w:id="156" w:name="_Toc10014"/>
    </w:p>
    <w:p w14:paraId="0A9DE671">
      <w:pPr>
        <w:pStyle w:val="35"/>
        <w:numPr>
          <w:ilvl w:val="0"/>
          <w:numId w:val="0"/>
        </w:numPr>
        <w:spacing w:line="340" w:lineRule="exact"/>
        <w:jc w:val="both"/>
        <w:rPr>
          <w:rFonts w:ascii="宋体"/>
          <w:color w:val="auto"/>
          <w:sz w:val="32"/>
          <w:highlight w:val="none"/>
        </w:rPr>
      </w:pPr>
    </w:p>
    <w:p w14:paraId="01AC4144">
      <w:pPr>
        <w:pStyle w:val="35"/>
        <w:numPr>
          <w:ilvl w:val="0"/>
          <w:numId w:val="0"/>
        </w:numPr>
        <w:spacing w:line="340" w:lineRule="exact"/>
        <w:jc w:val="both"/>
        <w:rPr>
          <w:rFonts w:ascii="宋体"/>
          <w:color w:val="auto"/>
          <w:sz w:val="32"/>
          <w:highlight w:val="none"/>
        </w:rPr>
      </w:pPr>
    </w:p>
    <w:p w14:paraId="702D7D92">
      <w:pPr>
        <w:pStyle w:val="35"/>
        <w:numPr>
          <w:ilvl w:val="0"/>
          <w:numId w:val="0"/>
        </w:numPr>
        <w:spacing w:line="340" w:lineRule="exact"/>
        <w:jc w:val="both"/>
        <w:rPr>
          <w:rFonts w:ascii="宋体"/>
          <w:color w:val="auto"/>
          <w:sz w:val="32"/>
          <w:highlight w:val="none"/>
        </w:rPr>
      </w:pPr>
    </w:p>
    <w:p w14:paraId="18CEF341">
      <w:pPr>
        <w:pStyle w:val="35"/>
        <w:numPr>
          <w:ilvl w:val="0"/>
          <w:numId w:val="0"/>
        </w:numPr>
        <w:spacing w:line="340" w:lineRule="exact"/>
        <w:jc w:val="both"/>
        <w:rPr>
          <w:rFonts w:ascii="宋体"/>
          <w:color w:val="auto"/>
          <w:sz w:val="32"/>
          <w:highlight w:val="none"/>
        </w:rPr>
      </w:pPr>
    </w:p>
    <w:p w14:paraId="16229A6E">
      <w:pPr>
        <w:pStyle w:val="35"/>
        <w:numPr>
          <w:ilvl w:val="0"/>
          <w:numId w:val="0"/>
        </w:numPr>
        <w:spacing w:line="340" w:lineRule="exact"/>
        <w:jc w:val="both"/>
        <w:rPr>
          <w:rFonts w:ascii="宋体"/>
          <w:color w:val="auto"/>
          <w:sz w:val="32"/>
          <w:highlight w:val="none"/>
        </w:rPr>
      </w:pPr>
    </w:p>
    <w:p w14:paraId="6D952F74">
      <w:pPr>
        <w:pStyle w:val="35"/>
        <w:numPr>
          <w:ilvl w:val="0"/>
          <w:numId w:val="0"/>
        </w:numPr>
        <w:spacing w:line="340" w:lineRule="exact"/>
        <w:jc w:val="both"/>
        <w:rPr>
          <w:rFonts w:ascii="宋体"/>
          <w:color w:val="auto"/>
          <w:sz w:val="32"/>
          <w:highlight w:val="none"/>
        </w:rPr>
      </w:pPr>
    </w:p>
    <w:p w14:paraId="2DB5B627">
      <w:pPr>
        <w:pStyle w:val="35"/>
        <w:numPr>
          <w:ilvl w:val="0"/>
          <w:numId w:val="0"/>
        </w:numPr>
        <w:spacing w:line="340" w:lineRule="exact"/>
        <w:jc w:val="both"/>
        <w:rPr>
          <w:rFonts w:ascii="宋体"/>
          <w:color w:val="auto"/>
          <w:sz w:val="32"/>
          <w:highlight w:val="none"/>
        </w:rPr>
      </w:pPr>
    </w:p>
    <w:p w14:paraId="69DD574F">
      <w:pPr>
        <w:pStyle w:val="35"/>
        <w:numPr>
          <w:ilvl w:val="0"/>
          <w:numId w:val="0"/>
        </w:numPr>
        <w:spacing w:line="340" w:lineRule="exact"/>
        <w:jc w:val="both"/>
        <w:rPr>
          <w:rFonts w:ascii="宋体"/>
          <w:color w:val="auto"/>
          <w:sz w:val="32"/>
          <w:highlight w:val="none"/>
        </w:rPr>
      </w:pPr>
    </w:p>
    <w:p w14:paraId="36E75453">
      <w:pPr>
        <w:pStyle w:val="35"/>
        <w:numPr>
          <w:ilvl w:val="0"/>
          <w:numId w:val="0"/>
        </w:numPr>
        <w:spacing w:line="340" w:lineRule="exact"/>
        <w:jc w:val="both"/>
        <w:rPr>
          <w:rFonts w:ascii="宋体"/>
          <w:color w:val="auto"/>
          <w:sz w:val="32"/>
          <w:highlight w:val="none"/>
        </w:rPr>
      </w:pPr>
    </w:p>
    <w:p w14:paraId="3EEF771E">
      <w:pPr>
        <w:pStyle w:val="35"/>
        <w:numPr>
          <w:ilvl w:val="0"/>
          <w:numId w:val="0"/>
        </w:numPr>
        <w:spacing w:line="340" w:lineRule="exact"/>
        <w:jc w:val="both"/>
        <w:rPr>
          <w:rFonts w:ascii="宋体"/>
          <w:color w:val="auto"/>
          <w:sz w:val="32"/>
          <w:highlight w:val="none"/>
        </w:rPr>
      </w:pPr>
    </w:p>
    <w:p w14:paraId="3FD601EC">
      <w:pPr>
        <w:pStyle w:val="35"/>
        <w:numPr>
          <w:ilvl w:val="0"/>
          <w:numId w:val="0"/>
        </w:numPr>
        <w:spacing w:line="340" w:lineRule="exact"/>
        <w:jc w:val="both"/>
        <w:rPr>
          <w:rFonts w:ascii="宋体"/>
          <w:color w:val="auto"/>
          <w:sz w:val="32"/>
          <w:highlight w:val="none"/>
        </w:rPr>
      </w:pPr>
    </w:p>
    <w:p w14:paraId="6555A330">
      <w:pPr>
        <w:pStyle w:val="35"/>
        <w:numPr>
          <w:ilvl w:val="0"/>
          <w:numId w:val="0"/>
        </w:numPr>
        <w:spacing w:line="340" w:lineRule="exact"/>
        <w:jc w:val="both"/>
        <w:rPr>
          <w:rFonts w:ascii="宋体"/>
          <w:color w:val="auto"/>
          <w:sz w:val="32"/>
          <w:highlight w:val="none"/>
        </w:rPr>
      </w:pPr>
    </w:p>
    <w:p w14:paraId="039C15F7">
      <w:pPr>
        <w:pStyle w:val="35"/>
        <w:numPr>
          <w:ilvl w:val="0"/>
          <w:numId w:val="0"/>
        </w:numPr>
        <w:spacing w:line="340" w:lineRule="exact"/>
        <w:jc w:val="both"/>
        <w:rPr>
          <w:rFonts w:ascii="宋体"/>
          <w:color w:val="auto"/>
          <w:sz w:val="32"/>
          <w:highlight w:val="none"/>
        </w:rPr>
      </w:pPr>
    </w:p>
    <w:p w14:paraId="3ABC90F5">
      <w:pPr>
        <w:pStyle w:val="35"/>
        <w:numPr>
          <w:ilvl w:val="0"/>
          <w:numId w:val="0"/>
        </w:numPr>
        <w:spacing w:line="340" w:lineRule="exact"/>
        <w:jc w:val="both"/>
        <w:rPr>
          <w:rFonts w:ascii="宋体"/>
          <w:color w:val="auto"/>
          <w:sz w:val="32"/>
          <w:highlight w:val="none"/>
        </w:rPr>
      </w:pPr>
    </w:p>
    <w:p w14:paraId="68429D08">
      <w:pPr>
        <w:pStyle w:val="35"/>
        <w:numPr>
          <w:ilvl w:val="0"/>
          <w:numId w:val="0"/>
        </w:numPr>
        <w:spacing w:line="340" w:lineRule="exact"/>
        <w:jc w:val="both"/>
        <w:rPr>
          <w:rFonts w:ascii="宋体"/>
          <w:color w:val="auto"/>
          <w:sz w:val="32"/>
          <w:highlight w:val="none"/>
        </w:rPr>
      </w:pPr>
    </w:p>
    <w:p w14:paraId="511BB30C">
      <w:pPr>
        <w:pStyle w:val="35"/>
        <w:numPr>
          <w:ilvl w:val="0"/>
          <w:numId w:val="0"/>
        </w:numPr>
        <w:spacing w:line="340" w:lineRule="exact"/>
        <w:jc w:val="both"/>
        <w:rPr>
          <w:rFonts w:ascii="宋体"/>
          <w:color w:val="auto"/>
          <w:sz w:val="32"/>
          <w:highlight w:val="none"/>
        </w:rPr>
      </w:pPr>
    </w:p>
    <w:p w14:paraId="44584F65">
      <w:pPr>
        <w:pStyle w:val="35"/>
        <w:numPr>
          <w:ilvl w:val="0"/>
          <w:numId w:val="0"/>
        </w:numPr>
        <w:spacing w:line="340" w:lineRule="exact"/>
        <w:jc w:val="both"/>
        <w:rPr>
          <w:rFonts w:ascii="宋体"/>
          <w:color w:val="auto"/>
          <w:sz w:val="32"/>
          <w:highlight w:val="none"/>
        </w:rPr>
      </w:pPr>
    </w:p>
    <w:p w14:paraId="38B447DF">
      <w:pPr>
        <w:pStyle w:val="35"/>
        <w:numPr>
          <w:ilvl w:val="0"/>
          <w:numId w:val="0"/>
        </w:numPr>
        <w:spacing w:line="340" w:lineRule="exact"/>
        <w:jc w:val="both"/>
        <w:rPr>
          <w:rFonts w:ascii="宋体"/>
          <w:color w:val="auto"/>
          <w:sz w:val="32"/>
          <w:highlight w:val="none"/>
        </w:rPr>
      </w:pPr>
    </w:p>
    <w:p w14:paraId="014496B9">
      <w:pPr>
        <w:pStyle w:val="35"/>
        <w:numPr>
          <w:ilvl w:val="0"/>
          <w:numId w:val="0"/>
        </w:numPr>
        <w:spacing w:line="340" w:lineRule="exact"/>
        <w:jc w:val="both"/>
        <w:rPr>
          <w:rFonts w:ascii="宋体"/>
          <w:color w:val="auto"/>
          <w:sz w:val="32"/>
          <w:highlight w:val="none"/>
        </w:rPr>
      </w:pPr>
    </w:p>
    <w:p w14:paraId="37338811">
      <w:pPr>
        <w:pStyle w:val="35"/>
        <w:numPr>
          <w:ilvl w:val="0"/>
          <w:numId w:val="0"/>
        </w:numPr>
        <w:spacing w:line="340" w:lineRule="exact"/>
        <w:jc w:val="both"/>
        <w:rPr>
          <w:rFonts w:ascii="宋体"/>
          <w:color w:val="auto"/>
          <w:sz w:val="32"/>
          <w:highlight w:val="none"/>
        </w:rPr>
      </w:pPr>
    </w:p>
    <w:p w14:paraId="4C6F8987">
      <w:pPr>
        <w:pStyle w:val="35"/>
        <w:numPr>
          <w:ilvl w:val="0"/>
          <w:numId w:val="0"/>
        </w:numPr>
        <w:spacing w:line="340" w:lineRule="exact"/>
        <w:jc w:val="both"/>
        <w:rPr>
          <w:rFonts w:ascii="宋体"/>
          <w:color w:val="auto"/>
          <w:sz w:val="32"/>
          <w:highlight w:val="none"/>
        </w:rPr>
      </w:pPr>
    </w:p>
    <w:p w14:paraId="3521CD09">
      <w:pPr>
        <w:pStyle w:val="35"/>
        <w:numPr>
          <w:ilvl w:val="0"/>
          <w:numId w:val="0"/>
        </w:numPr>
        <w:spacing w:line="340" w:lineRule="exact"/>
        <w:jc w:val="both"/>
        <w:rPr>
          <w:rFonts w:ascii="宋体"/>
          <w:color w:val="auto"/>
          <w:sz w:val="32"/>
          <w:highlight w:val="none"/>
        </w:rPr>
      </w:pPr>
    </w:p>
    <w:p w14:paraId="3A19513D">
      <w:pPr>
        <w:pStyle w:val="35"/>
        <w:numPr>
          <w:ilvl w:val="0"/>
          <w:numId w:val="0"/>
        </w:numPr>
        <w:spacing w:line="340" w:lineRule="exact"/>
        <w:jc w:val="both"/>
        <w:rPr>
          <w:rFonts w:ascii="宋体"/>
          <w:color w:val="auto"/>
          <w:sz w:val="32"/>
          <w:highlight w:val="none"/>
        </w:rPr>
      </w:pPr>
    </w:p>
    <w:p w14:paraId="03C029CA">
      <w:pPr>
        <w:pStyle w:val="35"/>
        <w:numPr>
          <w:ilvl w:val="0"/>
          <w:numId w:val="0"/>
        </w:numPr>
        <w:spacing w:line="340" w:lineRule="exact"/>
        <w:jc w:val="both"/>
        <w:rPr>
          <w:rFonts w:ascii="宋体"/>
          <w:color w:val="auto"/>
          <w:sz w:val="32"/>
          <w:highlight w:val="none"/>
        </w:rPr>
      </w:pPr>
    </w:p>
    <w:p w14:paraId="63B66C69">
      <w:pPr>
        <w:pStyle w:val="35"/>
        <w:numPr>
          <w:ilvl w:val="0"/>
          <w:numId w:val="0"/>
        </w:numPr>
        <w:spacing w:line="340" w:lineRule="exact"/>
        <w:jc w:val="both"/>
        <w:rPr>
          <w:rFonts w:ascii="宋体"/>
          <w:color w:val="auto"/>
          <w:sz w:val="32"/>
          <w:highlight w:val="none"/>
        </w:rPr>
      </w:pPr>
    </w:p>
    <w:p w14:paraId="6868590D">
      <w:pPr>
        <w:pStyle w:val="35"/>
        <w:numPr>
          <w:ilvl w:val="0"/>
          <w:numId w:val="0"/>
        </w:numPr>
        <w:spacing w:line="340" w:lineRule="exact"/>
        <w:jc w:val="both"/>
        <w:rPr>
          <w:rFonts w:ascii="宋体"/>
          <w:color w:val="auto"/>
          <w:sz w:val="32"/>
          <w:highlight w:val="none"/>
        </w:rPr>
      </w:pPr>
    </w:p>
    <w:p w14:paraId="7A694B88">
      <w:pPr>
        <w:pStyle w:val="35"/>
        <w:numPr>
          <w:ilvl w:val="0"/>
          <w:numId w:val="0"/>
        </w:numPr>
        <w:spacing w:line="340" w:lineRule="exact"/>
        <w:jc w:val="both"/>
        <w:rPr>
          <w:rFonts w:ascii="宋体"/>
          <w:color w:val="auto"/>
          <w:sz w:val="32"/>
          <w:highlight w:val="none"/>
        </w:rPr>
      </w:pPr>
    </w:p>
    <w:p w14:paraId="0B647031">
      <w:pPr>
        <w:pStyle w:val="35"/>
        <w:numPr>
          <w:ilvl w:val="0"/>
          <w:numId w:val="0"/>
        </w:numPr>
        <w:spacing w:line="340" w:lineRule="exact"/>
        <w:jc w:val="both"/>
        <w:rPr>
          <w:rFonts w:ascii="宋体"/>
          <w:color w:val="auto"/>
          <w:sz w:val="32"/>
          <w:highlight w:val="none"/>
        </w:rPr>
      </w:pPr>
    </w:p>
    <w:p w14:paraId="5C23584D">
      <w:pPr>
        <w:pStyle w:val="35"/>
        <w:numPr>
          <w:ilvl w:val="0"/>
          <w:numId w:val="0"/>
        </w:numPr>
        <w:spacing w:line="340" w:lineRule="exact"/>
        <w:jc w:val="both"/>
        <w:rPr>
          <w:rFonts w:ascii="宋体"/>
          <w:color w:val="auto"/>
          <w:sz w:val="32"/>
          <w:highlight w:val="none"/>
        </w:rPr>
      </w:pPr>
    </w:p>
    <w:p w14:paraId="20D0C503">
      <w:pPr>
        <w:pStyle w:val="35"/>
        <w:numPr>
          <w:ilvl w:val="0"/>
          <w:numId w:val="0"/>
        </w:numPr>
        <w:spacing w:line="340" w:lineRule="exact"/>
        <w:jc w:val="both"/>
        <w:rPr>
          <w:rFonts w:ascii="宋体"/>
          <w:color w:val="auto"/>
          <w:sz w:val="32"/>
          <w:highlight w:val="none"/>
        </w:rPr>
      </w:pPr>
    </w:p>
    <w:p w14:paraId="0B9EEFA9">
      <w:pPr>
        <w:pStyle w:val="35"/>
        <w:numPr>
          <w:ilvl w:val="0"/>
          <w:numId w:val="0"/>
        </w:numPr>
        <w:spacing w:line="340" w:lineRule="exact"/>
        <w:jc w:val="both"/>
        <w:rPr>
          <w:rFonts w:ascii="宋体"/>
          <w:color w:val="auto"/>
          <w:sz w:val="32"/>
          <w:highlight w:val="none"/>
        </w:rPr>
      </w:pPr>
    </w:p>
    <w:p w14:paraId="3AD8FB87">
      <w:pPr>
        <w:pStyle w:val="35"/>
        <w:numPr>
          <w:ilvl w:val="0"/>
          <w:numId w:val="0"/>
        </w:numPr>
        <w:spacing w:line="340" w:lineRule="exact"/>
        <w:jc w:val="both"/>
        <w:rPr>
          <w:rFonts w:ascii="宋体"/>
          <w:color w:val="auto"/>
          <w:sz w:val="32"/>
          <w:highlight w:val="none"/>
        </w:rPr>
      </w:pPr>
    </w:p>
    <w:p w14:paraId="0937F158">
      <w:pPr>
        <w:pStyle w:val="35"/>
        <w:numPr>
          <w:ilvl w:val="0"/>
          <w:numId w:val="0"/>
        </w:numPr>
        <w:spacing w:line="340" w:lineRule="exact"/>
        <w:jc w:val="both"/>
        <w:rPr>
          <w:rFonts w:ascii="宋体"/>
          <w:color w:val="auto"/>
          <w:sz w:val="32"/>
          <w:highlight w:val="none"/>
        </w:rPr>
      </w:pPr>
    </w:p>
    <w:p w14:paraId="66E0A3A6">
      <w:pPr>
        <w:pStyle w:val="35"/>
        <w:numPr>
          <w:ilvl w:val="0"/>
          <w:numId w:val="0"/>
        </w:numPr>
        <w:spacing w:line="340" w:lineRule="exact"/>
        <w:jc w:val="both"/>
        <w:rPr>
          <w:rFonts w:ascii="宋体"/>
          <w:color w:val="auto"/>
          <w:sz w:val="32"/>
          <w:highlight w:val="none"/>
        </w:rPr>
      </w:pPr>
    </w:p>
    <w:p w14:paraId="56E5D6C6">
      <w:pPr>
        <w:pStyle w:val="35"/>
        <w:numPr>
          <w:ilvl w:val="0"/>
          <w:numId w:val="0"/>
        </w:numPr>
        <w:spacing w:line="340" w:lineRule="exact"/>
        <w:jc w:val="both"/>
        <w:rPr>
          <w:rFonts w:ascii="宋体"/>
          <w:color w:val="auto"/>
          <w:sz w:val="32"/>
          <w:highlight w:val="none"/>
        </w:rPr>
      </w:pPr>
    </w:p>
    <w:p w14:paraId="60C0FF39">
      <w:pPr>
        <w:pStyle w:val="35"/>
        <w:numPr>
          <w:ilvl w:val="0"/>
          <w:numId w:val="0"/>
        </w:numPr>
        <w:spacing w:line="340" w:lineRule="exact"/>
        <w:jc w:val="both"/>
        <w:rPr>
          <w:rFonts w:ascii="宋体"/>
          <w:color w:val="auto"/>
          <w:sz w:val="32"/>
          <w:highlight w:val="none"/>
        </w:rPr>
      </w:pPr>
    </w:p>
    <w:p w14:paraId="0E38AE83">
      <w:pPr>
        <w:pStyle w:val="35"/>
        <w:numPr>
          <w:ilvl w:val="0"/>
          <w:numId w:val="0"/>
        </w:numPr>
        <w:spacing w:line="340" w:lineRule="exact"/>
        <w:jc w:val="both"/>
        <w:rPr>
          <w:rFonts w:ascii="宋体"/>
          <w:color w:val="auto"/>
          <w:sz w:val="32"/>
          <w:highlight w:val="none"/>
        </w:rPr>
      </w:pPr>
    </w:p>
    <w:p w14:paraId="3E6709EB">
      <w:pPr>
        <w:pStyle w:val="35"/>
        <w:numPr>
          <w:ilvl w:val="0"/>
          <w:numId w:val="0"/>
        </w:numPr>
        <w:spacing w:line="340" w:lineRule="exact"/>
        <w:jc w:val="both"/>
        <w:rPr>
          <w:rFonts w:ascii="宋体"/>
          <w:color w:val="auto"/>
          <w:sz w:val="32"/>
          <w:highlight w:val="none"/>
        </w:rPr>
      </w:pPr>
    </w:p>
    <w:p w14:paraId="1DA0CAE6">
      <w:pPr>
        <w:pStyle w:val="35"/>
        <w:numPr>
          <w:ilvl w:val="0"/>
          <w:numId w:val="0"/>
        </w:numPr>
        <w:spacing w:line="340" w:lineRule="exact"/>
        <w:jc w:val="both"/>
        <w:rPr>
          <w:rFonts w:ascii="宋体"/>
          <w:color w:val="auto"/>
          <w:sz w:val="32"/>
          <w:highlight w:val="none"/>
        </w:rPr>
      </w:pPr>
    </w:p>
    <w:p w14:paraId="2F091858">
      <w:pPr>
        <w:keepNext/>
        <w:keepLines/>
        <w:widowControl w:val="0"/>
        <w:numPr>
          <w:ilvl w:val="0"/>
          <w:numId w:val="8"/>
        </w:numPr>
        <w:spacing w:line="340" w:lineRule="exact"/>
        <w:jc w:val="center"/>
        <w:outlineLvl w:val="0"/>
        <w:rPr>
          <w:rFonts w:ascii="宋体" w:hAnsi="宋体" w:eastAsia="宋体" w:cs="Times New Roman"/>
          <w:b/>
          <w:bCs/>
          <w:color w:val="auto"/>
          <w:kern w:val="44"/>
          <w:sz w:val="32"/>
          <w:szCs w:val="21"/>
          <w:highlight w:val="none"/>
          <w:lang w:val="en-US" w:eastAsia="zh-CN" w:bidi="ar-SA"/>
        </w:rPr>
      </w:pPr>
      <w:bookmarkStart w:id="157" w:name="_Toc1894"/>
      <w:bookmarkStart w:id="158" w:name="_Toc522201558"/>
      <w:bookmarkStart w:id="159" w:name="_Toc256000031"/>
      <w:bookmarkStart w:id="160" w:name="_Toc13895"/>
      <w:r>
        <w:rPr>
          <w:rFonts w:ascii="宋体" w:hAnsi="宋体" w:eastAsia="宋体" w:cs="Times New Roman"/>
          <w:b/>
          <w:bCs/>
          <w:color w:val="auto"/>
          <w:kern w:val="44"/>
          <w:sz w:val="32"/>
          <w:szCs w:val="21"/>
          <w:highlight w:val="none"/>
          <w:lang w:val="en-US" w:eastAsia="zh-CN" w:bidi="ar-SA"/>
        </w:rPr>
        <w:t>合同协议书</w:t>
      </w:r>
      <w:bookmarkEnd w:id="157"/>
      <w:bookmarkEnd w:id="158"/>
      <w:bookmarkEnd w:id="159"/>
      <w:bookmarkEnd w:id="160"/>
    </w:p>
    <w:p w14:paraId="4E8C6B8D">
      <w:pPr>
        <w:keepNext/>
        <w:keepLines/>
        <w:widowControl w:val="0"/>
        <w:numPr>
          <w:ilvl w:val="0"/>
          <w:numId w:val="0"/>
        </w:numPr>
        <w:spacing w:line="340" w:lineRule="exact"/>
        <w:jc w:val="both"/>
        <w:outlineLvl w:val="0"/>
        <w:rPr>
          <w:rFonts w:ascii="宋体" w:hAnsi="宋体" w:eastAsia="宋体" w:cs="Times New Roman"/>
          <w:b/>
          <w:bCs/>
          <w:color w:val="auto"/>
          <w:kern w:val="44"/>
          <w:sz w:val="32"/>
          <w:szCs w:val="21"/>
          <w:highlight w:val="none"/>
          <w:lang w:val="en-US" w:eastAsia="zh-CN" w:bidi="ar-SA"/>
        </w:rPr>
      </w:pPr>
    </w:p>
    <w:p w14:paraId="2307F7EF">
      <w:pPr>
        <w:widowControl w:val="0"/>
        <w:adjustRightInd w:val="0"/>
        <w:snapToGrid w:val="0"/>
        <w:spacing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发包人（全称）： </w:t>
      </w:r>
      <w:r>
        <w:rPr>
          <w:rFonts w:hint="eastAsia" w:ascii="宋体" w:hAnsi="宋体" w:eastAsia="宋体" w:cs="宋体"/>
          <w:color w:val="auto"/>
          <w:kern w:val="2"/>
          <w:sz w:val="21"/>
          <w:szCs w:val="21"/>
          <w:highlight w:val="none"/>
          <w:u w:val="single"/>
          <w:lang w:val="en-US" w:eastAsia="zh-CN" w:bidi="ar-SA"/>
        </w:rPr>
        <w:t xml:space="preserve">    灵渠博物院    </w:t>
      </w:r>
    </w:p>
    <w:p w14:paraId="34808B4E">
      <w:pPr>
        <w:widowControl w:val="0"/>
        <w:adjustRightInd w:val="0"/>
        <w:snapToGrid w:val="0"/>
        <w:spacing w:line="400" w:lineRule="exact"/>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承包人（全称）：</w:t>
      </w:r>
      <w:r>
        <w:rPr>
          <w:rFonts w:hint="eastAsia" w:ascii="宋体" w:hAnsi="宋体" w:eastAsia="宋体" w:cs="宋体"/>
          <w:color w:val="auto"/>
          <w:kern w:val="2"/>
          <w:sz w:val="21"/>
          <w:szCs w:val="21"/>
          <w:highlight w:val="none"/>
          <w:u w:val="single"/>
          <w:lang w:val="en-US" w:eastAsia="zh-CN" w:bidi="ar-SA"/>
        </w:rPr>
        <w:t xml:space="preserve">                   </w:t>
      </w:r>
    </w:p>
    <w:p w14:paraId="05AB10CB">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根据《中华人民共和国民法典》《中华人民共和国建筑法》及有关法律规定，遵循平等、自愿、公平和诚实信用的原则，双方就</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兴安严关修缮工程</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工程施工及有关事项协商一致，共同达成如下协议：</w:t>
      </w:r>
    </w:p>
    <w:p w14:paraId="3F9369BD">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一、工程概况</w:t>
      </w:r>
    </w:p>
    <w:p w14:paraId="01C1A7F1">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1.工程名称：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兴安严关修缮工程</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49212CD">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2.工程地点：</w:t>
      </w:r>
      <w:r>
        <w:rPr>
          <w:rFonts w:hint="eastAsia" w:ascii="宋体" w:hAnsi="宋体" w:eastAsia="宋体" w:cs="宋体"/>
          <w:color w:val="auto"/>
          <w:kern w:val="2"/>
          <w:sz w:val="21"/>
          <w:szCs w:val="21"/>
          <w:highlight w:val="none"/>
          <w:u w:val="single"/>
          <w:lang w:val="en-US" w:eastAsia="zh-CN" w:bidi="ar-SA"/>
        </w:rPr>
        <w:t xml:space="preserve">   桂林市兴安县</w:t>
      </w:r>
      <w:r>
        <w:rPr>
          <w:rFonts w:hint="eastAsia" w:ascii="宋体" w:hAnsi="宋体" w:cs="宋体"/>
          <w:color w:val="auto"/>
          <w:kern w:val="2"/>
          <w:sz w:val="21"/>
          <w:szCs w:val="21"/>
          <w:highlight w:val="none"/>
          <w:u w:val="single"/>
          <w:lang w:val="en-US" w:eastAsia="zh-CN" w:bidi="ar-SA"/>
        </w:rPr>
        <w:t>严关</w:t>
      </w:r>
      <w:r>
        <w:rPr>
          <w:rFonts w:hint="eastAsia" w:ascii="宋体" w:hAnsi="宋体" w:eastAsia="宋体" w:cs="宋体"/>
          <w:color w:val="auto"/>
          <w:kern w:val="2"/>
          <w:sz w:val="21"/>
          <w:szCs w:val="21"/>
          <w:highlight w:val="none"/>
          <w:lang w:val="en-US" w:eastAsia="zh-CN" w:bidi="ar-SA"/>
        </w:rPr>
        <w:t>。</w:t>
      </w:r>
    </w:p>
    <w:p w14:paraId="42FE1CA3">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3.资金来源：</w:t>
      </w:r>
      <w:r>
        <w:rPr>
          <w:rFonts w:hint="eastAsia" w:ascii="宋体" w:hAnsi="宋体" w:eastAsia="宋体" w:cs="宋体"/>
          <w:color w:val="auto"/>
          <w:kern w:val="2"/>
          <w:sz w:val="21"/>
          <w:szCs w:val="21"/>
          <w:highlight w:val="none"/>
          <w:u w:val="single"/>
          <w:lang w:val="en-US" w:eastAsia="zh-CN" w:bidi="ar-SA"/>
        </w:rPr>
        <w:t xml:space="preserve">  国家文物保护专项资金     </w:t>
      </w:r>
      <w:r>
        <w:rPr>
          <w:rFonts w:hint="eastAsia" w:ascii="宋体" w:hAnsi="宋体" w:eastAsia="宋体" w:cs="宋体"/>
          <w:color w:val="auto"/>
          <w:kern w:val="2"/>
          <w:sz w:val="21"/>
          <w:szCs w:val="21"/>
          <w:highlight w:val="none"/>
          <w:lang w:val="en-US" w:eastAsia="zh-CN" w:bidi="ar-SA"/>
        </w:rPr>
        <w:t>。</w:t>
      </w:r>
    </w:p>
    <w:p w14:paraId="1A5913AF">
      <w:pPr>
        <w:widowControl w:val="0"/>
        <w:adjustRightInd w:val="0"/>
        <w:snapToGrid w:val="0"/>
        <w:spacing w:line="400" w:lineRule="exact"/>
        <w:ind w:firstLine="459"/>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4.工程内容：</w:t>
      </w:r>
      <w:r>
        <w:rPr>
          <w:rFonts w:hint="eastAsia" w:ascii="宋体" w:hAnsi="宋体" w:cs="宋体"/>
          <w:color w:val="auto"/>
          <w:kern w:val="2"/>
          <w:sz w:val="21"/>
          <w:szCs w:val="21"/>
          <w:highlight w:val="none"/>
          <w:u w:val="single"/>
          <w:lang w:val="en-US" w:eastAsia="zh-CN" w:bidi="ar-SA"/>
        </w:rPr>
        <w:t>对兴安县严关关墙建筑本体修缮及关墙东西两侧环境整治，主要修缮内容为墙体、地面、裂缝灌浆、台明等项目，采用科学合理的技术手段，对严关关墙存在的外鼓、松散、开裂等对墙体结构产生危害的病害进行治理，使建筑的病害得到遏制，消除安全隐患，保证关墙的结构安全。本次工程范围：严关关墙，总建筑面积368.62平方米。</w:t>
      </w:r>
      <w:r>
        <w:rPr>
          <w:rFonts w:hint="eastAsia" w:ascii="宋体" w:hAnsi="宋体" w:eastAsia="宋体" w:cs="宋体"/>
          <w:color w:val="auto"/>
          <w:kern w:val="2"/>
          <w:sz w:val="21"/>
          <w:szCs w:val="21"/>
          <w:highlight w:val="none"/>
          <w:u w:val="single"/>
          <w:lang w:val="en-US" w:eastAsia="zh-CN" w:bidi="ar-SA"/>
        </w:rPr>
        <w:t>具体内容详见招标文件、施工设计图纸及工程量清单。</w:t>
      </w:r>
    </w:p>
    <w:p w14:paraId="76A336B1">
      <w:pPr>
        <w:widowControl w:val="0"/>
        <w:adjustRightInd w:val="0"/>
        <w:snapToGrid w:val="0"/>
        <w:spacing w:line="400" w:lineRule="exact"/>
        <w:ind w:firstLine="459"/>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5.工程承包范围：</w:t>
      </w:r>
      <w:r>
        <w:rPr>
          <w:rFonts w:hint="eastAsia" w:ascii="宋体" w:hAnsi="宋体" w:eastAsia="宋体" w:cs="宋体"/>
          <w:color w:val="auto"/>
          <w:kern w:val="2"/>
          <w:sz w:val="21"/>
          <w:szCs w:val="21"/>
          <w:highlight w:val="none"/>
          <w:u w:val="single"/>
          <w:lang w:val="en-US" w:eastAsia="zh-CN" w:bidi="ar-SA"/>
        </w:rPr>
        <w:t xml:space="preserve">  本工程工程量清单、施工图纸包含的全部      </w:t>
      </w:r>
      <w:r>
        <w:rPr>
          <w:rFonts w:hint="eastAsia" w:ascii="宋体" w:hAnsi="宋体" w:eastAsia="宋体" w:cs="宋体"/>
          <w:color w:val="auto"/>
          <w:kern w:val="2"/>
          <w:sz w:val="21"/>
          <w:szCs w:val="21"/>
          <w:highlight w:val="none"/>
          <w:lang w:val="en-US" w:eastAsia="zh-CN" w:bidi="ar-SA"/>
        </w:rPr>
        <w:t>。</w:t>
      </w:r>
    </w:p>
    <w:p w14:paraId="6863415D">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二、合同工期</w:t>
      </w:r>
    </w:p>
    <w:p w14:paraId="3DF44C99">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计划开工日期：</w:t>
      </w:r>
      <w:r>
        <w:rPr>
          <w:rFonts w:hint="eastAsia" w:ascii="宋体" w:hAnsi="宋体" w:eastAsia="宋体" w:cs="宋体"/>
          <w:color w:val="auto"/>
          <w:kern w:val="2"/>
          <w:sz w:val="21"/>
          <w:szCs w:val="21"/>
          <w:highlight w:val="none"/>
          <w:u w:val="single"/>
          <w:lang w:val="en-US" w:eastAsia="zh-CN" w:bidi="ar-SA"/>
        </w:rPr>
        <w:t xml:space="preserve">  2025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日。（实际开工日期以开工令为准）</w:t>
      </w:r>
    </w:p>
    <w:p w14:paraId="741D7FD7">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计划竣工日期：</w:t>
      </w:r>
      <w:r>
        <w:rPr>
          <w:rFonts w:hint="eastAsia" w:ascii="宋体" w:hAnsi="宋体" w:eastAsia="宋体" w:cs="宋体"/>
          <w:color w:val="auto"/>
          <w:kern w:val="2"/>
          <w:sz w:val="21"/>
          <w:szCs w:val="21"/>
          <w:highlight w:val="none"/>
          <w:u w:val="single"/>
          <w:lang w:val="en-US" w:eastAsia="zh-CN" w:bidi="ar-SA"/>
        </w:rPr>
        <w:t xml:space="preserve"> 2026 </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日。</w:t>
      </w:r>
    </w:p>
    <w:p w14:paraId="32400915">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工期总日历天数：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120</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天。工期总日历天数与根据前述计划开竣工日期计算的工期天数不一致的，以工期总日历天数为准。</w:t>
      </w:r>
    </w:p>
    <w:p w14:paraId="6BF53FEA">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三、质量标准</w:t>
      </w:r>
    </w:p>
    <w:p w14:paraId="19F3C758">
      <w:pPr>
        <w:tabs>
          <w:tab w:val="left" w:pos="210"/>
        </w:tabs>
        <w:autoSpaceDE/>
        <w:autoSpaceDN/>
        <w:spacing w:line="360" w:lineRule="exact"/>
        <w:ind w:firstLine="420" w:firstLineChars="200"/>
        <w:jc w:val="both"/>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eastAsia="zh-CN" w:bidi="ar-SA"/>
        </w:rPr>
        <w:t>质量标准：达到国家施工验收规范合格标准</w:t>
      </w:r>
      <w:r>
        <w:rPr>
          <w:rFonts w:hint="eastAsia" w:ascii="宋体" w:hAnsi="宋体" w:eastAsia="宋体" w:cs="宋体"/>
          <w:color w:val="auto"/>
          <w:kern w:val="2"/>
          <w:sz w:val="21"/>
          <w:szCs w:val="24"/>
          <w:highlight w:val="none"/>
          <w:lang w:val="en-US" w:bidi="ar-SA"/>
        </w:rPr>
        <w:t>。</w:t>
      </w:r>
    </w:p>
    <w:p w14:paraId="6EDAAB31">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四、签约合同价与合同价格形式</w:t>
      </w:r>
    </w:p>
    <w:p w14:paraId="59255E7C">
      <w:pPr>
        <w:widowControl w:val="0"/>
        <w:adjustRightInd w:val="0"/>
        <w:snapToGrid w:val="0"/>
        <w:spacing w:line="400" w:lineRule="exact"/>
        <w:ind w:firstLine="459"/>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 签约合同价为：</w:t>
      </w:r>
    </w:p>
    <w:p w14:paraId="50F9294B">
      <w:pPr>
        <w:widowControl w:val="0"/>
        <w:adjustRightInd w:val="0"/>
        <w:snapToGrid w:val="0"/>
        <w:spacing w:line="40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总价：人民币（大写）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48C0CE2E">
      <w:pPr>
        <w:widowControl w:val="0"/>
        <w:adjustRightInd w:val="0"/>
        <w:snapToGrid w:val="0"/>
        <w:spacing w:line="400" w:lineRule="exact"/>
        <w:ind w:firstLine="525" w:firstLineChars="2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w:t>
      </w:r>
    </w:p>
    <w:p w14:paraId="0E37ED1A">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（1）投标报价：</w:t>
      </w:r>
    </w:p>
    <w:p w14:paraId="6EDC86A7">
      <w:pPr>
        <w:widowControl w:val="0"/>
        <w:adjustRightInd w:val="0"/>
        <w:snapToGrid w:val="0"/>
        <w:spacing w:line="400" w:lineRule="exact"/>
        <w:ind w:firstLine="978" w:firstLineChars="46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44F0D36F">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（2）安全文明施工费：</w:t>
      </w:r>
    </w:p>
    <w:p w14:paraId="7967FAE4">
      <w:pPr>
        <w:widowControl w:val="0"/>
        <w:adjustRightInd w:val="0"/>
        <w:snapToGrid w:val="0"/>
        <w:spacing w:line="400" w:lineRule="exact"/>
        <w:ind w:firstLine="978" w:firstLineChars="46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14471983">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（3）规费：人民币（大写）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72378AE6">
      <w:pPr>
        <w:widowControl w:val="0"/>
        <w:adjustRightInd w:val="0"/>
        <w:snapToGrid w:val="0"/>
        <w:spacing w:line="400" w:lineRule="exact"/>
        <w:ind w:firstLine="1050" w:firstLineChars="5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其中社会保险费：</w:t>
      </w:r>
    </w:p>
    <w:p w14:paraId="3D0965A1">
      <w:pPr>
        <w:widowControl w:val="0"/>
        <w:adjustRightInd w:val="0"/>
        <w:snapToGrid w:val="0"/>
        <w:spacing w:line="400" w:lineRule="exact"/>
        <w:ind w:left="420" w:leftChars="200" w:firstLine="638" w:firstLineChars="304"/>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0968D594">
      <w:pPr>
        <w:widowControl w:val="0"/>
        <w:adjustRightInd w:val="0"/>
        <w:snapToGrid w:val="0"/>
        <w:spacing w:line="400" w:lineRule="exact"/>
        <w:ind w:firstLine="945" w:firstLineChars="4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21321C79">
      <w:pPr>
        <w:widowControl w:val="0"/>
        <w:numPr>
          <w:ilvl w:val="0"/>
          <w:numId w:val="9"/>
        </w:numPr>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增值税：</w:t>
      </w:r>
    </w:p>
    <w:p w14:paraId="552C1EC5">
      <w:pPr>
        <w:widowControl w:val="0"/>
        <w:adjustRightInd w:val="0"/>
        <w:snapToGrid w:val="0"/>
        <w:spacing w:line="400" w:lineRule="exact"/>
        <w:ind w:left="420" w:leftChars="200"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6F5F5F1E">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（5）材料和工程设备暂估价金额：</w:t>
      </w:r>
    </w:p>
    <w:p w14:paraId="02C64E2E">
      <w:pPr>
        <w:widowControl w:val="0"/>
        <w:adjustRightInd w:val="0"/>
        <w:snapToGrid w:val="0"/>
        <w:spacing w:line="400" w:lineRule="exact"/>
        <w:ind w:firstLine="945" w:firstLineChars="4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7289F3C5">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（6）专业工程暂估价金额：</w:t>
      </w:r>
    </w:p>
    <w:p w14:paraId="5F29B1CD">
      <w:pPr>
        <w:widowControl w:val="0"/>
        <w:adjustRightInd w:val="0"/>
        <w:snapToGrid w:val="0"/>
        <w:spacing w:line="400" w:lineRule="exact"/>
        <w:ind w:firstLine="945" w:firstLineChars="4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3F832584">
      <w:pPr>
        <w:widowControl w:val="0"/>
        <w:spacing w:line="360" w:lineRule="auto"/>
        <w:ind w:firstLine="945" w:firstLineChars="450"/>
        <w:jc w:val="both"/>
        <w:rPr>
          <w:rFonts w:hint="eastAsia" w:ascii="宋体" w:hAnsi="宋体" w:eastAsia="宋体" w:cs="宋体"/>
          <w:color w:val="auto"/>
          <w:kern w:val="2"/>
          <w:sz w:val="21"/>
          <w:szCs w:val="21"/>
          <w:highlight w:val="none"/>
          <w:lang w:val="en-US" w:eastAsia="zh-CN" w:bidi="ar-SA"/>
        </w:rPr>
      </w:pPr>
      <w:r>
        <w:rPr>
          <w:rStyle w:val="28"/>
          <w:rFonts w:hint="eastAsia" w:ascii="Times New Roman" w:hAnsi="宋体" w:eastAsia="宋体" w:cs="宋体"/>
          <w:color w:val="auto"/>
          <w:kern w:val="2"/>
          <w:sz w:val="21"/>
          <w:szCs w:val="21"/>
          <w:highlight w:val="none"/>
          <w:lang w:val="en-US" w:eastAsia="zh-CN" w:bidi="ar-SA"/>
        </w:rPr>
        <w:t>其中安全生产责任保险费：人民币（大写）</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宋体"/>
          <w:color w:val="auto"/>
          <w:kern w:val="2"/>
          <w:sz w:val="21"/>
          <w:szCs w:val="21"/>
          <w:highlight w:val="none"/>
          <w:lang w:val="en-US" w:eastAsia="zh-CN" w:bidi="ar-SA"/>
        </w:rPr>
        <w:t>（</w:t>
      </w:r>
      <w:r>
        <w:rPr>
          <w:rStyle w:val="28"/>
          <w:rFonts w:ascii="Times New Roman" w:hAnsi="Times New Roman" w:eastAsia="宋体" w:cs="Times New Roman"/>
          <w:color w:val="auto"/>
          <w:kern w:val="2"/>
          <w:sz w:val="21"/>
          <w:szCs w:val="21"/>
          <w:highlight w:val="non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宋体" w:eastAsia="宋体" w:cs="宋体"/>
          <w:color w:val="auto"/>
          <w:kern w:val="2"/>
          <w:sz w:val="21"/>
          <w:szCs w:val="21"/>
          <w:highlight w:val="none"/>
          <w:lang w:val="en-US" w:eastAsia="zh-CN" w:bidi="ar-SA"/>
        </w:rPr>
        <w:t>元</w:t>
      </w:r>
      <w:r>
        <w:rPr>
          <w:rStyle w:val="28"/>
          <w:rFonts w:hint="eastAsia" w:ascii="Times New Roman" w:hAnsi="Times New Roman" w:eastAsia="宋体" w:cs="宋体"/>
          <w:color w:val="auto"/>
          <w:kern w:val="2"/>
          <w:sz w:val="21"/>
          <w:szCs w:val="21"/>
          <w:highlight w:val="none"/>
          <w:lang w:val="en-US" w:eastAsia="zh-CN" w:bidi="ar-SA"/>
        </w:rPr>
        <w:t>）</w:t>
      </w:r>
      <w:r>
        <w:rPr>
          <w:rStyle w:val="28"/>
          <w:rFonts w:hint="eastAsia" w:ascii="Times New Roman" w:hAnsi="宋体" w:eastAsia="宋体" w:cs="宋体"/>
          <w:color w:val="auto"/>
          <w:kern w:val="2"/>
          <w:sz w:val="21"/>
          <w:szCs w:val="21"/>
          <w:highlight w:val="none"/>
          <w:lang w:val="en-US" w:eastAsia="zh-CN" w:bidi="ar-SA"/>
        </w:rPr>
        <w:t>；</w:t>
      </w:r>
    </w:p>
    <w:p w14:paraId="0188EC08">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（7）暂列金额：</w:t>
      </w:r>
    </w:p>
    <w:p w14:paraId="662CD59D">
      <w:pPr>
        <w:widowControl w:val="0"/>
        <w:adjustRightInd w:val="0"/>
        <w:snapToGrid w:val="0"/>
        <w:spacing w:line="400" w:lineRule="exact"/>
        <w:ind w:firstLine="945" w:firstLineChars="4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人民币（大写）</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4889DC88">
      <w:pPr>
        <w:widowControl w:val="0"/>
        <w:adjustRightInd w:val="0"/>
        <w:snapToGrid w:val="0"/>
        <w:spacing w:line="40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根据市住建〔2016〕34号文《关于市建成区、临桂新区、灵川县范围内建筑工程新增扬尘防治费用的通知》和市住建〔2018〕32号文《桂林十县范围内建筑工程新增扬尘防治费用的通知》，另计扬尘防治费，本项目扬尘防治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w:t>
      </w:r>
    </w:p>
    <w:p w14:paraId="7CA48728">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 合同价格形式：</w:t>
      </w:r>
      <w:r>
        <w:rPr>
          <w:rFonts w:hint="eastAsia" w:ascii="宋体" w:hAnsi="宋体" w:eastAsia="宋体" w:cs="宋体"/>
          <w:color w:val="auto"/>
          <w:kern w:val="2"/>
          <w:sz w:val="21"/>
          <w:szCs w:val="21"/>
          <w:highlight w:val="none"/>
          <w:u w:val="single"/>
          <w:lang w:val="en-US" w:eastAsia="zh-CN" w:bidi="ar-SA"/>
        </w:rPr>
        <w:t>采用固定综合单价合同形式</w:t>
      </w:r>
      <w:r>
        <w:rPr>
          <w:rFonts w:hint="eastAsia" w:ascii="宋体" w:hAnsi="宋体" w:eastAsia="宋体" w:cs="宋体"/>
          <w:color w:val="auto"/>
          <w:kern w:val="2"/>
          <w:sz w:val="21"/>
          <w:szCs w:val="21"/>
          <w:highlight w:val="none"/>
          <w:lang w:val="en-US" w:eastAsia="zh-CN" w:bidi="ar-SA"/>
        </w:rPr>
        <w:t>。</w:t>
      </w:r>
    </w:p>
    <w:p w14:paraId="0C0C9558">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五、项目经理</w:t>
      </w:r>
    </w:p>
    <w:p w14:paraId="56142BE7">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承包人项目经理：</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i/>
          <w:iCs/>
          <w:color w:val="auto"/>
          <w:kern w:val="2"/>
          <w:sz w:val="21"/>
          <w:szCs w:val="21"/>
          <w:highlight w:val="none"/>
          <w:u w:val="single"/>
          <w:lang w:val="en-US" w:eastAsia="zh-CN" w:bidi="ar-SA"/>
        </w:rPr>
        <w:t>中标后填写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i/>
          <w:iCs/>
          <w:color w:val="auto"/>
          <w:kern w:val="2"/>
          <w:sz w:val="21"/>
          <w:szCs w:val="21"/>
          <w:highlight w:val="none"/>
          <w:u w:val="single"/>
          <w:lang w:val="en-US" w:eastAsia="zh-CN" w:bidi="ar-SA"/>
        </w:rPr>
        <w:t>中标后填写</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262CBF81">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六、合同文件构成</w:t>
      </w:r>
    </w:p>
    <w:p w14:paraId="583B78D4">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本协议书与下列文件一起构成合同文件：</w:t>
      </w:r>
    </w:p>
    <w:p w14:paraId="4D9E1532">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（1）中标通知书（如果有）；</w:t>
      </w:r>
    </w:p>
    <w:p w14:paraId="035CCACC">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（2）投标函及其附录（如果有）； </w:t>
      </w:r>
    </w:p>
    <w:p w14:paraId="67E7AC10">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（3）专用合同条款及其附件；</w:t>
      </w:r>
    </w:p>
    <w:p w14:paraId="1AE9D375">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（4）通用合同条款；</w:t>
      </w:r>
    </w:p>
    <w:p w14:paraId="47636911">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（5）技术标准和要求；</w:t>
      </w:r>
    </w:p>
    <w:p w14:paraId="59A3352D">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（6）图纸；</w:t>
      </w:r>
    </w:p>
    <w:p w14:paraId="7E6DCB44">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（7）已标价工程量清单或预算书；</w:t>
      </w:r>
    </w:p>
    <w:p w14:paraId="5AF4A382">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（8）其他合同文件。</w:t>
      </w:r>
    </w:p>
    <w:p w14:paraId="6CE257CD">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在合同订立及履行过程中形成的与合同有关的文件均构成合同文件组成部分。</w:t>
      </w:r>
    </w:p>
    <w:p w14:paraId="4CE7F992">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上述各项合同文件包括合同当事人就该项合同文件所作出的补充和修改，属于同一项内容的文件，应以最新签署的为准。专用合同条款及其附件须经合同当事人签字或盖章。</w:t>
      </w:r>
    </w:p>
    <w:p w14:paraId="56E8C87B">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七、承诺</w:t>
      </w:r>
    </w:p>
    <w:p w14:paraId="1CA9C485">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1.发包人承诺按照法律规定履行项目审批手续、筹集工程建设资金并按照合同约定的期限和方式支付合同价款。</w:t>
      </w:r>
    </w:p>
    <w:p w14:paraId="5DE9DBA3">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2.承包人承诺按照法律规定及合同约定组织完成工程施工，确保工程质量和安全，不进行转包及违法分包，并在缺陷责任期及保修期内承担相应的工程维修责任。</w:t>
      </w:r>
    </w:p>
    <w:p w14:paraId="5CB12412">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3.发包人和承包人通过招投标形式签订合同的，双方理解并承诺不再就同一工程另行签订与合同实质性内容相背离的协议。</w:t>
      </w:r>
    </w:p>
    <w:p w14:paraId="23942A54">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八、词语含义</w:t>
      </w:r>
    </w:p>
    <w:p w14:paraId="5CEF1627">
      <w:pPr>
        <w:widowControl w:val="0"/>
        <w:adjustRightInd w:val="0"/>
        <w:snapToGrid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本协议书中词语含义与第二部分通用合同条款中赋予的含义相同。</w:t>
      </w:r>
    </w:p>
    <w:p w14:paraId="046E5E05">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九、签订时间</w:t>
      </w:r>
    </w:p>
    <w:p w14:paraId="62169619">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本合同于</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年</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月</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日签订。</w:t>
      </w:r>
    </w:p>
    <w:p w14:paraId="45674305">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十、签订地点</w:t>
      </w:r>
    </w:p>
    <w:p w14:paraId="50D5CA68">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本合同在</w:t>
      </w:r>
      <w:r>
        <w:rPr>
          <w:rFonts w:hint="eastAsia" w:ascii="宋体" w:hAnsi="宋体" w:eastAsia="宋体" w:cs="宋体"/>
          <w:bCs/>
          <w:color w:val="auto"/>
          <w:kern w:val="2"/>
          <w:sz w:val="21"/>
          <w:szCs w:val="21"/>
          <w:highlight w:val="none"/>
          <w:u w:val="single"/>
          <w:lang w:val="en-US" w:eastAsia="zh-CN" w:bidi="ar-SA"/>
        </w:rPr>
        <w:t xml:space="preserve">  广西桂林市兴安县 </w:t>
      </w:r>
      <w:r>
        <w:rPr>
          <w:rFonts w:hint="eastAsia" w:ascii="宋体" w:hAnsi="宋体" w:eastAsia="宋体" w:cs="宋体"/>
          <w:bCs/>
          <w:color w:val="auto"/>
          <w:kern w:val="2"/>
          <w:sz w:val="21"/>
          <w:szCs w:val="21"/>
          <w:highlight w:val="none"/>
          <w:lang w:val="en-US" w:eastAsia="zh-CN" w:bidi="ar-SA"/>
        </w:rPr>
        <w:t>签订。</w:t>
      </w:r>
    </w:p>
    <w:p w14:paraId="6AB0335D">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十一、补充协议</w:t>
      </w:r>
    </w:p>
    <w:p w14:paraId="703F7D39">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合同未尽事宜，合同当事人另行签订补充协议，补充协议是合同的组成部分。</w:t>
      </w:r>
    </w:p>
    <w:p w14:paraId="70630784">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十二、合同生效</w:t>
      </w:r>
    </w:p>
    <w:p w14:paraId="0A8EF9E8">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本合同自</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双方法定代表人或其委托代理人签字或盖章并加盖单位公章后</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生效。</w:t>
      </w:r>
    </w:p>
    <w:p w14:paraId="35050BAE">
      <w:pPr>
        <w:widowControl w:val="0"/>
        <w:adjustRightInd w:val="0"/>
        <w:snapToGrid w:val="0"/>
        <w:spacing w:line="400" w:lineRule="exact"/>
        <w:ind w:firstLine="422" w:firstLineChars="200"/>
        <w:jc w:val="both"/>
        <w:outlineLvl w:val="0"/>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十三、合同份数</w:t>
      </w:r>
    </w:p>
    <w:p w14:paraId="4C87B0A4">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本合同一式</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份，均具有同等法律效力，发包人执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份，承包人执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份，招标代理机构执</w:t>
      </w:r>
      <w:r>
        <w:rPr>
          <w:rFonts w:hint="eastAsia" w:ascii="宋体" w:hAnsi="宋体" w:eastAsia="宋体" w:cs="宋体"/>
          <w:bCs/>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lang w:val="en-US" w:eastAsia="zh-CN" w:bidi="ar-SA"/>
        </w:rPr>
        <w:t>份。</w:t>
      </w:r>
    </w:p>
    <w:p w14:paraId="59B11143">
      <w:pPr>
        <w:widowControl w:val="0"/>
        <w:adjustRightInd w:val="0"/>
        <w:snapToGrid w:val="0"/>
        <w:spacing w:line="400" w:lineRule="exact"/>
        <w:ind w:firstLine="420" w:firstLineChars="200"/>
        <w:jc w:val="both"/>
        <w:rPr>
          <w:rFonts w:ascii="宋体" w:hAnsi="宋体" w:eastAsia="宋体" w:cs="宋体"/>
          <w:bCs/>
          <w:color w:val="auto"/>
          <w:kern w:val="2"/>
          <w:sz w:val="21"/>
          <w:szCs w:val="21"/>
          <w:highlight w:val="none"/>
          <w:lang w:val="en-US" w:eastAsia="zh-CN" w:bidi="ar-SA"/>
        </w:rPr>
      </w:pPr>
    </w:p>
    <w:tbl>
      <w:tblPr>
        <w:tblStyle w:val="27"/>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7175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72D056A">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发包人：（公章）</w:t>
            </w:r>
          </w:p>
        </w:tc>
        <w:tc>
          <w:tcPr>
            <w:tcW w:w="4597" w:type="dxa"/>
            <w:noWrap w:val="0"/>
            <w:vAlign w:val="top"/>
          </w:tcPr>
          <w:p w14:paraId="2F7EF78C">
            <w:pPr>
              <w:autoSpaceDE/>
              <w:autoSpaceDN/>
              <w:spacing w:line="360" w:lineRule="auto"/>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承包人：（公章）</w:t>
            </w:r>
          </w:p>
        </w:tc>
      </w:tr>
      <w:tr w14:paraId="397F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42F7265">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p>
        </w:tc>
        <w:tc>
          <w:tcPr>
            <w:tcW w:w="4597" w:type="dxa"/>
            <w:noWrap w:val="0"/>
            <w:vAlign w:val="top"/>
          </w:tcPr>
          <w:p w14:paraId="4ECFC9EF">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 </w:t>
            </w:r>
          </w:p>
        </w:tc>
      </w:tr>
      <w:tr w14:paraId="31A3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4DB0F119">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法定代表人</w:t>
            </w:r>
            <w:r>
              <w:rPr>
                <w:rFonts w:hint="eastAsia" w:ascii="Times New Roman" w:hAnsi="宋体" w:eastAsia="宋体" w:cs="宋体"/>
                <w:color w:val="auto"/>
                <w:kern w:val="2"/>
                <w:sz w:val="21"/>
                <w:szCs w:val="21"/>
                <w:highlight w:val="none"/>
                <w:lang w:val="en-US" w:bidi="ar-SA"/>
              </w:rPr>
              <w:t>或其委托代理人</w:t>
            </w:r>
            <w:r>
              <w:rPr>
                <w:rFonts w:hint="eastAsia" w:ascii="宋体" w:hAnsi="宋体" w:eastAsia="宋体" w:cs="宋体"/>
                <w:color w:val="auto"/>
                <w:kern w:val="0"/>
                <w:sz w:val="21"/>
                <w:szCs w:val="21"/>
                <w:highlight w:val="none"/>
                <w:u w:val="none"/>
                <w:lang w:val="en-US" w:eastAsia="zh-CN" w:bidi="ar-SA"/>
              </w:rPr>
              <w:t>：</w:t>
            </w:r>
          </w:p>
          <w:p w14:paraId="0CDAD875">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（签字或盖章）</w:t>
            </w:r>
          </w:p>
        </w:tc>
        <w:tc>
          <w:tcPr>
            <w:tcW w:w="4597" w:type="dxa"/>
            <w:noWrap w:val="0"/>
            <w:vAlign w:val="top"/>
          </w:tcPr>
          <w:p w14:paraId="494619D8">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法定代表人</w:t>
            </w:r>
            <w:r>
              <w:rPr>
                <w:rFonts w:hint="eastAsia" w:ascii="Times New Roman" w:hAnsi="宋体" w:eastAsia="宋体" w:cs="宋体"/>
                <w:color w:val="auto"/>
                <w:kern w:val="2"/>
                <w:sz w:val="21"/>
                <w:szCs w:val="21"/>
                <w:highlight w:val="none"/>
                <w:lang w:val="en-US" w:bidi="ar-SA"/>
              </w:rPr>
              <w:t>或其委托代理人</w:t>
            </w:r>
            <w:r>
              <w:rPr>
                <w:rFonts w:hint="eastAsia" w:ascii="宋体" w:hAnsi="宋体" w:eastAsia="宋体" w:cs="宋体"/>
                <w:color w:val="auto"/>
                <w:kern w:val="0"/>
                <w:sz w:val="21"/>
                <w:szCs w:val="21"/>
                <w:highlight w:val="none"/>
                <w:u w:val="none"/>
                <w:lang w:val="en-US" w:eastAsia="zh-CN" w:bidi="ar-SA"/>
              </w:rPr>
              <w:t>：</w:t>
            </w:r>
          </w:p>
          <w:p w14:paraId="0ABBB841">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（签字或盖章）</w:t>
            </w:r>
          </w:p>
        </w:tc>
      </w:tr>
      <w:tr w14:paraId="36C1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noWrap w:val="0"/>
            <w:vAlign w:val="top"/>
          </w:tcPr>
          <w:p w14:paraId="2801CB3E">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统一社会信用代码：</w:t>
            </w:r>
          </w:p>
        </w:tc>
        <w:tc>
          <w:tcPr>
            <w:tcW w:w="4597" w:type="dxa"/>
            <w:noWrap w:val="0"/>
            <w:vAlign w:val="top"/>
          </w:tcPr>
          <w:p w14:paraId="4F82A157">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统一社会信用代码： </w:t>
            </w:r>
          </w:p>
        </w:tc>
      </w:tr>
      <w:tr w14:paraId="4A69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79035AE">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地址：</w:t>
            </w:r>
          </w:p>
        </w:tc>
        <w:tc>
          <w:tcPr>
            <w:tcW w:w="4597" w:type="dxa"/>
            <w:noWrap w:val="0"/>
            <w:vAlign w:val="top"/>
          </w:tcPr>
          <w:p w14:paraId="77B4C155">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地址：</w:t>
            </w:r>
            <w:r>
              <w:rPr>
                <w:rFonts w:hint="eastAsia" w:ascii="宋体" w:hAnsi="宋体" w:eastAsia="宋体" w:cs="宋体"/>
                <w:color w:val="auto"/>
                <w:kern w:val="2"/>
                <w:sz w:val="21"/>
                <w:szCs w:val="21"/>
                <w:highlight w:val="none"/>
                <w:u w:val="none"/>
                <w:lang w:val="en-US" w:eastAsia="zh-CN" w:bidi="ar-SA"/>
              </w:rPr>
              <w:t xml:space="preserve"> </w:t>
            </w:r>
          </w:p>
        </w:tc>
      </w:tr>
      <w:tr w14:paraId="2860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86B27BA">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邮政编码：</w:t>
            </w:r>
          </w:p>
        </w:tc>
        <w:tc>
          <w:tcPr>
            <w:tcW w:w="4597" w:type="dxa"/>
            <w:noWrap w:val="0"/>
            <w:vAlign w:val="top"/>
          </w:tcPr>
          <w:p w14:paraId="52F3F0FC">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邮政编码： </w:t>
            </w:r>
          </w:p>
        </w:tc>
      </w:tr>
      <w:tr w14:paraId="0CFF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11370BD">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联系人：</w:t>
            </w:r>
          </w:p>
        </w:tc>
        <w:tc>
          <w:tcPr>
            <w:tcW w:w="4597" w:type="dxa"/>
            <w:noWrap w:val="0"/>
            <w:vAlign w:val="top"/>
          </w:tcPr>
          <w:p w14:paraId="493A5010">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联系人：</w:t>
            </w:r>
          </w:p>
        </w:tc>
      </w:tr>
      <w:tr w14:paraId="02EE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49506AB">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电话：</w:t>
            </w:r>
          </w:p>
        </w:tc>
        <w:tc>
          <w:tcPr>
            <w:tcW w:w="4597" w:type="dxa"/>
            <w:noWrap w:val="0"/>
            <w:vAlign w:val="top"/>
          </w:tcPr>
          <w:p w14:paraId="2999FD56">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电话： </w:t>
            </w:r>
          </w:p>
        </w:tc>
      </w:tr>
      <w:tr w14:paraId="32CA2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776180E9">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传真：</w:t>
            </w:r>
          </w:p>
        </w:tc>
        <w:tc>
          <w:tcPr>
            <w:tcW w:w="4597" w:type="dxa"/>
            <w:noWrap w:val="0"/>
            <w:vAlign w:val="top"/>
          </w:tcPr>
          <w:p w14:paraId="37A49CAD">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传真： </w:t>
            </w:r>
          </w:p>
        </w:tc>
      </w:tr>
      <w:tr w14:paraId="18A6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1A16423B">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电子信箱：</w:t>
            </w:r>
          </w:p>
        </w:tc>
        <w:tc>
          <w:tcPr>
            <w:tcW w:w="4597" w:type="dxa"/>
            <w:noWrap w:val="0"/>
            <w:vAlign w:val="top"/>
          </w:tcPr>
          <w:p w14:paraId="26CF66ED">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电子信箱： </w:t>
            </w:r>
          </w:p>
        </w:tc>
      </w:tr>
      <w:tr w14:paraId="6225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6AF874CD">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开户银行：</w:t>
            </w:r>
          </w:p>
        </w:tc>
        <w:tc>
          <w:tcPr>
            <w:tcW w:w="4597" w:type="dxa"/>
            <w:noWrap w:val="0"/>
            <w:vAlign w:val="top"/>
          </w:tcPr>
          <w:p w14:paraId="1A54D6A0">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开户银行： </w:t>
            </w:r>
          </w:p>
        </w:tc>
      </w:tr>
      <w:tr w14:paraId="6910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3C354874">
            <w:pPr>
              <w:autoSpaceDE/>
              <w:autoSpaceDN/>
              <w:spacing w:line="360" w:lineRule="auto"/>
              <w:jc w:val="both"/>
              <w:rPr>
                <w:rFonts w:hint="default"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开户名称：</w:t>
            </w:r>
          </w:p>
        </w:tc>
        <w:tc>
          <w:tcPr>
            <w:tcW w:w="4597" w:type="dxa"/>
            <w:noWrap w:val="0"/>
            <w:vAlign w:val="top"/>
          </w:tcPr>
          <w:p w14:paraId="567EFC4F">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开户名称：</w:t>
            </w:r>
          </w:p>
        </w:tc>
      </w:tr>
      <w:tr w14:paraId="7D6C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noWrap w:val="0"/>
            <w:vAlign w:val="top"/>
          </w:tcPr>
          <w:p w14:paraId="20C07BC1">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账号：</w:t>
            </w:r>
          </w:p>
        </w:tc>
        <w:tc>
          <w:tcPr>
            <w:tcW w:w="4597" w:type="dxa"/>
            <w:noWrap w:val="0"/>
            <w:vAlign w:val="top"/>
          </w:tcPr>
          <w:p w14:paraId="252E7627">
            <w:pPr>
              <w:autoSpaceDE/>
              <w:autoSpaceDN/>
              <w:spacing w:line="360" w:lineRule="auto"/>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 xml:space="preserve">账号： </w:t>
            </w:r>
          </w:p>
        </w:tc>
      </w:tr>
    </w:tbl>
    <w:p w14:paraId="76979CD6">
      <w:pPr>
        <w:widowControl w:val="0"/>
        <w:adjustRightInd w:val="0"/>
        <w:snapToGrid w:val="0"/>
        <w:spacing w:line="400" w:lineRule="exact"/>
        <w:jc w:val="center"/>
        <w:rPr>
          <w:rFonts w:ascii="宋体" w:hAnsi="宋体" w:eastAsia="宋体" w:cs="宋体"/>
          <w:b/>
          <w:bCs/>
          <w:color w:val="auto"/>
          <w:kern w:val="2"/>
          <w:sz w:val="21"/>
          <w:szCs w:val="21"/>
          <w:highlight w:val="none"/>
          <w:lang w:val="en-US" w:eastAsia="zh-CN" w:bidi="ar-SA"/>
        </w:rPr>
      </w:pPr>
    </w:p>
    <w:p w14:paraId="3BA535FD">
      <w:pPr>
        <w:keepNext/>
        <w:keepLines/>
        <w:widowControl w:val="0"/>
        <w:spacing w:line="420" w:lineRule="exact"/>
        <w:jc w:val="center"/>
        <w:outlineLvl w:val="0"/>
        <w:rPr>
          <w:rFonts w:ascii="Times New Roman" w:hAnsi="宋体" w:eastAsia="黑体" w:cs="Times New Roman"/>
          <w:b w:val="0"/>
          <w:bCs w:val="0"/>
          <w:color w:val="auto"/>
          <w:kern w:val="44"/>
          <w:sz w:val="32"/>
          <w:szCs w:val="32"/>
          <w:highlight w:val="none"/>
          <w:lang w:val="en-US" w:eastAsia="zh-CN" w:bidi="ar-SA"/>
        </w:rPr>
      </w:pPr>
      <w:r>
        <w:rPr>
          <w:rFonts w:ascii="Times New Roman" w:hAnsi="宋体" w:eastAsia="宋体" w:cs="Times New Roman"/>
          <w:b w:val="0"/>
          <w:bCs w:val="0"/>
          <w:color w:val="auto"/>
          <w:kern w:val="44"/>
          <w:sz w:val="21"/>
          <w:szCs w:val="21"/>
          <w:highlight w:val="none"/>
          <w:lang w:val="en-US" w:eastAsia="zh-CN" w:bidi="ar-SA"/>
        </w:rPr>
        <w:br w:type="page"/>
      </w:r>
      <w:r>
        <w:rPr>
          <w:rFonts w:ascii="宋体" w:hAnsi="宋体" w:eastAsia="宋体" w:cs="Times New Roman"/>
          <w:b/>
          <w:bCs/>
          <w:color w:val="auto"/>
          <w:kern w:val="44"/>
          <w:sz w:val="32"/>
          <w:szCs w:val="21"/>
          <w:highlight w:val="none"/>
          <w:lang w:val="en-US" w:eastAsia="zh-CN" w:bidi="ar-SA"/>
        </w:rPr>
        <w:t>第二部分 通用合同条款</w:t>
      </w:r>
    </w:p>
    <w:p w14:paraId="14528058">
      <w:pPr>
        <w:keepNext/>
        <w:keepLines/>
        <w:pageBreakBefore w:val="0"/>
        <w:widowControl w:val="0"/>
        <w:kinsoku/>
        <w:wordWrap/>
        <w:overflowPunct/>
        <w:topLinePunct w:val="0"/>
        <w:bidi w:val="0"/>
        <w:snapToGrid/>
        <w:spacing w:before="260" w:after="260" w:line="360" w:lineRule="exact"/>
        <w:ind w:left="0" w:leftChars="0" w:right="0" w:rightChars="0"/>
        <w:jc w:val="center"/>
        <w:outlineLvl w:val="2"/>
        <w:rPr>
          <w:rFonts w:hint="eastAsia" w:ascii="宋体" w:hAnsi="宋体" w:eastAsia="宋体" w:cs="宋体"/>
          <w:b w:val="0"/>
          <w:bCs w:val="0"/>
          <w:color w:val="auto"/>
          <w:kern w:val="2"/>
          <w:sz w:val="21"/>
          <w:szCs w:val="21"/>
          <w:highlight w:val="none"/>
          <w:lang w:val="en-US" w:eastAsia="zh-CN" w:bidi="ar-SA"/>
        </w:rPr>
      </w:pPr>
    </w:p>
    <w:p w14:paraId="73E85F4E">
      <w:pPr>
        <w:keepNext/>
        <w:keepLines/>
        <w:pageBreakBefore w:val="0"/>
        <w:widowControl w:val="0"/>
        <w:kinsoku/>
        <w:wordWrap/>
        <w:overflowPunct/>
        <w:topLinePunct w:val="0"/>
        <w:bidi w:val="0"/>
        <w:snapToGrid/>
        <w:spacing w:before="260" w:after="260" w:line="360" w:lineRule="exact"/>
        <w:ind w:left="0" w:leftChars="0" w:right="0" w:rightChars="0"/>
        <w:jc w:val="center"/>
        <w:outlineLvl w:val="2"/>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本工程的施工合同通用条款按国家工商行政管理总局和建设部颁布的：《建设工程施工合同（示范文本）》（GF-2017-0201）通用条款执行。</w:t>
      </w:r>
    </w:p>
    <w:p w14:paraId="4898E0BD">
      <w:pPr>
        <w:autoSpaceDE/>
        <w:autoSpaceDN/>
        <w:jc w:val="both"/>
        <w:rPr>
          <w:rFonts w:ascii="宋体" w:hAnsi="Times New Roman" w:eastAsia="宋体" w:cs="Times New Roman"/>
          <w:color w:val="auto"/>
          <w:kern w:val="2"/>
          <w:sz w:val="32"/>
          <w:szCs w:val="24"/>
          <w:highlight w:val="none"/>
          <w:lang w:val="en-US" w:bidi="ar-SA"/>
        </w:rPr>
      </w:pPr>
      <w:r>
        <w:rPr>
          <w:rFonts w:ascii="宋体" w:hAnsi="Times New Roman" w:eastAsia="宋体" w:cs="Times New Roman"/>
          <w:color w:val="auto"/>
          <w:kern w:val="2"/>
          <w:sz w:val="32"/>
          <w:szCs w:val="24"/>
          <w:highlight w:val="none"/>
          <w:lang w:val="en-US" w:bidi="ar-SA"/>
        </w:rPr>
        <w:br w:type="page"/>
      </w:r>
    </w:p>
    <w:p w14:paraId="10482F0A">
      <w:pPr>
        <w:keepNext/>
        <w:keepLines/>
        <w:widowControl w:val="0"/>
        <w:spacing w:line="400" w:lineRule="atLeast"/>
        <w:jc w:val="center"/>
        <w:outlineLvl w:val="0"/>
        <w:rPr>
          <w:rFonts w:ascii="Times New Roman" w:hAnsi="宋体" w:eastAsia="宋体" w:cs="Times New Roman"/>
          <w:b/>
          <w:bCs/>
          <w:color w:val="auto"/>
          <w:kern w:val="44"/>
          <w:sz w:val="21"/>
          <w:szCs w:val="21"/>
          <w:highlight w:val="none"/>
          <w:lang w:val="en-US" w:eastAsia="zh-CN" w:bidi="ar-SA"/>
        </w:rPr>
      </w:pPr>
      <w:r>
        <w:rPr>
          <w:rFonts w:ascii="宋体" w:hAnsi="宋体" w:eastAsia="宋体" w:cs="Times New Roman"/>
          <w:b/>
          <w:bCs/>
          <w:color w:val="auto"/>
          <w:kern w:val="44"/>
          <w:sz w:val="32"/>
          <w:szCs w:val="21"/>
          <w:highlight w:val="none"/>
          <w:lang w:val="en-US" w:eastAsia="zh-CN" w:bidi="ar-SA"/>
        </w:rPr>
        <w:t>第</w:t>
      </w:r>
      <w:r>
        <w:rPr>
          <w:rFonts w:hint="eastAsia" w:ascii="宋体" w:hAnsi="宋体" w:eastAsia="宋体" w:cs="Times New Roman"/>
          <w:b/>
          <w:bCs/>
          <w:color w:val="auto"/>
          <w:kern w:val="44"/>
          <w:sz w:val="32"/>
          <w:szCs w:val="21"/>
          <w:highlight w:val="none"/>
          <w:lang w:val="en-US" w:eastAsia="zh-CN" w:bidi="ar-SA"/>
        </w:rPr>
        <w:t>三</w:t>
      </w:r>
      <w:r>
        <w:rPr>
          <w:rFonts w:ascii="宋体" w:hAnsi="宋体" w:eastAsia="宋体" w:cs="Times New Roman"/>
          <w:b/>
          <w:bCs/>
          <w:color w:val="auto"/>
          <w:kern w:val="44"/>
          <w:sz w:val="32"/>
          <w:szCs w:val="21"/>
          <w:highlight w:val="none"/>
          <w:lang w:val="en-US" w:eastAsia="zh-CN" w:bidi="ar-SA"/>
        </w:rPr>
        <w:t>部分 专用合同条款</w:t>
      </w:r>
    </w:p>
    <w:p w14:paraId="6431A1CC">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 一般约定</w:t>
      </w:r>
    </w:p>
    <w:p w14:paraId="201292A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 词语定义</w:t>
      </w:r>
    </w:p>
    <w:p w14:paraId="2A94338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1.1.1合同</w:t>
      </w:r>
    </w:p>
    <w:p w14:paraId="1C8EB5CF">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1.1.1.10其他合同文件包括：</w:t>
      </w:r>
      <w:r>
        <w:rPr>
          <w:rFonts w:hint="eastAsia" w:ascii="宋体" w:hAnsi="宋体" w:eastAsia="宋体" w:cs="宋体"/>
          <w:color w:val="auto"/>
          <w:kern w:val="2"/>
          <w:sz w:val="21"/>
          <w:szCs w:val="21"/>
          <w:highlight w:val="none"/>
          <w:u w:val="single"/>
          <w:lang w:val="en-US" w:eastAsia="zh-CN" w:bidi="ar-SA"/>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auto"/>
          <w:kern w:val="2"/>
          <w:sz w:val="21"/>
          <w:szCs w:val="21"/>
          <w:highlight w:val="none"/>
          <w:lang w:val="en-US" w:eastAsia="zh-CN" w:bidi="ar-SA"/>
        </w:rPr>
        <w:t>。</w:t>
      </w:r>
    </w:p>
    <w:p w14:paraId="4E8D33C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 合同当事人及其他相关方</w:t>
      </w:r>
    </w:p>
    <w:p w14:paraId="112DAEE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1.1.2.4监理人：</w:t>
      </w:r>
    </w:p>
    <w:p w14:paraId="2406828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543A7483">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资质类别和等级：</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2ED631A">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46F31E0D">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280680D1">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9B5EA6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1.1.2.5 设计人：</w:t>
      </w:r>
    </w:p>
    <w:p w14:paraId="009999E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13376D7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资质类别和等级：</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293D39A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3ED0345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00723CB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合同签订时填写                    </w:t>
      </w:r>
      <w:r>
        <w:rPr>
          <w:rFonts w:hint="eastAsia" w:ascii="宋体" w:hAnsi="宋体" w:eastAsia="宋体" w:cs="宋体"/>
          <w:color w:val="auto"/>
          <w:kern w:val="2"/>
          <w:sz w:val="21"/>
          <w:szCs w:val="21"/>
          <w:highlight w:val="none"/>
          <w:lang w:val="en-US" w:eastAsia="zh-CN" w:bidi="ar-SA"/>
        </w:rPr>
        <w:t>。</w:t>
      </w:r>
    </w:p>
    <w:p w14:paraId="55F32E4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 工程和设备</w:t>
      </w:r>
    </w:p>
    <w:p w14:paraId="348C46A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1.1.3.7 作为施工现场组成部分的其他场所包括：</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p>
    <w:p w14:paraId="4774E2A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1.1.3.9 永久占地包括：</w:t>
      </w:r>
      <w:r>
        <w:rPr>
          <w:rFonts w:hint="eastAsia" w:ascii="宋体" w:hAnsi="宋体" w:eastAsia="宋体" w:cs="宋体"/>
          <w:color w:val="auto"/>
          <w:kern w:val="2"/>
          <w:sz w:val="21"/>
          <w:szCs w:val="21"/>
          <w:highlight w:val="none"/>
          <w:u w:val="single"/>
          <w:lang w:val="en-US" w:eastAsia="zh-CN" w:bidi="ar-SA"/>
        </w:rPr>
        <w:t xml:space="preserve">  建、构筑物用地</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w:t>
      </w:r>
    </w:p>
    <w:p w14:paraId="1EADE6E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1.1.3.10 临时占地包括：</w:t>
      </w:r>
      <w:r>
        <w:rPr>
          <w:rFonts w:hint="eastAsia" w:ascii="宋体" w:hAnsi="宋体" w:eastAsia="宋体" w:cs="宋体"/>
          <w:color w:val="auto"/>
          <w:kern w:val="2"/>
          <w:sz w:val="21"/>
          <w:szCs w:val="21"/>
          <w:highlight w:val="none"/>
          <w:u w:val="single"/>
          <w:lang w:val="en-US" w:eastAsia="zh-CN" w:bidi="ar-SA"/>
        </w:rPr>
        <w:t xml:space="preserve"> 为完成合同约定的永久工程所修建的各类临时性工程及设施所占用的土地，由承包人根据现场踏勘情况结合施工现场所处位置自行解决</w:t>
      </w:r>
      <w:r>
        <w:rPr>
          <w:rFonts w:hint="eastAsia" w:ascii="宋体" w:hAnsi="宋体" w:eastAsia="宋体" w:cs="宋体"/>
          <w:color w:val="auto"/>
          <w:kern w:val="2"/>
          <w:sz w:val="21"/>
          <w:szCs w:val="21"/>
          <w:highlight w:val="none"/>
          <w:lang w:val="en-US" w:eastAsia="zh-CN" w:bidi="ar-SA"/>
        </w:rPr>
        <w:t>。</w:t>
      </w:r>
    </w:p>
    <w:p w14:paraId="5A7CA5E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1.3法律 </w:t>
      </w:r>
    </w:p>
    <w:p w14:paraId="2917F19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适用于合同的其他规范性文件：</w:t>
      </w:r>
      <w:r>
        <w:rPr>
          <w:rFonts w:hint="eastAsia" w:ascii="宋体" w:hAnsi="宋体" w:eastAsia="宋体" w:cs="宋体"/>
          <w:color w:val="auto"/>
          <w:kern w:val="2"/>
          <w:sz w:val="21"/>
          <w:szCs w:val="21"/>
          <w:highlight w:val="none"/>
          <w:u w:val="single"/>
          <w:lang w:val="en-US" w:eastAsia="zh-CN" w:bidi="ar-SA"/>
        </w:rPr>
        <w:t xml:space="preserve">国家、广西壮族自治区、桂林市有关工程建设的法规及规范性文件 </w:t>
      </w:r>
      <w:r>
        <w:rPr>
          <w:rFonts w:hint="eastAsia" w:ascii="宋体" w:hAnsi="宋体" w:eastAsia="宋体" w:cs="宋体"/>
          <w:color w:val="auto"/>
          <w:kern w:val="2"/>
          <w:sz w:val="21"/>
          <w:szCs w:val="21"/>
          <w:highlight w:val="none"/>
          <w:lang w:val="en-US" w:eastAsia="zh-CN" w:bidi="ar-SA"/>
        </w:rPr>
        <w:t>。</w:t>
      </w:r>
    </w:p>
    <w:p w14:paraId="04723A7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 标准和规范</w:t>
      </w:r>
    </w:p>
    <w:p w14:paraId="208A283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1.4.1适用于工程的标准规范包括：</w:t>
      </w:r>
      <w:r>
        <w:rPr>
          <w:rFonts w:hint="eastAsia" w:ascii="宋体" w:hAnsi="宋体" w:eastAsia="宋体" w:cs="宋体"/>
          <w:color w:val="auto"/>
          <w:kern w:val="2"/>
          <w:sz w:val="21"/>
          <w:szCs w:val="21"/>
          <w:highlight w:val="none"/>
          <w:u w:val="single"/>
          <w:lang w:val="en-US" w:eastAsia="zh-CN" w:bidi="ar-SA"/>
        </w:rPr>
        <w:t>现行国家、地方、部门有关标准规范</w:t>
      </w:r>
      <w:r>
        <w:rPr>
          <w:rFonts w:hint="eastAsia" w:ascii="宋体" w:hAnsi="宋体" w:eastAsia="宋体" w:cs="宋体"/>
          <w:color w:val="auto"/>
          <w:kern w:val="2"/>
          <w:sz w:val="21"/>
          <w:szCs w:val="21"/>
          <w:highlight w:val="none"/>
          <w:lang w:val="en-US" w:eastAsia="zh-CN" w:bidi="ar-SA"/>
        </w:rPr>
        <w:t>。</w:t>
      </w:r>
    </w:p>
    <w:p w14:paraId="378229A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 发包人提供国外标准、规范的名称：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0AE6C60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发包人提供国外标准、规范的份数：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3D0B4271">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发包人提供国外标准、规范的名称：</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3C13755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1.4.3发包人对工程的技术标准和功能要求的特殊要求：</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w:t>
      </w:r>
    </w:p>
    <w:p w14:paraId="7BC2F0F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 合同文件的优先顺序</w:t>
      </w:r>
    </w:p>
    <w:p w14:paraId="2027EF4A">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合同文件组成及优先顺序为：</w:t>
      </w:r>
    </w:p>
    <w:p w14:paraId="4ECE26F9">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（1）合同协议书；</w:t>
      </w:r>
    </w:p>
    <w:p w14:paraId="723D7606">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（2）中标通知书（如果有）；</w:t>
      </w:r>
    </w:p>
    <w:p w14:paraId="099358D9">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（3）投标函及其附录（如果有）；</w:t>
      </w:r>
    </w:p>
    <w:p w14:paraId="419DFB8E">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（4）专用合同条款及其附件；</w:t>
      </w:r>
    </w:p>
    <w:p w14:paraId="41C68A73">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（5）通用合同条款；</w:t>
      </w:r>
    </w:p>
    <w:p w14:paraId="0279185B">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（6）技术标准和要求 ；</w:t>
      </w:r>
    </w:p>
    <w:p w14:paraId="44B9F572">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（7）图纸（含图纸修改通知单及图纸设计变更文件） ；</w:t>
      </w:r>
    </w:p>
    <w:p w14:paraId="02B343C0">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（8）已标价工程量清单 ；</w:t>
      </w:r>
    </w:p>
    <w:p w14:paraId="51C1E4D3">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（9）其他合同文件（包括本工程预算控制价造价成果文件、招标文件等文件）；</w:t>
      </w:r>
    </w:p>
    <w:p w14:paraId="74E6C0B4">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56E13758">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 图纸和承包人文件</w:t>
      </w:r>
      <w:r>
        <w:rPr>
          <w:rFonts w:hint="eastAsia" w:ascii="宋体" w:hAnsi="宋体" w:eastAsia="宋体" w:cs="宋体"/>
          <w:b/>
          <w:bCs/>
          <w:color w:val="auto"/>
          <w:kern w:val="44"/>
          <w:sz w:val="21"/>
          <w:szCs w:val="21"/>
          <w:highlight w:val="none"/>
          <w:lang w:val="en-US" w:eastAsia="zh-CN" w:bidi="ar-SA"/>
        </w:rPr>
        <w:tab/>
      </w:r>
    </w:p>
    <w:p w14:paraId="1B99E78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 图纸的提供</w:t>
      </w:r>
    </w:p>
    <w:p w14:paraId="5F963C1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发包人向承包人提供图纸的期限：</w:t>
      </w:r>
      <w:r>
        <w:rPr>
          <w:rFonts w:hint="eastAsia" w:ascii="宋体" w:hAnsi="宋体" w:eastAsia="宋体" w:cs="宋体"/>
          <w:color w:val="auto"/>
          <w:kern w:val="2"/>
          <w:sz w:val="21"/>
          <w:szCs w:val="21"/>
          <w:highlight w:val="none"/>
          <w:u w:val="single"/>
          <w:lang w:val="en-US" w:eastAsia="zh-CN" w:bidi="ar-SA"/>
        </w:rPr>
        <w:t>合同签订生效后7天内</w:t>
      </w:r>
      <w:r>
        <w:rPr>
          <w:rFonts w:hint="eastAsia" w:ascii="宋体" w:hAnsi="宋体" w:eastAsia="宋体" w:cs="宋体"/>
          <w:color w:val="auto"/>
          <w:kern w:val="2"/>
          <w:sz w:val="21"/>
          <w:szCs w:val="21"/>
          <w:highlight w:val="none"/>
          <w:lang w:val="en-US" w:eastAsia="zh-CN" w:bidi="ar-SA"/>
        </w:rPr>
        <w:t>；</w:t>
      </w:r>
    </w:p>
    <w:p w14:paraId="1F6738C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发包人向承包人提供图纸的数量：</w:t>
      </w:r>
      <w:r>
        <w:rPr>
          <w:rFonts w:hint="eastAsia" w:ascii="宋体" w:hAnsi="宋体" w:eastAsia="宋体" w:cs="宋体"/>
          <w:color w:val="auto"/>
          <w:kern w:val="2"/>
          <w:sz w:val="21"/>
          <w:szCs w:val="21"/>
          <w:highlight w:val="none"/>
          <w:u w:val="single"/>
          <w:lang w:val="en-US" w:eastAsia="zh-CN" w:bidi="ar-SA"/>
        </w:rPr>
        <w:t>贰份，上述图纸及技术资料，未经监理工程师和发包人同意，承包人不得提供给与本工程无关的第三方。承包人需要增加图纸套数的，承包人自行复制，复制费用由承包人承担。</w:t>
      </w:r>
    </w:p>
    <w:p w14:paraId="263B5F4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发包人向承包人提供图纸的内容：</w:t>
      </w:r>
      <w:r>
        <w:rPr>
          <w:rFonts w:hint="eastAsia" w:ascii="宋体" w:hAnsi="宋体" w:eastAsia="宋体" w:cs="宋体"/>
          <w:color w:val="auto"/>
          <w:kern w:val="0"/>
          <w:sz w:val="21"/>
          <w:szCs w:val="21"/>
          <w:highlight w:val="none"/>
          <w:u w:val="single"/>
          <w:lang w:val="en-US" w:eastAsia="zh-CN" w:bidi="ar-SA"/>
        </w:rPr>
        <w:t>经备案的全套施工图纸和其他技术资料</w:t>
      </w:r>
      <w:r>
        <w:rPr>
          <w:rFonts w:hint="eastAsia" w:ascii="宋体" w:hAnsi="宋体" w:eastAsia="宋体" w:cs="宋体"/>
          <w:color w:val="auto"/>
          <w:kern w:val="2"/>
          <w:sz w:val="21"/>
          <w:szCs w:val="21"/>
          <w:highlight w:val="none"/>
          <w:lang w:val="en-US" w:eastAsia="zh-CN" w:bidi="ar-SA"/>
        </w:rPr>
        <w:t>。</w:t>
      </w:r>
    </w:p>
    <w:p w14:paraId="0735975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1.6.4 承包人文件</w:t>
      </w:r>
    </w:p>
    <w:p w14:paraId="18693BF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需要由承包人提供的文件，包括：</w:t>
      </w:r>
      <w:r>
        <w:rPr>
          <w:rFonts w:hint="eastAsia" w:ascii="宋体" w:hAnsi="宋体" w:eastAsia="宋体" w:cs="宋体"/>
          <w:color w:val="auto"/>
          <w:kern w:val="2"/>
          <w:sz w:val="21"/>
          <w:szCs w:val="21"/>
          <w:highlight w:val="none"/>
          <w:u w:val="single"/>
          <w:lang w:val="en-US" w:eastAsia="zh-CN" w:bidi="ar-SA"/>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eastAsia="宋体" w:cs="宋体"/>
          <w:color w:val="auto"/>
          <w:kern w:val="2"/>
          <w:sz w:val="21"/>
          <w:szCs w:val="21"/>
          <w:highlight w:val="none"/>
          <w:u w:val="single"/>
          <w:lang w:val="zh-CN" w:eastAsia="zh-CN" w:bidi="ar-SA"/>
        </w:rPr>
        <w:t>、</w:t>
      </w:r>
      <w:r>
        <w:rPr>
          <w:rFonts w:hint="eastAsia" w:ascii="宋体" w:hAnsi="宋体" w:eastAsia="宋体" w:cs="宋体"/>
          <w:color w:val="auto"/>
          <w:kern w:val="2"/>
          <w:sz w:val="21"/>
          <w:szCs w:val="21"/>
          <w:highlight w:val="none"/>
          <w:u w:val="single"/>
          <w:lang w:val="en-US" w:eastAsia="zh-CN" w:bidi="ar-SA"/>
        </w:rPr>
        <w:t>施工图以外的大样图、加工图、标准图，以及建筑装饰深化设计图纸设计优化建议等。但设计成果文件需经原设计单位审核及认可。最终设计成果归发包人所有。</w:t>
      </w:r>
    </w:p>
    <w:p w14:paraId="47F5D27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承包人提供的文件的期限为：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开始施工前7天内  </w:t>
      </w:r>
      <w:r>
        <w:rPr>
          <w:rFonts w:hint="eastAsia" w:ascii="宋体" w:hAnsi="宋体" w:eastAsia="宋体" w:cs="宋体"/>
          <w:color w:val="auto"/>
          <w:kern w:val="2"/>
          <w:sz w:val="21"/>
          <w:szCs w:val="21"/>
          <w:highlight w:val="none"/>
          <w:lang w:val="en-US" w:eastAsia="zh-CN" w:bidi="ar-SA"/>
        </w:rPr>
        <w:t>；</w:t>
      </w:r>
    </w:p>
    <w:p w14:paraId="235A8D6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承包人提供的文件的数量为：</w:t>
      </w:r>
      <w:r>
        <w:rPr>
          <w:rFonts w:hint="eastAsia" w:ascii="宋体" w:hAnsi="宋体" w:eastAsia="宋体" w:cs="宋体"/>
          <w:color w:val="auto"/>
          <w:kern w:val="2"/>
          <w:sz w:val="21"/>
          <w:szCs w:val="21"/>
          <w:highlight w:val="none"/>
          <w:u w:val="single"/>
          <w:lang w:val="en-US" w:eastAsia="zh-CN" w:bidi="ar-SA"/>
        </w:rPr>
        <w:t xml:space="preserve">  6</w:t>
      </w:r>
      <w:r>
        <w:rPr>
          <w:rFonts w:hint="eastAsia" w:ascii="宋体" w:hAnsi="宋体" w:eastAsia="宋体" w:cs="宋体"/>
          <w:color w:val="auto"/>
          <w:kern w:val="0"/>
          <w:sz w:val="21"/>
          <w:szCs w:val="21"/>
          <w:highlight w:val="none"/>
          <w:u w:val="single"/>
          <w:lang w:val="en-US" w:eastAsia="zh-CN" w:bidi="ar-SA"/>
        </w:rPr>
        <w:t>份</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3E66A70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承包人提供的文件的形式为：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书面形式；装订成册</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687AFB6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发包人审批承包人文件的期限：</w:t>
      </w:r>
      <w:r>
        <w:rPr>
          <w:rFonts w:hint="eastAsia" w:ascii="宋体" w:hAnsi="宋体" w:eastAsia="宋体" w:cs="宋体"/>
          <w:color w:val="auto"/>
          <w:kern w:val="2"/>
          <w:sz w:val="21"/>
          <w:szCs w:val="21"/>
          <w:highlight w:val="none"/>
          <w:u w:val="single"/>
          <w:lang w:val="en-US" w:eastAsia="zh-CN" w:bidi="ar-SA"/>
        </w:rPr>
        <w:t xml:space="preserve"> 收到承包人提供的文件后七天内 </w:t>
      </w:r>
      <w:r>
        <w:rPr>
          <w:rFonts w:hint="eastAsia" w:ascii="宋体" w:hAnsi="宋体" w:eastAsia="宋体" w:cs="宋体"/>
          <w:color w:val="auto"/>
          <w:kern w:val="2"/>
          <w:sz w:val="21"/>
          <w:szCs w:val="21"/>
          <w:highlight w:val="none"/>
          <w:lang w:val="en-US" w:eastAsia="zh-CN" w:bidi="ar-SA"/>
        </w:rPr>
        <w:t>。</w:t>
      </w:r>
    </w:p>
    <w:p w14:paraId="4373B758">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其他约定：所有涉工程的文件、图纸、数据未经发包人许可不得以任何形式私自保留或外传，由于承包人不能按时提供文件导致发包人不能及时办理施工许可证，所造成的后果由承包人承担 。</w:t>
      </w:r>
    </w:p>
    <w:p w14:paraId="7B44BDA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1.6.5 现场图纸准备</w:t>
      </w:r>
    </w:p>
    <w:p w14:paraId="5409FE6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关于现场图纸准备的约定：</w:t>
      </w:r>
      <w:r>
        <w:rPr>
          <w:rFonts w:hint="eastAsia" w:ascii="宋体" w:hAnsi="宋体" w:eastAsia="宋体" w:cs="宋体"/>
          <w:color w:val="auto"/>
          <w:kern w:val="2"/>
          <w:sz w:val="21"/>
          <w:szCs w:val="21"/>
          <w:highlight w:val="none"/>
          <w:u w:val="single"/>
          <w:lang w:val="en-US" w:eastAsia="zh-CN" w:bidi="ar-SA"/>
        </w:rPr>
        <w:t xml:space="preserve">  承包人在施工现场保存至少三套完整施工图 </w:t>
      </w:r>
      <w:r>
        <w:rPr>
          <w:rFonts w:hint="eastAsia" w:ascii="宋体" w:hAnsi="宋体" w:eastAsia="宋体" w:cs="宋体"/>
          <w:color w:val="auto"/>
          <w:kern w:val="2"/>
          <w:sz w:val="21"/>
          <w:szCs w:val="21"/>
          <w:highlight w:val="none"/>
          <w:lang w:val="en-US" w:eastAsia="zh-CN" w:bidi="ar-SA"/>
        </w:rPr>
        <w:t>。</w:t>
      </w:r>
    </w:p>
    <w:p w14:paraId="3ECCFE81">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 联络</w:t>
      </w:r>
    </w:p>
    <w:p w14:paraId="1AD167F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1.7.1发包人和承包人应当在</w:t>
      </w:r>
      <w:r>
        <w:rPr>
          <w:rFonts w:hint="eastAsia" w:ascii="宋体" w:hAnsi="宋体" w:eastAsia="宋体" w:cs="宋体"/>
          <w:color w:val="auto"/>
          <w:kern w:val="2"/>
          <w:sz w:val="21"/>
          <w:szCs w:val="21"/>
          <w:highlight w:val="none"/>
          <w:u w:val="single"/>
          <w:lang w:val="en-US" w:eastAsia="zh-CN" w:bidi="ar-SA"/>
        </w:rPr>
        <w:t xml:space="preserve">  7 </w:t>
      </w:r>
      <w:r>
        <w:rPr>
          <w:rFonts w:hint="eastAsia" w:ascii="宋体" w:hAnsi="宋体" w:eastAsia="宋体" w:cs="宋体"/>
          <w:color w:val="auto"/>
          <w:kern w:val="2"/>
          <w:sz w:val="21"/>
          <w:szCs w:val="21"/>
          <w:highlight w:val="none"/>
          <w:lang w:val="en-US" w:eastAsia="zh-CN" w:bidi="ar-SA"/>
        </w:rPr>
        <w:t>天内将与合同有关的通知、批准、证明、证书、指示、指令、要求、请求、同意、意见、确定和决定等书面函件送达对方当事人。</w:t>
      </w:r>
    </w:p>
    <w:p w14:paraId="5332F432">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1.7.2发包人接收文件的地点：</w:t>
      </w:r>
      <w:r>
        <w:rPr>
          <w:rFonts w:hint="eastAsia" w:ascii="宋体" w:hAnsi="宋体" w:eastAsia="宋体" w:cs="宋体"/>
          <w:color w:val="auto"/>
          <w:kern w:val="2"/>
          <w:sz w:val="21"/>
          <w:szCs w:val="21"/>
          <w:highlight w:val="none"/>
          <w:u w:val="single"/>
          <w:lang w:val="en-US" w:eastAsia="zh-CN" w:bidi="ar-SA"/>
        </w:rPr>
        <w:t xml:space="preserve">     双方按实际情况现场约定    </w:t>
      </w:r>
      <w:r>
        <w:rPr>
          <w:rFonts w:hint="eastAsia" w:ascii="宋体" w:hAnsi="宋体" w:eastAsia="宋体" w:cs="宋体"/>
          <w:color w:val="auto"/>
          <w:kern w:val="0"/>
          <w:sz w:val="21"/>
          <w:szCs w:val="21"/>
          <w:highlight w:val="none"/>
          <w:lang w:val="en-US" w:eastAsia="zh-CN" w:bidi="ar-SA"/>
        </w:rPr>
        <w:t>；</w:t>
      </w:r>
    </w:p>
    <w:p w14:paraId="5C957E09">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发包人指定的接收人为：</w:t>
      </w:r>
      <w:r>
        <w:rPr>
          <w:rFonts w:hint="eastAsia" w:ascii="宋体" w:hAnsi="宋体" w:eastAsia="宋体" w:cs="宋体"/>
          <w:color w:val="auto"/>
          <w:kern w:val="2"/>
          <w:sz w:val="21"/>
          <w:szCs w:val="21"/>
          <w:highlight w:val="none"/>
          <w:u w:val="single"/>
          <w:lang w:val="en-US" w:eastAsia="zh-CN" w:bidi="ar-SA"/>
        </w:rPr>
        <w:t xml:space="preserve">            双方按实际情况现场约定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34D1BFC0">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承包人接收文件的地点：</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发包人指定地点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14:paraId="7D59FC84">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承包人指定的接收人为：</w:t>
      </w:r>
      <w:r>
        <w:rPr>
          <w:rFonts w:hint="eastAsia" w:ascii="宋体" w:hAnsi="宋体" w:eastAsia="宋体" w:cs="宋体"/>
          <w:color w:val="auto"/>
          <w:kern w:val="2"/>
          <w:sz w:val="21"/>
          <w:szCs w:val="21"/>
          <w:highlight w:val="none"/>
          <w:u w:val="single"/>
          <w:lang w:val="en-US" w:eastAsia="zh-CN" w:bidi="ar-SA"/>
        </w:rPr>
        <w:t xml:space="preserve">  承包人现场项目经理    </w:t>
      </w:r>
      <w:r>
        <w:rPr>
          <w:rFonts w:hint="eastAsia" w:ascii="宋体" w:hAnsi="宋体" w:eastAsia="宋体" w:cs="宋体"/>
          <w:color w:val="auto"/>
          <w:kern w:val="0"/>
          <w:sz w:val="21"/>
          <w:szCs w:val="21"/>
          <w:highlight w:val="none"/>
          <w:lang w:val="en-US" w:eastAsia="zh-CN" w:bidi="ar-SA"/>
        </w:rPr>
        <w:t>。</w:t>
      </w:r>
    </w:p>
    <w:p w14:paraId="5A1C2BEA">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监理人接收文件的地点：</w:t>
      </w:r>
      <w:r>
        <w:rPr>
          <w:rFonts w:hint="eastAsia" w:ascii="宋体" w:hAnsi="宋体" w:eastAsia="宋体" w:cs="宋体"/>
          <w:color w:val="auto"/>
          <w:kern w:val="2"/>
          <w:sz w:val="21"/>
          <w:szCs w:val="21"/>
          <w:highlight w:val="none"/>
          <w:u w:val="single"/>
          <w:lang w:val="en-US" w:eastAsia="zh-CN" w:bidi="ar-SA"/>
        </w:rPr>
        <w:t xml:space="preserve">    监理人设在施工现场的监理办公室                 </w:t>
      </w:r>
      <w:r>
        <w:rPr>
          <w:rFonts w:hint="eastAsia" w:ascii="宋体" w:hAnsi="宋体" w:eastAsia="宋体" w:cs="宋体"/>
          <w:color w:val="auto"/>
          <w:kern w:val="0"/>
          <w:sz w:val="21"/>
          <w:szCs w:val="21"/>
          <w:highlight w:val="none"/>
          <w:lang w:val="en-US" w:eastAsia="zh-CN" w:bidi="ar-SA"/>
        </w:rPr>
        <w:t>；</w:t>
      </w:r>
    </w:p>
    <w:p w14:paraId="15DAD29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监理人指定的接收人为：</w:t>
      </w:r>
      <w:r>
        <w:rPr>
          <w:rFonts w:hint="eastAsia" w:ascii="宋体" w:hAnsi="宋体" w:eastAsia="宋体" w:cs="宋体"/>
          <w:color w:val="auto"/>
          <w:kern w:val="2"/>
          <w:sz w:val="21"/>
          <w:szCs w:val="21"/>
          <w:highlight w:val="none"/>
          <w:u w:val="single"/>
          <w:lang w:val="en-US" w:eastAsia="zh-CN" w:bidi="ar-SA"/>
        </w:rPr>
        <w:t xml:space="preserve">   总监理工程师或现场监理工程师     </w:t>
      </w:r>
      <w:r>
        <w:rPr>
          <w:rFonts w:hint="eastAsia" w:ascii="宋体" w:hAnsi="宋体" w:eastAsia="宋体" w:cs="宋体"/>
          <w:color w:val="auto"/>
          <w:kern w:val="2"/>
          <w:sz w:val="21"/>
          <w:szCs w:val="21"/>
          <w:highlight w:val="none"/>
          <w:lang w:val="en-US" w:eastAsia="zh-CN" w:bidi="ar-SA"/>
        </w:rPr>
        <w:t>。</w:t>
      </w:r>
    </w:p>
    <w:p w14:paraId="5A3B708E">
      <w:pPr>
        <w:widowControl/>
        <w:kinsoku w:val="0"/>
        <w:autoSpaceDE w:val="0"/>
        <w:autoSpaceDN w:val="0"/>
        <w:adjustRightInd w:val="0"/>
        <w:snapToGrid w:val="0"/>
        <w:spacing w:before="145" w:line="352" w:lineRule="auto"/>
        <w:ind w:left="20" w:right="90" w:firstLine="419"/>
        <w:jc w:val="left"/>
        <w:textAlignment w:val="baseline"/>
        <w:rPr>
          <w:rStyle w:val="28"/>
          <w:rFonts w:ascii="宋体" w:hAnsi="宋体" w:eastAsia="宋体" w:cs="宋体"/>
          <w:snapToGrid w:val="0"/>
          <w:color w:val="auto"/>
          <w:kern w:val="0"/>
          <w:sz w:val="21"/>
          <w:szCs w:val="21"/>
          <w:highlight w:val="none"/>
          <w:lang w:val="en-US" w:eastAsia="zh-CN" w:bidi="ar-SA"/>
        </w:rPr>
      </w:pPr>
      <w:r>
        <w:rPr>
          <w:rStyle w:val="28"/>
          <w:rFonts w:ascii="宋体" w:hAnsi="宋体" w:eastAsia="宋体" w:cs="宋体"/>
          <w:snapToGrid w:val="0"/>
          <w:color w:val="auto"/>
          <w:spacing w:val="2"/>
          <w:kern w:val="0"/>
          <w:sz w:val="21"/>
          <w:szCs w:val="21"/>
          <w:highlight w:val="none"/>
          <w:lang w:val="en-US" w:eastAsia="zh-CN" w:bidi="ar-SA"/>
        </w:rPr>
        <w:t>承包人指定的接收人为合同协议</w:t>
      </w:r>
      <w:r>
        <w:rPr>
          <w:rStyle w:val="28"/>
          <w:rFonts w:ascii="宋体" w:hAnsi="宋体" w:eastAsia="宋体" w:cs="宋体"/>
          <w:snapToGrid w:val="0"/>
          <w:color w:val="auto"/>
          <w:spacing w:val="1"/>
          <w:kern w:val="0"/>
          <w:sz w:val="21"/>
          <w:szCs w:val="21"/>
          <w:highlight w:val="none"/>
          <w:lang w:val="en-US" w:eastAsia="zh-CN" w:bidi="ar-SA"/>
        </w:rPr>
        <w:t>书中载明的承包人项目经理本人或者项目经理的授权代表</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1"/>
          <w:kern w:val="0"/>
          <w:sz w:val="21"/>
          <w:szCs w:val="21"/>
          <w:highlight w:val="none"/>
          <w:lang w:val="en-US" w:eastAsia="zh-CN" w:bidi="ar-SA"/>
        </w:rPr>
        <w:t>应在收到承包</w:t>
      </w:r>
      <w:r>
        <w:rPr>
          <w:rStyle w:val="28"/>
          <w:rFonts w:ascii="宋体" w:hAnsi="宋体" w:eastAsia="宋体" w:cs="宋体"/>
          <w:snapToGrid w:val="0"/>
          <w:color w:val="auto"/>
          <w:kern w:val="0"/>
          <w:sz w:val="21"/>
          <w:szCs w:val="21"/>
          <w:highlight w:val="none"/>
          <w:lang w:val="en-US" w:eastAsia="zh-CN" w:bidi="ar-SA"/>
        </w:rPr>
        <w:t xml:space="preserve">人到开工通知后 </w:t>
      </w:r>
      <w:r>
        <w:rPr>
          <w:rStyle w:val="28"/>
          <w:rFonts w:ascii="Times New Roman" w:hAnsi="Times New Roman" w:eastAsia="Times New Roman" w:cs="Times New Roman"/>
          <w:snapToGrid w:val="0"/>
          <w:color w:val="auto"/>
          <w:kern w:val="0"/>
          <w:sz w:val="21"/>
          <w:szCs w:val="21"/>
          <w:highlight w:val="none"/>
          <w:lang w:val="en-US" w:eastAsia="zh-CN" w:bidi="ar-SA"/>
        </w:rPr>
        <w:t xml:space="preserve">7 </w:t>
      </w:r>
      <w:r>
        <w:rPr>
          <w:rStyle w:val="28"/>
          <w:rFonts w:ascii="宋体" w:hAnsi="宋体" w:eastAsia="宋体" w:cs="宋体"/>
          <w:snapToGrid w:val="0"/>
          <w:color w:val="auto"/>
          <w:kern w:val="0"/>
          <w:sz w:val="21"/>
          <w:szCs w:val="21"/>
          <w:highlight w:val="none"/>
          <w:lang w:val="en-US" w:eastAsia="zh-CN" w:bidi="ar-SA"/>
        </w:rPr>
        <w:t xml:space="preserve">天内，将授权代表其接收来往信函的项目经理的授权代表姓名 </w:t>
      </w:r>
      <w:r>
        <w:rPr>
          <w:rStyle w:val="28"/>
          <w:rFonts w:ascii="宋体" w:hAnsi="宋体" w:eastAsia="宋体" w:cs="宋体"/>
          <w:snapToGrid w:val="0"/>
          <w:color w:val="auto"/>
          <w:spacing w:val="2"/>
          <w:kern w:val="0"/>
          <w:sz w:val="21"/>
          <w:szCs w:val="21"/>
          <w:highlight w:val="none"/>
          <w:lang w:val="en-US" w:eastAsia="zh-CN" w:bidi="ar-SA"/>
        </w:rPr>
        <w:t>和授权范围通知监理人。除</w:t>
      </w:r>
      <w:r>
        <w:rPr>
          <w:rStyle w:val="28"/>
          <w:rFonts w:ascii="宋体" w:hAnsi="宋体" w:eastAsia="宋体" w:cs="宋体"/>
          <w:snapToGrid w:val="0"/>
          <w:color w:val="auto"/>
          <w:spacing w:val="1"/>
          <w:kern w:val="0"/>
          <w:sz w:val="21"/>
          <w:szCs w:val="21"/>
          <w:highlight w:val="none"/>
          <w:lang w:val="en-US" w:eastAsia="zh-CN" w:bidi="ar-SA"/>
        </w:rPr>
        <w:t>合同另有约定外，承包人施工场地管理机构的办公地点即为承包人</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1"/>
          <w:kern w:val="0"/>
          <w:sz w:val="21"/>
          <w:szCs w:val="21"/>
          <w:highlight w:val="none"/>
          <w:lang w:val="en-US" w:eastAsia="zh-CN" w:bidi="ar-SA"/>
        </w:rPr>
        <w:t>指定的接收</w:t>
      </w:r>
      <w:r>
        <w:rPr>
          <w:rStyle w:val="28"/>
          <w:rFonts w:ascii="宋体" w:hAnsi="宋体" w:eastAsia="宋体" w:cs="宋体"/>
          <w:snapToGrid w:val="0"/>
          <w:color w:val="auto"/>
          <w:kern w:val="0"/>
          <w:sz w:val="21"/>
          <w:szCs w:val="21"/>
          <w:highlight w:val="none"/>
          <w:lang w:val="en-US" w:eastAsia="zh-CN" w:bidi="ar-SA"/>
        </w:rPr>
        <w:t>地点。</w:t>
      </w:r>
    </w:p>
    <w:p w14:paraId="089A0B35">
      <w:pPr>
        <w:widowControl/>
        <w:kinsoku w:val="0"/>
        <w:autoSpaceDE w:val="0"/>
        <w:autoSpaceDN w:val="0"/>
        <w:adjustRightInd w:val="0"/>
        <w:snapToGrid w:val="0"/>
        <w:spacing w:before="1" w:line="351" w:lineRule="auto"/>
        <w:ind w:left="19" w:firstLine="424"/>
        <w:jc w:val="left"/>
        <w:textAlignment w:val="baseline"/>
        <w:rPr>
          <w:rStyle w:val="28"/>
          <w:rFonts w:ascii="宋体" w:hAnsi="宋体" w:eastAsia="宋体" w:cs="宋体"/>
          <w:snapToGrid w:val="0"/>
          <w:color w:val="auto"/>
          <w:kern w:val="0"/>
          <w:sz w:val="21"/>
          <w:szCs w:val="21"/>
          <w:highlight w:val="none"/>
          <w:lang w:val="en-US" w:eastAsia="zh-CN" w:bidi="ar-SA"/>
        </w:rPr>
      </w:pPr>
      <w:r>
        <w:rPr>
          <w:rStyle w:val="28"/>
          <w:rFonts w:ascii="宋体" w:hAnsi="宋体" w:eastAsia="宋体" w:cs="宋体"/>
          <w:snapToGrid w:val="0"/>
          <w:color w:val="auto"/>
          <w:spacing w:val="1"/>
          <w:kern w:val="0"/>
          <w:sz w:val="21"/>
          <w:szCs w:val="21"/>
          <w:highlight w:val="none"/>
          <w:lang w:val="en-US" w:eastAsia="zh-CN" w:bidi="ar-SA"/>
        </w:rPr>
        <w:t>发包人(包括</w:t>
      </w:r>
      <w:r>
        <w:rPr>
          <w:rStyle w:val="28"/>
          <w:rFonts w:ascii="宋体" w:hAnsi="宋体" w:eastAsia="宋体" w:cs="宋体"/>
          <w:snapToGrid w:val="0"/>
          <w:color w:val="auto"/>
          <w:kern w:val="0"/>
          <w:sz w:val="21"/>
          <w:szCs w:val="21"/>
          <w:highlight w:val="none"/>
          <w:lang w:val="en-US" w:eastAsia="zh-CN" w:bidi="ar-SA"/>
        </w:rPr>
        <w:t xml:space="preserve">监理人和造价人) 和承包人中任何一方指定的接收人或者接收地点发生变动， </w:t>
      </w:r>
      <w:r>
        <w:rPr>
          <w:rStyle w:val="28"/>
          <w:rFonts w:ascii="宋体" w:hAnsi="宋体" w:eastAsia="宋体" w:cs="宋体"/>
          <w:snapToGrid w:val="0"/>
          <w:color w:val="auto"/>
          <w:spacing w:val="2"/>
          <w:kern w:val="0"/>
          <w:sz w:val="21"/>
          <w:szCs w:val="21"/>
          <w:highlight w:val="none"/>
          <w:lang w:val="en-US" w:eastAsia="zh-CN" w:bidi="ar-SA"/>
        </w:rPr>
        <w:t>应当在</w:t>
      </w:r>
      <w:r>
        <w:rPr>
          <w:rStyle w:val="28"/>
          <w:rFonts w:ascii="宋体" w:hAnsi="宋体" w:eastAsia="宋体" w:cs="宋体"/>
          <w:snapToGrid w:val="0"/>
          <w:color w:val="auto"/>
          <w:spacing w:val="1"/>
          <w:kern w:val="0"/>
          <w:sz w:val="21"/>
          <w:szCs w:val="21"/>
          <w:highlight w:val="none"/>
          <w:lang w:val="en-US" w:eastAsia="zh-CN" w:bidi="ar-SA"/>
        </w:rPr>
        <w:t>实际变动前提前至少一个工作日以书面方式通知另一方。发包人(包括监理人和造价人)</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6"/>
          <w:kern w:val="0"/>
          <w:sz w:val="21"/>
          <w:szCs w:val="21"/>
          <w:highlight w:val="none"/>
          <w:lang w:val="en-US" w:eastAsia="zh-CN" w:bidi="ar-SA"/>
        </w:rPr>
        <w:t>和承包人应当确保其各</w:t>
      </w:r>
      <w:r>
        <w:rPr>
          <w:rStyle w:val="28"/>
          <w:rFonts w:ascii="宋体" w:hAnsi="宋体" w:eastAsia="宋体" w:cs="宋体"/>
          <w:snapToGrid w:val="0"/>
          <w:color w:val="auto"/>
          <w:spacing w:val="4"/>
          <w:kern w:val="0"/>
          <w:sz w:val="21"/>
          <w:szCs w:val="21"/>
          <w:highlight w:val="none"/>
          <w:lang w:val="en-US" w:eastAsia="zh-CN" w:bidi="ar-SA"/>
        </w:rPr>
        <w:t>自</w:t>
      </w:r>
      <w:r>
        <w:rPr>
          <w:rStyle w:val="28"/>
          <w:rFonts w:ascii="宋体" w:hAnsi="宋体" w:eastAsia="宋体" w:cs="宋体"/>
          <w:snapToGrid w:val="0"/>
          <w:color w:val="auto"/>
          <w:spacing w:val="3"/>
          <w:kern w:val="0"/>
          <w:sz w:val="21"/>
          <w:szCs w:val="21"/>
          <w:highlight w:val="none"/>
          <w:lang w:val="en-US" w:eastAsia="zh-CN" w:bidi="ar-SA"/>
        </w:rPr>
        <w:t>指定的接收人在法定的和(或) 符合合同约定的工作时间内始终工作</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6"/>
          <w:kern w:val="0"/>
          <w:sz w:val="21"/>
          <w:szCs w:val="21"/>
          <w:highlight w:val="none"/>
          <w:lang w:val="en-US" w:eastAsia="zh-CN" w:bidi="ar-SA"/>
        </w:rPr>
        <w:t>在</w:t>
      </w:r>
      <w:r>
        <w:rPr>
          <w:rStyle w:val="28"/>
          <w:rFonts w:ascii="宋体" w:hAnsi="宋体" w:eastAsia="宋体" w:cs="宋体"/>
          <w:snapToGrid w:val="0"/>
          <w:color w:val="auto"/>
          <w:spacing w:val="-3"/>
          <w:kern w:val="0"/>
          <w:sz w:val="21"/>
          <w:szCs w:val="21"/>
          <w:highlight w:val="none"/>
          <w:lang w:val="en-US" w:eastAsia="zh-CN" w:bidi="ar-SA"/>
        </w:rPr>
        <w:t>指定的接收地点， 指定接收人离开工作岗位而无法及时签收来往信函构成拒不签收。</w:t>
      </w:r>
    </w:p>
    <w:p w14:paraId="6E751E04">
      <w:pPr>
        <w:widowControl w:val="0"/>
        <w:spacing w:after="120" w:line="360" w:lineRule="auto"/>
        <w:ind w:firstLine="436" w:firstLineChars="200"/>
        <w:jc w:val="both"/>
        <w:outlineLvl w:val="0"/>
        <w:rPr>
          <w:rFonts w:hint="eastAsia" w:ascii="宋体" w:hAnsi="宋体" w:eastAsia="宋体" w:cs="宋体"/>
          <w:b/>
          <w:bCs/>
          <w:color w:val="auto"/>
          <w:kern w:val="44"/>
          <w:sz w:val="21"/>
          <w:szCs w:val="21"/>
          <w:highlight w:val="none"/>
          <w:lang w:val="en-US" w:eastAsia="zh-CN" w:bidi="ar-SA"/>
        </w:rPr>
      </w:pPr>
      <w:r>
        <w:rPr>
          <w:rStyle w:val="28"/>
          <w:rFonts w:ascii="宋体" w:hAnsi="宋体" w:eastAsia="宋体" w:cs="宋体"/>
          <w:snapToGrid w:val="0"/>
          <w:color w:val="auto"/>
          <w:spacing w:val="4"/>
          <w:kern w:val="0"/>
          <w:sz w:val="21"/>
          <w:szCs w:val="21"/>
          <w:highlight w:val="none"/>
          <w:lang w:val="en-US" w:eastAsia="zh-CN" w:bidi="ar-SA"/>
        </w:rPr>
        <w:t>发包人(包括监理人和造价人) 和承包人中任何一方均应当及时签收另一方送达其指</w:t>
      </w:r>
      <w:r>
        <w:rPr>
          <w:rStyle w:val="28"/>
          <w:rFonts w:ascii="宋体" w:hAnsi="宋体" w:eastAsia="宋体" w:cs="宋体"/>
          <w:snapToGrid w:val="0"/>
          <w:color w:val="auto"/>
          <w:spacing w:val="2"/>
          <w:kern w:val="0"/>
          <w:sz w:val="21"/>
          <w:szCs w:val="21"/>
          <w:highlight w:val="none"/>
          <w:lang w:val="en-US" w:eastAsia="zh-CN" w:bidi="ar-SA"/>
        </w:rPr>
        <w:t>定</w:t>
      </w:r>
      <w:r>
        <w:rPr>
          <w:rStyle w:val="28"/>
          <w:rFonts w:ascii="宋体" w:hAnsi="宋体" w:eastAsia="宋体" w:cs="宋体"/>
          <w:snapToGrid w:val="0"/>
          <w:color w:val="auto"/>
          <w:kern w:val="0"/>
          <w:sz w:val="21"/>
          <w:szCs w:val="21"/>
          <w:highlight w:val="none"/>
          <w:lang w:val="en-US" w:eastAsia="zh-CN" w:bidi="ar-SA"/>
        </w:rPr>
        <w:t xml:space="preserve">接 </w:t>
      </w:r>
      <w:r>
        <w:rPr>
          <w:rStyle w:val="28"/>
          <w:rFonts w:ascii="宋体" w:hAnsi="宋体" w:eastAsia="宋体" w:cs="宋体"/>
          <w:snapToGrid w:val="0"/>
          <w:color w:val="auto"/>
          <w:spacing w:val="2"/>
          <w:kern w:val="0"/>
          <w:sz w:val="21"/>
          <w:szCs w:val="21"/>
          <w:highlight w:val="none"/>
          <w:lang w:val="en-US" w:eastAsia="zh-CN" w:bidi="ar-SA"/>
        </w:rPr>
        <w:t>收地点的来往信函，拒不</w:t>
      </w:r>
      <w:r>
        <w:rPr>
          <w:rStyle w:val="28"/>
          <w:rFonts w:ascii="宋体" w:hAnsi="宋体" w:eastAsia="宋体" w:cs="宋体"/>
          <w:snapToGrid w:val="0"/>
          <w:color w:val="auto"/>
          <w:spacing w:val="1"/>
          <w:kern w:val="0"/>
          <w:sz w:val="21"/>
          <w:szCs w:val="21"/>
          <w:highlight w:val="none"/>
          <w:lang w:val="en-US" w:eastAsia="zh-CN" w:bidi="ar-SA"/>
        </w:rPr>
        <w:t>签收的，送达信函的一方可以采用挂号或者公证方式送达，由此所造</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22"/>
          <w:kern w:val="0"/>
          <w:sz w:val="21"/>
          <w:szCs w:val="21"/>
          <w:highlight w:val="none"/>
          <w:lang w:val="en-US" w:eastAsia="zh-CN" w:bidi="ar-SA"/>
        </w:rPr>
        <w:t>成</w:t>
      </w:r>
      <w:r>
        <w:rPr>
          <w:rStyle w:val="28"/>
          <w:rFonts w:ascii="宋体" w:hAnsi="宋体" w:eastAsia="宋体" w:cs="宋体"/>
          <w:snapToGrid w:val="0"/>
          <w:color w:val="auto"/>
          <w:spacing w:val="18"/>
          <w:kern w:val="0"/>
          <w:sz w:val="21"/>
          <w:szCs w:val="21"/>
          <w:highlight w:val="none"/>
          <w:lang w:val="en-US" w:eastAsia="zh-CN" w:bidi="ar-SA"/>
        </w:rPr>
        <w:t>的</w:t>
      </w:r>
      <w:r>
        <w:rPr>
          <w:rStyle w:val="28"/>
          <w:rFonts w:ascii="宋体" w:hAnsi="宋体" w:eastAsia="宋体" w:cs="宋体"/>
          <w:snapToGrid w:val="0"/>
          <w:color w:val="auto"/>
          <w:spacing w:val="11"/>
          <w:kern w:val="0"/>
          <w:sz w:val="21"/>
          <w:szCs w:val="21"/>
          <w:highlight w:val="none"/>
          <w:lang w:val="en-US" w:eastAsia="zh-CN" w:bidi="ar-SA"/>
        </w:rPr>
        <w:t>直接的和间接的费用增加(包括被迫采用特殊送达方式所发生的费用)和(或)延误的工</w:t>
      </w:r>
      <w:r>
        <w:rPr>
          <w:rStyle w:val="28"/>
          <w:rFonts w:ascii="宋体" w:hAnsi="宋体" w:eastAsia="宋体" w:cs="宋体"/>
          <w:snapToGrid w:val="0"/>
          <w:color w:val="auto"/>
          <w:kern w:val="0"/>
          <w:sz w:val="21"/>
          <w:szCs w:val="21"/>
          <w:highlight w:val="none"/>
          <w:lang w:val="en-US" w:eastAsia="zh-CN" w:bidi="ar-SA"/>
        </w:rPr>
        <w:t xml:space="preserve"> </w:t>
      </w:r>
      <w:r>
        <w:rPr>
          <w:rStyle w:val="28"/>
          <w:rFonts w:ascii="宋体" w:hAnsi="宋体" w:eastAsia="宋体" w:cs="宋体"/>
          <w:snapToGrid w:val="0"/>
          <w:color w:val="auto"/>
          <w:spacing w:val="-2"/>
          <w:kern w:val="0"/>
          <w:sz w:val="21"/>
          <w:szCs w:val="21"/>
          <w:highlight w:val="none"/>
          <w:lang w:val="en-US" w:eastAsia="zh-CN" w:bidi="ar-SA"/>
        </w:rPr>
        <w:t>期由拒绝签收一方承担。</w:t>
      </w:r>
    </w:p>
    <w:p w14:paraId="0E9501F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1.10 交通运输</w:t>
      </w:r>
    </w:p>
    <w:p w14:paraId="651B4ED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1.10.1 出入现场的权利</w:t>
      </w:r>
    </w:p>
    <w:p w14:paraId="08EC34E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关于出入现场的权利的约定：</w:t>
      </w:r>
      <w:r>
        <w:rPr>
          <w:rFonts w:hint="eastAsia" w:ascii="宋体" w:hAnsi="宋体" w:eastAsia="宋体" w:cs="宋体"/>
          <w:color w:val="auto"/>
          <w:kern w:val="2"/>
          <w:sz w:val="21"/>
          <w:szCs w:val="21"/>
          <w:highlight w:val="none"/>
          <w:u w:val="single"/>
          <w:lang w:val="en-US" w:eastAsia="zh-CN" w:bidi="ar-SA"/>
        </w:rPr>
        <w:t xml:space="preserve"> 除正常施工涉及的人员及车辆外，其他人员及车辆进出场须经过发包人同意，且由承包人进行管理登记 </w:t>
      </w:r>
      <w:r>
        <w:rPr>
          <w:rFonts w:hint="eastAsia" w:ascii="宋体" w:hAnsi="宋体" w:eastAsia="宋体" w:cs="宋体"/>
          <w:color w:val="auto"/>
          <w:kern w:val="2"/>
          <w:sz w:val="21"/>
          <w:szCs w:val="21"/>
          <w:highlight w:val="none"/>
          <w:lang w:val="en-US" w:eastAsia="zh-CN" w:bidi="ar-SA"/>
        </w:rPr>
        <w:t>。</w:t>
      </w:r>
    </w:p>
    <w:p w14:paraId="39D59D1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1.10.3 场内交通</w:t>
      </w:r>
    </w:p>
    <w:p w14:paraId="5FF18F6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关于场外交通和场内交通的边界的约定：</w:t>
      </w:r>
      <w:r>
        <w:rPr>
          <w:rFonts w:hint="eastAsia" w:ascii="宋体" w:hAnsi="宋体" w:eastAsia="宋体" w:cs="宋体"/>
          <w:color w:val="auto"/>
          <w:kern w:val="2"/>
          <w:sz w:val="21"/>
          <w:szCs w:val="21"/>
          <w:highlight w:val="none"/>
          <w:u w:val="single"/>
          <w:lang w:val="en-US" w:eastAsia="zh-CN" w:bidi="ar-SA"/>
        </w:rPr>
        <w:t xml:space="preserve">  施工界定的红线范围内  </w:t>
      </w:r>
      <w:r>
        <w:rPr>
          <w:rFonts w:hint="eastAsia" w:ascii="宋体" w:hAnsi="宋体" w:eastAsia="宋体" w:cs="宋体"/>
          <w:color w:val="auto"/>
          <w:kern w:val="2"/>
          <w:sz w:val="21"/>
          <w:szCs w:val="21"/>
          <w:highlight w:val="none"/>
          <w:lang w:val="en-US" w:eastAsia="zh-CN" w:bidi="ar-SA"/>
        </w:rPr>
        <w:t>。</w:t>
      </w:r>
    </w:p>
    <w:p w14:paraId="00965A2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关于发包人向承包人免费提供满足工程施工需要的场内道路和交通设施的约定：</w:t>
      </w:r>
      <w:r>
        <w:rPr>
          <w:rFonts w:hint="eastAsia" w:ascii="宋体" w:hAnsi="宋体" w:eastAsia="宋体" w:cs="宋体"/>
          <w:color w:val="auto"/>
          <w:kern w:val="2"/>
          <w:sz w:val="21"/>
          <w:szCs w:val="21"/>
          <w:highlight w:val="none"/>
          <w:u w:val="single"/>
          <w:lang w:val="en-US" w:eastAsia="zh-CN" w:bidi="ar-SA"/>
        </w:rPr>
        <w:t>承包人负责场内道路和交通设施的修建并承担相应费用</w:t>
      </w:r>
      <w:r>
        <w:rPr>
          <w:rFonts w:hint="eastAsia" w:ascii="宋体" w:hAnsi="宋体" w:eastAsia="宋体" w:cs="宋体"/>
          <w:color w:val="auto"/>
          <w:kern w:val="2"/>
          <w:sz w:val="21"/>
          <w:szCs w:val="21"/>
          <w:highlight w:val="none"/>
          <w:lang w:val="en-US" w:eastAsia="zh-CN" w:bidi="ar-SA"/>
        </w:rPr>
        <w:t xml:space="preserve">。  </w:t>
      </w:r>
    </w:p>
    <w:p w14:paraId="6695534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1.10.4超大件和超重件的运输</w:t>
      </w:r>
    </w:p>
    <w:p w14:paraId="601A6CA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运输超大件或超重件所需的道路和桥梁临时加固改造费用和其他有关费用由</w:t>
      </w:r>
      <w:r>
        <w:rPr>
          <w:rFonts w:hint="eastAsia" w:ascii="宋体" w:hAnsi="宋体" w:eastAsia="宋体" w:cs="宋体"/>
          <w:color w:val="auto"/>
          <w:kern w:val="2"/>
          <w:sz w:val="21"/>
          <w:szCs w:val="21"/>
          <w:highlight w:val="none"/>
          <w:u w:val="single"/>
          <w:lang w:val="en-US" w:eastAsia="zh-CN" w:bidi="ar-SA"/>
        </w:rPr>
        <w:t>承包人</w:t>
      </w:r>
      <w:r>
        <w:rPr>
          <w:rFonts w:hint="eastAsia" w:ascii="宋体" w:hAnsi="宋体" w:eastAsia="宋体" w:cs="宋体"/>
          <w:color w:val="auto"/>
          <w:kern w:val="2"/>
          <w:sz w:val="21"/>
          <w:szCs w:val="21"/>
          <w:highlight w:val="none"/>
          <w:lang w:val="en-US" w:eastAsia="zh-CN" w:bidi="ar-SA"/>
        </w:rPr>
        <w:t>承担。</w:t>
      </w:r>
    </w:p>
    <w:p w14:paraId="6E47388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1.11 知识产权</w:t>
      </w:r>
    </w:p>
    <w:p w14:paraId="714B289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kern w:val="2"/>
          <w:sz w:val="21"/>
          <w:szCs w:val="21"/>
          <w:highlight w:val="none"/>
          <w:u w:val="single"/>
          <w:lang w:val="en-US" w:eastAsia="zh-CN" w:bidi="ar-SA"/>
        </w:rPr>
        <w:t>著作权属于发包人</w:t>
      </w:r>
      <w:r>
        <w:rPr>
          <w:rFonts w:hint="eastAsia" w:ascii="宋体" w:hAnsi="宋体" w:eastAsia="宋体" w:cs="宋体"/>
          <w:color w:val="auto"/>
          <w:kern w:val="2"/>
          <w:sz w:val="21"/>
          <w:szCs w:val="21"/>
          <w:highlight w:val="none"/>
          <w:lang w:val="en-US" w:eastAsia="zh-CN" w:bidi="ar-SA"/>
        </w:rPr>
        <w:t>。</w:t>
      </w:r>
    </w:p>
    <w:p w14:paraId="7024D55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未经发包人同意，承包人不得为了合同以外的目的而复制、使用上述文件或将之提供给任何第三方</w:t>
      </w:r>
      <w:r>
        <w:rPr>
          <w:rFonts w:hint="eastAsia" w:ascii="宋体" w:hAnsi="宋体" w:eastAsia="宋体" w:cs="宋体"/>
          <w:color w:val="auto"/>
          <w:kern w:val="2"/>
          <w:sz w:val="21"/>
          <w:szCs w:val="21"/>
          <w:highlight w:val="none"/>
          <w:lang w:val="en-US" w:eastAsia="zh-CN" w:bidi="ar-SA"/>
        </w:rPr>
        <w:t>。</w:t>
      </w:r>
    </w:p>
    <w:p w14:paraId="6B99D01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1.11.2 关于承包人为实施工程所编制文件的著作权的归属：</w:t>
      </w:r>
      <w:r>
        <w:rPr>
          <w:rFonts w:hint="eastAsia" w:ascii="宋体" w:hAnsi="宋体" w:eastAsia="宋体" w:cs="宋体"/>
          <w:color w:val="auto"/>
          <w:kern w:val="2"/>
          <w:sz w:val="21"/>
          <w:szCs w:val="21"/>
          <w:highlight w:val="none"/>
          <w:u w:val="single"/>
          <w:lang w:val="en-US" w:eastAsia="zh-CN" w:bidi="ar-SA"/>
        </w:rPr>
        <w:t>除署名以外著作权属于发包人</w:t>
      </w:r>
      <w:r>
        <w:rPr>
          <w:rFonts w:hint="eastAsia" w:ascii="宋体" w:hAnsi="宋体" w:eastAsia="宋体" w:cs="宋体"/>
          <w:color w:val="auto"/>
          <w:kern w:val="2"/>
          <w:sz w:val="21"/>
          <w:szCs w:val="21"/>
          <w:highlight w:val="none"/>
          <w:lang w:val="en-US" w:eastAsia="zh-CN" w:bidi="ar-SA"/>
        </w:rPr>
        <w:t>。</w:t>
      </w:r>
    </w:p>
    <w:p w14:paraId="672A21A5">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关于承包人提供的上述文件的使用限制的要求：</w:t>
      </w:r>
      <w:r>
        <w:rPr>
          <w:rFonts w:hint="eastAsia" w:ascii="宋体" w:hAnsi="宋体" w:eastAsia="宋体" w:cs="宋体"/>
          <w:color w:val="auto"/>
          <w:kern w:val="2"/>
          <w:sz w:val="21"/>
          <w:szCs w:val="21"/>
          <w:highlight w:val="none"/>
          <w:u w:val="single"/>
          <w:lang w:val="en-US" w:eastAsia="zh-CN" w:bidi="ar-SA"/>
        </w:rPr>
        <w:t>未经发包人同意，承包人不得为了合同以外的目的而复制、使用上述文件或将之提供给任何第三方</w:t>
      </w:r>
      <w:r>
        <w:rPr>
          <w:rFonts w:hint="eastAsia" w:ascii="宋体" w:hAnsi="宋体" w:eastAsia="宋体" w:cs="宋体"/>
          <w:color w:val="auto"/>
          <w:kern w:val="2"/>
          <w:sz w:val="21"/>
          <w:szCs w:val="21"/>
          <w:highlight w:val="none"/>
          <w:lang w:val="en-US" w:eastAsia="zh-CN" w:bidi="ar-SA"/>
        </w:rPr>
        <w:t>。</w:t>
      </w:r>
    </w:p>
    <w:p w14:paraId="57FABEC2">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1.11.4 承包人在施工过程中所采用的专利、专有技术、技术秘密的使用费的承担方式：</w:t>
      </w:r>
      <w:r>
        <w:rPr>
          <w:rFonts w:hint="eastAsia" w:ascii="宋体" w:hAnsi="宋体" w:eastAsia="宋体" w:cs="宋体"/>
          <w:color w:val="auto"/>
          <w:kern w:val="2"/>
          <w:sz w:val="21"/>
          <w:szCs w:val="21"/>
          <w:highlight w:val="none"/>
          <w:u w:val="single"/>
          <w:lang w:val="en-US" w:eastAsia="zh-CN" w:bidi="ar-SA"/>
        </w:rPr>
        <w:t>由承包人承担</w:t>
      </w:r>
      <w:r>
        <w:rPr>
          <w:rFonts w:hint="eastAsia" w:ascii="宋体" w:hAnsi="宋体" w:eastAsia="宋体" w:cs="宋体"/>
          <w:color w:val="auto"/>
          <w:kern w:val="2"/>
          <w:sz w:val="21"/>
          <w:szCs w:val="21"/>
          <w:highlight w:val="none"/>
          <w:lang w:val="en-US" w:eastAsia="zh-CN" w:bidi="ar-SA"/>
        </w:rPr>
        <w:t>。</w:t>
      </w:r>
    </w:p>
    <w:p w14:paraId="59521EF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1.13工程量清单错误的修正</w:t>
      </w:r>
    </w:p>
    <w:p w14:paraId="44F70587">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出现工程量清单错误时，是否调整合同价格：</w:t>
      </w:r>
      <w:r>
        <w:rPr>
          <w:rStyle w:val="28"/>
          <w:rFonts w:hint="eastAsia" w:ascii="Wingdings 2" w:hAnsi="Wingdings 2" w:eastAsia="宋体" w:cs="宋体"/>
          <w:color w:val="auto"/>
          <w:kern w:val="2"/>
          <w:sz w:val="21"/>
          <w:szCs w:val="21"/>
          <w:highlight w:val="none"/>
          <w:u w:val="single"/>
          <w:lang w:val="en-US" w:eastAsia="zh-CN" w:bidi="ar-SA"/>
        </w:rPr>
        <w:t>R</w:t>
      </w:r>
      <w:r>
        <w:rPr>
          <w:rStyle w:val="28"/>
          <w:rFonts w:hint="eastAsia" w:ascii="Times New Roman" w:hAnsi="宋体" w:eastAsia="宋体" w:cs="宋体"/>
          <w:color w:val="auto"/>
          <w:kern w:val="2"/>
          <w:sz w:val="21"/>
          <w:szCs w:val="21"/>
          <w:highlight w:val="none"/>
          <w:u w:val="single"/>
          <w:lang w:val="en-US" w:eastAsia="zh-CN" w:bidi="ar-SA"/>
        </w:rPr>
        <w:t xml:space="preserve">是  </w:t>
      </w:r>
      <w:r>
        <w:rPr>
          <w:rStyle w:val="28"/>
          <w:rFonts w:hint="eastAsia" w:ascii="宋体" w:hAnsi="宋体" w:eastAsia="宋体" w:cs="宋体"/>
          <w:color w:val="auto"/>
          <w:kern w:val="2"/>
          <w:sz w:val="21"/>
          <w:szCs w:val="21"/>
          <w:highlight w:val="none"/>
          <w:u w:val="single"/>
          <w:lang w:val="en-US" w:eastAsia="zh-CN" w:bidi="ar-SA"/>
        </w:rPr>
        <w:t>□</w:t>
      </w:r>
      <w:r>
        <w:rPr>
          <w:rStyle w:val="28"/>
          <w:rFonts w:hint="eastAsia" w:ascii="Times New Roman" w:hAnsi="宋体" w:eastAsia="宋体" w:cs="宋体"/>
          <w:color w:val="auto"/>
          <w:kern w:val="2"/>
          <w:sz w:val="21"/>
          <w:szCs w:val="21"/>
          <w:highlight w:val="none"/>
          <w:u w:val="single"/>
          <w:lang w:val="en-US" w:eastAsia="zh-CN" w:bidi="ar-SA"/>
        </w:rPr>
        <w:t>否</w:t>
      </w:r>
      <w:r>
        <w:rPr>
          <w:rFonts w:hint="eastAsia" w:ascii="宋体" w:hAnsi="宋体" w:eastAsia="宋体" w:cs="宋体"/>
          <w:color w:val="auto"/>
          <w:kern w:val="2"/>
          <w:sz w:val="21"/>
          <w:szCs w:val="21"/>
          <w:highlight w:val="none"/>
          <w:u w:val="single"/>
          <w:lang w:val="en-US" w:eastAsia="zh-CN" w:bidi="ar-SA"/>
        </w:rPr>
        <w:t>。</w:t>
      </w:r>
    </w:p>
    <w:p w14:paraId="2303B6A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允许调整合同价格的工程量偏差范围： </w:t>
      </w:r>
      <w:r>
        <w:rPr>
          <w:rFonts w:hint="eastAsia" w:ascii="宋体" w:hAnsi="宋体" w:eastAsia="宋体" w:cs="宋体"/>
          <w:color w:val="auto"/>
          <w:kern w:val="2"/>
          <w:sz w:val="21"/>
          <w:szCs w:val="21"/>
          <w:highlight w:val="none"/>
          <w:u w:val="single"/>
          <w:lang w:val="en-US" w:eastAsia="zh-CN" w:bidi="ar-SA"/>
        </w:rPr>
        <w:t>参照专用合同条款10.1、10.4执行</w:t>
      </w:r>
      <w:r>
        <w:rPr>
          <w:rFonts w:hint="eastAsia" w:ascii="宋体" w:hAnsi="宋体" w:eastAsia="宋体" w:cs="宋体"/>
          <w:color w:val="auto"/>
          <w:kern w:val="2"/>
          <w:sz w:val="21"/>
          <w:szCs w:val="21"/>
          <w:highlight w:val="none"/>
          <w:lang w:val="en-US" w:eastAsia="zh-CN" w:bidi="ar-SA"/>
        </w:rPr>
        <w:t>。</w:t>
      </w:r>
    </w:p>
    <w:p w14:paraId="0C0C254C">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 发包人</w:t>
      </w:r>
    </w:p>
    <w:p w14:paraId="6FDCAC2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2.2 发包人代表</w:t>
      </w:r>
    </w:p>
    <w:p w14:paraId="4969A78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发包人代表：</w:t>
      </w:r>
    </w:p>
    <w:p w14:paraId="3ED62FF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597762B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    务：</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0F7F7A2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24620D3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4E4743F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19EA1E73">
      <w:pPr>
        <w:widowControl w:val="0"/>
        <w:spacing w:line="380" w:lineRule="exact"/>
        <w:ind w:firstLine="420" w:firstLineChars="20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发包人对发包人代表的授权范围如下：</w:t>
      </w:r>
      <w:r>
        <w:rPr>
          <w:rFonts w:hint="eastAsia" w:ascii="宋体" w:hAnsi="宋体" w:eastAsia="宋体" w:cs="宋体"/>
          <w:color w:val="auto"/>
          <w:kern w:val="2"/>
          <w:sz w:val="21"/>
          <w:szCs w:val="21"/>
          <w:highlight w:val="none"/>
          <w:u w:val="single"/>
          <w:lang w:val="en-US" w:eastAsia="zh-CN" w:bidi="ar-SA"/>
        </w:rPr>
        <w:t>对工程进度、质量进行监督、办理中间交工工程验收手续，负责现场签证，解决由发包人授权处理的事宜</w:t>
      </w:r>
      <w:r>
        <w:rPr>
          <w:rFonts w:hint="eastAsia" w:ascii="宋体" w:hAnsi="宋体" w:eastAsia="宋体" w:cs="宋体"/>
          <w:color w:val="auto"/>
          <w:kern w:val="2"/>
          <w:sz w:val="21"/>
          <w:szCs w:val="21"/>
          <w:highlight w:val="none"/>
          <w:lang w:val="en-US" w:eastAsia="zh-CN" w:bidi="ar-SA"/>
        </w:rPr>
        <w:t>。</w:t>
      </w:r>
    </w:p>
    <w:p w14:paraId="57A3466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2.4 施工现场、施工条件和基础资料的提供</w:t>
      </w:r>
    </w:p>
    <w:p w14:paraId="0D0C5ED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2.4.1 提供施工现场</w:t>
      </w:r>
    </w:p>
    <w:p w14:paraId="66503ED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关于发包人移交施工现场的期限要求：</w:t>
      </w:r>
      <w:r>
        <w:rPr>
          <w:rFonts w:hint="eastAsia" w:ascii="宋体" w:hAnsi="宋体" w:eastAsia="宋体" w:cs="宋体"/>
          <w:color w:val="auto"/>
          <w:kern w:val="2"/>
          <w:sz w:val="21"/>
          <w:szCs w:val="21"/>
          <w:highlight w:val="none"/>
          <w:u w:val="single"/>
          <w:lang w:val="en-US" w:eastAsia="zh-CN" w:bidi="ar-SA"/>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eastAsia="宋体" w:cs="宋体"/>
          <w:color w:val="auto"/>
          <w:kern w:val="2"/>
          <w:sz w:val="21"/>
          <w:szCs w:val="21"/>
          <w:highlight w:val="none"/>
          <w:lang w:val="en-US" w:eastAsia="zh-CN" w:bidi="ar-SA"/>
        </w:rPr>
        <w:t>。</w:t>
      </w:r>
    </w:p>
    <w:p w14:paraId="576790D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2.4.2 提供施工条件</w:t>
      </w:r>
    </w:p>
    <w:p w14:paraId="18D3340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关于发包人应负责提供施工所需要的条件，包括：</w:t>
      </w:r>
      <w:r>
        <w:rPr>
          <w:rFonts w:hint="eastAsia" w:ascii="宋体" w:hAnsi="宋体" w:eastAsia="宋体" w:cs="宋体"/>
          <w:color w:val="auto"/>
          <w:kern w:val="2"/>
          <w:sz w:val="21"/>
          <w:szCs w:val="21"/>
          <w:highlight w:val="none"/>
          <w:u w:val="single"/>
          <w:lang w:val="en-US" w:eastAsia="zh-CN" w:bidi="ar-SA"/>
        </w:rPr>
        <w:t xml:space="preserve"> 施工所需用电接点和用水接点由发包人和承包人根据现场实际情况双方协商，接点至施工现场段管道/管线、计量设备由承包人自行解决，电讯线路的开通由承包人自行解决并承担费用；承包人使用的水、电、通讯费由承包人负责。若供电部门的原因造成停电，承包人必须自行解决施工用电，费用由承包人负责</w:t>
      </w:r>
      <w:r>
        <w:rPr>
          <w:rFonts w:hint="eastAsia" w:ascii="宋体" w:hAnsi="宋体" w:eastAsia="宋体" w:cs="宋体"/>
          <w:color w:val="auto"/>
          <w:kern w:val="2"/>
          <w:sz w:val="21"/>
          <w:szCs w:val="21"/>
          <w:highlight w:val="none"/>
          <w:lang w:val="en-US" w:eastAsia="zh-CN" w:bidi="ar-SA"/>
        </w:rPr>
        <w:t>。</w:t>
      </w:r>
    </w:p>
    <w:p w14:paraId="0FC9A05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2.5 资金来源证明及支付担保</w:t>
      </w:r>
    </w:p>
    <w:p w14:paraId="1BB7179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发包人提供资金来源证明的期限要求：</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389F4D9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发包人是否提供支付担保：</w:t>
      </w:r>
      <w:r>
        <w:rPr>
          <w:rFonts w:hint="eastAsia" w:ascii="宋体" w:hAnsi="宋体" w:eastAsia="宋体" w:cs="宋体"/>
          <w:color w:val="auto"/>
          <w:kern w:val="2"/>
          <w:sz w:val="21"/>
          <w:szCs w:val="21"/>
          <w:highlight w:val="none"/>
          <w:u w:val="single"/>
          <w:lang w:val="en-US" w:eastAsia="zh-CN" w:bidi="ar-SA"/>
        </w:rPr>
        <w:t xml:space="preserve">    否　　　   </w:t>
      </w:r>
      <w:r>
        <w:rPr>
          <w:rFonts w:hint="eastAsia" w:ascii="宋体" w:hAnsi="宋体" w:eastAsia="宋体" w:cs="宋体"/>
          <w:color w:val="auto"/>
          <w:kern w:val="2"/>
          <w:sz w:val="21"/>
          <w:szCs w:val="21"/>
          <w:highlight w:val="none"/>
          <w:lang w:val="en-US" w:eastAsia="zh-CN" w:bidi="ar-SA"/>
        </w:rPr>
        <w:t>。</w:t>
      </w:r>
    </w:p>
    <w:p w14:paraId="3FF0D7BE">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发包人提供支付担保的形式：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799F1AD7">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 承包人</w:t>
      </w:r>
    </w:p>
    <w:p w14:paraId="4DD48D7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3.1 承包人的一般义务</w:t>
      </w:r>
    </w:p>
    <w:p w14:paraId="6BC6800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承包人提交的竣工资料的内容：</w:t>
      </w:r>
      <w:r>
        <w:rPr>
          <w:rFonts w:hint="eastAsia" w:ascii="宋体" w:hAnsi="宋体" w:eastAsia="宋体" w:cs="宋体"/>
          <w:color w:val="auto"/>
          <w:kern w:val="2"/>
          <w:sz w:val="21"/>
          <w:szCs w:val="21"/>
          <w:highlight w:val="none"/>
          <w:u w:val="single"/>
          <w:lang w:val="en-US" w:eastAsia="zh-CN" w:bidi="ar-SA"/>
        </w:rPr>
        <w:t>工程具备竣工验收条件，承包人按工程竣工验收有关规定，向发包人提交符合《建设工程文件归档整理规范》内容装订成册的完整竣工资料及竣工验收报告、工程竣工图</w:t>
      </w:r>
      <w:r>
        <w:rPr>
          <w:rFonts w:hint="eastAsia" w:ascii="宋体" w:hAnsi="宋体" w:eastAsia="宋体" w:cs="宋体"/>
          <w:color w:val="auto"/>
          <w:kern w:val="2"/>
          <w:sz w:val="21"/>
          <w:szCs w:val="21"/>
          <w:highlight w:val="none"/>
          <w:lang w:val="en-US" w:eastAsia="zh-CN" w:bidi="ar-SA"/>
        </w:rPr>
        <w:t>。</w:t>
      </w:r>
    </w:p>
    <w:p w14:paraId="7C9FC8FC">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承包人需要提交的竣工资料套数：</w:t>
      </w:r>
      <w:r>
        <w:rPr>
          <w:rFonts w:hint="eastAsia" w:ascii="宋体" w:hAnsi="宋体" w:eastAsia="宋体" w:cs="宋体"/>
          <w:color w:val="auto"/>
          <w:kern w:val="2"/>
          <w:sz w:val="21"/>
          <w:szCs w:val="21"/>
          <w:highlight w:val="none"/>
          <w:u w:val="single"/>
          <w:lang w:val="en-US" w:eastAsia="zh-CN" w:bidi="ar-SA"/>
        </w:rPr>
        <w:t xml:space="preserve">  按发包人要求  </w:t>
      </w:r>
      <w:r>
        <w:rPr>
          <w:rFonts w:hint="eastAsia" w:ascii="宋体" w:hAnsi="宋体" w:eastAsia="宋体" w:cs="宋体"/>
          <w:color w:val="auto"/>
          <w:kern w:val="2"/>
          <w:sz w:val="21"/>
          <w:szCs w:val="21"/>
          <w:highlight w:val="none"/>
          <w:lang w:val="en-US" w:eastAsia="zh-CN" w:bidi="ar-SA"/>
        </w:rPr>
        <w:t>。</w:t>
      </w:r>
    </w:p>
    <w:p w14:paraId="517AA71C">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承包人提交的竣工资料的费用承担：</w:t>
      </w:r>
      <w:r>
        <w:rPr>
          <w:rFonts w:hint="eastAsia" w:ascii="宋体" w:hAnsi="宋体" w:eastAsia="宋体" w:cs="宋体"/>
          <w:color w:val="auto"/>
          <w:kern w:val="2"/>
          <w:sz w:val="21"/>
          <w:szCs w:val="21"/>
          <w:highlight w:val="none"/>
          <w:u w:val="single"/>
          <w:lang w:val="en-US" w:eastAsia="zh-CN" w:bidi="ar-SA"/>
        </w:rPr>
        <w:t xml:space="preserve">  由承包人承担相关费用 </w:t>
      </w:r>
      <w:r>
        <w:rPr>
          <w:rFonts w:hint="eastAsia" w:ascii="宋体" w:hAnsi="宋体" w:eastAsia="宋体" w:cs="宋体"/>
          <w:color w:val="auto"/>
          <w:kern w:val="2"/>
          <w:sz w:val="21"/>
          <w:szCs w:val="21"/>
          <w:highlight w:val="none"/>
          <w:lang w:val="en-US" w:eastAsia="zh-CN" w:bidi="ar-SA"/>
        </w:rPr>
        <w:t>。</w:t>
      </w:r>
    </w:p>
    <w:p w14:paraId="6DAD5B6A">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承包人提交的竣工资料移交时间：</w:t>
      </w:r>
      <w:r>
        <w:rPr>
          <w:rFonts w:hint="eastAsia" w:ascii="宋体" w:hAnsi="宋体" w:eastAsia="宋体" w:cs="宋体"/>
          <w:color w:val="auto"/>
          <w:kern w:val="2"/>
          <w:sz w:val="21"/>
          <w:szCs w:val="21"/>
          <w:highlight w:val="none"/>
          <w:u w:val="single"/>
          <w:lang w:val="en-US" w:eastAsia="zh-CN" w:bidi="ar-SA"/>
        </w:rPr>
        <w:t xml:space="preserve">  工程竣工验收合格后30天内  </w:t>
      </w:r>
      <w:r>
        <w:rPr>
          <w:rFonts w:hint="eastAsia" w:ascii="宋体" w:hAnsi="宋体" w:eastAsia="宋体" w:cs="宋体"/>
          <w:color w:val="auto"/>
          <w:kern w:val="2"/>
          <w:sz w:val="21"/>
          <w:szCs w:val="21"/>
          <w:highlight w:val="none"/>
          <w:lang w:val="en-US" w:eastAsia="zh-CN" w:bidi="ar-SA"/>
        </w:rPr>
        <w:t>。</w:t>
      </w:r>
    </w:p>
    <w:p w14:paraId="45FB27E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承包人提交的竣工资料形式要求：</w:t>
      </w:r>
      <w:r>
        <w:rPr>
          <w:rFonts w:hint="eastAsia" w:ascii="宋体" w:hAnsi="宋体" w:eastAsia="宋体" w:cs="宋体"/>
          <w:color w:val="auto"/>
          <w:kern w:val="2"/>
          <w:sz w:val="21"/>
          <w:szCs w:val="21"/>
          <w:highlight w:val="none"/>
          <w:u w:val="single"/>
          <w:lang w:val="en-US" w:eastAsia="zh-CN" w:bidi="ar-SA"/>
        </w:rPr>
        <w:t>竣工档案（竣工档案的内容：施工单位竣工验收文件、施工文件、竣工图（按城市建设档案馆要求整理，相关费用由承包人承担）、备案资料（应由承包人提供的部分按兴安县住建局要求整理）、建设工程质量监督档案（应由承包人提供的部分按兴安县建设工程质量监督管理站要求整理）</w:t>
      </w:r>
      <w:r>
        <w:rPr>
          <w:rFonts w:hint="eastAsia" w:ascii="宋体" w:hAnsi="宋体" w:eastAsia="宋体" w:cs="宋体"/>
          <w:color w:val="auto"/>
          <w:kern w:val="2"/>
          <w:sz w:val="21"/>
          <w:szCs w:val="21"/>
          <w:highlight w:val="none"/>
          <w:lang w:val="en-US" w:eastAsia="zh-CN" w:bidi="ar-SA"/>
        </w:rPr>
        <w:t>。</w:t>
      </w:r>
    </w:p>
    <w:p w14:paraId="791A549D">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（10）承包人应履行的其他义务：</w:t>
      </w:r>
      <w:r>
        <w:rPr>
          <w:rFonts w:hint="eastAsia" w:ascii="宋体" w:hAnsi="宋体" w:eastAsia="宋体" w:cs="宋体"/>
          <w:color w:val="auto"/>
          <w:kern w:val="2"/>
          <w:sz w:val="21"/>
          <w:szCs w:val="21"/>
          <w:highlight w:val="none"/>
          <w:u w:val="single"/>
          <w:lang w:val="en-US" w:eastAsia="zh-CN" w:bidi="ar-SA"/>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声等审批手续，并承担费用，如因承包人未缴纳相关费用，发包人有权从工程款中扣除用于支付相关费用并计入结算。承包人负责对施工场地内的化石、文物负有保护责任，并承担相应费用。承包人负责满足施工期间政府职能部门对工地消防设施有关要求，并承担相关费用。④承包人应负责协调解决本项目当地居民对工程施工的人为干扰，施工机械进出、材料运输需通过村道及村民土地；承包人应当协调与施工现场周边农村及村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照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w:t>
      </w:r>
      <w:r>
        <w:rPr>
          <w:rFonts w:ascii="Cambria Math" w:hAnsi="Cambria Math" w:eastAsia="宋体" w:cs="Cambria Math"/>
          <w:color w:val="auto"/>
          <w:kern w:val="2"/>
          <w:sz w:val="21"/>
          <w:szCs w:val="21"/>
          <w:highlight w:val="none"/>
          <w:u w:val="single"/>
          <w:lang w:val="en-US" w:eastAsia="zh-CN" w:bidi="ar-SA"/>
        </w:rPr>
        <w:t>⑪</w:t>
      </w:r>
      <w:r>
        <w:rPr>
          <w:rFonts w:hint="eastAsia" w:ascii="宋体" w:hAnsi="宋体" w:eastAsia="宋体" w:cs="宋体"/>
          <w:color w:val="auto"/>
          <w:kern w:val="2"/>
          <w:sz w:val="21"/>
          <w:szCs w:val="21"/>
          <w:highlight w:val="none"/>
          <w:u w:val="single"/>
          <w:lang w:val="en-US" w:eastAsia="zh-CN" w:bidi="ar-SA"/>
        </w:rPr>
        <w:t>承包人在工程施工期间由于承包人原因引起的责任事故，全部由承包人承担经济责任和法律责任。</w:t>
      </w:r>
      <w:r>
        <w:rPr>
          <w:rFonts w:ascii="Cambria Math" w:hAnsi="Cambria Math" w:eastAsia="宋体" w:cs="Cambria Math"/>
          <w:color w:val="auto"/>
          <w:kern w:val="2"/>
          <w:sz w:val="21"/>
          <w:szCs w:val="21"/>
          <w:highlight w:val="none"/>
          <w:u w:val="single"/>
          <w:lang w:val="en-US" w:eastAsia="zh-CN" w:bidi="ar-SA"/>
        </w:rPr>
        <w:t>⑫</w:t>
      </w:r>
      <w:r>
        <w:rPr>
          <w:rFonts w:hint="eastAsia" w:ascii="宋体" w:hAnsi="宋体" w:eastAsia="宋体" w:cs="宋体"/>
          <w:color w:val="auto"/>
          <w:kern w:val="2"/>
          <w:sz w:val="21"/>
          <w:szCs w:val="21"/>
          <w:highlight w:val="none"/>
          <w:u w:val="single"/>
          <w:lang w:val="en-US" w:eastAsia="zh-CN" w:bidi="ar-SA"/>
        </w:rPr>
        <w:t>满足国家、行业、控制标准和验收规范，在质量管理过程中达到或超过质量标准，杜绝重大设备一般及以上质量事故，确保工程无永久性缺陷。</w:t>
      </w:r>
    </w:p>
    <w:p w14:paraId="1E92AC5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3.2 项目经理</w:t>
      </w:r>
    </w:p>
    <w:p w14:paraId="487FDFF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3.2.1 </w:t>
      </w:r>
      <w:r>
        <w:rPr>
          <w:rFonts w:hint="eastAsia" w:ascii="宋体" w:hAnsi="宋体" w:eastAsia="宋体" w:cs="宋体"/>
          <w:color w:val="auto"/>
          <w:kern w:val="2"/>
          <w:sz w:val="21"/>
          <w:szCs w:val="21"/>
          <w:highlight w:val="none"/>
          <w:lang w:val="en-US" w:eastAsia="zh-CN" w:bidi="ar-SA"/>
        </w:rPr>
        <w:t>项目经理：</w:t>
      </w:r>
    </w:p>
    <w:p w14:paraId="1C22174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11C1ACA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身份证号：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2690705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建造师执业资格等级：</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04574E21">
      <w:pPr>
        <w:widowControl w:val="0"/>
        <w:spacing w:line="380" w:lineRule="exact"/>
        <w:ind w:firstLine="420" w:firstLineChars="20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建造师注册证书号：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 xml:space="preserve">； </w:t>
      </w:r>
    </w:p>
    <w:p w14:paraId="2DD05D2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建造师执业印章号：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571FC829">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安全生产考核合格证书号：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750E7FE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587FA3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487111C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04409E5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承包人对项目经理的授权范围如下： </w:t>
      </w:r>
      <w:r>
        <w:rPr>
          <w:rFonts w:hint="eastAsia" w:ascii="宋体" w:hAnsi="宋体" w:eastAsia="宋体" w:cs="宋体"/>
          <w:color w:val="auto"/>
          <w:kern w:val="2"/>
          <w:sz w:val="21"/>
          <w:szCs w:val="21"/>
          <w:highlight w:val="none"/>
          <w:u w:val="single"/>
          <w:lang w:val="en-US" w:eastAsia="zh-CN" w:bidi="ar-SA"/>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auto"/>
          <w:kern w:val="2"/>
          <w:sz w:val="21"/>
          <w:szCs w:val="21"/>
          <w:highlight w:val="none"/>
          <w:lang w:val="en-US" w:eastAsia="zh-CN" w:bidi="ar-SA"/>
        </w:rPr>
        <w:t>。</w:t>
      </w:r>
    </w:p>
    <w:p w14:paraId="1CE6B3BF">
      <w:pPr>
        <w:widowControl w:val="0"/>
        <w:spacing w:line="38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关于项目经理每月在施工现场的时间要求：</w:t>
      </w:r>
      <w:r>
        <w:rPr>
          <w:rFonts w:hint="eastAsia" w:ascii="宋体" w:hAnsi="宋体" w:eastAsia="宋体" w:cs="宋体"/>
          <w:color w:val="auto"/>
          <w:kern w:val="2"/>
          <w:sz w:val="21"/>
          <w:szCs w:val="21"/>
          <w:highlight w:val="none"/>
          <w:u w:val="single"/>
          <w:lang w:val="en-US" w:eastAsia="zh-CN" w:bidi="ar-SA"/>
        </w:rPr>
        <w:t xml:space="preserve">  不少于当月施工时间的80%</w:t>
      </w:r>
      <w:r>
        <w:rPr>
          <w:rFonts w:hint="eastAsia" w:ascii="宋体" w:hAnsi="宋体" w:eastAsia="宋体" w:cs="宋体"/>
          <w:color w:val="auto"/>
          <w:kern w:val="2"/>
          <w:sz w:val="21"/>
          <w:szCs w:val="21"/>
          <w:highlight w:val="none"/>
          <w:lang w:val="en-US" w:eastAsia="zh-CN" w:bidi="ar-SA"/>
        </w:rPr>
        <w:t>。</w:t>
      </w:r>
    </w:p>
    <w:p w14:paraId="503A4641">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承包人未提交劳动合同，以及没有为项目经理缴纳社会保险证明的违约责任：</w:t>
      </w:r>
      <w:r>
        <w:rPr>
          <w:rFonts w:hint="eastAsia" w:ascii="宋体" w:hAnsi="宋体" w:eastAsia="宋体" w:cs="宋体"/>
          <w:color w:val="auto"/>
          <w:kern w:val="2"/>
          <w:sz w:val="21"/>
          <w:szCs w:val="21"/>
          <w:highlight w:val="none"/>
          <w:u w:val="single"/>
          <w:lang w:val="en-US" w:eastAsia="zh-CN" w:bidi="ar-SA"/>
        </w:rPr>
        <w:t>承包人不提交上述文件的，项目经理无权履行职责，发包人有权要求更换项目经理，由此增加的费用和延误的工期由承包人承担</w:t>
      </w:r>
      <w:r>
        <w:rPr>
          <w:rFonts w:hint="eastAsia" w:ascii="宋体" w:hAnsi="宋体" w:eastAsia="宋体" w:cs="宋体"/>
          <w:color w:val="auto"/>
          <w:kern w:val="2"/>
          <w:sz w:val="21"/>
          <w:szCs w:val="21"/>
          <w:highlight w:val="none"/>
          <w:lang w:val="en-US" w:eastAsia="zh-CN" w:bidi="ar-SA"/>
        </w:rPr>
        <w:t>。</w:t>
      </w:r>
    </w:p>
    <w:p w14:paraId="3E09A1DE">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项目经理未经批准，擅自离开施工现场的违约责任：</w:t>
      </w:r>
      <w:r>
        <w:rPr>
          <w:rFonts w:hint="eastAsia" w:ascii="宋体" w:hAnsi="宋体" w:eastAsia="宋体" w:cs="宋体"/>
          <w:color w:val="auto"/>
          <w:kern w:val="2"/>
          <w:sz w:val="21"/>
          <w:szCs w:val="21"/>
          <w:highlight w:val="none"/>
          <w:u w:val="single"/>
          <w:lang w:val="en-US" w:eastAsia="zh-CN" w:bidi="ar-SA"/>
        </w:rPr>
        <w:t>项目经理每月在岗带班时间不得少于当月施工时间的80%。未经发包人同意或正当理由，项目经理每月在岗带班时间少于当月施工时间80%的，少在岗带班一天，发包人有权处违约金200元/日（人民币）</w:t>
      </w:r>
      <w:r>
        <w:rPr>
          <w:rFonts w:hint="eastAsia" w:ascii="宋体" w:hAnsi="宋体" w:eastAsia="宋体" w:cs="宋体"/>
          <w:color w:val="auto"/>
          <w:kern w:val="2"/>
          <w:sz w:val="21"/>
          <w:szCs w:val="21"/>
          <w:highlight w:val="none"/>
          <w:lang w:val="en-US" w:eastAsia="zh-CN" w:bidi="ar-SA"/>
        </w:rPr>
        <w:t>。</w:t>
      </w:r>
    </w:p>
    <w:p w14:paraId="25FB857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3.2.3 承包人擅自更换项目经理的违约责任：</w:t>
      </w:r>
      <w:r>
        <w:rPr>
          <w:rFonts w:hint="eastAsia" w:ascii="宋体" w:hAnsi="宋体" w:eastAsia="宋体" w:cs="宋体"/>
          <w:color w:val="auto"/>
          <w:kern w:val="2"/>
          <w:sz w:val="21"/>
          <w:szCs w:val="21"/>
          <w:highlight w:val="none"/>
          <w:u w:val="single"/>
          <w:lang w:val="en-US" w:eastAsia="zh-CN" w:bidi="ar-SA"/>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auto"/>
          <w:kern w:val="2"/>
          <w:sz w:val="21"/>
          <w:szCs w:val="21"/>
          <w:highlight w:val="none"/>
          <w:lang w:val="en-US" w:eastAsia="zh-CN" w:bidi="ar-SA"/>
        </w:rPr>
        <w:t>。</w:t>
      </w:r>
    </w:p>
    <w:p w14:paraId="0CE31188">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3.2.4 承包人无正当理由拒绝更换项目经理的违约责任：</w:t>
      </w:r>
      <w:r>
        <w:rPr>
          <w:rFonts w:hint="eastAsia" w:ascii="宋体" w:hAnsi="宋体" w:eastAsia="宋体" w:cs="宋体"/>
          <w:color w:val="auto"/>
          <w:kern w:val="2"/>
          <w:sz w:val="21"/>
          <w:szCs w:val="21"/>
          <w:highlight w:val="none"/>
          <w:u w:val="single"/>
          <w:lang w:val="en-US" w:eastAsia="zh-CN" w:bidi="ar-SA"/>
        </w:rPr>
        <w:t>因承包人项目经理不称职，发包人要求调换而未及时调换的，视为承包人违约，必须向发包人缴纳处罚金5000元/人•次（人民币）</w:t>
      </w:r>
      <w:r>
        <w:rPr>
          <w:rFonts w:hint="eastAsia" w:ascii="宋体" w:hAnsi="宋体" w:eastAsia="宋体" w:cs="宋体"/>
          <w:color w:val="auto"/>
          <w:kern w:val="2"/>
          <w:sz w:val="21"/>
          <w:szCs w:val="21"/>
          <w:highlight w:val="none"/>
          <w:lang w:val="en-US" w:eastAsia="zh-CN" w:bidi="ar-SA"/>
        </w:rPr>
        <w:t>。</w:t>
      </w:r>
    </w:p>
    <w:p w14:paraId="0AC1DA4F">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3.3 承包人人员</w:t>
      </w:r>
    </w:p>
    <w:p w14:paraId="340FA7E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3.3.1 承包人提交项目管理机构及施工现场管理人员安排报告（格式见合同附件6）的期限：</w:t>
      </w:r>
      <w:r>
        <w:rPr>
          <w:rFonts w:hint="eastAsia" w:ascii="宋体" w:hAnsi="宋体" w:eastAsia="宋体" w:cs="宋体"/>
          <w:color w:val="auto"/>
          <w:kern w:val="2"/>
          <w:sz w:val="21"/>
          <w:szCs w:val="21"/>
          <w:highlight w:val="none"/>
          <w:u w:val="single"/>
          <w:lang w:val="en-US" w:eastAsia="zh-CN" w:bidi="ar-SA"/>
        </w:rPr>
        <w:t>开工前7日内</w:t>
      </w:r>
      <w:r>
        <w:rPr>
          <w:rFonts w:hint="eastAsia" w:ascii="宋体" w:hAnsi="宋体" w:eastAsia="宋体" w:cs="宋体"/>
          <w:color w:val="auto"/>
          <w:kern w:val="2"/>
          <w:sz w:val="21"/>
          <w:szCs w:val="21"/>
          <w:highlight w:val="none"/>
          <w:lang w:val="en-US" w:eastAsia="zh-CN" w:bidi="ar-SA"/>
        </w:rPr>
        <w:t>。</w:t>
      </w:r>
    </w:p>
    <w:p w14:paraId="4C3C787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3.3.3 承包人无正当理由拒绝撤换主要施工管理人员的违约责任：</w:t>
      </w:r>
      <w:r>
        <w:rPr>
          <w:rFonts w:hint="eastAsia" w:ascii="宋体" w:hAnsi="宋体" w:eastAsia="宋体" w:cs="宋体"/>
          <w:color w:val="auto"/>
          <w:kern w:val="2"/>
          <w:sz w:val="21"/>
          <w:szCs w:val="21"/>
          <w:highlight w:val="none"/>
          <w:u w:val="single"/>
          <w:lang w:val="en-US" w:eastAsia="zh-CN" w:bidi="ar-SA"/>
        </w:rPr>
        <w:t>因承包人主要施工管理人员不称职，发包人要求调换而无正当理由拒绝撤换或未及时调换的，视为承包人违约，必须向发包人缴纳处罚金，处罚标准：技术负责人3000元/人•次（人民币）；专业工程师1000元/人•次（人民币）</w:t>
      </w:r>
      <w:r>
        <w:rPr>
          <w:rFonts w:hint="eastAsia" w:ascii="宋体" w:hAnsi="宋体" w:eastAsia="宋体" w:cs="宋体"/>
          <w:color w:val="auto"/>
          <w:kern w:val="2"/>
          <w:sz w:val="21"/>
          <w:szCs w:val="21"/>
          <w:highlight w:val="none"/>
          <w:lang w:val="en-US" w:eastAsia="zh-CN" w:bidi="ar-SA"/>
        </w:rPr>
        <w:t>。</w:t>
      </w:r>
    </w:p>
    <w:p w14:paraId="37886669">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3.3.4 承包人主要施工管理人员离开施工现场的批准要求：</w:t>
      </w:r>
      <w:r>
        <w:rPr>
          <w:rFonts w:hint="eastAsia" w:ascii="宋体" w:hAnsi="宋体" w:eastAsia="宋体" w:cs="宋体"/>
          <w:color w:val="auto"/>
          <w:kern w:val="2"/>
          <w:sz w:val="21"/>
          <w:szCs w:val="21"/>
          <w:highlight w:val="none"/>
          <w:u w:val="single"/>
          <w:lang w:val="en-US" w:eastAsia="zh-CN" w:bidi="ar-SA"/>
        </w:rPr>
        <w:t>经建设单位及监理单位批准同意后</w:t>
      </w:r>
      <w:r>
        <w:rPr>
          <w:rFonts w:hint="eastAsia" w:ascii="宋体" w:hAnsi="宋体" w:eastAsia="宋体" w:cs="宋体"/>
          <w:color w:val="auto"/>
          <w:kern w:val="2"/>
          <w:sz w:val="21"/>
          <w:szCs w:val="21"/>
          <w:highlight w:val="none"/>
          <w:lang w:val="en-US" w:eastAsia="zh-CN" w:bidi="ar-SA"/>
        </w:rPr>
        <w:t>。</w:t>
      </w:r>
    </w:p>
    <w:p w14:paraId="2F4BF94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3.3.5 承包人擅自更换主要施工管理人员的违约责任：</w:t>
      </w:r>
      <w:r>
        <w:rPr>
          <w:rFonts w:hint="eastAsia" w:ascii="宋体" w:hAnsi="宋体" w:eastAsia="宋体" w:cs="宋体"/>
          <w:color w:val="auto"/>
          <w:kern w:val="2"/>
          <w:sz w:val="21"/>
          <w:szCs w:val="21"/>
          <w:highlight w:val="none"/>
          <w:u w:val="single"/>
          <w:lang w:val="en-US" w:eastAsia="zh-CN" w:bidi="ar-SA"/>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auto"/>
          <w:kern w:val="2"/>
          <w:sz w:val="21"/>
          <w:szCs w:val="21"/>
          <w:highlight w:val="none"/>
          <w:lang w:val="en-US" w:eastAsia="zh-CN" w:bidi="ar-SA"/>
        </w:rPr>
        <w:t>。</w:t>
      </w:r>
    </w:p>
    <w:p w14:paraId="1D35362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承包人主要施工管理人员擅自离开施工现场的违约责任：</w:t>
      </w:r>
      <w:r>
        <w:rPr>
          <w:rFonts w:hint="eastAsia" w:ascii="宋体" w:hAnsi="宋体" w:eastAsia="宋体" w:cs="宋体"/>
          <w:color w:val="auto"/>
          <w:kern w:val="2"/>
          <w:sz w:val="21"/>
          <w:szCs w:val="21"/>
          <w:highlight w:val="none"/>
          <w:u w:val="single"/>
          <w:lang w:val="en-US" w:eastAsia="zh-CN" w:bidi="ar-SA"/>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eastAsia="宋体" w:cs="宋体"/>
          <w:color w:val="auto"/>
          <w:kern w:val="2"/>
          <w:sz w:val="21"/>
          <w:szCs w:val="21"/>
          <w:highlight w:val="none"/>
          <w:lang w:val="en-US" w:eastAsia="zh-CN" w:bidi="ar-SA"/>
        </w:rPr>
        <w:t>。</w:t>
      </w:r>
    </w:p>
    <w:p w14:paraId="08EF7E36">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3.5 分包</w:t>
      </w:r>
    </w:p>
    <w:p w14:paraId="15A212A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3.5.1 分包的一般约定</w:t>
      </w:r>
    </w:p>
    <w:p w14:paraId="1145D19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禁止分包的工程包括：</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除劳务工程外 </w:t>
      </w:r>
      <w:r>
        <w:rPr>
          <w:rFonts w:hint="eastAsia" w:ascii="宋体" w:hAnsi="宋体" w:eastAsia="宋体" w:cs="宋体"/>
          <w:color w:val="auto"/>
          <w:kern w:val="2"/>
          <w:sz w:val="21"/>
          <w:szCs w:val="21"/>
          <w:highlight w:val="none"/>
          <w:lang w:val="en-US" w:eastAsia="zh-CN" w:bidi="ar-SA"/>
        </w:rPr>
        <w:t>。</w:t>
      </w:r>
    </w:p>
    <w:p w14:paraId="2A7043C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主体结构、关键性工作的范围：</w:t>
      </w:r>
      <w:r>
        <w:rPr>
          <w:rFonts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禁止分包  </w:t>
      </w:r>
      <w:r>
        <w:rPr>
          <w:rFonts w:hint="eastAsia" w:ascii="宋体" w:hAnsi="宋体" w:eastAsia="宋体" w:cs="宋体"/>
          <w:color w:val="auto"/>
          <w:kern w:val="2"/>
          <w:sz w:val="21"/>
          <w:szCs w:val="21"/>
          <w:highlight w:val="none"/>
          <w:lang w:val="en-US" w:eastAsia="zh-CN" w:bidi="ar-SA"/>
        </w:rPr>
        <w:t>。</w:t>
      </w:r>
    </w:p>
    <w:p w14:paraId="3C86E37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3.5.2 分包的确定</w:t>
      </w:r>
    </w:p>
    <w:p w14:paraId="0A749B8B">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允许分包的专业工程包括：</w:t>
      </w:r>
      <w:r>
        <w:rPr>
          <w:rFonts w:hint="eastAsia" w:ascii="宋体" w:hAnsi="宋体" w:eastAsia="宋体" w:cs="宋体"/>
          <w:color w:val="auto"/>
          <w:kern w:val="2"/>
          <w:sz w:val="21"/>
          <w:szCs w:val="21"/>
          <w:highlight w:val="none"/>
          <w:u w:val="single"/>
          <w:lang w:val="en-US" w:eastAsia="zh-CN" w:bidi="ar-SA"/>
        </w:rPr>
        <w:t xml:space="preserve">劳务工程  </w:t>
      </w:r>
      <w:r>
        <w:rPr>
          <w:rFonts w:hint="eastAsia" w:ascii="宋体" w:hAnsi="宋体" w:eastAsia="宋体" w:cs="宋体"/>
          <w:color w:val="auto"/>
          <w:kern w:val="2"/>
          <w:sz w:val="21"/>
          <w:szCs w:val="21"/>
          <w:highlight w:val="none"/>
          <w:lang w:val="en-US" w:eastAsia="zh-CN" w:bidi="ar-SA"/>
        </w:rPr>
        <w:t>。</w:t>
      </w:r>
    </w:p>
    <w:p w14:paraId="4558985D">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其他关于分包的约定：</w:t>
      </w:r>
    </w:p>
    <w:p w14:paraId="3293D83A">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9A09BA8">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（2）在相关分包合同签订并报送有关建设行政主管部门备案后7天内，承包人应当将一份副本提交给监理人，承包人应保障分包工作不得再次分包。</w:t>
      </w:r>
    </w:p>
    <w:p w14:paraId="4ADB46D0">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（3）未经承包人和监理人审批同意的分包工程和分包人，承包人有权拒绝验收分包工程和支付相应款项，由此引起的发包人费用增加和(或)延误的工期由发包人承担。</w:t>
      </w:r>
    </w:p>
    <w:p w14:paraId="72276C5C">
      <w:pPr>
        <w:widowControl w:val="0"/>
        <w:spacing w:line="420" w:lineRule="exact"/>
        <w:ind w:firstLine="420" w:firstLineChars="200"/>
        <w:jc w:val="both"/>
        <w:rPr>
          <w:rStyle w:val="28"/>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（4）承包人有以下情况之一者，发包人有权解除合同，并视情况扣除其履约保证金：</w:t>
      </w:r>
    </w:p>
    <w:p w14:paraId="5B127A58">
      <w:pPr>
        <w:widowControl w:val="0"/>
        <w:spacing w:line="420" w:lineRule="exact"/>
        <w:ind w:firstLine="420" w:firstLineChars="200"/>
        <w:jc w:val="both"/>
        <w:rPr>
          <w:rStyle w:val="28"/>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①个人承包工程，包括本人单位及外单位人员承包，发包人不承认其个人拥有任何资质等级及营业许可资格。没收全部履约保证金。</w:t>
      </w:r>
    </w:p>
    <w:p w14:paraId="35D6D21E">
      <w:pPr>
        <w:widowControl w:val="0"/>
        <w:spacing w:line="420" w:lineRule="exact"/>
        <w:ind w:firstLine="420" w:firstLineChars="200"/>
        <w:jc w:val="both"/>
        <w:rPr>
          <w:rStyle w:val="28"/>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②几个人联合承包工程，就地组织暗分包队伍，不具备完成本工程的技术、机械能力，被发包人判定为没有能力履行的承包人。没收全部履约保证金。</w:t>
      </w:r>
    </w:p>
    <w:p w14:paraId="7DA45BCB">
      <w:pPr>
        <w:widowControl w:val="0"/>
        <w:spacing w:line="420" w:lineRule="exact"/>
        <w:ind w:firstLine="420" w:firstLineChars="200"/>
        <w:jc w:val="both"/>
        <w:rPr>
          <w:rStyle w:val="28"/>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③就地转包全部的工程，以谋取高额转让费、管理费的承包人。没收全部履约保证金。</w:t>
      </w:r>
    </w:p>
    <w:p w14:paraId="7E81ADB7">
      <w:pPr>
        <w:widowControl w:val="0"/>
        <w:spacing w:line="420" w:lineRule="exact"/>
        <w:ind w:firstLine="420" w:firstLineChars="200"/>
        <w:jc w:val="both"/>
        <w:rPr>
          <w:rFonts w:hint="eastAsia" w:ascii="宋体" w:hAnsi="宋体" w:eastAsia="宋体" w:cs="宋体"/>
          <w:color w:val="auto"/>
          <w:kern w:val="2"/>
          <w:sz w:val="21"/>
          <w:szCs w:val="21"/>
          <w:highlight w:val="none"/>
          <w:u w:val="singl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④承包人有部分分包现象（其中包括冒充承包人下属单位的挂钩单位，凭口头协议参与施工的分包人及其他暗分包个体户），一经发现核实，发包人将采取驱逐该暗分包人措施。没收全部履约保证金。</w:t>
      </w:r>
    </w:p>
    <w:p w14:paraId="314E11D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3.5.4 分包合同价款 </w:t>
      </w:r>
    </w:p>
    <w:p w14:paraId="0FA9304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关于分包合同价款支付的约定：</w:t>
      </w:r>
      <w:r>
        <w:rPr>
          <w:rFonts w:hint="eastAsia" w:ascii="宋体" w:hAnsi="宋体" w:eastAsia="宋体" w:cs="宋体"/>
          <w:color w:val="auto"/>
          <w:kern w:val="2"/>
          <w:sz w:val="21"/>
          <w:szCs w:val="21"/>
          <w:highlight w:val="none"/>
          <w:u w:val="single"/>
          <w:lang w:val="en-US" w:eastAsia="zh-CN" w:bidi="ar-SA"/>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12859C9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3.6 工程照管与成品、半成品保护</w:t>
      </w:r>
    </w:p>
    <w:p w14:paraId="1DEFEF1F">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承包人负责照管工程及工程相关的材料、工程设备的起始时间：</w:t>
      </w:r>
      <w:r>
        <w:rPr>
          <w:rFonts w:hint="eastAsia" w:ascii="宋体" w:hAnsi="宋体" w:eastAsia="宋体" w:cs="宋体"/>
          <w:color w:val="auto"/>
          <w:kern w:val="2"/>
          <w:sz w:val="21"/>
          <w:szCs w:val="21"/>
          <w:highlight w:val="none"/>
          <w:u w:val="single"/>
          <w:lang w:val="en-US" w:eastAsia="zh-CN" w:bidi="ar-SA"/>
        </w:rPr>
        <w:t>自发包人向承包人移交施工现场之日起，到颁发工程接收证书之日止</w:t>
      </w:r>
      <w:r>
        <w:rPr>
          <w:rFonts w:hint="eastAsia" w:ascii="宋体" w:hAnsi="宋体" w:eastAsia="宋体" w:cs="宋体"/>
          <w:color w:val="auto"/>
          <w:kern w:val="0"/>
          <w:sz w:val="21"/>
          <w:szCs w:val="21"/>
          <w:highlight w:val="none"/>
          <w:lang w:val="en-US" w:eastAsia="zh-CN" w:bidi="ar-SA"/>
        </w:rPr>
        <w:t>。</w:t>
      </w:r>
    </w:p>
    <w:p w14:paraId="0EB08126">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承包人负责照管工程及工程相关的材料、工程设备的范围：</w:t>
      </w:r>
      <w:r>
        <w:rPr>
          <w:rFonts w:hint="eastAsia" w:ascii="宋体" w:hAnsi="宋体" w:eastAsia="宋体" w:cs="宋体"/>
          <w:color w:val="auto"/>
          <w:kern w:val="2"/>
          <w:sz w:val="21"/>
          <w:szCs w:val="21"/>
          <w:highlight w:val="none"/>
          <w:u w:val="single"/>
          <w:lang w:val="en-US" w:eastAsia="zh-CN" w:bidi="ar-SA"/>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eastAsia="宋体" w:cs="宋体"/>
          <w:color w:val="auto"/>
          <w:kern w:val="2"/>
          <w:sz w:val="21"/>
          <w:szCs w:val="21"/>
          <w:highlight w:val="none"/>
          <w:lang w:val="en-US" w:eastAsia="zh-CN" w:bidi="ar-SA"/>
        </w:rPr>
        <w:t>。</w:t>
      </w:r>
    </w:p>
    <w:p w14:paraId="1B0F3C91">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3.7 履约担保</w:t>
      </w:r>
    </w:p>
    <w:p w14:paraId="525A1791">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履约担保的形式、金额及期限：承包人在收到中标通知书后，须在30日内向发包人提交中标价的3%的履约担保（格式见合同附件7）。履约担保的有效期应当自本合同生效之日起至发包人签认并由监理人向承包人出具竣工验收意见书之日止。如果承包人无法获得一份不带具体截止日期的担保，履约担保中应当有“变更工程竣工日期的，保证期间按照变更后的竣工日期做相应调整”或类似约定的条款。</w:t>
      </w:r>
    </w:p>
    <w:p w14:paraId="5DD483BC">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承包人提供履约担保的形式： 可以是保函(银行保函、电子保函、保证保险保函、工程担保保函) 等形式。</w:t>
      </w:r>
    </w:p>
    <w:p w14:paraId="7CB9F2CA">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工程竣工验收合格并对验收发现的问题完成整改，且承包人向发包人完成(施工)竣工资料移交手续后， 发包人应在收到申请之日起 28 个日历天内扣减承包人赔偿金和其他应从承包人扣回的款项后，一次性向承包人退还保证金或银行履约保函。</w:t>
      </w:r>
    </w:p>
    <w:p w14:paraId="0C983333">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承包人在中标后7个工作日内，应按桂林市住房城乡建设行政主管部门的规定将农民工工资保障金存入账户。工程竣工验收结算经审定后，按照规定程序，将农民工工资保障金没有使用或剩余的金额退还给承包人</w:t>
      </w:r>
      <w:r>
        <w:rPr>
          <w:rFonts w:hint="eastAsia" w:ascii="宋体" w:hAnsi="宋体" w:eastAsia="宋体" w:cs="宋体"/>
          <w:color w:val="auto"/>
          <w:kern w:val="0"/>
          <w:sz w:val="21"/>
          <w:szCs w:val="21"/>
          <w:highlight w:val="none"/>
          <w:lang w:val="en-US" w:eastAsia="zh-CN" w:bidi="ar-SA"/>
        </w:rPr>
        <w:t>。</w:t>
      </w:r>
    </w:p>
    <w:p w14:paraId="08E7A345">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 监理人</w:t>
      </w:r>
    </w:p>
    <w:p w14:paraId="5D61366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4.1 监理人的一般规定</w:t>
      </w:r>
    </w:p>
    <w:p w14:paraId="02A5E1E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关于监理人的监理内容：</w:t>
      </w:r>
      <w:r>
        <w:rPr>
          <w:rFonts w:hint="eastAsia" w:ascii="宋体" w:hAnsi="宋体" w:eastAsia="宋体" w:cs="宋体"/>
          <w:color w:val="auto"/>
          <w:kern w:val="2"/>
          <w:sz w:val="21"/>
          <w:szCs w:val="21"/>
          <w:highlight w:val="none"/>
          <w:u w:val="single"/>
          <w:lang w:val="en-US" w:eastAsia="zh-CN" w:bidi="ar-SA"/>
        </w:rPr>
        <w:t xml:space="preserve"> 检查施工承包人工程质量，安全生产管理制度及组织机构人员资格；审查施工承包人员提交的施工进度计划及工程施工范围内所有内容。</w:t>
      </w:r>
    </w:p>
    <w:p w14:paraId="0A9142B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关于监理人的监理权限：</w:t>
      </w:r>
      <w:r>
        <w:rPr>
          <w:rFonts w:hint="eastAsia" w:ascii="宋体" w:hAnsi="宋体" w:eastAsia="宋体" w:cs="宋体"/>
          <w:color w:val="auto"/>
          <w:kern w:val="2"/>
          <w:sz w:val="21"/>
          <w:szCs w:val="21"/>
          <w:highlight w:val="none"/>
          <w:u w:val="single"/>
          <w:lang w:val="en-US" w:eastAsia="zh-CN" w:bidi="ar-SA"/>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auto"/>
          <w:kern w:val="2"/>
          <w:sz w:val="21"/>
          <w:szCs w:val="21"/>
          <w:highlight w:val="none"/>
          <w:lang w:val="en-US" w:eastAsia="zh-CN" w:bidi="ar-SA"/>
        </w:rPr>
        <w:t xml:space="preserve">  </w:t>
      </w:r>
    </w:p>
    <w:p w14:paraId="04CBB6F2">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关于监理人在施工现场的办公场所、生活场所的提供和费用承担的约定：</w:t>
      </w:r>
      <w:r>
        <w:rPr>
          <w:rFonts w:hint="eastAsia" w:ascii="宋体" w:hAnsi="宋体" w:eastAsia="宋体" w:cs="宋体"/>
          <w:color w:val="auto"/>
          <w:kern w:val="2"/>
          <w:sz w:val="21"/>
          <w:szCs w:val="21"/>
          <w:highlight w:val="none"/>
          <w:u w:val="single"/>
          <w:lang w:val="en-US" w:eastAsia="zh-CN" w:bidi="ar-SA"/>
        </w:rPr>
        <w:t>由承包人为发包人、监理单位免费提供三间办公室</w:t>
      </w:r>
      <w:r>
        <w:rPr>
          <w:rFonts w:hint="eastAsia" w:ascii="宋体" w:hAnsi="宋体" w:eastAsia="宋体" w:cs="Times New Roman"/>
          <w:color w:val="auto"/>
          <w:kern w:val="2"/>
          <w:sz w:val="21"/>
          <w:szCs w:val="21"/>
          <w:highlight w:val="none"/>
          <w:u w:val="single"/>
          <w:lang w:val="en-US" w:eastAsia="zh-CN" w:bidi="ar-SA"/>
        </w:rPr>
        <w:t>并承担相关费用</w:t>
      </w:r>
      <w:r>
        <w:rPr>
          <w:rFonts w:hint="eastAsia" w:ascii="宋体" w:hAnsi="宋体" w:eastAsia="宋体" w:cs="宋体"/>
          <w:color w:val="auto"/>
          <w:kern w:val="2"/>
          <w:sz w:val="21"/>
          <w:szCs w:val="21"/>
          <w:highlight w:val="none"/>
          <w:lang w:val="en-US" w:eastAsia="zh-CN" w:bidi="ar-SA"/>
        </w:rPr>
        <w:t>。</w:t>
      </w:r>
    </w:p>
    <w:p w14:paraId="5926706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4.2 监理人员</w:t>
      </w:r>
    </w:p>
    <w:p w14:paraId="1380654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总监理工程师：</w:t>
      </w:r>
    </w:p>
    <w:p w14:paraId="1BF74B45">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    名：</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4AD1687">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    务：</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66FB547E">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监理工程师执业资格证书号：</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lang w:val="en-US" w:eastAsia="zh-CN" w:bidi="ar-SA"/>
        </w:rPr>
        <w:t>；</w:t>
      </w:r>
    </w:p>
    <w:p w14:paraId="38BAF1E2">
      <w:pPr>
        <w:widowControl w:val="0"/>
        <w:spacing w:line="380" w:lineRule="exact"/>
        <w:ind w:firstLine="420" w:firstLineChars="200"/>
        <w:jc w:val="both"/>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联系电话：</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14:paraId="496A525A">
      <w:pPr>
        <w:widowControl w:val="0"/>
        <w:spacing w:line="380" w:lineRule="exact"/>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电子信箱：</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14:paraId="11A45552">
      <w:pPr>
        <w:widowControl w:val="0"/>
        <w:spacing w:line="380" w:lineRule="exact"/>
        <w:ind w:firstLine="420" w:firstLineChars="200"/>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bidi="ar-SA"/>
        </w:rPr>
        <w:t>通信地址：</w:t>
      </w:r>
      <w:r>
        <w:rPr>
          <w:rFonts w:hint="eastAsia" w:ascii="宋体" w:hAnsi="宋体" w:eastAsia="宋体" w:cs="宋体"/>
          <w:color w:val="auto"/>
          <w:kern w:val="2"/>
          <w:sz w:val="21"/>
          <w:szCs w:val="21"/>
          <w:highlight w:val="none"/>
          <w:u w:val="single"/>
          <w:lang w:val="en-US" w:eastAsia="zh-CN" w:bidi="ar-SA"/>
        </w:rPr>
        <w:t xml:space="preserve">   中标后填写   </w:t>
      </w:r>
      <w:r>
        <w:rPr>
          <w:rFonts w:hint="eastAsia" w:ascii="宋体" w:hAnsi="宋体" w:eastAsia="宋体" w:cs="宋体"/>
          <w:color w:val="auto"/>
          <w:kern w:val="2"/>
          <w:sz w:val="21"/>
          <w:szCs w:val="21"/>
          <w:highlight w:val="none"/>
          <w:u w:val="none"/>
          <w:lang w:val="en-US" w:eastAsia="zh-CN" w:bidi="ar-SA"/>
        </w:rPr>
        <w:t>；</w:t>
      </w:r>
    </w:p>
    <w:p w14:paraId="2AE12FFC">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关于监理人的其他约定：</w:t>
      </w:r>
      <w:r>
        <w:rPr>
          <w:rFonts w:hint="eastAsia" w:ascii="宋体" w:hAnsi="宋体" w:eastAsia="宋体" w:cs="宋体"/>
          <w:color w:val="auto"/>
          <w:kern w:val="2"/>
          <w:sz w:val="21"/>
          <w:szCs w:val="21"/>
          <w:highlight w:val="none"/>
          <w:u w:val="single"/>
          <w:lang w:val="en-US" w:eastAsia="zh-CN" w:bidi="ar-SA"/>
        </w:rPr>
        <w:t xml:space="preserve"> 见监理合同 </w:t>
      </w:r>
      <w:r>
        <w:rPr>
          <w:rFonts w:hint="eastAsia" w:ascii="宋体" w:hAnsi="宋体" w:eastAsia="宋体" w:cs="宋体"/>
          <w:color w:val="auto"/>
          <w:kern w:val="2"/>
          <w:sz w:val="21"/>
          <w:szCs w:val="21"/>
          <w:highlight w:val="none"/>
          <w:u w:val="none"/>
          <w:lang w:val="en-US" w:eastAsia="zh-CN" w:bidi="ar-SA"/>
        </w:rPr>
        <w:t>。</w:t>
      </w:r>
    </w:p>
    <w:p w14:paraId="00B50CE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4.4 商定或确定</w:t>
      </w:r>
    </w:p>
    <w:p w14:paraId="5155BE14">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在发包人和承包人不能通过协商达成一致意见时，发包人授权监理人对以下事项进行确定：</w:t>
      </w:r>
      <w:r>
        <w:rPr>
          <w:rFonts w:hint="eastAsia" w:ascii="宋体" w:hAnsi="宋体" w:eastAsia="宋体" w:cs="宋体"/>
          <w:color w:val="auto"/>
          <w:kern w:val="0"/>
          <w:sz w:val="21"/>
          <w:szCs w:val="21"/>
          <w:highlight w:val="none"/>
          <w:u w:val="single"/>
          <w:lang w:val="en-US" w:eastAsia="zh-CN" w:bidi="ar-SA"/>
        </w:rPr>
        <w:t>无</w:t>
      </w:r>
      <w:r>
        <w:rPr>
          <w:rFonts w:hint="eastAsia" w:ascii="宋体" w:hAnsi="宋体" w:eastAsia="宋体" w:cs="宋体"/>
          <w:color w:val="auto"/>
          <w:kern w:val="2"/>
          <w:sz w:val="21"/>
          <w:szCs w:val="21"/>
          <w:highlight w:val="none"/>
          <w:lang w:val="en-US" w:eastAsia="zh-CN" w:bidi="ar-SA"/>
        </w:rPr>
        <w:t>；</w:t>
      </w:r>
    </w:p>
    <w:p w14:paraId="5DDBDC18">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5. 工程质量</w:t>
      </w:r>
    </w:p>
    <w:p w14:paraId="0E07646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5.1 质量要求</w:t>
      </w:r>
    </w:p>
    <w:p w14:paraId="62A65DC5">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5.1.1 特殊质量标准和要求：</w:t>
      </w:r>
      <w:r>
        <w:rPr>
          <w:rFonts w:hint="eastAsia" w:ascii="宋体" w:hAnsi="宋体" w:eastAsia="宋体" w:cs="宋体"/>
          <w:color w:val="auto"/>
          <w:kern w:val="2"/>
          <w:sz w:val="21"/>
          <w:szCs w:val="21"/>
          <w:highlight w:val="none"/>
          <w:u w:val="single"/>
          <w:lang w:val="en-US" w:eastAsia="zh-CN" w:bidi="ar-SA"/>
        </w:rPr>
        <w:t xml:space="preserve"> 工程质量达到国家验收合格标准 </w:t>
      </w:r>
      <w:r>
        <w:rPr>
          <w:rFonts w:hint="eastAsia" w:ascii="宋体" w:hAnsi="宋体" w:eastAsia="宋体" w:cs="宋体"/>
          <w:color w:val="auto"/>
          <w:kern w:val="2"/>
          <w:sz w:val="21"/>
          <w:szCs w:val="21"/>
          <w:highlight w:val="none"/>
          <w:lang w:val="en-US" w:eastAsia="zh-CN" w:bidi="ar-SA"/>
        </w:rPr>
        <w:t>。</w:t>
      </w:r>
    </w:p>
    <w:p w14:paraId="6E4BB7D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关于工程奖项的约定：</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4C7392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 隐蔽工程检查</w:t>
      </w:r>
    </w:p>
    <w:p w14:paraId="64943299">
      <w:pPr>
        <w:widowControl w:val="0"/>
        <w:spacing w:line="380" w:lineRule="exact"/>
        <w:ind w:firstLine="420" w:firstLineChars="200"/>
        <w:jc w:val="left"/>
        <w:rPr>
          <w:rFonts w:hint="eastAsia"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5.3.2承包人提前通知监理人隐蔽工程检查的期限的约定：</w:t>
      </w:r>
      <w:r>
        <w:rPr>
          <w:rFonts w:hint="eastAsia" w:ascii="宋体" w:hAnsi="宋体" w:eastAsia="宋体" w:cs="宋体"/>
          <w:color w:val="auto"/>
          <w:kern w:val="0"/>
          <w:sz w:val="21"/>
          <w:szCs w:val="21"/>
          <w:highlight w:val="none"/>
          <w:u w:val="single"/>
          <w:lang w:val="en-US" w:eastAsia="zh-CN" w:bidi="ar-SA"/>
        </w:rPr>
        <w:t>任何部位的隐蔽工程需要覆盖或隐蔽前，承包人均应提前 48 小时通知发包人、监理工程师和质量监督站进行中间验收并拍照，没有发包人、监理工程师和质量监督站的批准，均不得隐蔽或验收。</w:t>
      </w:r>
      <w:r>
        <w:rPr>
          <w:rFonts w:hint="eastAsia" w:ascii="宋体" w:hAnsi="宋体" w:cs="宋体"/>
          <w:color w:val="auto"/>
          <w:kern w:val="0"/>
          <w:szCs w:val="21"/>
          <w:highlight w:val="none"/>
          <w:u w:val="single"/>
          <w:lang w:val="en-US" w:eastAsia="zh-CN"/>
        </w:rPr>
        <w:t>施工中承包人、业主、监理共同现场做好工程量记录，拍摄影像资料，并现场签证</w:t>
      </w:r>
      <w:r>
        <w:rPr>
          <w:rFonts w:hint="eastAsia" w:ascii="宋体" w:hAnsi="宋体" w:cs="宋体"/>
          <w:color w:val="auto"/>
          <w:kern w:val="0"/>
          <w:szCs w:val="21"/>
          <w:highlight w:val="none"/>
          <w:u w:val="single"/>
        </w:rPr>
        <w:t>。</w:t>
      </w:r>
      <w:r>
        <w:rPr>
          <w:rFonts w:hint="eastAsia" w:ascii="宋体" w:hAnsi="宋体" w:eastAsia="宋体" w:cs="宋体"/>
          <w:color w:val="auto"/>
          <w:kern w:val="0"/>
          <w:sz w:val="21"/>
          <w:szCs w:val="21"/>
          <w:highlight w:val="none"/>
          <w:u w:val="single"/>
          <w:lang w:val="en-US" w:eastAsia="zh-CN" w:bidi="ar-SA"/>
        </w:rPr>
        <w:t>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auto"/>
          <w:kern w:val="2"/>
          <w:sz w:val="21"/>
          <w:szCs w:val="21"/>
          <w:highlight w:val="none"/>
          <w:u w:val="single"/>
          <w:lang w:val="en-US" w:eastAsia="zh-CN" w:bidi="ar-SA"/>
        </w:rPr>
        <w:t>。</w:t>
      </w:r>
    </w:p>
    <w:p w14:paraId="3C911A4D">
      <w:pPr>
        <w:pStyle w:val="20"/>
        <w:spacing w:line="380" w:lineRule="exact"/>
        <w:ind w:firstLine="420" w:firstLineChars="200"/>
        <w:jc w:val="left"/>
        <w:rPr>
          <w:rFonts w:hint="eastAsia" w:ascii="宋体" w:hAnsi="宋体" w:cs="宋体"/>
          <w:bCs/>
          <w:color w:val="auto"/>
          <w:szCs w:val="21"/>
          <w:highlight w:val="none"/>
          <w:u w:val="single"/>
          <w:lang w:val="en-US" w:eastAsia="zh-CN"/>
        </w:rPr>
      </w:pPr>
      <w:r>
        <w:rPr>
          <w:rFonts w:hint="eastAsia" w:ascii="宋体" w:hAnsi="宋体" w:cs="宋体"/>
          <w:bCs/>
          <w:color w:val="auto"/>
          <w:szCs w:val="21"/>
          <w:highlight w:val="none"/>
          <w:u w:val="single"/>
          <w:lang w:val="en-US" w:eastAsia="zh-CN"/>
        </w:rPr>
        <w:t>5.3.3新增工程量施工前承包人应征求设计意见，通知设计、业主、监理进行现场核实拍摄影像资料，施工中承包人、业主，监理共同现场做好工程量记录，拍摄影像资料，并现场签证，并以此凭证计入工程总量。</w:t>
      </w:r>
    </w:p>
    <w:p w14:paraId="35925239">
      <w:pPr>
        <w:pStyle w:val="19"/>
        <w:jc w:val="both"/>
        <w:rPr>
          <w:color w:val="auto"/>
          <w:highlight w:val="none"/>
        </w:rPr>
      </w:pPr>
      <w:r>
        <w:rPr>
          <w:rFonts w:hint="eastAsia"/>
          <w:color w:val="auto"/>
          <w:highlight w:val="none"/>
          <w:u w:val="none"/>
          <w:lang w:val="en-US" w:eastAsia="zh-CN"/>
        </w:rPr>
        <w:t xml:space="preserve">   </w:t>
      </w:r>
      <w:r>
        <w:rPr>
          <w:rFonts w:hint="eastAsia"/>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5.3.4对无影像资料和现场签证的增加工程量，业主不予承认。</w:t>
      </w:r>
    </w:p>
    <w:p w14:paraId="14E04EA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监理人不能按时进行检查时，应提前</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小时提交书面延期要求。</w:t>
      </w:r>
    </w:p>
    <w:p w14:paraId="6966271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关于延期最长不得超过：</w:t>
      </w:r>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lang w:val="en-US" w:eastAsia="zh-CN" w:bidi="ar-SA"/>
        </w:rPr>
        <w:t>小时。</w:t>
      </w:r>
    </w:p>
    <w:p w14:paraId="1B634A78">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6. 安全文明施工与环境保护</w:t>
      </w:r>
    </w:p>
    <w:p w14:paraId="0E46D1B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6.1 安全文明施工</w:t>
      </w:r>
    </w:p>
    <w:p w14:paraId="6492010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6.1.1 项目安全生产的达标目标及相应事项的约定：</w:t>
      </w:r>
      <w:r>
        <w:rPr>
          <w:rFonts w:hint="eastAsia" w:ascii="宋体" w:hAnsi="宋体" w:eastAsia="宋体" w:cs="宋体"/>
          <w:color w:val="auto"/>
          <w:kern w:val="2"/>
          <w:sz w:val="21"/>
          <w:szCs w:val="21"/>
          <w:highlight w:val="none"/>
          <w:u w:val="single"/>
          <w:lang w:val="en-US" w:eastAsia="zh-CN" w:bidi="ar-SA"/>
        </w:rPr>
        <w:t xml:space="preserve"> 按照国家及地方安全文明施工的有关规定执行 </w:t>
      </w:r>
      <w:r>
        <w:rPr>
          <w:rFonts w:hint="eastAsia" w:ascii="宋体" w:hAnsi="宋体" w:eastAsia="宋体" w:cs="宋体"/>
          <w:color w:val="auto"/>
          <w:kern w:val="2"/>
          <w:sz w:val="21"/>
          <w:szCs w:val="21"/>
          <w:highlight w:val="none"/>
          <w:lang w:val="en-US" w:eastAsia="zh-CN" w:bidi="ar-SA"/>
        </w:rPr>
        <w:t>。</w:t>
      </w:r>
    </w:p>
    <w:p w14:paraId="2796FA4A">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关于安全文明施工奖项的约定：</w:t>
      </w:r>
      <w:r>
        <w:rPr>
          <w:rFonts w:hint="eastAsia" w:ascii="宋体" w:hAnsi="宋体" w:eastAsia="宋体" w:cs="宋体"/>
          <w:color w:val="auto"/>
          <w:kern w:val="2"/>
          <w:sz w:val="21"/>
          <w:szCs w:val="21"/>
          <w:highlight w:val="none"/>
          <w:u w:val="single"/>
          <w:lang w:val="en-US" w:eastAsia="zh-CN" w:bidi="ar-SA"/>
        </w:rPr>
        <w:t xml:space="preserve">  承包人应当负责统一管理施工场地的治安保卫事项，履行合同工程的治安保卫职责  </w:t>
      </w:r>
      <w:r>
        <w:rPr>
          <w:rFonts w:hint="eastAsia" w:ascii="宋体" w:hAnsi="宋体" w:eastAsia="宋体" w:cs="宋体"/>
          <w:color w:val="auto"/>
          <w:kern w:val="2"/>
          <w:sz w:val="21"/>
          <w:szCs w:val="21"/>
          <w:highlight w:val="none"/>
          <w:lang w:val="en-US" w:eastAsia="zh-CN" w:bidi="ar-SA"/>
        </w:rPr>
        <w:t>。</w:t>
      </w:r>
    </w:p>
    <w:p w14:paraId="5E5E8288">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 安全生产保证措施</w:t>
      </w:r>
    </w:p>
    <w:p w14:paraId="194AE121">
      <w:pPr>
        <w:pageBreakBefore w:val="0"/>
        <w:kinsoku/>
        <w:wordWrap/>
        <w:overflowPunct/>
        <w:topLinePunct w:val="0"/>
        <w:autoSpaceDE w:val="0"/>
        <w:autoSpaceDN w:val="0"/>
        <w:bidi w:val="0"/>
        <w:adjustRightInd w:val="0"/>
        <w:snapToGrid/>
        <w:spacing w:line="390" w:lineRule="exact"/>
        <w:ind w:lef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承包人应当按照有关</w:t>
      </w:r>
      <w:r>
        <w:rPr>
          <w:rFonts w:hint="eastAsia" w:ascii="宋体" w:hAnsi="宋体" w:eastAsia="宋体" w:cs="宋体"/>
          <w:color w:val="auto"/>
          <w:kern w:val="0"/>
          <w:sz w:val="21"/>
          <w:szCs w:val="21"/>
          <w:highlight w:val="none"/>
        </w:rPr>
        <w:t>规定编制安全技术措施或者专项施工方案，</w:t>
      </w:r>
      <w:r>
        <w:rPr>
          <w:rFonts w:hint="eastAsia" w:ascii="宋体" w:hAnsi="宋体" w:eastAsia="宋体" w:cs="宋体"/>
          <w:color w:val="auto"/>
          <w:sz w:val="21"/>
          <w:szCs w:val="21"/>
          <w:highlight w:val="none"/>
        </w:rPr>
        <w:t>建立安全生产责任制度、治安保卫制度及安全生产教育培训制度，并</w:t>
      </w:r>
      <w:r>
        <w:rPr>
          <w:rFonts w:hint="eastAsia" w:ascii="宋体" w:hAnsi="宋体" w:eastAsia="宋体" w:cs="宋体"/>
          <w:color w:val="auto"/>
          <w:kern w:val="0"/>
          <w:sz w:val="21"/>
          <w:szCs w:val="21"/>
          <w:highlight w:val="none"/>
        </w:rPr>
        <w:t>按安全生产法律规定及合同约定履行安全职责，如实</w:t>
      </w:r>
      <w:r>
        <w:rPr>
          <w:rFonts w:hint="eastAsia" w:ascii="宋体" w:hAnsi="宋体" w:eastAsia="宋体" w:cs="宋体"/>
          <w:color w:val="auto"/>
          <w:sz w:val="21"/>
          <w:szCs w:val="21"/>
          <w:highlight w:val="none"/>
        </w:rPr>
        <w:t>编制工程安全生产的有关记录，</w:t>
      </w:r>
      <w:r>
        <w:rPr>
          <w:rFonts w:hint="eastAsia" w:ascii="宋体" w:hAnsi="宋体" w:eastAsia="宋体" w:cs="宋体"/>
          <w:color w:val="auto"/>
          <w:kern w:val="0"/>
          <w:sz w:val="21"/>
          <w:szCs w:val="21"/>
          <w:highlight w:val="none"/>
        </w:rPr>
        <w:t>接受发包人、监理人及政府安全监督部门的检查与监督。</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必须加强工人的安全教育与学习，组织工人每天进行班前安全教育、严格按照安全操作规程进行施工，不得违章作业，</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施工人员发生的一切安全事故均由</w:t>
      </w:r>
      <w:r>
        <w:rPr>
          <w:rFonts w:hint="eastAsia" w:ascii="宋体" w:hAnsi="宋体" w:eastAsia="宋体" w:cs="宋体"/>
          <w:color w:val="auto"/>
          <w:kern w:val="0"/>
          <w:sz w:val="21"/>
          <w:szCs w:val="21"/>
          <w:highlight w:val="none"/>
          <w:lang w:val="en-US" w:eastAsia="zh-CN"/>
        </w:rPr>
        <w:t>承包人</w:t>
      </w:r>
      <w:r>
        <w:rPr>
          <w:rFonts w:hint="eastAsia" w:ascii="宋体" w:hAnsi="宋体" w:eastAsia="宋体" w:cs="宋体"/>
          <w:color w:val="auto"/>
          <w:kern w:val="0"/>
          <w:sz w:val="21"/>
          <w:szCs w:val="21"/>
          <w:highlight w:val="none"/>
        </w:rPr>
        <w:t>自行承担责任及负责处理。</w:t>
      </w:r>
    </w:p>
    <w:p w14:paraId="33B0549D">
      <w:pPr>
        <w:pageBreakBefore w:val="0"/>
        <w:kinsoku/>
        <w:wordWrap/>
        <w:overflowPunct/>
        <w:topLinePunct w:val="0"/>
        <w:bidi w:val="0"/>
        <w:snapToGrid/>
        <w:spacing w:line="39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6.1.3特别安全生产事项</w:t>
      </w:r>
    </w:p>
    <w:p w14:paraId="32BCAF51">
      <w:pPr>
        <w:pageBreakBefore w:val="0"/>
        <w:kinsoku/>
        <w:wordWrap/>
        <w:overflowPunct/>
        <w:topLinePunct w:val="0"/>
        <w:bidi w:val="0"/>
        <w:snapToGrid/>
        <w:spacing w:line="390" w:lineRule="exact"/>
        <w:ind w:left="0" w:firstLine="420" w:firstLineChars="200"/>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FD0D81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6.1.4 关于治安保卫的特别约定：</w:t>
      </w:r>
      <w:r>
        <w:rPr>
          <w:rFonts w:hint="eastAsia" w:ascii="宋体" w:hAnsi="宋体" w:eastAsia="宋体" w:cs="宋体"/>
          <w:color w:val="auto"/>
          <w:kern w:val="2"/>
          <w:sz w:val="21"/>
          <w:szCs w:val="21"/>
          <w:highlight w:val="none"/>
          <w:u w:val="single"/>
          <w:lang w:val="en-US" w:eastAsia="zh-CN" w:bidi="ar-SA"/>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kern w:val="2"/>
          <w:sz w:val="21"/>
          <w:szCs w:val="21"/>
          <w:highlight w:val="none"/>
          <w:lang w:val="en-US" w:eastAsia="zh-CN" w:bidi="ar-SA"/>
        </w:rPr>
        <w:t>。</w:t>
      </w:r>
    </w:p>
    <w:p w14:paraId="55B3748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关于编制施工场地治安管理计划的约定：</w:t>
      </w:r>
      <w:r>
        <w:rPr>
          <w:rFonts w:hint="eastAsia" w:ascii="宋体" w:hAnsi="宋体" w:eastAsia="宋体" w:cs="宋体"/>
          <w:color w:val="auto"/>
          <w:kern w:val="2"/>
          <w:sz w:val="21"/>
          <w:szCs w:val="21"/>
          <w:highlight w:val="none"/>
          <w:u w:val="single"/>
          <w:lang w:val="en-US" w:eastAsia="zh-CN" w:bidi="ar-SA"/>
        </w:rPr>
        <w:t xml:space="preserve">  开工前7天内承包人编制施工场地治安管理计划和突发治安事件紧急预案</w:t>
      </w:r>
      <w:r>
        <w:rPr>
          <w:rFonts w:hint="eastAsia" w:ascii="宋体" w:hAnsi="宋体" w:eastAsia="宋体" w:cs="宋体"/>
          <w:color w:val="auto"/>
          <w:kern w:val="2"/>
          <w:sz w:val="21"/>
          <w:szCs w:val="21"/>
          <w:highlight w:val="none"/>
          <w:lang w:val="en-US" w:eastAsia="zh-CN" w:bidi="ar-SA"/>
        </w:rPr>
        <w:t>。</w:t>
      </w:r>
    </w:p>
    <w:p w14:paraId="091AC0C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6.1.5 文明施工</w:t>
      </w:r>
    </w:p>
    <w:p w14:paraId="5AC8C64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合同当事人对文明施工的要求：</w:t>
      </w:r>
      <w:r>
        <w:rPr>
          <w:rFonts w:hint="eastAsia" w:ascii="宋体" w:hAnsi="宋体" w:eastAsia="宋体" w:cs="宋体"/>
          <w:color w:val="auto"/>
          <w:kern w:val="2"/>
          <w:sz w:val="21"/>
          <w:szCs w:val="21"/>
          <w:highlight w:val="none"/>
          <w:u w:val="single"/>
          <w:lang w:val="en-US" w:eastAsia="zh-CN" w:bidi="ar-SA"/>
        </w:rPr>
        <w:t>按照国家及地方安全文明施工的有关规定执行</w:t>
      </w:r>
      <w:r>
        <w:rPr>
          <w:rFonts w:hint="eastAsia" w:ascii="宋体" w:hAnsi="宋体" w:eastAsia="宋体" w:cs="宋体"/>
          <w:color w:val="auto"/>
          <w:kern w:val="2"/>
          <w:sz w:val="21"/>
          <w:szCs w:val="21"/>
          <w:highlight w:val="none"/>
          <w:lang w:val="en-US" w:eastAsia="zh-CN" w:bidi="ar-SA"/>
        </w:rPr>
        <w:t>。</w:t>
      </w:r>
    </w:p>
    <w:p w14:paraId="614FB35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eastAsia="宋体" w:cs="宋体"/>
          <w:color w:val="auto"/>
          <w:kern w:val="0"/>
          <w:sz w:val="21"/>
          <w:szCs w:val="24"/>
          <w:highlight w:val="none"/>
          <w:u w:val="single"/>
          <w:lang w:val="en-US" w:bidi="ar-SA"/>
        </w:rPr>
      </w:pPr>
      <w:r>
        <w:rPr>
          <w:rFonts w:hint="eastAsia" w:ascii="宋体" w:hAnsi="宋体" w:eastAsia="宋体" w:cs="宋体"/>
          <w:color w:val="auto"/>
          <w:kern w:val="2"/>
          <w:sz w:val="21"/>
          <w:szCs w:val="21"/>
          <w:highlight w:val="none"/>
          <w:lang w:val="en-US" w:bidi="ar-SA"/>
        </w:rPr>
        <w:t>6.1.6 关于安全文明施工费支付比例和支付期限的约定：</w:t>
      </w:r>
      <w:r>
        <w:rPr>
          <w:rFonts w:hint="eastAsia" w:ascii="宋体" w:hAnsi="宋体" w:eastAsia="宋体" w:cs="宋体"/>
          <w:color w:val="auto"/>
          <w:kern w:val="0"/>
          <w:sz w:val="21"/>
          <w:szCs w:val="24"/>
          <w:highlight w:val="none"/>
          <w:u w:val="single"/>
          <w:lang w:val="en-US" w:bidi="ar-SA"/>
        </w:rPr>
        <w:t>专款专用。</w:t>
      </w:r>
      <w:r>
        <w:rPr>
          <w:rFonts w:hint="eastAsia" w:ascii="宋体" w:hAnsi="宋体" w:eastAsia="宋体" w:cs="宋体"/>
          <w:color w:val="auto"/>
          <w:kern w:val="0"/>
          <w:sz w:val="21"/>
          <w:szCs w:val="24"/>
          <w:highlight w:val="none"/>
          <w:u w:val="single"/>
          <w:lang w:val="en-US" w:eastAsia="zh-CN" w:bidi="ar-SA"/>
        </w:rPr>
        <w:t>具体按《广西壮族自治区建设工程安全文明施工费使用细则》（桂建质〔2015〕16号]）和桂林市建规〔2007〕131号文及市建规〔2008〕224号文相关规定执行 。安全文明施工费与工程款同步支付（按相关规定缴纳及支付）。施工过程中，如承包人在安全防护、文明施工的措施达不到以上文件要求，发包人有权扣减相应的安全防护、文明施工措施费用</w:t>
      </w:r>
      <w:r>
        <w:rPr>
          <w:rFonts w:hint="eastAsia" w:ascii="宋体" w:hAnsi="宋体" w:eastAsia="宋体" w:cs="宋体"/>
          <w:color w:val="auto"/>
          <w:kern w:val="0"/>
          <w:sz w:val="21"/>
          <w:szCs w:val="24"/>
          <w:highlight w:val="none"/>
          <w:u w:val="single"/>
          <w:lang w:val="en-US" w:bidi="ar-SA"/>
        </w:rPr>
        <w:t>。</w:t>
      </w:r>
    </w:p>
    <w:p w14:paraId="69020741">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6.2职业健康</w:t>
      </w:r>
    </w:p>
    <w:p w14:paraId="730C6D9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auto"/>
          <w:kern w:val="2"/>
          <w:sz w:val="21"/>
          <w:szCs w:val="21"/>
          <w:highlight w:val="none"/>
          <w:u w:val="single"/>
          <w:lang w:val="en-US" w:eastAsia="zh-CN" w:bidi="ar-SA"/>
        </w:rPr>
        <w:t>市住建〔2016〕34号文规定 。</w:t>
      </w:r>
    </w:p>
    <w:p w14:paraId="7DA420D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6.3 环境保护因施工需要，经发包人批准，由承包人办理有关施工场地交通、环卫和施工噪音管理等手续，费用由承包人负责。</w:t>
      </w:r>
    </w:p>
    <w:p w14:paraId="6A04872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经过城市道路的施工车辆，必须按交警、城管、运输等部门相关规定执行。由于施工车辆造成的道路、环境等污染，其责任和费用均由承包人承担。</w:t>
      </w:r>
    </w:p>
    <w:p w14:paraId="3071C63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环保工作的约定：</w:t>
      </w:r>
      <w:r>
        <w:rPr>
          <w:rFonts w:hint="eastAsia" w:ascii="宋体" w:hAnsi="宋体" w:eastAsia="宋体" w:cs="宋体"/>
          <w:color w:val="auto"/>
          <w:kern w:val="2"/>
          <w:sz w:val="21"/>
          <w:szCs w:val="21"/>
          <w:highlight w:val="none"/>
          <w:u w:val="single"/>
          <w:lang w:val="en-US" w:eastAsia="zh-CN" w:bidi="ar-SA"/>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整，并根据实际情况将场地恢复到原有状态，费用自理。</w:t>
      </w:r>
    </w:p>
    <w:p w14:paraId="7A6555DA">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 工期和进度</w:t>
      </w:r>
    </w:p>
    <w:p w14:paraId="2C1DD33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7.1 施工组织设计</w:t>
      </w:r>
    </w:p>
    <w:p w14:paraId="050E30C2">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7.1.1 合同当事人约定的施工组织设计应包括的其他内容：</w:t>
      </w:r>
      <w:r>
        <w:rPr>
          <w:rFonts w:hint="eastAsia" w:ascii="宋体" w:hAnsi="宋体" w:eastAsia="宋体" w:cs="宋体"/>
          <w:color w:val="auto"/>
          <w:kern w:val="2"/>
          <w:sz w:val="21"/>
          <w:szCs w:val="21"/>
          <w:highlight w:val="none"/>
          <w:u w:val="single"/>
          <w:lang w:val="en-US" w:eastAsia="zh-CN" w:bidi="ar-SA"/>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7ED8DB71">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7.1.2 </w:t>
      </w:r>
      <w:r>
        <w:rPr>
          <w:rFonts w:hint="eastAsia" w:ascii="宋体" w:hAnsi="宋体" w:eastAsia="宋体" w:cs="宋体"/>
          <w:color w:val="auto"/>
          <w:kern w:val="0"/>
          <w:sz w:val="21"/>
          <w:szCs w:val="21"/>
          <w:highlight w:val="none"/>
          <w:lang w:val="en-US" w:eastAsia="zh-CN" w:bidi="ar-SA"/>
        </w:rPr>
        <w:t>施工组织设计的提交和修改</w:t>
      </w:r>
    </w:p>
    <w:p w14:paraId="6E12D994">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承包人提交详细施工组织设计的期限的约定：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合同签订后14天内，最迟不得晚于开工通知载明的开工日期前7天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0C8318BE">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发包人和监理人在收到详细的施工组织设计后确认或提出修改意见的期限：</w:t>
      </w:r>
      <w:r>
        <w:rPr>
          <w:rFonts w:hint="eastAsia" w:ascii="宋体" w:hAnsi="宋体" w:eastAsia="宋体" w:cs="Times New Roman"/>
          <w:color w:val="auto"/>
          <w:kern w:val="2"/>
          <w:sz w:val="21"/>
          <w:szCs w:val="21"/>
          <w:highlight w:val="none"/>
          <w:u w:val="single"/>
          <w:lang w:val="en-US" w:eastAsia="zh-CN" w:bidi="ar-SA"/>
        </w:rPr>
        <w:t>收到施工组织设计后7天内确认或提出修改意见。</w:t>
      </w:r>
    </w:p>
    <w:p w14:paraId="5375D3E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7.2 施工进度计划</w:t>
      </w:r>
    </w:p>
    <w:p w14:paraId="7163A62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7.2.2 施工进度计划的修订</w:t>
      </w:r>
    </w:p>
    <w:p w14:paraId="654D3F2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（1）发包人和监理人在收到修订的施工进度计划后确认或提出修改意见的期限：</w:t>
      </w:r>
      <w:r>
        <w:rPr>
          <w:rFonts w:hint="eastAsia" w:ascii="宋体" w:hAnsi="宋体" w:eastAsia="宋体" w:cs="宋体"/>
          <w:color w:val="auto"/>
          <w:kern w:val="2"/>
          <w:sz w:val="21"/>
          <w:szCs w:val="21"/>
          <w:highlight w:val="none"/>
          <w:u w:val="single"/>
          <w:lang w:val="en-US" w:eastAsia="zh-CN" w:bidi="ar-SA"/>
        </w:rPr>
        <w:t>自监理人收到承包人报送的相关进度计划后 7天内。</w:t>
      </w:r>
      <w:r>
        <w:rPr>
          <w:rFonts w:hint="eastAsia" w:ascii="宋体" w:hAnsi="宋体" w:eastAsia="宋体" w:cs="宋体"/>
          <w:color w:val="auto"/>
          <w:kern w:val="2"/>
          <w:sz w:val="21"/>
          <w:szCs w:val="21"/>
          <w:highlight w:val="none"/>
          <w:lang w:val="en-US" w:eastAsia="zh-CN" w:bidi="ar-SA"/>
        </w:rPr>
        <w:t xml:space="preserve"> </w:t>
      </w:r>
    </w:p>
    <w:p w14:paraId="0A3646B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（2）承包人编制分阶段或分项施工进度计划和施工方案说明的内容：</w:t>
      </w:r>
      <w:r>
        <w:rPr>
          <w:rFonts w:hint="eastAsia" w:ascii="宋体" w:hAnsi="宋体" w:eastAsia="宋体" w:cs="宋体"/>
          <w:color w:val="auto"/>
          <w:kern w:val="2"/>
          <w:sz w:val="21"/>
          <w:szCs w:val="21"/>
          <w:highlight w:val="none"/>
          <w:u w:val="single"/>
          <w:lang w:val="en-US" w:eastAsia="zh-CN" w:bidi="ar-SA"/>
        </w:rPr>
        <w:t>包含但不限于月进度计划、原地面测量方案、不良地基处理方案等。</w:t>
      </w:r>
      <w:r>
        <w:rPr>
          <w:rFonts w:hint="eastAsia" w:ascii="宋体" w:hAnsi="宋体" w:eastAsia="宋体" w:cs="宋体"/>
          <w:color w:val="auto"/>
          <w:kern w:val="2"/>
          <w:sz w:val="21"/>
          <w:szCs w:val="21"/>
          <w:highlight w:val="none"/>
          <w:lang w:val="en-US" w:eastAsia="zh-CN" w:bidi="ar-SA"/>
        </w:rPr>
        <w:t xml:space="preserve"> </w:t>
      </w:r>
    </w:p>
    <w:p w14:paraId="482AE59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 承包人报送分阶段或分项施工进度计划和施工方案说明的期限： </w:t>
      </w:r>
      <w:r>
        <w:rPr>
          <w:rFonts w:hint="eastAsia" w:ascii="宋体" w:hAnsi="宋体" w:eastAsia="宋体" w:cs="宋体"/>
          <w:color w:val="auto"/>
          <w:kern w:val="2"/>
          <w:sz w:val="21"/>
          <w:szCs w:val="21"/>
          <w:highlight w:val="none"/>
          <w:u w:val="single"/>
          <w:lang w:val="en-US" w:eastAsia="zh-CN" w:bidi="ar-SA"/>
        </w:rPr>
        <w:t>月进度计划于上月 30 日前提交，分项施工进度计划和施工方案说明应不迟于该分项工程施工前14 天提交。</w:t>
      </w:r>
    </w:p>
    <w:p w14:paraId="1AD2578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7.3 开工</w:t>
      </w:r>
    </w:p>
    <w:p w14:paraId="2A313C5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7.3.1 开工准备</w:t>
      </w:r>
    </w:p>
    <w:p w14:paraId="2DA30A53">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关于承包人提交</w:t>
      </w:r>
      <w:r>
        <w:rPr>
          <w:rFonts w:hint="eastAsia" w:ascii="宋体" w:hAnsi="宋体" w:eastAsia="宋体" w:cs="宋体"/>
          <w:color w:val="auto"/>
          <w:kern w:val="0"/>
          <w:sz w:val="21"/>
          <w:szCs w:val="21"/>
          <w:highlight w:val="none"/>
          <w:lang w:val="en-US" w:eastAsia="zh-CN" w:bidi="ar-SA"/>
        </w:rPr>
        <w:t>工程开工报审表的期限：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71E8CA82">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关于发包人应完成的其他开工准备工作及期限：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41159BF8">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 关于承包人应完成的其他开工准备工作及期限：</w:t>
      </w:r>
      <w:r>
        <w:rPr>
          <w:rFonts w:hint="eastAsia" w:ascii="宋体" w:hAnsi="宋体" w:eastAsia="宋体" w:cs="宋体"/>
          <w:color w:val="auto"/>
          <w:kern w:val="2"/>
          <w:sz w:val="21"/>
          <w:szCs w:val="21"/>
          <w:highlight w:val="none"/>
          <w:u w:val="single"/>
          <w:lang w:val="en-US" w:eastAsia="zh-CN" w:bidi="ar-SA"/>
        </w:rPr>
        <w:t xml:space="preserve">   7天   </w:t>
      </w:r>
      <w:r>
        <w:rPr>
          <w:rFonts w:hint="eastAsia" w:ascii="宋体" w:hAnsi="宋体" w:eastAsia="宋体" w:cs="宋体"/>
          <w:color w:val="auto"/>
          <w:kern w:val="2"/>
          <w:sz w:val="21"/>
          <w:szCs w:val="21"/>
          <w:highlight w:val="none"/>
          <w:lang w:val="en-US" w:eastAsia="zh-CN" w:bidi="ar-SA"/>
        </w:rPr>
        <w:t>。</w:t>
      </w:r>
    </w:p>
    <w:p w14:paraId="14677FC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7.3.2 开工通知</w:t>
      </w:r>
    </w:p>
    <w:p w14:paraId="4F975A4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因发包人原因造成监理人未能在计划开工日期之日起</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天内发出开工通知的，承包人有权提出价格调整要求，或者解除合同。</w:t>
      </w:r>
    </w:p>
    <w:p w14:paraId="1B5D451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7.4 测量放线</w:t>
      </w:r>
    </w:p>
    <w:p w14:paraId="2334395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7.4.1发包人通过监理人向承包人提供测量基准点、基准线和水准点及其书面资料的期限：</w:t>
      </w:r>
      <w:r>
        <w:rPr>
          <w:rFonts w:hint="eastAsia" w:ascii="宋体" w:hAnsi="宋体" w:eastAsia="宋体" w:cs="宋体"/>
          <w:color w:val="auto"/>
          <w:kern w:val="2"/>
          <w:sz w:val="21"/>
          <w:szCs w:val="21"/>
          <w:highlight w:val="none"/>
          <w:u w:val="single"/>
          <w:lang w:val="en-US" w:eastAsia="zh-CN" w:bidi="ar-SA"/>
        </w:rPr>
        <w:t>开工通知载明的开工日期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6BABE300">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7.5 工期延误</w:t>
      </w:r>
    </w:p>
    <w:p w14:paraId="3890950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7.5.1 因发包人原因导致工期延误</w:t>
      </w:r>
    </w:p>
    <w:p w14:paraId="2129427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（7）因发包人原因导致工期延误的其他情形：</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w:t>
      </w:r>
    </w:p>
    <w:p w14:paraId="2CFD969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7.5.2 因承包人原因导致工期延误</w:t>
      </w:r>
    </w:p>
    <w:p w14:paraId="427412E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双方约定经监理工程师确认，工期相应顺延的情况：</w:t>
      </w:r>
      <w:r>
        <w:rPr>
          <w:rFonts w:hint="eastAsia" w:ascii="宋体" w:hAnsi="宋体" w:eastAsia="宋体" w:cs="宋体"/>
          <w:color w:val="auto"/>
          <w:kern w:val="2"/>
          <w:sz w:val="21"/>
          <w:szCs w:val="21"/>
          <w:highlight w:val="none"/>
          <w:u w:val="single"/>
          <w:lang w:val="en-US" w:eastAsia="zh-CN" w:bidi="ar-SA"/>
        </w:rPr>
        <w:t xml:space="preserve">  非承包人原因导致的工期延误，合同工期相应顺延</w:t>
      </w:r>
      <w:r>
        <w:rPr>
          <w:rFonts w:hint="eastAsia" w:ascii="宋体" w:hAnsi="宋体" w:eastAsia="宋体" w:cs="宋体"/>
          <w:color w:val="auto"/>
          <w:kern w:val="2"/>
          <w:sz w:val="21"/>
          <w:szCs w:val="21"/>
          <w:highlight w:val="none"/>
          <w:lang w:val="en-US" w:eastAsia="zh-CN" w:bidi="ar-SA"/>
        </w:rPr>
        <w:t>。</w:t>
      </w:r>
    </w:p>
    <w:p w14:paraId="4FB4B71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因承包人原因造成工期延误，逾期竣工违约金的计算方法为：</w:t>
      </w:r>
      <w:r>
        <w:rPr>
          <w:rFonts w:hint="eastAsia" w:ascii="宋体" w:hAnsi="宋体" w:eastAsia="宋体" w:cs="宋体"/>
          <w:color w:val="auto"/>
          <w:kern w:val="2"/>
          <w:sz w:val="21"/>
          <w:szCs w:val="21"/>
          <w:highlight w:val="none"/>
          <w:u w:val="single"/>
          <w:lang w:val="en-US" w:eastAsia="zh-CN" w:bidi="ar-SA"/>
        </w:rPr>
        <w:t xml:space="preserve">非上述原因，承包人不能按合同约定的时间竣工，承包人应承担违约责任，并应向发包人支付误期赔偿费（每天赔偿金额为合同价款扣除社会保险费、发包人材料价款、暂估专业工程、暂列金额后的万分之四），误期时间从规定竣工日期起直到全部工程或相应部分工程竣工验收各方签章日期之间的天数（扣除发包人批准顺延的工期）。发包人可从应向承包人支付的任何金额中扣除此项赔偿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终止合同，并依法追究承包人的违约责任，由此造成的一切损失均由责任人负责。 </w:t>
      </w:r>
    </w:p>
    <w:p w14:paraId="68F747DB">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因承包人原因造成工期延误，逾期竣工违约金的上限：</w:t>
      </w:r>
      <w:r>
        <w:rPr>
          <w:rFonts w:hint="eastAsia" w:ascii="宋体" w:hAnsi="宋体" w:eastAsia="宋体" w:cs="宋体"/>
          <w:color w:val="auto"/>
          <w:kern w:val="2"/>
          <w:sz w:val="21"/>
          <w:szCs w:val="21"/>
          <w:highlight w:val="none"/>
          <w:u w:val="single"/>
          <w:lang w:val="en-US" w:eastAsia="zh-CN" w:bidi="ar-SA"/>
        </w:rPr>
        <w:t>结算价扣除社会保险费、发包人材料价款、暂估专业工程、暂列金额后的1%</w:t>
      </w:r>
      <w:r>
        <w:rPr>
          <w:rFonts w:hint="eastAsia" w:ascii="宋体" w:hAnsi="宋体" w:eastAsia="宋体" w:cs="宋体"/>
          <w:color w:val="auto"/>
          <w:kern w:val="2"/>
          <w:sz w:val="21"/>
          <w:szCs w:val="21"/>
          <w:highlight w:val="none"/>
          <w:lang w:val="en-US" w:eastAsia="zh-CN" w:bidi="ar-SA"/>
        </w:rPr>
        <w:t>。</w:t>
      </w:r>
    </w:p>
    <w:p w14:paraId="4CCE51B7">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7.6 不利物质条件</w:t>
      </w:r>
    </w:p>
    <w:p w14:paraId="439680E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不利物质条件的其他情形和有关约定：</w:t>
      </w:r>
      <w:r>
        <w:rPr>
          <w:rFonts w:hint="eastAsia" w:ascii="宋体" w:hAnsi="宋体" w:eastAsia="宋体" w:cs="宋体"/>
          <w:color w:val="auto"/>
          <w:kern w:val="2"/>
          <w:sz w:val="21"/>
          <w:szCs w:val="21"/>
          <w:highlight w:val="none"/>
          <w:u w:val="single"/>
          <w:lang w:val="en-US" w:eastAsia="zh-CN" w:bidi="ar-SA"/>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auto"/>
          <w:kern w:val="2"/>
          <w:sz w:val="21"/>
          <w:szCs w:val="21"/>
          <w:highlight w:val="none"/>
          <w:lang w:val="en-US" w:eastAsia="zh-CN" w:bidi="ar-SA"/>
        </w:rPr>
        <w:t>。</w:t>
      </w:r>
    </w:p>
    <w:p w14:paraId="5F6450A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7.7 异常恶劣的气候条件</w:t>
      </w:r>
    </w:p>
    <w:p w14:paraId="1466570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发包人和承包人同意以下情形视为异常恶劣的气候条件：</w:t>
      </w:r>
    </w:p>
    <w:p w14:paraId="6ADCC219">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u w:val="single"/>
          <w:lang w:val="en-US" w:eastAsia="zh-CN" w:bidi="ar-SA"/>
        </w:rPr>
        <w:t>10级以上持续1天的大风；</w:t>
      </w:r>
    </w:p>
    <w:p w14:paraId="0CE18E20">
      <w:pPr>
        <w:widowControl w:val="0"/>
        <w:numPr>
          <w:ilvl w:val="0"/>
          <w:numId w:val="10"/>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暴雨级以上持续2天的大雨；</w:t>
      </w:r>
    </w:p>
    <w:p w14:paraId="32871D5A">
      <w:pPr>
        <w:widowControl w:val="0"/>
        <w:numPr>
          <w:ilvl w:val="0"/>
          <w:numId w:val="10"/>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u w:val="single"/>
          <w:lang w:val="en-US" w:eastAsia="zh-CN" w:bidi="ar-SA"/>
        </w:rPr>
        <w:t>当地6级以上的破坏性地震；</w:t>
      </w:r>
    </w:p>
    <w:p w14:paraId="1CAB91D4">
      <w:pPr>
        <w:widowControl w:val="0"/>
        <w:numPr>
          <w:ilvl w:val="0"/>
          <w:numId w:val="10"/>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50年以上未发生过持续2天的高温天气；</w:t>
      </w:r>
    </w:p>
    <w:p w14:paraId="5D2E096B">
      <w:pPr>
        <w:widowControl w:val="0"/>
        <w:numPr>
          <w:ilvl w:val="0"/>
          <w:numId w:val="10"/>
        </w:numPr>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50年以上未发生的持续2天的低温天气。</w:t>
      </w:r>
    </w:p>
    <w:p w14:paraId="436C2FE6">
      <w:pPr>
        <w:widowControl w:val="0"/>
        <w:spacing w:line="380" w:lineRule="exact"/>
        <w:ind w:firstLine="630" w:firstLineChars="3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7B345E4F">
      <w:pPr>
        <w:widowControl w:val="0"/>
        <w:spacing w:line="380" w:lineRule="exact"/>
        <w:jc w:val="left"/>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7.8暂停施工</w:t>
      </w:r>
    </w:p>
    <w:p w14:paraId="2E6675DD">
      <w:pPr>
        <w:widowControl w:val="0"/>
        <w:spacing w:line="380" w:lineRule="exact"/>
        <w:ind w:firstLine="0" w:firstLineChars="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7.8.2承包人原因引起的暂停施工</w:t>
      </w:r>
    </w:p>
    <w:p w14:paraId="10F4FBA1">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承包人承担暂停施工责任的其他情形：</w:t>
      </w:r>
      <w:r>
        <w:rPr>
          <w:rFonts w:hint="eastAsia" w:ascii="宋体" w:hAnsi="宋体" w:eastAsia="宋体" w:cs="宋体"/>
          <w:color w:val="auto"/>
          <w:kern w:val="2"/>
          <w:sz w:val="21"/>
          <w:szCs w:val="21"/>
          <w:highlight w:val="none"/>
          <w:u w:val="single"/>
          <w:lang w:val="en-US" w:eastAsia="zh-CN" w:bidi="ar-SA"/>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08918113">
      <w:pPr>
        <w:widowControl w:val="0"/>
        <w:spacing w:line="38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因承包人责任暂停施工延误施工时机而导致遭遇不利条件物质条件和异常恶劣的气候条件、不可抗力造成的工期延误和费用增加由承包人承担。</w:t>
      </w:r>
    </w:p>
    <w:p w14:paraId="74C77BDB">
      <w:pPr>
        <w:widowControl w:val="0"/>
        <w:spacing w:line="380" w:lineRule="exact"/>
        <w:ind w:firstLine="0" w:firstLineChars="0"/>
        <w:jc w:val="both"/>
        <w:rPr>
          <w:rFonts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7.8.5暂停施工后的复工</w:t>
      </w:r>
    </w:p>
    <w:p w14:paraId="231AA9FF">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58DEC26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7.9 提前竣工</w:t>
      </w:r>
    </w:p>
    <w:p w14:paraId="3D8C9DD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7.9.2提前竣工的奖励：</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DD9EA8B">
      <w:pPr>
        <w:keepNext/>
        <w:keepLines/>
        <w:widowControl w:val="0"/>
        <w:numPr>
          <w:ilvl w:val="0"/>
          <w:numId w:val="11"/>
        </w:numPr>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材料与设备</w:t>
      </w:r>
    </w:p>
    <w:p w14:paraId="49153D47">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承包人采购材料和设备的约定：</w:t>
      </w:r>
    </w:p>
    <w:p w14:paraId="234954A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8.2 承包人采购材料与工程设备</w:t>
      </w:r>
    </w:p>
    <w:p w14:paraId="6F187897">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kern w:val="2"/>
          <w:sz w:val="21"/>
          <w:szCs w:val="21"/>
          <w:highlight w:val="none"/>
          <w:lang w:val="en-US" w:eastAsia="zh-CN" w:bidi="ar-SA"/>
        </w:rPr>
        <w:t>承包人提供主要材料和工程设备一览表》</w:t>
      </w:r>
      <w:r>
        <w:rPr>
          <w:rFonts w:hint="eastAsia" w:ascii="宋体" w:hAnsi="宋体" w:eastAsia="宋体" w:cs="宋体"/>
          <w:color w:val="auto"/>
          <w:kern w:val="0"/>
          <w:sz w:val="21"/>
          <w:szCs w:val="21"/>
          <w:highlight w:val="none"/>
          <w:lang w:val="en-US" w:eastAsia="zh-CN" w:bidi="ar-SA"/>
        </w:rPr>
        <w:t>（表-22）见已标价工程量清单。</w:t>
      </w:r>
    </w:p>
    <w:p w14:paraId="74831FC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8.4 材料与工程设备的保管与使用</w:t>
      </w:r>
    </w:p>
    <w:p w14:paraId="11A29F7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8.4.1发包人供应的材料设备的保管费用的承担：</w:t>
      </w:r>
      <w:r>
        <w:rPr>
          <w:rFonts w:hint="eastAsia" w:ascii="宋体" w:hAnsi="宋体" w:eastAsia="宋体" w:cs="宋体"/>
          <w:color w:val="auto"/>
          <w:kern w:val="2"/>
          <w:sz w:val="21"/>
          <w:szCs w:val="21"/>
          <w:highlight w:val="none"/>
          <w:u w:val="single"/>
          <w:lang w:val="en-US" w:eastAsia="zh-CN" w:bidi="ar-SA"/>
        </w:rPr>
        <w:t>发包人供应的材料和设备经三方验收合格后，保管费用由承包人承担</w:t>
      </w:r>
      <w:r>
        <w:rPr>
          <w:rFonts w:hint="eastAsia" w:ascii="宋体" w:hAnsi="宋体" w:eastAsia="宋体" w:cs="宋体"/>
          <w:color w:val="auto"/>
          <w:kern w:val="2"/>
          <w:sz w:val="21"/>
          <w:szCs w:val="21"/>
          <w:highlight w:val="none"/>
          <w:lang w:val="en-US" w:eastAsia="zh-CN" w:bidi="ar-SA"/>
        </w:rPr>
        <w:t>。</w:t>
      </w:r>
    </w:p>
    <w:p w14:paraId="79515CD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8.6 样品</w:t>
      </w:r>
    </w:p>
    <w:p w14:paraId="1A924557">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8.6.1 样品的报送与封存</w:t>
      </w:r>
    </w:p>
    <w:p w14:paraId="40A8052A">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需要承包人报送样品的材料或工程设备，样品的种类、名称、规格、数量要求：</w:t>
      </w:r>
      <w:r>
        <w:rPr>
          <w:rFonts w:hint="eastAsia" w:ascii="宋体" w:hAnsi="宋体" w:eastAsia="宋体" w:cs="宋体"/>
          <w:color w:val="auto"/>
          <w:kern w:val="2"/>
          <w:sz w:val="21"/>
          <w:szCs w:val="21"/>
          <w:highlight w:val="none"/>
          <w:u w:val="single"/>
          <w:lang w:val="en-US" w:eastAsia="zh-CN" w:bidi="ar-SA"/>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14:paraId="1D1C1AD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8.8 施工设备和临时设施</w:t>
      </w:r>
    </w:p>
    <w:p w14:paraId="55A88A5D">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8.8.1 承包人提供的施工设备和临时设施</w:t>
      </w:r>
    </w:p>
    <w:p w14:paraId="72DC382A">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36348852">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关于修建临时设施费用承担的约定：</w:t>
      </w:r>
    </w:p>
    <w:p w14:paraId="519EAAFF">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①承包人的临时用地（含项目部驻地等）租用费（含拆迁补偿）、临时用地的环保、恢复、临时用地的青苗补偿及地面附着物拆除等费用均由承包人负责，以上费用在投标报价中综合考虑。 </w:t>
      </w:r>
    </w:p>
    <w:p w14:paraId="4F12D750">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②承包人负责合同实施期间其合同段内临时交通道路和交通设施的修建、维修、养护和交通管理工作，并承担一切费用。 </w:t>
      </w:r>
    </w:p>
    <w:p w14:paraId="0F5E0D20">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578A9DC7">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723E18BD">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8.8.2 发包人提供的施工设备和临时设施</w:t>
      </w:r>
    </w:p>
    <w:p w14:paraId="1C91DED4">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发包人提供的施工设备和临时设施：</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1326A8C9">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发包人提供的施工设备和临时设施的运行、维护、拆除、清运费用的承担人：</w:t>
      </w:r>
      <w:r>
        <w:rPr>
          <w:rFonts w:hint="eastAsia" w:ascii="宋体" w:hAnsi="宋体" w:eastAsia="宋体" w:cs="宋体"/>
          <w:color w:val="auto"/>
          <w:kern w:val="2"/>
          <w:sz w:val="21"/>
          <w:szCs w:val="21"/>
          <w:highlight w:val="none"/>
          <w:u w:val="single"/>
          <w:lang w:val="en-US" w:eastAsia="zh-CN" w:bidi="ar-SA"/>
        </w:rPr>
        <w:t xml:space="preserve">  承包人  </w:t>
      </w:r>
      <w:r>
        <w:rPr>
          <w:rFonts w:hint="eastAsia" w:ascii="宋体" w:hAnsi="宋体" w:eastAsia="宋体" w:cs="宋体"/>
          <w:color w:val="auto"/>
          <w:kern w:val="2"/>
          <w:sz w:val="21"/>
          <w:szCs w:val="21"/>
          <w:highlight w:val="none"/>
          <w:lang w:val="en-US" w:eastAsia="zh-CN" w:bidi="ar-SA"/>
        </w:rPr>
        <w:t>。</w:t>
      </w:r>
    </w:p>
    <w:p w14:paraId="55856A90">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9. 试验与检验</w:t>
      </w:r>
    </w:p>
    <w:p w14:paraId="4051750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9.1 试验设备与试验人员</w:t>
      </w:r>
    </w:p>
    <w:p w14:paraId="71775AE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9.1.2 试验设备</w:t>
      </w:r>
    </w:p>
    <w:p w14:paraId="0FD039C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施工现场需要配置的试验场所：</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 xml:space="preserve">。 </w:t>
      </w:r>
    </w:p>
    <w:p w14:paraId="7DF01443">
      <w:pPr>
        <w:widowControl w:val="0"/>
        <w:spacing w:line="380" w:lineRule="exact"/>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施工现场需要配备的试验设备：</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w:t>
      </w:r>
    </w:p>
    <w:p w14:paraId="6CD1B05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施工现场需要具备的其他试验条件：</w:t>
      </w:r>
      <w:r>
        <w:rPr>
          <w:rFonts w:hint="eastAsia" w:ascii="宋体" w:hAnsi="宋体" w:eastAsia="宋体" w:cs="宋体"/>
          <w:color w:val="auto"/>
          <w:kern w:val="2"/>
          <w:sz w:val="21"/>
          <w:szCs w:val="21"/>
          <w:highlight w:val="none"/>
          <w:u w:val="single"/>
          <w:lang w:val="en-US" w:eastAsia="zh-CN" w:bidi="ar-SA"/>
        </w:rPr>
        <w:t xml:space="preserve"> 由承包人承担，所需费用包含在投标报价中 </w:t>
      </w:r>
      <w:r>
        <w:rPr>
          <w:rFonts w:hint="eastAsia" w:ascii="宋体" w:hAnsi="宋体" w:eastAsia="宋体" w:cs="宋体"/>
          <w:color w:val="auto"/>
          <w:kern w:val="2"/>
          <w:sz w:val="21"/>
          <w:szCs w:val="21"/>
          <w:highlight w:val="none"/>
          <w:lang w:val="en-US" w:eastAsia="zh-CN" w:bidi="ar-SA"/>
        </w:rPr>
        <w:t>。</w:t>
      </w:r>
    </w:p>
    <w:p w14:paraId="36F662C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9.4 现场工艺试验 </w:t>
      </w:r>
    </w:p>
    <w:p w14:paraId="38CEEB45">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现场工艺试验的有关约定：</w:t>
      </w:r>
      <w:r>
        <w:rPr>
          <w:rFonts w:hint="eastAsia" w:ascii="宋体" w:hAnsi="宋体" w:eastAsia="宋体" w:cs="宋体"/>
          <w:color w:val="auto"/>
          <w:kern w:val="2"/>
          <w:sz w:val="21"/>
          <w:szCs w:val="21"/>
          <w:highlight w:val="none"/>
          <w:u w:val="single"/>
          <w:lang w:val="en-US" w:eastAsia="zh-CN" w:bidi="ar-SA"/>
        </w:rPr>
        <w:t xml:space="preserve">  按通用条款执行</w:t>
      </w:r>
      <w:r>
        <w:rPr>
          <w:rFonts w:hint="eastAsia" w:ascii="宋体" w:hAnsi="宋体" w:eastAsia="宋体" w:cs="宋体"/>
          <w:color w:val="auto"/>
          <w:kern w:val="2"/>
          <w:sz w:val="21"/>
          <w:szCs w:val="21"/>
          <w:highlight w:val="none"/>
          <w:lang w:val="en-US" w:eastAsia="zh-CN" w:bidi="ar-SA"/>
        </w:rPr>
        <w:t>。</w:t>
      </w:r>
    </w:p>
    <w:p w14:paraId="4692D40B">
      <w:pPr>
        <w:widowControl w:val="0"/>
        <w:spacing w:line="380" w:lineRule="exact"/>
        <w:ind w:firstLine="422" w:firstLineChars="200"/>
        <w:jc w:val="left"/>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9.5 检验费用</w:t>
      </w:r>
    </w:p>
    <w:p w14:paraId="3B0CB0E8">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根据《建设工程质量检测管理办法》（建设部令第141号）以及</w:t>
      </w:r>
      <w:r>
        <w:rPr>
          <w:rFonts w:hint="eastAsia" w:ascii="宋体" w:hAnsi="宋体" w:eastAsia="宋体" w:cs="宋体"/>
          <w:bCs/>
          <w:color w:val="auto"/>
          <w:kern w:val="2"/>
          <w:sz w:val="21"/>
          <w:szCs w:val="21"/>
          <w:highlight w:val="none"/>
          <w:lang w:val="en-US" w:eastAsia="zh-CN" w:bidi="ar-SA"/>
        </w:rPr>
        <w:t>《广西壮族自治区建设工程质量检测管理规定》（桂建管〔2013〕11号）</w:t>
      </w:r>
      <w:r>
        <w:rPr>
          <w:rFonts w:hint="eastAsia" w:ascii="宋体" w:hAnsi="宋体" w:eastAsia="宋体" w:cs="宋体"/>
          <w:color w:val="auto"/>
          <w:kern w:val="2"/>
          <w:sz w:val="21"/>
          <w:szCs w:val="21"/>
          <w:highlight w:val="none"/>
          <w:lang w:val="en-US" w:eastAsia="zh-CN" w:bidi="ar-SA"/>
        </w:rPr>
        <w:t>规定，工程质量检测业务由发包人委托有相应资质的检测机构检测。费用从发包人的项目建设经费中支出并直接支付给检测机构，不计入合同价款内。</w:t>
      </w:r>
    </w:p>
    <w:p w14:paraId="476B45C9">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 变更</w:t>
      </w:r>
    </w:p>
    <w:p w14:paraId="1CE4A00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10.1 变更的范围</w:t>
      </w:r>
    </w:p>
    <w:p w14:paraId="3D60DF0D">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关于变更的范围的约定：</w:t>
      </w:r>
      <w:r>
        <w:rPr>
          <w:rFonts w:hint="eastAsia" w:ascii="宋体" w:hAnsi="宋体" w:eastAsia="宋体" w:cs="宋体"/>
          <w:color w:val="auto"/>
          <w:kern w:val="2"/>
          <w:sz w:val="21"/>
          <w:szCs w:val="21"/>
          <w:highlight w:val="none"/>
          <w:u w:val="single"/>
          <w:lang w:val="en-US" w:eastAsia="zh-CN" w:bidi="ar-SA"/>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kern w:val="2"/>
          <w:sz w:val="21"/>
          <w:szCs w:val="21"/>
          <w:highlight w:val="none"/>
          <w:lang w:val="en-US" w:eastAsia="zh-CN" w:bidi="ar-SA"/>
        </w:rPr>
        <w:t>。</w:t>
      </w:r>
    </w:p>
    <w:p w14:paraId="4CA6DDF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10.3 变更程序</w:t>
      </w:r>
    </w:p>
    <w:p w14:paraId="0FF121C5">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10.3.1 国有投资项目：</w:t>
      </w:r>
    </w:p>
    <w:p w14:paraId="78CE87EF">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⑴设计变更和工程签证，按各市政府或相关部门的规定办理。属不可抗力（自然灾害、突发事件等）造成变更的，按特事特办原则予以办理。</w:t>
      </w:r>
    </w:p>
    <w:p w14:paraId="1EC75670">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⑵发包人在实施项目过程中，若发生单价变动，由发包人、监理单位、承包人及其他相关单位共同商定并签字确认。</w:t>
      </w:r>
    </w:p>
    <w:p w14:paraId="5CE3DE16">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⑶ 当合同规定的合同价款调整情况发生后，承包人未在规定时间内通知发包人，或者未在规定时间内提出调整报告，发包人可以根据有关资料，决定是否调整和调整的金额，并书面通知承包人。</w:t>
      </w:r>
    </w:p>
    <w:p w14:paraId="4ADF329C">
      <w:pPr>
        <w:widowControl w:val="0"/>
        <w:spacing w:line="380" w:lineRule="exact"/>
        <w:ind w:firstLine="411" w:firstLineChars="196"/>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10.3.2 非国有投资项目： 同通用条款。</w:t>
      </w:r>
    </w:p>
    <w:p w14:paraId="283A94A9">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10.4 变更估价</w:t>
      </w:r>
    </w:p>
    <w:p w14:paraId="2C4E840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10.4.1 变更估价原则</w:t>
      </w:r>
    </w:p>
    <w:p w14:paraId="60D16FEE">
      <w:pPr>
        <w:widowControl w:val="0"/>
        <w:spacing w:line="380" w:lineRule="exact"/>
        <w:ind w:firstLine="426"/>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关于变更估价的约定: </w:t>
      </w:r>
      <w:r>
        <w:rPr>
          <w:rFonts w:hint="eastAsia" w:ascii="宋体" w:hAnsi="宋体" w:eastAsia="宋体" w:cs="宋体"/>
          <w:color w:val="auto"/>
          <w:kern w:val="2"/>
          <w:sz w:val="21"/>
          <w:szCs w:val="21"/>
          <w:highlight w:val="none"/>
          <w:u w:val="single"/>
          <w:lang w:val="en-US" w:eastAsia="zh-CN" w:bidi="ar-SA"/>
        </w:rPr>
        <w:t>（1）、投标报价中已有适用于变更工程的综合单价，按已有的综合单价；（2）投标报价中有类似变更工程的综合单价，可参照投标报价中类似的综合单价确定；（3）</w:t>
      </w:r>
      <w:r>
        <w:rPr>
          <w:rFonts w:ascii="宋体" w:hAnsi="宋体" w:eastAsia="宋体" w:cs="宋体"/>
          <w:color w:val="auto"/>
          <w:kern w:val="2"/>
          <w:sz w:val="21"/>
          <w:szCs w:val="21"/>
          <w:highlight w:val="none"/>
          <w:u w:val="single"/>
          <w:lang w:val="en-US" w:eastAsia="zh-CN" w:bidi="ar-SA"/>
        </w:rPr>
        <w:t>投标报价中没有适用或类似于变更工程的综合单价，则有定额的套用定额计算，执行本工程编制招标控制价的参考依据，其中材料价格有信息价的按合同该新增子项实施期间《桂林市建设工程造价信息》</w:t>
      </w:r>
      <w:r>
        <w:rPr>
          <w:rFonts w:hint="eastAsia" w:ascii="宋体" w:hAnsi="宋体" w:eastAsia="宋体" w:cs="宋体"/>
          <w:color w:val="auto"/>
          <w:kern w:val="2"/>
          <w:sz w:val="21"/>
          <w:szCs w:val="21"/>
          <w:highlight w:val="none"/>
          <w:u w:val="single"/>
          <w:lang w:val="en-US" w:eastAsia="zh-CN" w:bidi="ar-SA"/>
        </w:rPr>
        <w:t>兴安县</w:t>
      </w:r>
      <w:r>
        <w:rPr>
          <w:rFonts w:ascii="宋体" w:hAnsi="宋体" w:eastAsia="宋体" w:cs="宋体"/>
          <w:color w:val="auto"/>
          <w:kern w:val="2"/>
          <w:sz w:val="21"/>
          <w:szCs w:val="21"/>
          <w:highlight w:val="none"/>
          <w:u w:val="single"/>
          <w:lang w:val="en-US" w:eastAsia="zh-CN" w:bidi="ar-SA"/>
        </w:rPr>
        <w:t>中的平均价计取（信息价无相关信息的参照信息价中桂林市的平均价），无信息价时按市场价格共同协商初步确定；此类工程结算综合单价=按现行定额计算（管理费、利润取中值）的综合单价×中标下浮系数（中标人的投标报价÷经财政部门审核后的预算价），新增项目无定额可套用时，由发包人、承包人及监理三方共同协商初步确定，最终</w:t>
      </w:r>
      <w:r>
        <w:rPr>
          <w:rFonts w:hint="eastAsia" w:ascii="宋体" w:hAnsi="宋体" w:eastAsia="宋体" w:cs="宋体"/>
          <w:color w:val="auto"/>
          <w:kern w:val="2"/>
          <w:sz w:val="21"/>
          <w:szCs w:val="21"/>
          <w:highlight w:val="none"/>
          <w:u w:val="single"/>
          <w:lang w:val="en-US" w:eastAsia="zh-CN" w:bidi="ar-SA"/>
        </w:rPr>
        <w:t>以兴安县审计投资评审中心</w:t>
      </w:r>
      <w:r>
        <w:rPr>
          <w:rFonts w:ascii="宋体" w:hAnsi="宋体" w:eastAsia="宋体" w:cs="宋体"/>
          <w:color w:val="auto"/>
          <w:kern w:val="2"/>
          <w:sz w:val="21"/>
          <w:szCs w:val="21"/>
          <w:highlight w:val="none"/>
          <w:u w:val="single"/>
          <w:lang w:val="en-US" w:eastAsia="zh-CN" w:bidi="ar-SA"/>
        </w:rPr>
        <w:t>审定</w:t>
      </w:r>
      <w:r>
        <w:rPr>
          <w:rFonts w:hint="eastAsia" w:ascii="宋体" w:hAnsi="宋体" w:eastAsia="宋体" w:cs="宋体"/>
          <w:color w:val="auto"/>
          <w:kern w:val="2"/>
          <w:sz w:val="21"/>
          <w:szCs w:val="21"/>
          <w:highlight w:val="none"/>
          <w:u w:val="single"/>
          <w:lang w:val="en-US" w:eastAsia="zh-CN" w:bidi="ar-SA"/>
        </w:rPr>
        <w:t>并经发包人及承包人双方确认的金额</w:t>
      </w:r>
      <w:r>
        <w:rPr>
          <w:rFonts w:ascii="宋体" w:hAnsi="宋体" w:eastAsia="宋体" w:cs="宋体"/>
          <w:color w:val="auto"/>
          <w:kern w:val="2"/>
          <w:sz w:val="21"/>
          <w:szCs w:val="21"/>
          <w:highlight w:val="none"/>
          <w:u w:val="single"/>
          <w:lang w:val="en-US" w:eastAsia="zh-CN" w:bidi="ar-SA"/>
        </w:rPr>
        <w:t>为准</w:t>
      </w:r>
      <w:r>
        <w:rPr>
          <w:rFonts w:hint="eastAsia" w:ascii="宋体" w:hAnsi="宋体" w:eastAsia="宋体" w:cs="宋体"/>
          <w:color w:val="auto"/>
          <w:kern w:val="2"/>
          <w:sz w:val="21"/>
          <w:szCs w:val="21"/>
          <w:highlight w:val="none"/>
          <w:u w:val="single"/>
          <w:lang w:val="en-US" w:eastAsia="zh-CN" w:bidi="ar-SA"/>
        </w:rPr>
        <w:t>。（4）</w:t>
      </w:r>
      <w:r>
        <w:rPr>
          <w:rFonts w:ascii="宋体" w:hAnsi="宋体" w:eastAsia="宋体" w:cs="宋体"/>
          <w:color w:val="auto"/>
          <w:kern w:val="2"/>
          <w:sz w:val="21"/>
          <w:szCs w:val="21"/>
          <w:highlight w:val="none"/>
          <w:u w:val="single"/>
          <w:lang w:val="en-US" w:eastAsia="zh-CN" w:bidi="ar-SA"/>
        </w:rPr>
        <w:t>若发包人和监理人认为有关的工作不能以实物工程量的方法计算及估值时，则按以下的方法计算：若工程量清单中有计日工价目表，则以计日工价目表中相应的项目计价；若计日</w:t>
      </w:r>
      <w:r>
        <w:rPr>
          <w:rFonts w:hint="eastAsia" w:ascii="宋体" w:hAnsi="宋体" w:eastAsia="宋体" w:cs="宋体"/>
          <w:color w:val="auto"/>
          <w:kern w:val="2"/>
          <w:sz w:val="21"/>
          <w:szCs w:val="21"/>
          <w:highlight w:val="none"/>
          <w:u w:val="single"/>
          <w:lang w:val="en-US" w:eastAsia="zh-CN" w:bidi="ar-SA"/>
        </w:rPr>
        <w:t>工</w:t>
      </w:r>
      <w:r>
        <w:rPr>
          <w:rFonts w:ascii="宋体" w:hAnsi="宋体" w:eastAsia="宋体" w:cs="宋体"/>
          <w:color w:val="auto"/>
          <w:kern w:val="2"/>
          <w:sz w:val="21"/>
          <w:szCs w:val="21"/>
          <w:highlight w:val="none"/>
          <w:u w:val="single"/>
          <w:lang w:val="en-US" w:eastAsia="zh-CN" w:bidi="ar-SA"/>
        </w:rPr>
        <w:t>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eastAsia="宋体" w:cs="宋体"/>
          <w:color w:val="auto"/>
          <w:kern w:val="2"/>
          <w:sz w:val="21"/>
          <w:szCs w:val="21"/>
          <w:highlight w:val="none"/>
          <w:u w:val="single"/>
          <w:lang w:val="en-US" w:eastAsia="zh-CN" w:bidi="ar-SA"/>
        </w:rPr>
        <w:t>。（5）暂定价调整方法为：暂定材料价格部分仅调整合同实施期间材料市场价与暂定价之间的误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本工程最终结算以兴安县审计投资评审中心审定并经发包人及承包人双方确认的金额为准。</w:t>
      </w:r>
    </w:p>
    <w:p w14:paraId="2AF8A51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10.5 承包人的合理化建议</w:t>
      </w:r>
    </w:p>
    <w:p w14:paraId="0C034AB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监理人审查承包人合理化建议的期限：</w:t>
      </w:r>
      <w:r>
        <w:rPr>
          <w:rFonts w:hint="eastAsia" w:ascii="宋体" w:hAnsi="宋体" w:eastAsia="宋体" w:cs="宋体"/>
          <w:color w:val="auto"/>
          <w:kern w:val="2"/>
          <w:sz w:val="21"/>
          <w:szCs w:val="21"/>
          <w:highlight w:val="none"/>
          <w:u w:val="single"/>
          <w:lang w:val="en-US" w:eastAsia="zh-CN" w:bidi="ar-SA"/>
        </w:rPr>
        <w:t>监理人应在收到承包人提交的合理化建议后7天内审查完毕并报送发包人，发现其中存在技术上的缺陷，应通知承包人修改</w:t>
      </w:r>
      <w:r>
        <w:rPr>
          <w:rFonts w:hint="eastAsia" w:ascii="宋体" w:hAnsi="宋体" w:eastAsia="宋体" w:cs="宋体"/>
          <w:color w:val="auto"/>
          <w:kern w:val="2"/>
          <w:sz w:val="21"/>
          <w:szCs w:val="21"/>
          <w:highlight w:val="none"/>
          <w:lang w:val="en-US" w:eastAsia="zh-CN" w:bidi="ar-SA"/>
        </w:rPr>
        <w:t>。</w:t>
      </w:r>
    </w:p>
    <w:p w14:paraId="0F94305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发包人审批承包人合理化建议的期限：</w:t>
      </w:r>
      <w:r>
        <w:rPr>
          <w:rFonts w:hint="eastAsia" w:ascii="宋体" w:hAnsi="宋体" w:eastAsia="宋体" w:cs="宋体"/>
          <w:color w:val="auto"/>
          <w:kern w:val="2"/>
          <w:sz w:val="21"/>
          <w:szCs w:val="21"/>
          <w:highlight w:val="none"/>
          <w:u w:val="single"/>
          <w:lang w:val="en-US" w:eastAsia="zh-CN" w:bidi="ar-SA"/>
        </w:rPr>
        <w:t>发包人应在收到监理人报送的合理化建议后7天内审批完毕</w:t>
      </w:r>
      <w:r>
        <w:rPr>
          <w:rFonts w:hint="eastAsia" w:ascii="宋体" w:hAnsi="宋体" w:eastAsia="宋体" w:cs="宋体"/>
          <w:color w:val="auto"/>
          <w:kern w:val="2"/>
          <w:sz w:val="21"/>
          <w:szCs w:val="21"/>
          <w:highlight w:val="none"/>
          <w:lang w:val="en-US" w:eastAsia="zh-CN" w:bidi="ar-SA"/>
        </w:rPr>
        <w:t>。</w:t>
      </w:r>
    </w:p>
    <w:p w14:paraId="2AFEC30C">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承包人提出的合理化建议降低了合同价格或者提高了工程经济效益的奖励的方法和金额为：</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07D1782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10.7 暂估价</w:t>
      </w:r>
    </w:p>
    <w:p w14:paraId="5040483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暂估价材料和工程设备的明细详见已标价工程量清单《</w:t>
      </w:r>
      <w:r>
        <w:rPr>
          <w:rFonts w:hint="eastAsia" w:ascii="宋体" w:hAnsi="宋体" w:eastAsia="宋体" w:cs="宋体"/>
          <w:color w:val="auto"/>
          <w:kern w:val="2"/>
          <w:sz w:val="21"/>
          <w:szCs w:val="21"/>
          <w:highlight w:val="none"/>
          <w:lang w:val="en-US" w:eastAsia="zh-CN" w:bidi="ar-SA"/>
        </w:rPr>
        <w:t>材料（工程设备）暂估价格及调整表》</w:t>
      </w:r>
      <w:r>
        <w:rPr>
          <w:rFonts w:hint="eastAsia" w:ascii="宋体" w:hAnsi="宋体" w:eastAsia="宋体" w:cs="宋体"/>
          <w:color w:val="auto"/>
          <w:kern w:val="0"/>
          <w:sz w:val="21"/>
          <w:szCs w:val="21"/>
          <w:highlight w:val="none"/>
          <w:lang w:val="en-US" w:eastAsia="zh-CN" w:bidi="ar-SA"/>
        </w:rPr>
        <w:t>（表12-2）和《</w:t>
      </w:r>
      <w:r>
        <w:rPr>
          <w:rFonts w:hint="eastAsia" w:ascii="宋体" w:hAnsi="宋体" w:eastAsia="宋体" w:cs="宋体"/>
          <w:color w:val="auto"/>
          <w:kern w:val="2"/>
          <w:sz w:val="21"/>
          <w:szCs w:val="21"/>
          <w:highlight w:val="none"/>
          <w:lang w:val="en-US" w:eastAsia="zh-CN" w:bidi="ar-SA"/>
        </w:rPr>
        <w:t>专业工程暂估价表》（</w:t>
      </w:r>
      <w:r>
        <w:rPr>
          <w:rFonts w:hint="eastAsia" w:ascii="宋体" w:hAnsi="宋体" w:eastAsia="宋体" w:cs="宋体"/>
          <w:color w:val="auto"/>
          <w:kern w:val="0"/>
          <w:sz w:val="21"/>
          <w:szCs w:val="21"/>
          <w:highlight w:val="none"/>
          <w:lang w:val="en-US" w:eastAsia="zh-CN" w:bidi="ar-SA"/>
        </w:rPr>
        <w:t>表12-3）。</w:t>
      </w:r>
    </w:p>
    <w:p w14:paraId="0EE9115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10.7.1 依法必须招标的暂估价项目</w:t>
      </w:r>
    </w:p>
    <w:p w14:paraId="6734D78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对于依法必须招标的暂估价项目的确认和批准采取第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种方式确定。</w:t>
      </w:r>
    </w:p>
    <w:p w14:paraId="3091EC1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10.7.2 不属于依法必须招标的暂估价项目</w:t>
      </w:r>
    </w:p>
    <w:p w14:paraId="68687DE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对于不属于依法必须招标的暂估价项目的确认和批准采取第</w:t>
      </w:r>
      <w:r>
        <w:rPr>
          <w:rFonts w:hint="eastAsia" w:ascii="宋体" w:hAnsi="宋体" w:eastAsia="宋体" w:cs="宋体"/>
          <w:color w:val="auto"/>
          <w:kern w:val="2"/>
          <w:sz w:val="21"/>
          <w:szCs w:val="21"/>
          <w:highlight w:val="none"/>
          <w:u w:val="single"/>
          <w:lang w:val="en-US" w:eastAsia="zh-CN" w:bidi="ar-SA"/>
        </w:rPr>
        <w:t xml:space="preserve"> 1 </w:t>
      </w:r>
      <w:r>
        <w:rPr>
          <w:rFonts w:hint="eastAsia" w:ascii="宋体" w:hAnsi="宋体" w:eastAsia="宋体" w:cs="宋体"/>
          <w:color w:val="auto"/>
          <w:kern w:val="2"/>
          <w:sz w:val="21"/>
          <w:szCs w:val="21"/>
          <w:highlight w:val="none"/>
          <w:lang w:val="en-US" w:eastAsia="zh-CN" w:bidi="ar-SA"/>
        </w:rPr>
        <w:t xml:space="preserve"> 种方式确定。</w:t>
      </w:r>
    </w:p>
    <w:p w14:paraId="76E8871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第3种方式：</w:t>
      </w:r>
      <w:r>
        <w:rPr>
          <w:rFonts w:hint="eastAsia" w:ascii="宋体" w:hAnsi="宋体" w:eastAsia="宋体" w:cs="宋体"/>
          <w:color w:val="auto"/>
          <w:kern w:val="0"/>
          <w:sz w:val="21"/>
          <w:szCs w:val="21"/>
          <w:highlight w:val="none"/>
          <w:lang w:val="en-US" w:eastAsia="zh-CN" w:bidi="ar-SA"/>
        </w:rPr>
        <w:t>承包人直接实施的暂估价项目</w:t>
      </w:r>
    </w:p>
    <w:p w14:paraId="10DA050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承包人直接实施的暂估价项目的约定：</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C61342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10.8 暂列金额</w:t>
      </w:r>
    </w:p>
    <w:p w14:paraId="6EE74F14">
      <w:pPr>
        <w:widowControl w:val="0"/>
        <w:autoSpaceDE w:val="0"/>
        <w:autoSpaceDN w:val="0"/>
        <w:adjustRightInd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合同当事人关于暂列金额使用的约定：</w:t>
      </w:r>
      <w:r>
        <w:rPr>
          <w:rFonts w:hint="eastAsia" w:ascii="宋体" w:hAnsi="宋体" w:eastAsia="宋体" w:cs="宋体"/>
          <w:color w:val="auto"/>
          <w:kern w:val="2"/>
          <w:sz w:val="21"/>
          <w:szCs w:val="21"/>
          <w:highlight w:val="none"/>
          <w:u w:val="single"/>
          <w:lang w:val="en-US" w:eastAsia="zh-CN" w:bidi="ar-SA"/>
        </w:rPr>
        <w:t xml:space="preserve">（1）已签约合同价中的暂列金额由发包人掌握使用。（2）发包人按照规定所作支付后，暂列金额如有余额归发包人 </w:t>
      </w:r>
      <w:r>
        <w:rPr>
          <w:rFonts w:hint="eastAsia" w:ascii="宋体" w:hAnsi="宋体" w:eastAsia="宋体" w:cs="宋体"/>
          <w:color w:val="auto"/>
          <w:kern w:val="0"/>
          <w:sz w:val="21"/>
          <w:szCs w:val="21"/>
          <w:highlight w:val="none"/>
          <w:lang w:val="en-US" w:eastAsia="zh-CN" w:bidi="ar-SA"/>
        </w:rPr>
        <w:t>。</w:t>
      </w:r>
    </w:p>
    <w:p w14:paraId="63AF8DA3">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 价格调整</w:t>
      </w:r>
    </w:p>
    <w:p w14:paraId="316AB3E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11.1 市场价格波动引起的调整</w:t>
      </w:r>
    </w:p>
    <w:p w14:paraId="52B5999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市场价格波动是否调整合同价格的约定：</w:t>
      </w:r>
      <w:r>
        <w:rPr>
          <w:rFonts w:hint="eastAsia" w:ascii="宋体" w:hAnsi="宋体" w:eastAsia="宋体" w:cs="宋体"/>
          <w:color w:val="auto"/>
          <w:kern w:val="2"/>
          <w:sz w:val="21"/>
          <w:szCs w:val="21"/>
          <w:highlight w:val="none"/>
          <w:u w:val="single"/>
          <w:lang w:val="en-US" w:eastAsia="zh-CN" w:bidi="ar-SA"/>
        </w:rPr>
        <w:t xml:space="preserve">  不调整 </w:t>
      </w:r>
      <w:r>
        <w:rPr>
          <w:rFonts w:hint="eastAsia" w:ascii="宋体" w:hAnsi="宋体" w:eastAsia="宋体" w:cs="宋体"/>
          <w:color w:val="auto"/>
          <w:kern w:val="2"/>
          <w:sz w:val="21"/>
          <w:szCs w:val="21"/>
          <w:highlight w:val="none"/>
          <w:lang w:val="en-US" w:eastAsia="zh-CN" w:bidi="ar-SA"/>
        </w:rPr>
        <w:t>。</w:t>
      </w:r>
    </w:p>
    <w:p w14:paraId="782AAC1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因市场价格波动调整合同价格，采用以下第</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种方式对合同价格进行调整：</w:t>
      </w:r>
    </w:p>
    <w:p w14:paraId="0CFF66E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第1种方式：采用价格指数进行价格调整。</w:t>
      </w:r>
    </w:p>
    <w:p w14:paraId="2496C018">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关于各可调因子、定值和变值权重，以及基本价格指数及其来源的约定：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 xml:space="preserve">；  </w:t>
      </w:r>
    </w:p>
    <w:p w14:paraId="40FEB71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第2种方式：采用造价信息进行价格调整。</w:t>
      </w:r>
    </w:p>
    <w:p w14:paraId="18156903">
      <w:pPr>
        <w:widowControl w:val="0"/>
        <w:spacing w:line="380" w:lineRule="exact"/>
        <w:ind w:firstLine="315" w:firstLineChars="15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（1）关于基准价格的约定： </w:t>
      </w:r>
      <w:r>
        <w:rPr>
          <w:rFonts w:hint="eastAsia" w:ascii="宋体" w:hAnsi="宋体" w:eastAsia="宋体" w:cs="Times New Roman"/>
          <w:color w:val="auto"/>
          <w:kern w:val="2"/>
          <w:sz w:val="21"/>
          <w:szCs w:val="21"/>
          <w:highlight w:val="none"/>
          <w:u w:val="single"/>
          <w:lang w:val="en-US" w:eastAsia="zh-CN" w:bidi="ar-SA"/>
        </w:rPr>
        <w:t xml:space="preserve">                         /            。</w:t>
      </w:r>
    </w:p>
    <w:p w14:paraId="6E665457">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w:t>
      </w:r>
      <w:r>
        <w:rPr>
          <w:rFonts w:hint="eastAsia" w:ascii="宋体" w:hAnsi="宋体" w:eastAsia="宋体" w:cs="宋体"/>
          <w:color w:val="auto"/>
          <w:kern w:val="0"/>
          <w:sz w:val="21"/>
          <w:szCs w:val="21"/>
          <w:highlight w:val="none"/>
          <w:lang w:val="en-US" w:eastAsia="zh-CN" w:bidi="ar-SA"/>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作调整外，其余材料价格不作调整。</w:t>
      </w:r>
    </w:p>
    <w:p w14:paraId="08C53E3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承包人在已标价工程量清单或预算书中载明的材料单价低于基准价格的，合同履行期间材料单价涨幅以基准价格为基础超过5%时，或材料单价跌幅以已标价工程量清单或预算书中载明材料单价为基础超过5%时，其超过部分据实调整。</w:t>
      </w:r>
    </w:p>
    <w:p w14:paraId="3527134D">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②承包人在已标价工程量清单或预算书中载明的材料单价高于基准价格的：专用合同条款合同履行期间材料单价跌幅以基准价格为基础超过5%时，材料单价涨幅以已标价工程量清单或预算书中载明材料单价为基础超过5%时，其超过部分据实调整。</w:t>
      </w:r>
    </w:p>
    <w:p w14:paraId="44D47CE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③承包人在已标价工程量清单或预算书中载明的材料单价等于基准单价的：专用合同条款合同履行期间材料单价涨跌幅以基准单价为基础超过±5%时，其超过部分据实调整。</w:t>
      </w:r>
    </w:p>
    <w:p w14:paraId="33BD8BC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④除专用合同约定的钢筋、水泥、商品混凝土、沥青混凝土、碎石、砂、片石、沥青、管材、石材、土方</w:t>
      </w:r>
      <w:r>
        <w:rPr>
          <w:rFonts w:hint="eastAsia" w:ascii="宋体" w:hAnsi="宋体" w:eastAsia="宋体" w:cs="宋体"/>
          <w:color w:val="auto"/>
          <w:kern w:val="0"/>
          <w:sz w:val="21"/>
          <w:szCs w:val="21"/>
          <w:highlight w:val="none"/>
          <w:lang w:val="en-US" w:eastAsia="zh-CN" w:bidi="ar-SA"/>
        </w:rPr>
        <w:t>（含购土与弃土）</w:t>
      </w:r>
      <w:r>
        <w:rPr>
          <w:rFonts w:hint="eastAsia" w:ascii="宋体" w:hAnsi="宋体" w:eastAsia="宋体" w:cs="宋体"/>
          <w:color w:val="auto"/>
          <w:kern w:val="2"/>
          <w:sz w:val="21"/>
          <w:szCs w:val="21"/>
          <w:highlight w:val="none"/>
          <w:lang w:val="en-US" w:eastAsia="zh-CN" w:bidi="ar-SA"/>
        </w:rPr>
        <w:t>等项材料外，其余材料价格不作调整。调整方法：钢筋、水泥、商品混凝土、沥青混凝土、碎石、砂、片石、沥青、管材、石材、土方</w:t>
      </w:r>
      <w:r>
        <w:rPr>
          <w:rFonts w:hint="eastAsia" w:ascii="宋体" w:hAnsi="宋体" w:eastAsia="宋体" w:cs="宋体"/>
          <w:color w:val="auto"/>
          <w:kern w:val="0"/>
          <w:sz w:val="21"/>
          <w:szCs w:val="21"/>
          <w:highlight w:val="none"/>
          <w:lang w:val="en-US" w:eastAsia="zh-CN" w:bidi="ar-SA"/>
        </w:rPr>
        <w:t>（含购土与弃土）</w:t>
      </w:r>
      <w:r>
        <w:rPr>
          <w:rFonts w:hint="eastAsia" w:ascii="宋体" w:hAnsi="宋体" w:eastAsia="宋体" w:cs="宋体"/>
          <w:color w:val="auto"/>
          <w:kern w:val="2"/>
          <w:sz w:val="21"/>
          <w:szCs w:val="21"/>
          <w:highlight w:val="none"/>
          <w:lang w:val="en-US" w:eastAsia="zh-CN" w:bidi="ar-SA"/>
        </w:rPr>
        <w:t>价格超过部分×中标下浮系数（中标人的投标报价÷预算价），该部分费用列入税前独立费。</w:t>
      </w:r>
    </w:p>
    <w:p w14:paraId="3798B09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在工程施工期间，国家及地区如有新的人工费调整政策文件出台，可按国家及地区相关文件进行人工费调差。</w:t>
      </w:r>
    </w:p>
    <w:p w14:paraId="57D9FB4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第3种方式：</w:t>
      </w:r>
      <w:r>
        <w:rPr>
          <w:rFonts w:hint="eastAsia" w:ascii="宋体" w:hAnsi="宋体" w:eastAsia="宋体" w:cs="宋体"/>
          <w:color w:val="auto"/>
          <w:kern w:val="2"/>
          <w:sz w:val="21"/>
          <w:szCs w:val="21"/>
          <w:highlight w:val="none"/>
          <w:u w:val="single"/>
          <w:lang w:val="en-US" w:eastAsia="zh-CN" w:bidi="ar-SA"/>
        </w:rPr>
        <w:t xml:space="preserve"> 由业主单位、监理单位和施工单位面向市场询价，并经三方对暂估价材料价格的确认，确定材料价格。 </w:t>
      </w:r>
    </w:p>
    <w:p w14:paraId="6704A200">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 合同价格、计量与支付</w:t>
      </w:r>
    </w:p>
    <w:p w14:paraId="30E322A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12.1 合同价格形式</w:t>
      </w:r>
    </w:p>
    <w:p w14:paraId="0C1F68F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（1）单价合同。</w:t>
      </w:r>
    </w:p>
    <w:p w14:paraId="4DA236E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本合同价款采用</w:t>
      </w:r>
      <w:r>
        <w:rPr>
          <w:rFonts w:hint="eastAsia" w:ascii="宋体" w:hAnsi="宋体" w:eastAsia="宋体" w:cs="宋体"/>
          <w:color w:val="auto"/>
          <w:kern w:val="2"/>
          <w:sz w:val="21"/>
          <w:szCs w:val="21"/>
          <w:highlight w:val="none"/>
          <w:u w:val="single"/>
          <w:lang w:val="en-US" w:eastAsia="zh-CN" w:bidi="ar-SA"/>
        </w:rPr>
        <w:t>固定综合单价，工程量按实计算的方式</w:t>
      </w:r>
      <w:r>
        <w:rPr>
          <w:rFonts w:hint="eastAsia" w:ascii="宋体" w:hAnsi="宋体" w:eastAsia="宋体" w:cs="宋体"/>
          <w:color w:val="auto"/>
          <w:kern w:val="2"/>
          <w:sz w:val="21"/>
          <w:szCs w:val="21"/>
          <w:highlight w:val="none"/>
          <w:lang w:val="en-US" w:eastAsia="zh-CN" w:bidi="ar-SA"/>
        </w:rPr>
        <w:t>确定。</w:t>
      </w:r>
    </w:p>
    <w:p w14:paraId="085F5B3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综合单价包含的风险范围：</w:t>
      </w:r>
      <w:r>
        <w:rPr>
          <w:rFonts w:hint="eastAsia" w:ascii="宋体" w:hAnsi="宋体" w:eastAsia="宋体" w:cs="宋体"/>
          <w:color w:val="auto"/>
          <w:kern w:val="2"/>
          <w:sz w:val="21"/>
          <w:szCs w:val="21"/>
          <w:highlight w:val="none"/>
          <w:u w:val="single"/>
          <w:lang w:val="en-US" w:eastAsia="zh-CN" w:bidi="ar-SA"/>
        </w:rPr>
        <w:t>除工程变更、政策性调整、本合同约定的材料、设备价格变动风险以外因素。</w:t>
      </w:r>
    </w:p>
    <w:p w14:paraId="60E34CC2">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风险范围以外合同价格的调整方法：</w:t>
      </w:r>
    </w:p>
    <w:p w14:paraId="6BD0BC11">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①工程变更：按10.4.1变更估价原则的约定调整。</w:t>
      </w:r>
    </w:p>
    <w:p w14:paraId="0C117959">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②政策性调整：按自治区建设行政主管部门颁布的文件执行。</w:t>
      </w:r>
    </w:p>
    <w:p w14:paraId="2966F52E">
      <w:pPr>
        <w:widowControl w:val="0"/>
        <w:spacing w:line="380" w:lineRule="exact"/>
        <w:ind w:firstLine="441" w:firstLineChars="21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③材料、设备价格变动风险：按11.1的约定调整。</w:t>
      </w:r>
    </w:p>
    <w:p w14:paraId="5F87B6D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④其它：</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6879783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（2）总价合同。</w:t>
      </w:r>
    </w:p>
    <w:p w14:paraId="606D6AC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总价包含的风险范围：</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660BA87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风险范围以外合同价格的调整方法：</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07FC4A9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（3）其他价格方式：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0291D7DD">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12.2 预付款</w:t>
      </w:r>
    </w:p>
    <w:p w14:paraId="11984B7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12.2.1 预付款的支付</w:t>
      </w:r>
    </w:p>
    <w:p w14:paraId="4C4EDA8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预付款支付比例或金额：</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298C5FD8">
      <w:pPr>
        <w:widowControl w:val="0"/>
        <w:spacing w:line="38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预付款支付期限：</w:t>
      </w:r>
    </w:p>
    <w:p w14:paraId="48A0A54C">
      <w:pPr>
        <w:widowControl w:val="0"/>
        <w:spacing w:line="380" w:lineRule="exact"/>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预付款扣回的方式：</w:t>
      </w:r>
    </w:p>
    <w:p w14:paraId="6C04196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12.2.2 预付款担保</w:t>
      </w:r>
    </w:p>
    <w:p w14:paraId="2729AE4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承包人提交预付款担保的期限：</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799645A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预付款担保的形式为：</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471F773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预付款担保格式见合同附件9。</w:t>
      </w:r>
    </w:p>
    <w:p w14:paraId="43EE7AF5">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12.3 计量</w:t>
      </w:r>
    </w:p>
    <w:p w14:paraId="42CCECB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12.3.1 计量原则 </w:t>
      </w:r>
    </w:p>
    <w:p w14:paraId="6FC3524C">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工程量计算规则：</w:t>
      </w:r>
      <w:r>
        <w:rPr>
          <w:rFonts w:hint="eastAsia" w:ascii="宋体" w:hAnsi="宋体" w:eastAsia="宋体" w:cs="宋体"/>
          <w:color w:val="auto"/>
          <w:kern w:val="2"/>
          <w:sz w:val="21"/>
          <w:szCs w:val="21"/>
          <w:highlight w:val="none"/>
          <w:u w:val="single"/>
          <w:lang w:val="en-US" w:eastAsia="zh-CN" w:bidi="ar-SA"/>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eastAsia="宋体" w:cs="宋体"/>
          <w:color w:val="auto"/>
          <w:kern w:val="2"/>
          <w:sz w:val="21"/>
          <w:szCs w:val="21"/>
          <w:highlight w:val="none"/>
          <w:lang w:val="en-US" w:eastAsia="zh-CN" w:bidi="ar-SA"/>
        </w:rPr>
        <w:t xml:space="preserve"> </w:t>
      </w:r>
    </w:p>
    <w:p w14:paraId="1C9D700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12.3.2 计量周期 </w:t>
      </w:r>
    </w:p>
    <w:p w14:paraId="0617F2D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关于计量周期的约定：</w:t>
      </w:r>
      <w:r>
        <w:rPr>
          <w:rFonts w:hint="eastAsia" w:ascii="宋体" w:hAnsi="宋体" w:eastAsia="宋体" w:cs="宋体"/>
          <w:color w:val="auto"/>
          <w:kern w:val="2"/>
          <w:sz w:val="21"/>
          <w:szCs w:val="21"/>
          <w:highlight w:val="none"/>
          <w:u w:val="single"/>
          <w:lang w:val="en-US" w:eastAsia="zh-CN" w:bidi="ar-SA"/>
        </w:rPr>
        <w:t xml:space="preserve"> </w:t>
      </w:r>
      <w:r>
        <w:rPr>
          <w:rFonts w:ascii="宋体" w:hAnsi="宋体" w:eastAsia="宋体" w:cs="宋体"/>
          <w:color w:val="auto"/>
          <w:kern w:val="2"/>
          <w:sz w:val="21"/>
          <w:szCs w:val="21"/>
          <w:highlight w:val="none"/>
          <w:u w:val="single"/>
          <w:lang w:val="en-US" w:eastAsia="zh-CN" w:bidi="ar-SA"/>
        </w:rPr>
        <w:t>承包人每月25日前向监理人报送上月20日至本月19日完成的工程量报告，并附具进度款申请单、已完成工程量报表和有关资料</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eastAsia="宋体" w:cs="宋体"/>
          <w:color w:val="auto"/>
          <w:kern w:val="2"/>
          <w:sz w:val="21"/>
          <w:szCs w:val="21"/>
          <w:highlight w:val="none"/>
          <w:lang w:val="en-US" w:eastAsia="zh-CN" w:bidi="ar-SA"/>
        </w:rPr>
        <w:t xml:space="preserve"> </w:t>
      </w:r>
    </w:p>
    <w:p w14:paraId="5D17BE6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12.3.3 单价合同的计量 </w:t>
      </w:r>
    </w:p>
    <w:p w14:paraId="4D8C989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关于单价合同计量的约定：</w:t>
      </w:r>
      <w:r>
        <w:rPr>
          <w:rFonts w:hint="eastAsia" w:ascii="宋体" w:hAnsi="宋体" w:eastAsia="宋体" w:cs="宋体"/>
          <w:color w:val="auto"/>
          <w:kern w:val="2"/>
          <w:sz w:val="21"/>
          <w:szCs w:val="21"/>
          <w:highlight w:val="none"/>
          <w:u w:val="single"/>
          <w:lang w:val="en-US" w:eastAsia="zh-CN" w:bidi="ar-SA"/>
        </w:rPr>
        <w:t xml:space="preserve"> (1) </w:t>
      </w:r>
      <w:r>
        <w:rPr>
          <w:rFonts w:ascii="宋体" w:hAnsi="宋体" w:eastAsia="宋体" w:cs="宋体"/>
          <w:color w:val="auto"/>
          <w:kern w:val="2"/>
          <w:sz w:val="21"/>
          <w:szCs w:val="21"/>
          <w:highlight w:val="none"/>
          <w:u w:val="single"/>
          <w:lang w:val="en-US" w:eastAsia="zh-CN" w:bidi="ar-SA"/>
        </w:rPr>
        <w:t>工程量清单所列的工程量，不能作为承包人按合同履行其责</w:t>
      </w:r>
      <w:r>
        <w:rPr>
          <w:rFonts w:hint="eastAsia" w:ascii="宋体" w:hAnsi="宋体" w:eastAsia="宋体" w:cs="宋体"/>
          <w:color w:val="auto"/>
          <w:kern w:val="2"/>
          <w:sz w:val="21"/>
          <w:szCs w:val="21"/>
          <w:highlight w:val="none"/>
          <w:u w:val="single"/>
          <w:lang w:val="en-US" w:eastAsia="zh-CN" w:bidi="ar-SA"/>
        </w:rPr>
        <w:t>任的</w:t>
      </w:r>
      <w:r>
        <w:rPr>
          <w:rFonts w:ascii="宋体" w:hAnsi="宋体" w:eastAsia="宋体" w:cs="宋体"/>
          <w:color w:val="auto"/>
          <w:kern w:val="2"/>
          <w:sz w:val="21"/>
          <w:szCs w:val="21"/>
          <w:highlight w:val="none"/>
          <w:u w:val="single"/>
          <w:lang w:val="en-US" w:eastAsia="zh-CN" w:bidi="ar-SA"/>
        </w:rPr>
        <w:t>依据，实际施工中发生的工程量增加或减少并不影响承包人履行合同的责任，工程结算以完成的实际工程量为准</w:t>
      </w:r>
      <w:r>
        <w:rPr>
          <w:rFonts w:hint="eastAsia" w:ascii="宋体" w:hAnsi="宋体" w:eastAsia="宋体" w:cs="宋体"/>
          <w:color w:val="auto"/>
          <w:kern w:val="2"/>
          <w:sz w:val="21"/>
          <w:szCs w:val="21"/>
          <w:highlight w:val="none"/>
          <w:u w:val="single"/>
          <w:lang w:val="en-US" w:eastAsia="zh-CN" w:bidi="ar-SA"/>
        </w:rPr>
        <w:t xml:space="preserve">。(2) </w:t>
      </w:r>
      <w:r>
        <w:rPr>
          <w:rFonts w:ascii="宋体" w:hAnsi="宋体" w:eastAsia="宋体" w:cs="宋体"/>
          <w:color w:val="auto"/>
          <w:kern w:val="2"/>
          <w:sz w:val="21"/>
          <w:szCs w:val="21"/>
          <w:highlight w:val="none"/>
          <w:u w:val="single"/>
          <w:lang w:val="en-US" w:eastAsia="zh-CN" w:bidi="ar-SA"/>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kern w:val="2"/>
          <w:sz w:val="21"/>
          <w:szCs w:val="21"/>
          <w:highlight w:val="none"/>
          <w:lang w:val="en-US" w:eastAsia="zh-CN" w:bidi="ar-SA"/>
        </w:rPr>
        <w:t xml:space="preserve">。 </w:t>
      </w:r>
    </w:p>
    <w:p w14:paraId="43652FA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12.3.4 总价合同的计量 </w:t>
      </w:r>
    </w:p>
    <w:p w14:paraId="3D04ACE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关于总价合同计量的约定：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0A6EE8C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12.3.5 总价合同采用支付分解表计量支付的，是否适用第 12.3.4 项〔总价合同的计量〕约定进行计量：</w:t>
      </w:r>
      <w:r>
        <w:rPr>
          <w:rFonts w:hint="eastAsia" w:ascii="宋体" w:hAnsi="宋体" w:eastAsia="宋体" w:cs="宋体"/>
          <w:color w:val="auto"/>
          <w:kern w:val="2"/>
          <w:sz w:val="21"/>
          <w:szCs w:val="21"/>
          <w:highlight w:val="none"/>
          <w:u w:val="single"/>
          <w:lang w:val="en-US" w:eastAsia="zh-CN" w:bidi="ar-SA"/>
        </w:rPr>
        <w:t xml:space="preserve">无 </w:t>
      </w:r>
      <w:r>
        <w:rPr>
          <w:rFonts w:hint="eastAsia" w:ascii="宋体" w:hAnsi="宋体" w:eastAsia="宋体" w:cs="宋体"/>
          <w:color w:val="auto"/>
          <w:kern w:val="2"/>
          <w:sz w:val="21"/>
          <w:szCs w:val="21"/>
          <w:highlight w:val="none"/>
          <w:lang w:val="en-US" w:eastAsia="zh-CN" w:bidi="ar-SA"/>
        </w:rPr>
        <w:t xml:space="preserve">。 </w:t>
      </w:r>
    </w:p>
    <w:p w14:paraId="24F283A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12.3.6 其他价格形式合同的计量 </w:t>
      </w:r>
    </w:p>
    <w:p w14:paraId="7FFF0E2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其他价格形式的计量方式和程序：</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 xml:space="preserve">。 </w:t>
      </w:r>
    </w:p>
    <w:p w14:paraId="4D29505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 工程进度款支付</w:t>
      </w:r>
    </w:p>
    <w:p w14:paraId="08AD184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12.4.1 付款周期</w:t>
      </w:r>
    </w:p>
    <w:p w14:paraId="64799821">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left"/>
        <w:textAlignment w:val="auto"/>
        <w:rPr>
          <w:rFonts w:hint="eastAsia" w:ascii="Times New Roman" w:hAnsi="Times New Roman"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1"/>
          <w:highlight w:val="none"/>
          <w:lang w:val="en-US" w:bidi="ar-SA"/>
        </w:rPr>
        <w:t>关于付款周期的约定：</w:t>
      </w:r>
      <w:r>
        <w:rPr>
          <w:rFonts w:hint="eastAsia" w:ascii="Times New Roman" w:hAnsi="Times New Roman" w:eastAsia="宋体" w:cs="Times New Roman"/>
          <w:color w:val="auto"/>
          <w:kern w:val="2"/>
          <w:sz w:val="21"/>
          <w:szCs w:val="24"/>
          <w:highlight w:val="none"/>
          <w:u w:val="single"/>
          <w:lang w:val="en-US" w:eastAsia="zh-CN" w:bidi="ar-SA"/>
        </w:rPr>
        <w:t xml:space="preserve">工程完成总量的 50%支付合同金额的 30%；工程完成总量的 80%支付合同金额的 </w:t>
      </w:r>
      <w:r>
        <w:rPr>
          <w:rFonts w:hint="eastAsia" w:ascii="Times New Roman" w:hAnsi="Times New Roman" w:cs="Times New Roman"/>
          <w:color w:val="auto"/>
          <w:kern w:val="2"/>
          <w:sz w:val="21"/>
          <w:szCs w:val="24"/>
          <w:highlight w:val="none"/>
          <w:u w:val="single"/>
          <w:lang w:val="en-US" w:eastAsia="zh-CN" w:bidi="ar-SA"/>
        </w:rPr>
        <w:t>5</w:t>
      </w:r>
      <w:r>
        <w:rPr>
          <w:rFonts w:hint="eastAsia" w:ascii="Times New Roman" w:hAnsi="Times New Roman" w:eastAsia="宋体" w:cs="Times New Roman"/>
          <w:color w:val="auto"/>
          <w:kern w:val="2"/>
          <w:sz w:val="21"/>
          <w:szCs w:val="24"/>
          <w:highlight w:val="none"/>
          <w:u w:val="single"/>
          <w:lang w:val="en-US" w:eastAsia="zh-CN" w:bidi="ar-SA"/>
        </w:rPr>
        <w:t>0%；工程完工，经初验合格，支付合同金额的 80%。工程经终验合格后，工程结算价经兴安县审计投资结算中心审计，</w:t>
      </w:r>
      <w:r>
        <w:rPr>
          <w:rFonts w:hint="eastAsia" w:ascii="Times New Roman" w:hAnsi="宋体" w:eastAsia="宋体" w:cs="宋体"/>
          <w:color w:val="auto"/>
          <w:kern w:val="2"/>
          <w:sz w:val="21"/>
          <w:szCs w:val="24"/>
          <w:highlight w:val="none"/>
          <w:u w:val="single"/>
          <w:lang w:val="en-US" w:bidi="ar-SA"/>
        </w:rPr>
        <w:t>工程款支付至结算总价的</w:t>
      </w:r>
      <w:r>
        <w:rPr>
          <w:rFonts w:hint="eastAsia" w:ascii="Times New Roman" w:hAnsi="宋体" w:eastAsia="宋体" w:cs="宋体"/>
          <w:color w:val="auto"/>
          <w:kern w:val="2"/>
          <w:sz w:val="21"/>
          <w:szCs w:val="24"/>
          <w:highlight w:val="none"/>
          <w:u w:val="single"/>
          <w:lang w:val="en-US" w:eastAsia="zh-CN" w:bidi="ar-SA"/>
        </w:rPr>
        <w:t>97</w:t>
      </w:r>
      <w:r>
        <w:rPr>
          <w:rFonts w:ascii="Times New Roman" w:hAnsi="Times New Roman" w:eastAsia="宋体" w:cs="Times New Roman"/>
          <w:color w:val="auto"/>
          <w:kern w:val="2"/>
          <w:sz w:val="21"/>
          <w:szCs w:val="24"/>
          <w:highlight w:val="none"/>
          <w:u w:val="single"/>
          <w:lang w:val="en-US" w:bidi="ar-SA"/>
        </w:rPr>
        <w:t>%</w:t>
      </w:r>
      <w:r>
        <w:rPr>
          <w:rFonts w:hint="eastAsia" w:ascii="Times New Roman" w:hAnsi="Times New Roman" w:eastAsia="宋体" w:cs="Times New Roman"/>
          <w:color w:val="auto"/>
          <w:kern w:val="2"/>
          <w:sz w:val="21"/>
          <w:szCs w:val="24"/>
          <w:highlight w:val="none"/>
          <w:u w:val="single"/>
          <w:lang w:val="en-US" w:eastAsia="zh-CN" w:bidi="ar-SA"/>
        </w:rPr>
        <w:t>；留3%工程余款作为工程质量保修金，待工程质保期满后工程无缺陷再按规定工程余款支付完毕。</w:t>
      </w:r>
    </w:p>
    <w:p w14:paraId="6D06E8BB">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每次付款前，承包人应按发包人的要求提供符合相关法律法规的增值税发票，如发票不符合要求，发包人有权拒收，承包人应承担因不合格发票产生的所有责任。</w:t>
      </w:r>
    </w:p>
    <w:p w14:paraId="5165958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12.4.2 进度付款申请单的编制</w:t>
      </w:r>
    </w:p>
    <w:p w14:paraId="4B39285D">
      <w:pPr>
        <w:widowControl w:val="0"/>
        <w:spacing w:line="380" w:lineRule="exact"/>
        <w:ind w:firstLine="420" w:firstLineChars="200"/>
        <w:jc w:val="left"/>
        <w:rPr>
          <w:rFonts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关于进度付款申请单编制的约定：</w:t>
      </w:r>
      <w:r>
        <w:rPr>
          <w:rFonts w:hint="eastAsia" w:ascii="宋体" w:hAnsi="宋体" w:eastAsia="宋体" w:cs="宋体"/>
          <w:bCs/>
          <w:color w:val="auto"/>
          <w:kern w:val="2"/>
          <w:sz w:val="21"/>
          <w:szCs w:val="21"/>
          <w:highlight w:val="none"/>
          <w:u w:val="single"/>
          <w:lang w:val="en-US" w:eastAsia="zh-CN" w:bidi="ar-SA"/>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1E2F8E4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12.4.3 进度付款申请单的提交</w:t>
      </w:r>
    </w:p>
    <w:p w14:paraId="1537042D">
      <w:pPr>
        <w:widowControl w:val="0"/>
        <w:spacing w:line="380" w:lineRule="exact"/>
        <w:ind w:firstLine="420" w:firstLineChars="200"/>
        <w:jc w:val="left"/>
        <w:rPr>
          <w:rFonts w:ascii="宋体" w:hAnsi="宋体" w:eastAsia="宋体" w:cs="宋体"/>
          <w:bCs/>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（1）单价合同进度付款申请单提交的约定：</w:t>
      </w:r>
      <w:r>
        <w:rPr>
          <w:rFonts w:hint="eastAsia" w:ascii="宋体" w:hAnsi="宋体" w:eastAsia="宋体" w:cs="宋体"/>
          <w:bCs/>
          <w:color w:val="auto"/>
          <w:kern w:val="2"/>
          <w:sz w:val="21"/>
          <w:szCs w:val="21"/>
          <w:highlight w:val="none"/>
          <w:u w:val="single"/>
          <w:lang w:val="en-US" w:eastAsia="zh-CN" w:bidi="ar-SA"/>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3695218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（2）总价合同进度付款申请单提交的约定：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8B7B24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（3）其他价格形式合同进度付款申请单提交的约定：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05CE07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12.4.4 进度款审核和支付</w:t>
      </w:r>
    </w:p>
    <w:p w14:paraId="5C3FEB80">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（1）监理人审查并报送发包人的期限：</w:t>
      </w:r>
      <w:r>
        <w:rPr>
          <w:rFonts w:hint="eastAsia" w:ascii="宋体" w:hAnsi="宋体" w:eastAsia="宋体" w:cs="宋体"/>
          <w:color w:val="auto"/>
          <w:kern w:val="2"/>
          <w:sz w:val="21"/>
          <w:szCs w:val="21"/>
          <w:highlight w:val="none"/>
          <w:u w:val="single"/>
          <w:lang w:val="en-US" w:eastAsia="zh-CN" w:bidi="ar-SA"/>
        </w:rPr>
        <w:t>监理人收到承包人进度付款申请单以及相关资料后 7 天内完成审查并报送发包人</w:t>
      </w:r>
      <w:r>
        <w:rPr>
          <w:rFonts w:hint="eastAsia" w:ascii="宋体" w:hAnsi="宋体" w:eastAsia="宋体" w:cs="宋体"/>
          <w:color w:val="auto"/>
          <w:kern w:val="2"/>
          <w:sz w:val="21"/>
          <w:szCs w:val="21"/>
          <w:highlight w:val="none"/>
          <w:lang w:val="en-US" w:eastAsia="zh-CN" w:bidi="ar-SA"/>
        </w:rPr>
        <w:t>。</w:t>
      </w:r>
    </w:p>
    <w:p w14:paraId="0DE98D36">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发包人完成审批并签发进度款支付证书的期限：</w:t>
      </w:r>
      <w:r>
        <w:rPr>
          <w:rFonts w:hint="eastAsia" w:ascii="宋体" w:hAnsi="宋体" w:eastAsia="宋体" w:cs="宋体"/>
          <w:color w:val="auto"/>
          <w:kern w:val="2"/>
          <w:sz w:val="21"/>
          <w:szCs w:val="21"/>
          <w:highlight w:val="none"/>
          <w:u w:val="single"/>
          <w:lang w:val="en-US" w:eastAsia="zh-CN" w:bidi="ar-SA"/>
        </w:rPr>
        <w:t>收到后 7 天内完成审批并签发</w:t>
      </w:r>
      <w:r>
        <w:rPr>
          <w:rFonts w:hint="eastAsia" w:ascii="宋体" w:hAnsi="宋体" w:eastAsia="宋体" w:cs="宋体"/>
          <w:color w:val="auto"/>
          <w:kern w:val="2"/>
          <w:sz w:val="21"/>
          <w:szCs w:val="21"/>
          <w:highlight w:val="none"/>
          <w:lang w:val="en-US" w:eastAsia="zh-CN" w:bidi="ar-SA"/>
        </w:rPr>
        <w:t>。</w:t>
      </w:r>
    </w:p>
    <w:p w14:paraId="261A4CB1">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（2）发包人支付进度款的期限：</w:t>
      </w:r>
      <w:r>
        <w:rPr>
          <w:rFonts w:hint="eastAsia" w:ascii="宋体" w:hAnsi="宋体" w:eastAsia="宋体" w:cs="宋体"/>
          <w:color w:val="auto"/>
          <w:kern w:val="2"/>
          <w:sz w:val="21"/>
          <w:szCs w:val="21"/>
          <w:highlight w:val="none"/>
          <w:u w:val="single"/>
          <w:lang w:val="en-US" w:eastAsia="zh-CN" w:bidi="ar-SA"/>
        </w:rPr>
        <w:t xml:space="preserve">办理相关付款手续后的7天内 </w:t>
      </w:r>
      <w:r>
        <w:rPr>
          <w:rFonts w:hint="eastAsia" w:ascii="宋体" w:hAnsi="宋体" w:eastAsia="宋体" w:cs="宋体"/>
          <w:color w:val="auto"/>
          <w:kern w:val="2"/>
          <w:sz w:val="21"/>
          <w:szCs w:val="21"/>
          <w:highlight w:val="none"/>
          <w:lang w:val="en-US" w:eastAsia="zh-CN" w:bidi="ar-SA"/>
        </w:rPr>
        <w:t>。</w:t>
      </w:r>
    </w:p>
    <w:p w14:paraId="05142D12">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发包人逾期支付进度款的违约金的计算方式：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8B15CC4">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进度款支付方式：</w:t>
      </w:r>
      <w:r>
        <w:rPr>
          <w:rFonts w:hint="eastAsia" w:ascii="宋体" w:hAnsi="宋体" w:eastAsia="宋体" w:cs="宋体"/>
          <w:color w:val="auto"/>
          <w:kern w:val="2"/>
          <w:sz w:val="21"/>
          <w:szCs w:val="21"/>
          <w:highlight w:val="none"/>
          <w:u w:val="single"/>
          <w:lang w:val="en-US" w:eastAsia="zh-CN" w:bidi="ar-SA"/>
        </w:rPr>
        <w:t>银行转账</w:t>
      </w:r>
      <w:r>
        <w:rPr>
          <w:rFonts w:hint="eastAsia" w:ascii="宋体" w:hAnsi="宋体" w:eastAsia="宋体" w:cs="宋体"/>
          <w:color w:val="auto"/>
          <w:kern w:val="2"/>
          <w:sz w:val="21"/>
          <w:szCs w:val="21"/>
          <w:highlight w:val="none"/>
          <w:lang w:val="en-US" w:eastAsia="zh-CN" w:bidi="ar-SA"/>
        </w:rPr>
        <w:t>。</w:t>
      </w:r>
    </w:p>
    <w:p w14:paraId="23788263">
      <w:pPr>
        <w:widowControl w:val="0"/>
        <w:spacing w:line="380" w:lineRule="exact"/>
        <w:ind w:firstLine="525" w:firstLineChars="25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12.4.6 支付分解表的编制</w:t>
      </w:r>
    </w:p>
    <w:p w14:paraId="7F815280">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2. 总价合同支付分解表的编制与审批：</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55143B77">
      <w:pPr>
        <w:widowControl w:val="0"/>
        <w:spacing w:line="380" w:lineRule="exact"/>
        <w:ind w:firstLine="525" w:firstLineChars="2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 单价合同的总价项目支付分解表的编制与审批：</w:t>
      </w:r>
      <w:r>
        <w:rPr>
          <w:rFonts w:hint="eastAsia" w:ascii="宋体" w:hAnsi="宋体" w:eastAsia="宋体" w:cs="宋体"/>
          <w:color w:val="auto"/>
          <w:kern w:val="2"/>
          <w:sz w:val="21"/>
          <w:szCs w:val="21"/>
          <w:highlight w:val="none"/>
          <w:u w:val="single"/>
          <w:lang w:val="en-US" w:eastAsia="zh-CN" w:bidi="ar-SA"/>
        </w:rPr>
        <w:t>单价项目不采用支付分解表的方式计算，而按《建设工程工程量清单计价规范（GB50500-2013）广西壮族自治区实施细则（修订本）》的规定执行。</w:t>
      </w:r>
    </w:p>
    <w:p w14:paraId="7F3CB60E">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 验收和工程试车</w:t>
      </w:r>
    </w:p>
    <w:p w14:paraId="6C26860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13.1 分部分项工程验收</w:t>
      </w:r>
    </w:p>
    <w:p w14:paraId="2B512D0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13.1.2监理人不能按时进行验收时，应提前</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小时提交书面延期要求。</w:t>
      </w:r>
    </w:p>
    <w:p w14:paraId="165FEC80">
      <w:pPr>
        <w:widowControl w:val="0"/>
        <w:spacing w:line="380" w:lineRule="exact"/>
        <w:ind w:firstLine="420" w:firstLineChars="200"/>
        <w:jc w:val="left"/>
        <w:rPr>
          <w:rFonts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关于延期最长不得超过：</w:t>
      </w:r>
      <w:r>
        <w:rPr>
          <w:rFonts w:hint="eastAsia" w:ascii="宋体" w:hAnsi="宋体" w:eastAsia="宋体" w:cs="宋体"/>
          <w:color w:val="auto"/>
          <w:kern w:val="2"/>
          <w:sz w:val="21"/>
          <w:szCs w:val="21"/>
          <w:highlight w:val="none"/>
          <w:u w:val="single"/>
          <w:lang w:val="en-US" w:eastAsia="zh-CN" w:bidi="ar-SA"/>
        </w:rPr>
        <w:t xml:space="preserve"> 48 </w:t>
      </w:r>
      <w:r>
        <w:rPr>
          <w:rFonts w:hint="eastAsia" w:ascii="宋体" w:hAnsi="宋体" w:eastAsia="宋体" w:cs="宋体"/>
          <w:color w:val="auto"/>
          <w:kern w:val="2"/>
          <w:sz w:val="21"/>
          <w:szCs w:val="21"/>
          <w:highlight w:val="none"/>
          <w:lang w:val="en-US" w:eastAsia="zh-CN" w:bidi="ar-SA"/>
        </w:rPr>
        <w:t>小时。</w:t>
      </w:r>
    </w:p>
    <w:p w14:paraId="6472EA6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13.2 竣工验收</w:t>
      </w:r>
    </w:p>
    <w:p w14:paraId="22E5698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13.2.1竣工验收条件</w:t>
      </w:r>
    </w:p>
    <w:p w14:paraId="3A8FCB70">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kern w:val="2"/>
          <w:sz w:val="21"/>
          <w:szCs w:val="21"/>
          <w:highlight w:val="none"/>
          <w:u w:val="single"/>
          <w:lang w:val="en-US" w:eastAsia="zh-CN" w:bidi="ar-SA"/>
        </w:rPr>
        <w:t xml:space="preserve">  1、工程具备竣工验收条件，承包人按工程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eastAsia="宋体" w:cs="宋体"/>
          <w:color w:val="auto"/>
          <w:kern w:val="2"/>
          <w:sz w:val="21"/>
          <w:szCs w:val="21"/>
          <w:highlight w:val="none"/>
          <w:lang w:val="en-US" w:eastAsia="zh-CN" w:bidi="ar-SA"/>
        </w:rPr>
        <w:t>。</w:t>
      </w:r>
    </w:p>
    <w:p w14:paraId="03D727DE">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竣工验收资料的份数：</w:t>
      </w:r>
      <w:r>
        <w:rPr>
          <w:rFonts w:hint="eastAsia" w:ascii="宋体" w:hAnsi="宋体" w:eastAsia="宋体" w:cs="宋体"/>
          <w:color w:val="auto"/>
          <w:kern w:val="2"/>
          <w:sz w:val="21"/>
          <w:szCs w:val="21"/>
          <w:highlight w:val="none"/>
          <w:u w:val="single"/>
          <w:lang w:val="en-US" w:eastAsia="zh-CN" w:bidi="ar-SA"/>
        </w:rPr>
        <w:t>肆份，承包人承担竣工验收资料编制、立卷及至档案馆归档等一切费用</w:t>
      </w:r>
      <w:r>
        <w:rPr>
          <w:rFonts w:hint="eastAsia" w:ascii="宋体" w:hAnsi="宋体" w:eastAsia="宋体" w:cs="宋体"/>
          <w:color w:val="auto"/>
          <w:kern w:val="2"/>
          <w:sz w:val="21"/>
          <w:szCs w:val="21"/>
          <w:highlight w:val="none"/>
          <w:lang w:val="en-US" w:eastAsia="zh-CN" w:bidi="ar-SA"/>
        </w:rPr>
        <w:t>。</w:t>
      </w:r>
    </w:p>
    <w:p w14:paraId="3DC059B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承包人提供竣工图的约定：</w:t>
      </w:r>
      <w:r>
        <w:rPr>
          <w:rFonts w:hint="eastAsia" w:ascii="宋体" w:hAnsi="宋体" w:eastAsia="宋体" w:cs="宋体"/>
          <w:bCs/>
          <w:color w:val="auto"/>
          <w:kern w:val="2"/>
          <w:sz w:val="21"/>
          <w:szCs w:val="21"/>
          <w:highlight w:val="none"/>
          <w:u w:val="single"/>
          <w:lang w:val="en-US" w:eastAsia="zh-CN" w:bidi="ar-SA"/>
        </w:rPr>
        <w:t>竣工验收正式通过后15天，提供4套竣工图。</w:t>
      </w:r>
    </w:p>
    <w:p w14:paraId="0D116283">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13.2.2竣工验收程序</w:t>
      </w:r>
    </w:p>
    <w:p w14:paraId="41F7085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关于竣工验收程序的约定：</w:t>
      </w:r>
      <w:r>
        <w:rPr>
          <w:rFonts w:hint="eastAsia" w:ascii="宋体" w:hAnsi="宋体" w:eastAsia="宋体" w:cs="宋体"/>
          <w:color w:val="auto"/>
          <w:kern w:val="2"/>
          <w:sz w:val="21"/>
          <w:szCs w:val="21"/>
          <w:highlight w:val="none"/>
          <w:u w:val="single"/>
          <w:lang w:val="en-US" w:eastAsia="zh-CN" w:bidi="ar-SA"/>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3D2132F8">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发包人不按照本项约定组织竣工验收、颁发工程验收证书的违约金的计算方法：</w:t>
      </w:r>
      <w:r>
        <w:rPr>
          <w:rFonts w:hint="eastAsia" w:ascii="宋体" w:hAnsi="宋体" w:eastAsia="宋体" w:cs="宋体"/>
          <w:color w:val="auto"/>
          <w:kern w:val="2"/>
          <w:sz w:val="21"/>
          <w:szCs w:val="21"/>
          <w:highlight w:val="none"/>
          <w:u w:val="single"/>
          <w:lang w:val="en-US" w:eastAsia="zh-CN" w:bidi="ar-SA"/>
        </w:rPr>
        <w:t xml:space="preserve"> 无  </w:t>
      </w:r>
      <w:r>
        <w:rPr>
          <w:rFonts w:hint="eastAsia" w:ascii="宋体" w:hAnsi="宋体" w:eastAsia="宋体" w:cs="宋体"/>
          <w:color w:val="auto"/>
          <w:kern w:val="2"/>
          <w:sz w:val="21"/>
          <w:szCs w:val="21"/>
          <w:highlight w:val="none"/>
          <w:lang w:val="en-US" w:eastAsia="zh-CN" w:bidi="ar-SA"/>
        </w:rPr>
        <w:t>。</w:t>
      </w:r>
    </w:p>
    <w:p w14:paraId="712DCB1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13.2.5移交、接收全部与部分工程</w:t>
      </w:r>
    </w:p>
    <w:p w14:paraId="5ECFC51F">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承包人向发包人移交工程的期限：</w:t>
      </w:r>
      <w:r>
        <w:rPr>
          <w:rFonts w:hint="eastAsia" w:ascii="宋体" w:hAnsi="宋体" w:eastAsia="宋体" w:cs="宋体"/>
          <w:color w:val="auto"/>
          <w:kern w:val="2"/>
          <w:sz w:val="21"/>
          <w:szCs w:val="21"/>
          <w:highlight w:val="none"/>
          <w:u w:val="single"/>
          <w:lang w:val="en-US" w:eastAsia="zh-CN" w:bidi="ar-SA"/>
        </w:rPr>
        <w:t xml:space="preserve"> 竣工验收整改完毕三日内 </w:t>
      </w:r>
      <w:r>
        <w:rPr>
          <w:rFonts w:hint="eastAsia" w:ascii="宋体" w:hAnsi="宋体" w:eastAsia="宋体" w:cs="宋体"/>
          <w:color w:val="auto"/>
          <w:kern w:val="2"/>
          <w:sz w:val="21"/>
          <w:szCs w:val="21"/>
          <w:highlight w:val="none"/>
          <w:lang w:val="en-US" w:eastAsia="zh-CN" w:bidi="ar-SA"/>
        </w:rPr>
        <w:t>。</w:t>
      </w:r>
    </w:p>
    <w:p w14:paraId="25A3DD9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发包人未按本合同约定接收全部或部分工程的，违约金的计算方法为：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u w:val="single"/>
          <w:lang w:val="en-US" w:eastAsia="zh-CN" w:bidi="ar-SA"/>
        </w:rPr>
        <w:t>每逾期一天，按</w:t>
      </w:r>
      <w:r>
        <w:rPr>
          <w:rFonts w:hint="eastAsia" w:ascii="宋体" w:hAnsi="宋体" w:eastAsia="宋体" w:cs="宋体"/>
          <w:color w:val="auto"/>
          <w:kern w:val="2"/>
          <w:sz w:val="21"/>
          <w:szCs w:val="21"/>
          <w:highlight w:val="none"/>
          <w:u w:val="single"/>
          <w:lang w:val="zh-CN" w:eastAsia="zh-CN" w:bidi="ar-SA"/>
        </w:rPr>
        <w:t>签约合同价</w:t>
      </w:r>
      <w:r>
        <w:rPr>
          <w:rFonts w:hint="eastAsia" w:ascii="宋体" w:hAnsi="宋体" w:eastAsia="宋体" w:cs="宋体"/>
          <w:color w:val="auto"/>
          <w:kern w:val="2"/>
          <w:sz w:val="21"/>
          <w:szCs w:val="21"/>
          <w:highlight w:val="none"/>
          <w:u w:val="single"/>
          <w:lang w:val="en-US" w:eastAsia="zh-CN" w:bidi="ar-SA"/>
        </w:rPr>
        <w:t>款扣除社会保险费、发包人材料价款、暂估专业工程、暂列金额后的万分之四/天</w:t>
      </w:r>
      <w:r>
        <w:rPr>
          <w:rFonts w:hint="eastAsia" w:ascii="宋体" w:hAnsi="宋体" w:eastAsia="宋体" w:cs="宋体"/>
          <w:bCs/>
          <w:color w:val="auto"/>
          <w:kern w:val="2"/>
          <w:sz w:val="21"/>
          <w:szCs w:val="21"/>
          <w:highlight w:val="none"/>
          <w:u w:val="single"/>
          <w:lang w:val="en-US" w:eastAsia="zh-CN" w:bidi="ar-SA"/>
        </w:rPr>
        <w:t xml:space="preserve">支付违约金，最高限额为结算价的1% </w:t>
      </w:r>
      <w:r>
        <w:rPr>
          <w:rFonts w:hint="eastAsia" w:ascii="宋体" w:hAnsi="宋体" w:eastAsia="宋体" w:cs="宋体"/>
          <w:color w:val="auto"/>
          <w:kern w:val="2"/>
          <w:sz w:val="21"/>
          <w:szCs w:val="21"/>
          <w:highlight w:val="none"/>
          <w:lang w:val="en-US" w:eastAsia="zh-CN" w:bidi="ar-SA"/>
        </w:rPr>
        <w:t>。</w:t>
      </w:r>
    </w:p>
    <w:p w14:paraId="1E6955BC">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承包人未按时移交工程的，违约金的计算方法为：</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bCs/>
          <w:color w:val="auto"/>
          <w:kern w:val="2"/>
          <w:sz w:val="21"/>
          <w:szCs w:val="21"/>
          <w:highlight w:val="none"/>
          <w:u w:val="single"/>
          <w:lang w:val="en-US" w:eastAsia="zh-CN" w:bidi="ar-SA"/>
        </w:rPr>
        <w:t>每逾期一天</w:t>
      </w:r>
      <w:r>
        <w:rPr>
          <w:rFonts w:hint="eastAsia" w:ascii="宋体" w:hAnsi="宋体" w:eastAsia="宋体" w:cs="宋体"/>
          <w:color w:val="auto"/>
          <w:kern w:val="2"/>
          <w:sz w:val="21"/>
          <w:szCs w:val="21"/>
          <w:highlight w:val="none"/>
          <w:u w:val="single"/>
          <w:lang w:val="en-US" w:eastAsia="zh-CN" w:bidi="ar-SA"/>
        </w:rPr>
        <w:t>，按</w:t>
      </w:r>
      <w:r>
        <w:rPr>
          <w:rFonts w:hint="eastAsia" w:ascii="宋体" w:hAnsi="宋体" w:eastAsia="宋体" w:cs="宋体"/>
          <w:color w:val="auto"/>
          <w:kern w:val="2"/>
          <w:sz w:val="21"/>
          <w:szCs w:val="21"/>
          <w:highlight w:val="none"/>
          <w:u w:val="single"/>
          <w:lang w:val="zh-CN" w:eastAsia="zh-CN" w:bidi="ar-SA"/>
        </w:rPr>
        <w:t>签约合同价</w:t>
      </w:r>
      <w:r>
        <w:rPr>
          <w:rFonts w:hint="eastAsia" w:ascii="宋体" w:hAnsi="宋体" w:eastAsia="宋体" w:cs="宋体"/>
          <w:color w:val="auto"/>
          <w:kern w:val="2"/>
          <w:sz w:val="21"/>
          <w:szCs w:val="21"/>
          <w:highlight w:val="none"/>
          <w:u w:val="single"/>
          <w:lang w:val="en-US" w:eastAsia="zh-CN" w:bidi="ar-SA"/>
        </w:rPr>
        <w:t xml:space="preserve">款扣除社会保险费、发包人材料价款、暂估专业工程、暂列金额后的万分之四/天支付违约金，最高限额为结算价的3%  </w:t>
      </w:r>
      <w:r>
        <w:rPr>
          <w:rFonts w:hint="eastAsia" w:ascii="宋体" w:hAnsi="宋体" w:eastAsia="宋体" w:cs="宋体"/>
          <w:color w:val="auto"/>
          <w:kern w:val="2"/>
          <w:sz w:val="21"/>
          <w:szCs w:val="21"/>
          <w:highlight w:val="none"/>
          <w:lang w:val="en-US" w:eastAsia="zh-CN" w:bidi="ar-SA"/>
        </w:rPr>
        <w:t>。</w:t>
      </w:r>
    </w:p>
    <w:p w14:paraId="1A23BEE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13.3 工程试车</w:t>
      </w:r>
    </w:p>
    <w:p w14:paraId="7C33A989">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13.3.1 试车程序</w:t>
      </w:r>
    </w:p>
    <w:p w14:paraId="748B05A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工程试车内容：</w:t>
      </w:r>
      <w:r>
        <w:rPr>
          <w:rFonts w:hint="eastAsia" w:ascii="宋体" w:hAnsi="宋体" w:eastAsia="宋体" w:cs="宋体"/>
          <w:color w:val="auto"/>
          <w:kern w:val="2"/>
          <w:sz w:val="21"/>
          <w:szCs w:val="21"/>
          <w:highlight w:val="none"/>
          <w:u w:val="single"/>
          <w:lang w:val="en-US" w:eastAsia="zh-CN" w:bidi="ar-SA"/>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auto"/>
          <w:kern w:val="2"/>
          <w:sz w:val="21"/>
          <w:szCs w:val="21"/>
          <w:highlight w:val="none"/>
          <w:lang w:val="en-US" w:eastAsia="zh-CN" w:bidi="ar-SA"/>
        </w:rPr>
        <w:t>。</w:t>
      </w:r>
    </w:p>
    <w:p w14:paraId="7B835E74">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（1）单机无负荷试车费用由</w:t>
      </w:r>
      <w:r>
        <w:rPr>
          <w:rFonts w:hint="eastAsia" w:ascii="宋体" w:hAnsi="宋体" w:eastAsia="宋体" w:cs="宋体"/>
          <w:color w:val="auto"/>
          <w:kern w:val="2"/>
          <w:sz w:val="21"/>
          <w:szCs w:val="21"/>
          <w:highlight w:val="none"/>
          <w:u w:val="single"/>
          <w:lang w:val="en-US" w:eastAsia="zh-CN" w:bidi="ar-SA"/>
        </w:rPr>
        <w:t xml:space="preserve">  承包人组织试运行，费用由承包人</w:t>
      </w:r>
      <w:r>
        <w:rPr>
          <w:rFonts w:hint="eastAsia" w:ascii="宋体" w:hAnsi="宋体" w:eastAsia="宋体" w:cs="宋体"/>
          <w:color w:val="auto"/>
          <w:kern w:val="0"/>
          <w:sz w:val="21"/>
          <w:szCs w:val="21"/>
          <w:highlight w:val="none"/>
          <w:lang w:val="en-US" w:eastAsia="zh-CN" w:bidi="ar-SA"/>
        </w:rPr>
        <w:t>承担；</w:t>
      </w:r>
    </w:p>
    <w:p w14:paraId="3D8B74BD">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（2）无负荷联动试车费用由</w:t>
      </w:r>
      <w:r>
        <w:rPr>
          <w:rFonts w:hint="eastAsia" w:ascii="宋体" w:hAnsi="宋体" w:eastAsia="宋体" w:cs="宋体"/>
          <w:color w:val="auto"/>
          <w:kern w:val="2"/>
          <w:sz w:val="21"/>
          <w:szCs w:val="21"/>
          <w:highlight w:val="none"/>
          <w:u w:val="single"/>
          <w:lang w:val="en-US" w:eastAsia="zh-CN" w:bidi="ar-SA"/>
        </w:rPr>
        <w:t xml:space="preserve">  承包人组织试运行，费用由承包人</w:t>
      </w:r>
      <w:r>
        <w:rPr>
          <w:rFonts w:hint="eastAsia" w:ascii="宋体" w:hAnsi="宋体" w:eastAsia="宋体" w:cs="宋体"/>
          <w:color w:val="auto"/>
          <w:kern w:val="0"/>
          <w:sz w:val="21"/>
          <w:szCs w:val="21"/>
          <w:highlight w:val="none"/>
          <w:lang w:val="en-US" w:eastAsia="zh-CN" w:bidi="ar-SA"/>
        </w:rPr>
        <w:t>承担。</w:t>
      </w:r>
    </w:p>
    <w:p w14:paraId="0103934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13.3.3 投料试车</w:t>
      </w:r>
    </w:p>
    <w:p w14:paraId="33068C75">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关于投料试车相关事项的约定：</w:t>
      </w:r>
      <w:r>
        <w:rPr>
          <w:rFonts w:hint="eastAsia" w:ascii="宋体" w:hAnsi="宋体" w:eastAsia="宋体" w:cs="宋体"/>
          <w:color w:val="auto"/>
          <w:kern w:val="2"/>
          <w:sz w:val="21"/>
          <w:szCs w:val="21"/>
          <w:highlight w:val="none"/>
          <w:u w:val="single"/>
          <w:lang w:val="en-US" w:eastAsia="zh-CN" w:bidi="ar-SA"/>
        </w:rPr>
        <w:t xml:space="preserve"> 由承包人组织试运行，费用由承包人承担 </w:t>
      </w:r>
      <w:r>
        <w:rPr>
          <w:rFonts w:hint="eastAsia" w:ascii="宋体" w:hAnsi="宋体" w:eastAsia="宋体" w:cs="宋体"/>
          <w:color w:val="auto"/>
          <w:kern w:val="2"/>
          <w:sz w:val="21"/>
          <w:szCs w:val="21"/>
          <w:highlight w:val="none"/>
          <w:lang w:val="en-US" w:eastAsia="zh-CN" w:bidi="ar-SA"/>
        </w:rPr>
        <w:t>。</w:t>
      </w:r>
    </w:p>
    <w:p w14:paraId="038F3E9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13.6 竣工退场</w:t>
      </w:r>
    </w:p>
    <w:p w14:paraId="5101C708">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13.6.1 竣工退场</w:t>
      </w:r>
    </w:p>
    <w:p w14:paraId="2A3DE09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承包人完成竣工退场的期限：</w:t>
      </w:r>
      <w:r>
        <w:rPr>
          <w:rFonts w:hint="eastAsia" w:ascii="宋体" w:hAnsi="宋体" w:eastAsia="宋体" w:cs="宋体"/>
          <w:color w:val="auto"/>
          <w:kern w:val="2"/>
          <w:sz w:val="21"/>
          <w:szCs w:val="21"/>
          <w:highlight w:val="none"/>
          <w:u w:val="single"/>
          <w:lang w:val="en-US" w:eastAsia="zh-CN" w:bidi="ar-SA"/>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113391B6">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 竣工结算</w:t>
      </w:r>
    </w:p>
    <w:p w14:paraId="567C5794">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14.1 竣工结算申请</w:t>
      </w:r>
    </w:p>
    <w:p w14:paraId="53AA54A6">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承包人提交竣工结算申请单的期限：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具备竣工收条件后28天内</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52E18299">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竣工结算申请单应包括的内容：</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竣工结算由承包人提交相关结算资料（主要包括合同、工程量计算书、结算书、变更设计通知单、签证单、竣工图）齐全后经监理初审、发包人审核后，</w:t>
      </w:r>
      <w:r>
        <w:rPr>
          <w:rFonts w:hint="eastAsia" w:ascii="宋体" w:hAnsi="宋体" w:eastAsia="宋体" w:cs="宋体"/>
          <w:color w:val="auto"/>
          <w:kern w:val="2"/>
          <w:sz w:val="21"/>
          <w:szCs w:val="21"/>
          <w:highlight w:val="none"/>
          <w:u w:val="single"/>
          <w:lang w:val="en-US" w:eastAsia="zh-CN" w:bidi="ar-SA"/>
        </w:rPr>
        <w:t>最终结算以兴安县</w:t>
      </w:r>
      <w:r>
        <w:rPr>
          <w:rFonts w:hint="eastAsia" w:ascii="宋体" w:hAnsi="宋体" w:cs="宋体"/>
          <w:color w:val="auto"/>
          <w:szCs w:val="21"/>
          <w:highlight w:val="none"/>
          <w:u w:val="single"/>
          <w:lang w:val="en-US" w:eastAsia="zh-CN"/>
        </w:rPr>
        <w:t>审计投资评审中心</w:t>
      </w:r>
      <w:r>
        <w:rPr>
          <w:rFonts w:hint="eastAsia" w:ascii="宋体" w:hAnsi="宋体" w:eastAsia="宋体" w:cs="宋体"/>
          <w:color w:val="auto"/>
          <w:kern w:val="2"/>
          <w:sz w:val="21"/>
          <w:szCs w:val="21"/>
          <w:highlight w:val="none"/>
          <w:u w:val="single"/>
          <w:lang w:val="en-US" w:eastAsia="zh-CN" w:bidi="ar-SA"/>
        </w:rPr>
        <w:t xml:space="preserve">审定并经发包人及承包人双方确认的金额为准 </w:t>
      </w:r>
      <w:r>
        <w:rPr>
          <w:rFonts w:hint="eastAsia" w:ascii="宋体" w:hAnsi="宋体" w:eastAsia="宋体" w:cs="宋体"/>
          <w:color w:val="auto"/>
          <w:kern w:val="2"/>
          <w:sz w:val="21"/>
          <w:szCs w:val="21"/>
          <w:highlight w:val="none"/>
          <w:lang w:val="en-US" w:eastAsia="zh-CN" w:bidi="ar-SA"/>
        </w:rPr>
        <w:t>。</w:t>
      </w:r>
    </w:p>
    <w:p w14:paraId="264478E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14.2 竣工结算审核</w:t>
      </w:r>
    </w:p>
    <w:p w14:paraId="0BA6FC3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发包人审批竣工付款申请单的期限：</w:t>
      </w:r>
    </w:p>
    <w:tbl>
      <w:tblPr>
        <w:tblStyle w:val="2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478C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7C7218">
            <w:pPr>
              <w:widowControl w:val="0"/>
              <w:spacing w:line="380" w:lineRule="exact"/>
              <w:jc w:val="center"/>
              <w:rPr>
                <w:rFonts w:ascii="宋体" w:hAnsi="宋体" w:eastAsia="宋体" w:cs="宋体"/>
                <w:bCs/>
                <w:color w:val="auto"/>
                <w:kern w:val="2"/>
                <w:sz w:val="21"/>
                <w:szCs w:val="21"/>
                <w:highlight w:val="none"/>
                <w:lang w:val="en-US" w:eastAsia="zh-CN" w:bidi="ar-SA"/>
              </w:rPr>
            </w:pPr>
          </w:p>
        </w:tc>
        <w:tc>
          <w:tcPr>
            <w:tcW w:w="2616" w:type="dxa"/>
            <w:noWrap w:val="0"/>
            <w:vAlign w:val="center"/>
          </w:tcPr>
          <w:p w14:paraId="1AAECB12">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工程竣工结算报告金额</w:t>
            </w:r>
          </w:p>
        </w:tc>
        <w:tc>
          <w:tcPr>
            <w:tcW w:w="5817" w:type="dxa"/>
            <w:noWrap w:val="0"/>
            <w:vAlign w:val="center"/>
          </w:tcPr>
          <w:p w14:paraId="1AD5E1EB">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发包人审查时间</w:t>
            </w:r>
          </w:p>
        </w:tc>
      </w:tr>
      <w:tr w14:paraId="21A8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9F33E18">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w:t>
            </w:r>
          </w:p>
        </w:tc>
        <w:tc>
          <w:tcPr>
            <w:tcW w:w="2616" w:type="dxa"/>
            <w:noWrap w:val="0"/>
            <w:vAlign w:val="center"/>
          </w:tcPr>
          <w:p w14:paraId="4BC136F5">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500万元以下</w:t>
            </w:r>
          </w:p>
        </w:tc>
        <w:tc>
          <w:tcPr>
            <w:tcW w:w="5817" w:type="dxa"/>
            <w:noWrap w:val="0"/>
            <w:vAlign w:val="center"/>
          </w:tcPr>
          <w:p w14:paraId="44801905">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从接到竣工结算报告和完整的竣工结算资料之日起20天</w:t>
            </w:r>
          </w:p>
        </w:tc>
      </w:tr>
      <w:tr w14:paraId="6213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C19BFE7">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w:t>
            </w:r>
          </w:p>
        </w:tc>
        <w:tc>
          <w:tcPr>
            <w:tcW w:w="2616" w:type="dxa"/>
            <w:noWrap w:val="0"/>
            <w:vAlign w:val="center"/>
          </w:tcPr>
          <w:p w14:paraId="67FBAB98">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500万元-2000万元</w:t>
            </w:r>
          </w:p>
        </w:tc>
        <w:tc>
          <w:tcPr>
            <w:tcW w:w="5817" w:type="dxa"/>
            <w:noWrap w:val="0"/>
            <w:vAlign w:val="center"/>
          </w:tcPr>
          <w:p w14:paraId="63ED7E0F">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从接到竣工结算报告和完整的竣工结算资料之日起30天</w:t>
            </w:r>
          </w:p>
        </w:tc>
      </w:tr>
      <w:tr w14:paraId="6362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1F6191A9">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w:t>
            </w:r>
          </w:p>
        </w:tc>
        <w:tc>
          <w:tcPr>
            <w:tcW w:w="2616" w:type="dxa"/>
            <w:noWrap w:val="0"/>
            <w:vAlign w:val="center"/>
          </w:tcPr>
          <w:p w14:paraId="719D02B7">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2000万元-5000万元</w:t>
            </w:r>
          </w:p>
        </w:tc>
        <w:tc>
          <w:tcPr>
            <w:tcW w:w="5817" w:type="dxa"/>
            <w:noWrap w:val="0"/>
            <w:vAlign w:val="center"/>
          </w:tcPr>
          <w:p w14:paraId="508ECE38">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从接到竣工结算报告和完整的竣工结算资料之日起45天</w:t>
            </w:r>
          </w:p>
        </w:tc>
      </w:tr>
      <w:tr w14:paraId="6F9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F13BB15">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4</w:t>
            </w:r>
          </w:p>
        </w:tc>
        <w:tc>
          <w:tcPr>
            <w:tcW w:w="2616" w:type="dxa"/>
            <w:noWrap w:val="0"/>
            <w:vAlign w:val="center"/>
          </w:tcPr>
          <w:p w14:paraId="46457DB6">
            <w:pPr>
              <w:widowControl w:val="0"/>
              <w:spacing w:line="380" w:lineRule="exact"/>
              <w:ind w:firstLine="27" w:firstLineChars="13"/>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5000万元以上</w:t>
            </w:r>
          </w:p>
        </w:tc>
        <w:tc>
          <w:tcPr>
            <w:tcW w:w="5817" w:type="dxa"/>
            <w:noWrap w:val="0"/>
            <w:vAlign w:val="center"/>
          </w:tcPr>
          <w:p w14:paraId="692DBAB7">
            <w:pPr>
              <w:widowControl w:val="0"/>
              <w:spacing w:line="380" w:lineRule="exact"/>
              <w:jc w:val="center"/>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从接到竣工结算报告和完整的竣工结算资料之日起60天</w:t>
            </w:r>
          </w:p>
        </w:tc>
      </w:tr>
    </w:tbl>
    <w:p w14:paraId="7172AF2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因承包人提供的结算资料不完整而需要补充或承包人不按时对账耽误时间时，审查时间应相应顺延</w:t>
      </w:r>
      <w:r>
        <w:rPr>
          <w:rFonts w:hint="eastAsia" w:ascii="宋体" w:hAnsi="宋体" w:eastAsia="宋体" w:cs="宋体"/>
          <w:color w:val="auto"/>
          <w:kern w:val="2"/>
          <w:sz w:val="21"/>
          <w:szCs w:val="21"/>
          <w:highlight w:val="none"/>
          <w:lang w:val="en-US" w:eastAsia="zh-CN" w:bidi="ar-SA"/>
        </w:rPr>
        <w:t>。</w:t>
      </w:r>
    </w:p>
    <w:p w14:paraId="35154EF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发包人完成竣工付款的期限：</w:t>
      </w:r>
      <w:r>
        <w:rPr>
          <w:rFonts w:ascii="宋体" w:hAnsi="宋体" w:eastAsia="宋体" w:cs="宋体"/>
          <w:color w:val="auto"/>
          <w:kern w:val="2"/>
          <w:sz w:val="21"/>
          <w:szCs w:val="21"/>
          <w:highlight w:val="none"/>
          <w:u w:val="single"/>
          <w:lang w:val="en-US" w:eastAsia="zh-CN" w:bidi="ar-SA"/>
        </w:rPr>
        <w:t>结算审核报告出具</w:t>
      </w:r>
      <w:r>
        <w:rPr>
          <w:rFonts w:hint="eastAsia" w:ascii="宋体" w:hAnsi="宋体" w:eastAsia="宋体" w:cs="宋体"/>
          <w:color w:val="auto"/>
          <w:kern w:val="2"/>
          <w:sz w:val="21"/>
          <w:szCs w:val="21"/>
          <w:highlight w:val="none"/>
          <w:u w:val="single"/>
          <w:lang w:val="en-US" w:eastAsia="zh-CN" w:bidi="ar-SA"/>
        </w:rPr>
        <w:t>后且</w:t>
      </w:r>
      <w:r>
        <w:rPr>
          <w:rFonts w:hint="eastAsia" w:ascii="宋体" w:hAnsi="宋体" w:eastAsia="宋体" w:cs="Times New Roman"/>
          <w:color w:val="auto"/>
          <w:kern w:val="2"/>
          <w:sz w:val="21"/>
          <w:szCs w:val="21"/>
          <w:highlight w:val="none"/>
          <w:u w:val="single"/>
          <w:lang w:val="en-US" w:eastAsia="zh-CN" w:bidi="ar-SA"/>
        </w:rPr>
        <w:t>审核完承包人的竣工付款申请单30天内</w:t>
      </w:r>
      <w:r>
        <w:rPr>
          <w:rFonts w:hint="eastAsia" w:ascii="宋体" w:hAnsi="宋体" w:eastAsia="宋体" w:cs="宋体"/>
          <w:color w:val="auto"/>
          <w:kern w:val="2"/>
          <w:sz w:val="21"/>
          <w:szCs w:val="21"/>
          <w:highlight w:val="none"/>
          <w:lang w:val="en-US" w:eastAsia="zh-CN" w:bidi="ar-SA"/>
        </w:rPr>
        <w:t>。</w:t>
      </w:r>
    </w:p>
    <w:p w14:paraId="16D15E42">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关于竣工付款证书异议部分复核的方式和程序：</w:t>
      </w:r>
      <w:r>
        <w:rPr>
          <w:rFonts w:hint="eastAsia" w:ascii="宋体" w:hAnsi="宋体" w:eastAsia="宋体" w:cs="宋体"/>
          <w:color w:val="auto"/>
          <w:kern w:val="2"/>
          <w:sz w:val="21"/>
          <w:szCs w:val="21"/>
          <w:highlight w:val="none"/>
          <w:u w:val="single"/>
          <w:lang w:val="en-US" w:eastAsia="zh-CN" w:bidi="ar-SA"/>
        </w:rPr>
        <w:t>存在异议的部分，由承包人核对后对异议部分进行书面描述，并交由发包人再次审定。</w:t>
      </w:r>
    </w:p>
    <w:p w14:paraId="0C4855F1">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14.4 最终结清</w:t>
      </w:r>
    </w:p>
    <w:p w14:paraId="15D5A01D">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14.4.1 最终结清申请单</w:t>
      </w:r>
    </w:p>
    <w:p w14:paraId="6E1A0C6E">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承包人提交最终结清申请单的份数：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一式四份 </w:t>
      </w:r>
      <w:r>
        <w:rPr>
          <w:rFonts w:hint="eastAsia" w:ascii="宋体" w:hAnsi="宋体" w:eastAsia="宋体" w:cs="宋体"/>
          <w:color w:val="auto"/>
          <w:kern w:val="2"/>
          <w:sz w:val="21"/>
          <w:szCs w:val="21"/>
          <w:highlight w:val="none"/>
          <w:lang w:val="en-US" w:eastAsia="zh-CN" w:bidi="ar-SA"/>
        </w:rPr>
        <w:t>。</w:t>
      </w:r>
    </w:p>
    <w:p w14:paraId="41AAD25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承包人提交最终结算申请单的期限：</w:t>
      </w:r>
      <w:r>
        <w:rPr>
          <w:rFonts w:hint="eastAsia" w:ascii="宋体" w:hAnsi="宋体" w:eastAsia="宋体" w:cs="宋体"/>
          <w:color w:val="auto"/>
          <w:kern w:val="0"/>
          <w:sz w:val="21"/>
          <w:szCs w:val="21"/>
          <w:highlight w:val="none"/>
          <w:u w:val="single"/>
          <w:lang w:val="en-US" w:eastAsia="zh-CN" w:bidi="ar-SA"/>
        </w:rPr>
        <w:t>缺陷责任期终止证书签发后14天内向监理人提交4份竣工付款申请单及相关证明材料</w:t>
      </w:r>
      <w:r>
        <w:rPr>
          <w:rFonts w:hint="eastAsia" w:ascii="宋体" w:hAnsi="宋体" w:eastAsia="宋体" w:cs="宋体"/>
          <w:color w:val="auto"/>
          <w:kern w:val="2"/>
          <w:sz w:val="21"/>
          <w:szCs w:val="21"/>
          <w:highlight w:val="none"/>
          <w:lang w:val="en-US" w:eastAsia="zh-CN" w:bidi="ar-SA"/>
        </w:rPr>
        <w:t xml:space="preserve">。 </w:t>
      </w:r>
    </w:p>
    <w:p w14:paraId="0989CC8A">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14.4.2 最终结清证书和支付</w:t>
      </w:r>
    </w:p>
    <w:p w14:paraId="6843735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（1）发包人完成最终结清申请单的审批并颁发最终结清证书的期限：</w:t>
      </w:r>
      <w:r>
        <w:rPr>
          <w:rFonts w:hint="eastAsia" w:ascii="宋体" w:hAnsi="宋体" w:eastAsia="宋体" w:cs="宋体"/>
          <w:color w:val="auto"/>
          <w:kern w:val="0"/>
          <w:sz w:val="21"/>
          <w:szCs w:val="21"/>
          <w:highlight w:val="none"/>
          <w:u w:val="single"/>
          <w:lang w:val="en-US" w:eastAsia="zh-CN" w:bidi="ar-SA"/>
        </w:rPr>
        <w:t xml:space="preserve">按通用条款执行 </w:t>
      </w:r>
      <w:r>
        <w:rPr>
          <w:rFonts w:hint="eastAsia" w:ascii="宋体" w:hAnsi="宋体" w:eastAsia="宋体" w:cs="宋体"/>
          <w:color w:val="auto"/>
          <w:kern w:val="2"/>
          <w:sz w:val="21"/>
          <w:szCs w:val="21"/>
          <w:highlight w:val="none"/>
          <w:lang w:val="en-US" w:eastAsia="zh-CN" w:bidi="ar-SA"/>
        </w:rPr>
        <w:t>。</w:t>
      </w:r>
    </w:p>
    <w:p w14:paraId="52A69C0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（2）发包人完成支付的期限：</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 xml:space="preserve">在颁发最终结清证书后的30天内 </w:t>
      </w:r>
      <w:r>
        <w:rPr>
          <w:rFonts w:hint="eastAsia" w:ascii="宋体" w:hAnsi="宋体" w:eastAsia="宋体" w:cs="宋体"/>
          <w:color w:val="auto"/>
          <w:kern w:val="2"/>
          <w:sz w:val="21"/>
          <w:szCs w:val="21"/>
          <w:highlight w:val="none"/>
          <w:lang w:val="en-US" w:eastAsia="zh-CN" w:bidi="ar-SA"/>
        </w:rPr>
        <w:t>。</w:t>
      </w:r>
    </w:p>
    <w:p w14:paraId="52A89CC2">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 缺陷责任期与保修</w:t>
      </w:r>
    </w:p>
    <w:p w14:paraId="3C43AA12">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15.2 缺陷责任期</w:t>
      </w:r>
    </w:p>
    <w:p w14:paraId="59E55741">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缺陷责任期的具体期限：</w:t>
      </w:r>
      <w:r>
        <w:rPr>
          <w:rFonts w:hint="eastAsia" w:ascii="宋体" w:hAnsi="宋体" w:eastAsia="宋体" w:cs="宋体"/>
          <w:color w:val="auto"/>
          <w:kern w:val="2"/>
          <w:sz w:val="21"/>
          <w:szCs w:val="21"/>
          <w:highlight w:val="none"/>
          <w:u w:val="single"/>
          <w:lang w:val="en-US" w:eastAsia="zh-CN" w:bidi="ar-SA"/>
        </w:rPr>
        <w:t>24个月，</w:t>
      </w:r>
      <w:r>
        <w:rPr>
          <w:rFonts w:hint="eastAsia" w:ascii="宋体" w:hAnsi="宋体" w:eastAsia="宋体" w:cs="宋体"/>
          <w:color w:val="auto"/>
          <w:kern w:val="0"/>
          <w:sz w:val="21"/>
          <w:szCs w:val="21"/>
          <w:highlight w:val="none"/>
          <w:u w:val="single"/>
          <w:lang w:val="en-US" w:eastAsia="zh-CN" w:bidi="ar-SA"/>
        </w:rPr>
        <w:t>工程竣工验收合格，自交付使用之日起计算</w:t>
      </w:r>
      <w:r>
        <w:rPr>
          <w:rFonts w:hint="eastAsia" w:ascii="宋体" w:hAnsi="宋体" w:eastAsia="宋体" w:cs="宋体"/>
          <w:color w:val="auto"/>
          <w:kern w:val="2"/>
          <w:sz w:val="21"/>
          <w:szCs w:val="21"/>
          <w:highlight w:val="none"/>
          <w:u w:val="single"/>
          <w:lang w:val="en-US" w:eastAsia="zh-CN" w:bidi="ar-SA"/>
        </w:rPr>
        <w:t xml:space="preserve"> ，按照《建设工程质量管理条例》执行，</w:t>
      </w:r>
      <w:r>
        <w:rPr>
          <w:rFonts w:hint="eastAsia" w:ascii="宋体" w:hAnsi="宋体" w:eastAsia="宋体" w:cs="宋体"/>
          <w:bCs/>
          <w:color w:val="auto"/>
          <w:kern w:val="2"/>
          <w:sz w:val="21"/>
          <w:szCs w:val="21"/>
          <w:highlight w:val="none"/>
          <w:u w:val="single"/>
          <w:lang w:val="en-US" w:eastAsia="zh-CN" w:bidi="ar-SA"/>
        </w:rPr>
        <w:t xml:space="preserve">详见本合同附件3：《工程质量保修书》 </w:t>
      </w:r>
      <w:r>
        <w:rPr>
          <w:rFonts w:hint="eastAsia" w:ascii="宋体" w:hAnsi="宋体" w:eastAsia="宋体" w:cs="宋体"/>
          <w:color w:val="auto"/>
          <w:kern w:val="2"/>
          <w:sz w:val="21"/>
          <w:szCs w:val="21"/>
          <w:highlight w:val="none"/>
          <w:lang w:val="en-US" w:eastAsia="zh-CN" w:bidi="ar-SA"/>
        </w:rPr>
        <w:t>。</w:t>
      </w:r>
    </w:p>
    <w:p w14:paraId="1F1798C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15.3 质量保证金</w:t>
      </w:r>
    </w:p>
    <w:p w14:paraId="5B8DCCB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关于是否扣留质量保证金的约定：</w:t>
      </w:r>
      <w:r>
        <w:rPr>
          <w:rFonts w:hint="eastAsia" w:ascii="宋体" w:hAnsi="宋体" w:eastAsia="宋体" w:cs="宋体"/>
          <w:color w:val="auto"/>
          <w:kern w:val="0"/>
          <w:sz w:val="21"/>
          <w:szCs w:val="21"/>
          <w:highlight w:val="none"/>
          <w:u w:val="single"/>
          <w:lang w:val="en-US" w:eastAsia="zh-CN" w:bidi="ar-SA"/>
        </w:rPr>
        <w:t xml:space="preserve">按工程价款结算总额的3%作为质保金 </w:t>
      </w:r>
      <w:r>
        <w:rPr>
          <w:rFonts w:hint="eastAsia" w:ascii="宋体" w:hAnsi="宋体" w:eastAsia="宋体" w:cs="宋体"/>
          <w:color w:val="auto"/>
          <w:kern w:val="2"/>
          <w:sz w:val="21"/>
          <w:szCs w:val="21"/>
          <w:highlight w:val="none"/>
          <w:lang w:val="en-US" w:eastAsia="zh-CN" w:bidi="ar-SA"/>
        </w:rPr>
        <w:t>。</w:t>
      </w:r>
    </w:p>
    <w:p w14:paraId="52E3F5A9">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15.3.1 承包人提供质量保证金的方式</w:t>
      </w:r>
    </w:p>
    <w:p w14:paraId="5B2F2A9D">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质量保证金采用以下第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w:t>
      </w:r>
    </w:p>
    <w:p w14:paraId="7335A1DA">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（1）质量保证金保函，保证金额为：</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1F15A304">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发包人按工程价款结算总额的</w:t>
      </w:r>
      <w:r>
        <w:rPr>
          <w:rFonts w:hint="eastAsia" w:ascii="宋体" w:hAnsi="宋体" w:eastAsia="宋体" w:cs="宋体"/>
          <w:bCs/>
          <w:color w:val="auto"/>
          <w:kern w:val="2"/>
          <w:sz w:val="21"/>
          <w:szCs w:val="21"/>
          <w:highlight w:val="none"/>
          <w:u w:val="single"/>
          <w:lang w:val="en-US" w:eastAsia="zh-CN" w:bidi="ar-SA"/>
        </w:rPr>
        <w:t xml:space="preserve"> 3 </w:t>
      </w:r>
      <w:r>
        <w:rPr>
          <w:rFonts w:hint="eastAsia" w:ascii="宋体" w:hAnsi="宋体" w:eastAsia="宋体" w:cs="宋体"/>
          <w:bCs/>
          <w:color w:val="auto"/>
          <w:kern w:val="2"/>
          <w:sz w:val="21"/>
          <w:szCs w:val="21"/>
          <w:highlight w:val="none"/>
          <w:lang w:val="en-US" w:eastAsia="zh-CN" w:bidi="ar-SA"/>
        </w:rPr>
        <w:t>%预留工程质量保证金，待缺陷责任期满后返还</w:t>
      </w:r>
      <w:r>
        <w:rPr>
          <w:rFonts w:hint="eastAsia" w:ascii="宋体" w:hAnsi="宋体" w:eastAsia="宋体" w:cs="宋体"/>
          <w:color w:val="auto"/>
          <w:kern w:val="0"/>
          <w:sz w:val="21"/>
          <w:szCs w:val="21"/>
          <w:highlight w:val="none"/>
          <w:lang w:val="en-US" w:eastAsia="zh-CN" w:bidi="ar-SA"/>
        </w:rPr>
        <w:t>；</w:t>
      </w:r>
    </w:p>
    <w:p w14:paraId="09FAE8A9">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（3）其他方式：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4E0C1ED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15.3.2 质量保证金的扣留</w:t>
      </w:r>
    </w:p>
    <w:p w14:paraId="4EFFE24C">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质量保证金的扣留采取以下第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w:t>
      </w:r>
    </w:p>
    <w:p w14:paraId="7D90DE99">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（1）在支付工程进度款时逐次扣留，在此情形下，质量保证金的计算基数不包括预付款的支付、扣回以及价格调整的金额；</w:t>
      </w:r>
    </w:p>
    <w:p w14:paraId="2E949FE9">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（2）工程竣工结算时一次性扣留质量保证金；</w:t>
      </w:r>
    </w:p>
    <w:p w14:paraId="4057C482">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（3）其他扣留方式:</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5BB6E9F6">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关于质量保证金的补充约定：</w:t>
      </w:r>
      <w:r>
        <w:rPr>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承包人未按照法律法规有关规定和合同约定履行质量保修义务的，发包人有权从质量保证金中扣留用于质量保修的各项支出。</w:t>
      </w:r>
      <w:r>
        <w:rPr>
          <w:rFonts w:hint="eastAsia" w:ascii="宋体" w:hAnsi="宋体" w:eastAsia="宋体" w:cs="宋体"/>
          <w:color w:val="auto"/>
          <w:kern w:val="0"/>
          <w:sz w:val="21"/>
          <w:szCs w:val="21"/>
          <w:highlight w:val="none"/>
          <w:u w:val="single"/>
          <w:lang w:val="en-US" w:eastAsia="zh-CN" w:bidi="ar-SA"/>
        </w:rPr>
        <w:t>发包人在工程缺陷责任期满后 14 天内将保修金一次性返回给承包人（无息）。质量保证金的返还，并不能免除承包人按照合同约定应承担的质量保修责任和应履行的质量保修义务。</w:t>
      </w:r>
    </w:p>
    <w:p w14:paraId="7181898E">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15.4 保修</w:t>
      </w:r>
    </w:p>
    <w:p w14:paraId="75821A59">
      <w:pPr>
        <w:widowControl w:val="0"/>
        <w:spacing w:line="380" w:lineRule="exact"/>
        <w:ind w:firstLine="409" w:firstLineChars="195"/>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15.4.1 保修责任</w:t>
      </w:r>
    </w:p>
    <w:p w14:paraId="3F373146">
      <w:pPr>
        <w:widowControl w:val="0"/>
        <w:spacing w:line="380" w:lineRule="exact"/>
        <w:ind w:firstLine="409" w:firstLineChars="195"/>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工程保修期为：</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根据《建设工程质量管理条例》及有关规定，约定本工程的保修期详见《工程质量保修书》。</w:t>
      </w:r>
    </w:p>
    <w:p w14:paraId="32A349D3">
      <w:pPr>
        <w:widowControl w:val="0"/>
        <w:spacing w:line="380" w:lineRule="exact"/>
        <w:ind w:firstLine="409" w:firstLineChars="195"/>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工程保修书具体内容见合同附件3。</w:t>
      </w:r>
    </w:p>
    <w:p w14:paraId="4F54B728">
      <w:pPr>
        <w:widowControl w:val="0"/>
        <w:spacing w:line="380" w:lineRule="exact"/>
        <w:ind w:firstLine="409" w:firstLineChars="195"/>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15.4.3 修复通知</w:t>
      </w:r>
    </w:p>
    <w:p w14:paraId="61E82717">
      <w:pPr>
        <w:widowControl w:val="0"/>
        <w:spacing w:line="380" w:lineRule="exact"/>
        <w:ind w:firstLine="409" w:firstLineChars="195"/>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承包人收到保修通知并到达工程现场的合理时间：</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p w14:paraId="1016AF55">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 违约</w:t>
      </w:r>
    </w:p>
    <w:p w14:paraId="4AEC0DCF">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16.1 发包人违约</w:t>
      </w:r>
    </w:p>
    <w:p w14:paraId="1AE2932B">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16.1.1发包人违约的情形</w:t>
      </w:r>
    </w:p>
    <w:p w14:paraId="44785F9B">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发包人违约的其他情形：</w:t>
      </w:r>
      <w:r>
        <w:rPr>
          <w:rFonts w:hint="eastAsia" w:ascii="宋体" w:hAnsi="宋体" w:eastAsia="宋体" w:cs="宋体"/>
          <w:color w:val="auto"/>
          <w:kern w:val="0"/>
          <w:sz w:val="21"/>
          <w:szCs w:val="21"/>
          <w:highlight w:val="none"/>
          <w:u w:val="single"/>
          <w:lang w:val="en-US" w:eastAsia="zh-CN" w:bidi="ar-SA"/>
        </w:rPr>
        <w:t xml:space="preserve">    无   </w:t>
      </w:r>
      <w:r>
        <w:rPr>
          <w:rFonts w:hint="eastAsia" w:ascii="宋体" w:hAnsi="宋体" w:eastAsia="宋体" w:cs="宋体"/>
          <w:color w:val="auto"/>
          <w:kern w:val="0"/>
          <w:sz w:val="21"/>
          <w:szCs w:val="21"/>
          <w:highlight w:val="none"/>
          <w:lang w:val="en-US" w:eastAsia="zh-CN" w:bidi="ar-SA"/>
        </w:rPr>
        <w:t>。</w:t>
      </w:r>
    </w:p>
    <w:p w14:paraId="7D6B25A5">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16.1.2 发包人违约的责任</w:t>
      </w:r>
    </w:p>
    <w:p w14:paraId="5051B822">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发包人违约责任的承担方式和计算方法：</w:t>
      </w:r>
    </w:p>
    <w:p w14:paraId="09F6916A">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（1）因发包人原因未能在计划开工日期前7天内下达开工通知的违约责任：</w:t>
      </w:r>
      <w:r>
        <w:rPr>
          <w:rFonts w:hint="eastAsia" w:ascii="宋体" w:hAnsi="宋体" w:eastAsia="宋体" w:cs="宋体"/>
          <w:color w:val="auto"/>
          <w:kern w:val="0"/>
          <w:sz w:val="21"/>
          <w:szCs w:val="21"/>
          <w:highlight w:val="none"/>
          <w:u w:val="single"/>
          <w:lang w:val="en-US" w:eastAsia="zh-CN" w:bidi="ar-SA"/>
        </w:rPr>
        <w:t>工期相应顺延</w:t>
      </w:r>
      <w:r>
        <w:rPr>
          <w:rFonts w:hint="eastAsia" w:ascii="宋体" w:hAnsi="宋体" w:eastAsia="宋体" w:cs="宋体"/>
          <w:color w:val="auto"/>
          <w:kern w:val="0"/>
          <w:sz w:val="21"/>
          <w:szCs w:val="21"/>
          <w:highlight w:val="none"/>
          <w:lang w:val="en-US" w:eastAsia="zh-CN" w:bidi="ar-SA"/>
        </w:rPr>
        <w:t>。</w:t>
      </w:r>
    </w:p>
    <w:p w14:paraId="06A09C8F">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（2）因发包人原因未能按合同约定支付合同价款的违约责任：</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5C33294C">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lang w:val="en-US" w:eastAsia="zh-CN" w:bidi="ar-SA"/>
        </w:rPr>
        <w:t xml:space="preserve">  按通用条款执行  </w:t>
      </w:r>
      <w:r>
        <w:rPr>
          <w:rFonts w:hint="eastAsia" w:ascii="宋体" w:hAnsi="宋体" w:eastAsia="宋体" w:cs="宋体"/>
          <w:color w:val="auto"/>
          <w:kern w:val="0"/>
          <w:sz w:val="21"/>
          <w:szCs w:val="21"/>
          <w:highlight w:val="none"/>
          <w:lang w:val="en-US" w:eastAsia="zh-CN" w:bidi="ar-SA"/>
        </w:rPr>
        <w:t>。</w:t>
      </w:r>
    </w:p>
    <w:p w14:paraId="6C73549B">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lang w:val="en-US" w:eastAsia="zh-CN" w:bidi="ar-SA"/>
        </w:rPr>
        <w:t>工期相应顺延</w:t>
      </w:r>
      <w:r>
        <w:rPr>
          <w:rFonts w:hint="eastAsia" w:ascii="宋体" w:hAnsi="宋体" w:eastAsia="宋体" w:cs="宋体"/>
          <w:color w:val="auto"/>
          <w:kern w:val="0"/>
          <w:sz w:val="21"/>
          <w:szCs w:val="21"/>
          <w:highlight w:val="none"/>
          <w:lang w:val="en-US" w:eastAsia="zh-CN" w:bidi="ar-SA"/>
        </w:rPr>
        <w:t>。</w:t>
      </w:r>
    </w:p>
    <w:p w14:paraId="0DF8F719">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（5）因发包人违反合同约定造成暂停施工的违约责任：</w:t>
      </w:r>
      <w:r>
        <w:rPr>
          <w:rFonts w:hint="eastAsia" w:ascii="宋体" w:hAnsi="宋体" w:eastAsia="宋体" w:cs="宋体"/>
          <w:color w:val="auto"/>
          <w:kern w:val="0"/>
          <w:sz w:val="21"/>
          <w:szCs w:val="21"/>
          <w:highlight w:val="none"/>
          <w:u w:val="single"/>
          <w:lang w:val="en-US" w:eastAsia="zh-CN" w:bidi="ar-SA"/>
        </w:rPr>
        <w:t>按通用条款执行</w:t>
      </w:r>
      <w:r>
        <w:rPr>
          <w:rFonts w:hint="eastAsia" w:ascii="宋体" w:hAnsi="宋体" w:eastAsia="宋体" w:cs="宋体"/>
          <w:color w:val="auto"/>
          <w:kern w:val="0"/>
          <w:sz w:val="21"/>
          <w:szCs w:val="21"/>
          <w:highlight w:val="none"/>
          <w:lang w:val="en-US" w:eastAsia="zh-CN" w:bidi="ar-SA"/>
        </w:rPr>
        <w:t>。</w:t>
      </w:r>
    </w:p>
    <w:p w14:paraId="4C5A65DE">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lang w:val="en-US" w:eastAsia="zh-CN" w:bidi="ar-SA"/>
        </w:rPr>
        <w:t xml:space="preserve">   按通用条款执行</w:t>
      </w:r>
      <w:r>
        <w:rPr>
          <w:rFonts w:hint="eastAsia" w:ascii="宋体" w:hAnsi="宋体" w:eastAsia="宋体" w:cs="宋体"/>
          <w:color w:val="auto"/>
          <w:kern w:val="0"/>
          <w:sz w:val="21"/>
          <w:szCs w:val="21"/>
          <w:highlight w:val="none"/>
          <w:lang w:val="en-US" w:eastAsia="zh-CN" w:bidi="ar-SA"/>
        </w:rPr>
        <w:t>。</w:t>
      </w:r>
    </w:p>
    <w:p w14:paraId="44603210">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（7）其他：</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w:t>
      </w:r>
    </w:p>
    <w:p w14:paraId="4A2B23C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16.1.3 因发包人违约解除合同</w:t>
      </w:r>
    </w:p>
    <w:p w14:paraId="1F8F5796">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承包人按16.1.1项〔发包人违约的情形〕约定暂停施工满</w:t>
      </w:r>
      <w:r>
        <w:rPr>
          <w:rFonts w:hint="eastAsia" w:ascii="宋体" w:hAnsi="宋体" w:eastAsia="宋体" w:cs="宋体"/>
          <w:color w:val="auto"/>
          <w:kern w:val="0"/>
          <w:sz w:val="21"/>
          <w:szCs w:val="21"/>
          <w:highlight w:val="none"/>
          <w:u w:val="single"/>
          <w:lang w:val="en-US" w:eastAsia="zh-CN" w:bidi="ar-SA"/>
        </w:rPr>
        <w:t xml:space="preserve">  /  </w:t>
      </w:r>
      <w:r>
        <w:rPr>
          <w:rFonts w:hint="eastAsia" w:ascii="宋体" w:hAnsi="宋体" w:eastAsia="宋体" w:cs="宋体"/>
          <w:color w:val="auto"/>
          <w:kern w:val="0"/>
          <w:sz w:val="21"/>
          <w:szCs w:val="21"/>
          <w:highlight w:val="none"/>
          <w:lang w:val="en-US" w:eastAsia="zh-CN" w:bidi="ar-SA"/>
        </w:rPr>
        <w:t>天后发包人仍不纠正其违约行为并致使合同目的不能实现的，承包人有权解除合同。</w:t>
      </w:r>
    </w:p>
    <w:p w14:paraId="69EFDFEC">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16.2 承包人违约</w:t>
      </w:r>
    </w:p>
    <w:p w14:paraId="3CE808F3">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16.2.1 承包人违约的情形</w:t>
      </w:r>
    </w:p>
    <w:p w14:paraId="296A3E77">
      <w:pPr>
        <w:widowControl w:val="0"/>
        <w:spacing w:line="380" w:lineRule="exact"/>
        <w:ind w:firstLine="420" w:firstLineChars="200"/>
        <w:jc w:val="left"/>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承包人违约的其他情形：</w:t>
      </w:r>
      <w:r>
        <w:rPr>
          <w:rFonts w:hint="eastAsia" w:ascii="宋体" w:hAnsi="宋体" w:eastAsia="宋体" w:cs="宋体"/>
          <w:color w:val="auto"/>
          <w:kern w:val="0"/>
          <w:sz w:val="21"/>
          <w:szCs w:val="21"/>
          <w:highlight w:val="none"/>
          <w:u w:val="single"/>
          <w:lang w:val="en-US" w:eastAsia="zh-CN" w:bidi="ar-SA"/>
        </w:rPr>
        <w:t xml:space="preserve">按通用条款执行 </w:t>
      </w:r>
      <w:r>
        <w:rPr>
          <w:rFonts w:hint="eastAsia" w:ascii="宋体" w:hAnsi="宋体" w:eastAsia="宋体" w:cs="宋体"/>
          <w:color w:val="auto"/>
          <w:kern w:val="0"/>
          <w:sz w:val="21"/>
          <w:szCs w:val="21"/>
          <w:highlight w:val="none"/>
          <w:lang w:val="en-US" w:eastAsia="zh-CN" w:bidi="ar-SA"/>
        </w:rPr>
        <w:t>。</w:t>
      </w:r>
    </w:p>
    <w:p w14:paraId="5D020F93">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16.2.2承包人违约的责任</w:t>
      </w:r>
    </w:p>
    <w:p w14:paraId="4AA17069">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承包人违约责任的承担方式和计算方法：</w:t>
      </w:r>
    </w:p>
    <w:p w14:paraId="173454E9">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1B614246">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（2）承包人有本合同通用条款第16.2.1（6）条情形的，或经监理人检验认为修复质量不合格而承包人拒绝再进行修补的，发包人将扣除承包人全部质量保证金。</w:t>
      </w:r>
    </w:p>
    <w:p w14:paraId="03E1DAD7">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auto"/>
          <w:kern w:val="2"/>
          <w:sz w:val="21"/>
          <w:szCs w:val="21"/>
          <w:highlight w:val="none"/>
          <w:lang w:val="en-US" w:eastAsia="zh-CN" w:bidi="ar-SA"/>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auto"/>
          <w:kern w:val="0"/>
          <w:sz w:val="21"/>
          <w:szCs w:val="21"/>
          <w:highlight w:val="none"/>
          <w:lang w:val="en-US" w:eastAsia="zh-CN" w:bidi="ar-SA"/>
        </w:rPr>
        <w:t>承包人履约保证金被罚款后由发包人从最后一次计量支付时扣除相应金额补足履约保证金。</w:t>
      </w:r>
    </w:p>
    <w:p w14:paraId="4ACE555F">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16.2.3 因承包人违约解除合同</w:t>
      </w:r>
    </w:p>
    <w:p w14:paraId="607D1DB0">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关于承包人违约解除合同的特别约定：</w:t>
      </w:r>
      <w:r>
        <w:rPr>
          <w:rFonts w:hint="eastAsia" w:ascii="宋体" w:hAnsi="宋体" w:eastAsia="宋体" w:cs="宋体"/>
          <w:color w:val="auto"/>
          <w:kern w:val="0"/>
          <w:sz w:val="21"/>
          <w:szCs w:val="21"/>
          <w:highlight w:val="none"/>
          <w:u w:val="single"/>
          <w:lang w:val="en-US" w:eastAsia="zh-CN" w:bidi="ar-SA"/>
        </w:rPr>
        <w:t>承包人有违反以下情况之一的，发包人有权解除合同，并没收其全部履约保证金</w:t>
      </w:r>
      <w:r>
        <w:rPr>
          <w:rFonts w:hint="eastAsia" w:ascii="宋体" w:hAnsi="宋体" w:eastAsia="宋体" w:cs="宋体"/>
          <w:color w:val="auto"/>
          <w:kern w:val="0"/>
          <w:sz w:val="21"/>
          <w:szCs w:val="21"/>
          <w:highlight w:val="none"/>
          <w:lang w:val="en-US" w:eastAsia="zh-CN" w:bidi="ar-SA"/>
        </w:rPr>
        <w:t>。</w:t>
      </w:r>
    </w:p>
    <w:p w14:paraId="6FB6FF21">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(1)承包人无正当理由不按开工通知的要求及时进场组织施工和不按签订协议书时商定的进度计划有效地开展施工准备，造成工期延误的；</w:t>
      </w:r>
    </w:p>
    <w:p w14:paraId="0DC754C1">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(2)承包人违反本合同通用条款第3.5条规定私自将合同或合同的任何部分或任何权利转让给其他人，或私自将工程或工程的一部分分包出去的；</w:t>
      </w:r>
    </w:p>
    <w:p w14:paraId="70288891">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(3)未经监理人批准，承包人私自将已按投标文件承诺进入工地的工程设备、施工设备、临时工程或材料撤离工地的；</w:t>
      </w:r>
    </w:p>
    <w:p w14:paraId="4D91D472">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(4)由于承包人原因拒绝按合同进度计划及时完成合同规定的工程，而又未采取有效措施赶上进度，造成工期延误的；</w:t>
      </w:r>
    </w:p>
    <w:p w14:paraId="30A5CA7A">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(5)承包人否认合同有效或拒绝履行合同规定的承包人义务，或由于法律、财务等原因导致承包人无法继续履行或实质上已停止履行合同的义务的；</w:t>
      </w:r>
    </w:p>
    <w:p w14:paraId="74BF82F8">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(6)合同签订之日起十五日内，承包人无法按合同规定及投标文件的承诺进场经监理工程师认可的全部人员和机械的。</w:t>
      </w:r>
    </w:p>
    <w:p w14:paraId="5F9A9BDE">
      <w:pPr>
        <w:widowControl w:val="0"/>
        <w:spacing w:line="380" w:lineRule="exact"/>
        <w:ind w:firstLine="420" w:firstLineChars="2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lang w:val="en-US" w:eastAsia="zh-CN" w:bidi="ar-SA"/>
        </w:rPr>
        <w:t xml:space="preserve">   协商决定   </w:t>
      </w:r>
      <w:r>
        <w:rPr>
          <w:rFonts w:hint="eastAsia" w:ascii="宋体" w:hAnsi="宋体" w:eastAsia="宋体" w:cs="宋体"/>
          <w:color w:val="auto"/>
          <w:kern w:val="0"/>
          <w:sz w:val="21"/>
          <w:szCs w:val="21"/>
          <w:highlight w:val="none"/>
          <w:lang w:val="en-US" w:eastAsia="zh-CN" w:bidi="ar-SA"/>
        </w:rPr>
        <w:t>。</w:t>
      </w:r>
    </w:p>
    <w:p w14:paraId="2CB7472F">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 xml:space="preserve">17. 不可抗力 </w:t>
      </w:r>
    </w:p>
    <w:p w14:paraId="217EEC31">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17.1 不可抗力的确认</w:t>
      </w:r>
    </w:p>
    <w:p w14:paraId="3284980D">
      <w:pPr>
        <w:widowControl w:val="0"/>
        <w:spacing w:line="380" w:lineRule="exact"/>
        <w:ind w:firstLine="420" w:firstLineChars="200"/>
        <w:jc w:val="both"/>
        <w:rPr>
          <w:rFonts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除通用合同条款约定的不可抗力事件之外，视为不可抗力的其他情形：（1）</w:t>
      </w:r>
      <w:r>
        <w:rPr>
          <w:rFonts w:hint="eastAsia" w:ascii="宋体" w:hAnsi="宋体" w:eastAsia="宋体" w:cs="宋体"/>
          <w:color w:val="auto"/>
          <w:kern w:val="0"/>
          <w:sz w:val="21"/>
          <w:szCs w:val="21"/>
          <w:highlight w:val="none"/>
          <w:u w:val="single"/>
          <w:lang w:val="en-US" w:eastAsia="zh-CN" w:bidi="ar-SA"/>
        </w:rPr>
        <w:t>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auto"/>
          <w:kern w:val="0"/>
          <w:sz w:val="21"/>
          <w:szCs w:val="21"/>
          <w:highlight w:val="none"/>
          <w:lang w:val="en-US" w:eastAsia="zh-CN" w:bidi="ar-SA"/>
        </w:rPr>
        <w:t>。</w:t>
      </w:r>
    </w:p>
    <w:p w14:paraId="75538743">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17.4 因不可抗力解除合同</w:t>
      </w:r>
    </w:p>
    <w:p w14:paraId="4F7DF4E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合同解除后，发包人应在商定或确定发包人应支付款项后</w:t>
      </w:r>
      <w:r>
        <w:rPr>
          <w:rFonts w:hint="eastAsia" w:ascii="宋体" w:hAnsi="宋体" w:eastAsia="宋体" w:cs="宋体"/>
          <w:color w:val="auto"/>
          <w:kern w:val="2"/>
          <w:sz w:val="21"/>
          <w:szCs w:val="21"/>
          <w:highlight w:val="none"/>
          <w:u w:val="single"/>
          <w:lang w:val="en-US" w:eastAsia="zh-CN" w:bidi="ar-SA"/>
        </w:rPr>
        <w:t xml:space="preserve"> 30 </w:t>
      </w:r>
      <w:r>
        <w:rPr>
          <w:rFonts w:hint="eastAsia" w:ascii="宋体" w:hAnsi="宋体" w:eastAsia="宋体" w:cs="宋体"/>
          <w:color w:val="auto"/>
          <w:kern w:val="2"/>
          <w:sz w:val="21"/>
          <w:szCs w:val="21"/>
          <w:highlight w:val="none"/>
          <w:lang w:val="en-US" w:eastAsia="zh-CN" w:bidi="ar-SA"/>
        </w:rPr>
        <w:t>天内完成款项的支付。</w:t>
      </w:r>
    </w:p>
    <w:p w14:paraId="2F2A8350">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 保险</w:t>
      </w:r>
    </w:p>
    <w:p w14:paraId="2F5C33A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18.1 工程保险</w:t>
      </w:r>
    </w:p>
    <w:p w14:paraId="376842D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关于工程保险的特别约定：</w:t>
      </w:r>
      <w:r>
        <w:rPr>
          <w:rFonts w:hint="eastAsia" w:ascii="宋体" w:hAnsi="宋体" w:eastAsia="宋体" w:cs="宋体"/>
          <w:color w:val="auto"/>
          <w:kern w:val="0"/>
          <w:sz w:val="21"/>
          <w:szCs w:val="21"/>
          <w:highlight w:val="none"/>
          <w:u w:val="single"/>
          <w:lang w:val="en-US" w:eastAsia="zh-CN" w:bidi="ar-SA"/>
        </w:rPr>
        <w:t>承包人应投保建筑工程一切险并承担与之相关的所有费用</w:t>
      </w:r>
      <w:r>
        <w:rPr>
          <w:rFonts w:hint="eastAsia" w:ascii="宋体" w:hAnsi="宋体" w:eastAsia="宋体" w:cs="宋体"/>
          <w:color w:val="auto"/>
          <w:kern w:val="0"/>
          <w:sz w:val="21"/>
          <w:szCs w:val="21"/>
          <w:highlight w:val="none"/>
          <w:lang w:val="en-US" w:eastAsia="zh-CN" w:bidi="ar-SA"/>
        </w:rPr>
        <w:t>。</w:t>
      </w:r>
    </w:p>
    <w:p w14:paraId="3FEAC45A">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18.3 其他保险</w:t>
      </w:r>
    </w:p>
    <w:p w14:paraId="2C368BCA">
      <w:pPr>
        <w:widowControl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关于其他保险的约定：</w:t>
      </w:r>
      <w:r>
        <w:rPr>
          <w:rFonts w:hint="eastAsia" w:ascii="宋体" w:hAnsi="宋体" w:eastAsia="宋体" w:cs="宋体"/>
          <w:color w:val="auto"/>
          <w:kern w:val="0"/>
          <w:sz w:val="21"/>
          <w:szCs w:val="21"/>
          <w:highlight w:val="none"/>
          <w:u w:val="single"/>
          <w:lang w:val="en-US" w:eastAsia="zh-CN" w:bidi="ar-SA"/>
        </w:rPr>
        <w:t>承包人根据市建协字〔2009〕3号文必须</w:t>
      </w:r>
      <w:r>
        <w:rPr>
          <w:rFonts w:hint="eastAsia" w:ascii="宋体" w:hAnsi="宋体" w:eastAsia="宋体" w:cs="宋体"/>
          <w:color w:val="auto"/>
          <w:kern w:val="2"/>
          <w:sz w:val="21"/>
          <w:szCs w:val="21"/>
          <w:highlight w:val="none"/>
          <w:u w:val="single"/>
          <w:lang w:val="en-US" w:eastAsia="zh-CN" w:bidi="ar-SA"/>
        </w:rPr>
        <w:t>为施工现场从事施工的所有作业人员和管理人员办理意外伤害保险，并支付保险费</w:t>
      </w:r>
      <w:r>
        <w:rPr>
          <w:rFonts w:hint="eastAsia" w:ascii="宋体" w:hAnsi="宋体" w:eastAsia="宋体" w:cs="宋体"/>
          <w:bCs/>
          <w:color w:val="auto"/>
          <w:kern w:val="2"/>
          <w:sz w:val="21"/>
          <w:szCs w:val="21"/>
          <w:highlight w:val="none"/>
          <w:lang w:val="en-US" w:eastAsia="zh-CN" w:bidi="ar-SA"/>
        </w:rPr>
        <w:t>。</w:t>
      </w:r>
    </w:p>
    <w:p w14:paraId="77930D93">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承包人是否应为其施工设备等办理财产保险：</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u w:val="single"/>
          <w:lang w:val="en-US" w:eastAsia="zh-CN" w:bidi="ar-SA"/>
        </w:rPr>
        <w:t>按通用条款执行，无特殊约定</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11E5D286">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18.7 通知义务</w:t>
      </w:r>
    </w:p>
    <w:p w14:paraId="54CA7A2F">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关于变更保险合同时的通知义务的约定：</w:t>
      </w:r>
      <w:r>
        <w:rPr>
          <w:rFonts w:hint="eastAsia" w:ascii="宋体" w:hAnsi="宋体" w:eastAsia="宋体" w:cs="宋体"/>
          <w:color w:val="auto"/>
          <w:kern w:val="2"/>
          <w:sz w:val="21"/>
          <w:szCs w:val="21"/>
          <w:highlight w:val="none"/>
          <w:u w:val="single"/>
          <w:lang w:val="en-US" w:eastAsia="zh-CN" w:bidi="ar-SA"/>
        </w:rPr>
        <w:t xml:space="preserve">  变更应通知当事人 </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747F00E2">
      <w:pPr>
        <w:keepNext/>
        <w:keepLines/>
        <w:widowControl w:val="0"/>
        <w:spacing w:line="380" w:lineRule="exact"/>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 争议解决</w:t>
      </w:r>
    </w:p>
    <w:p w14:paraId="0B7F27FB">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20.3 争议评审</w:t>
      </w:r>
    </w:p>
    <w:p w14:paraId="6F9CAC88">
      <w:pPr>
        <w:widowControl w:val="0"/>
        <w:spacing w:line="380" w:lineRule="exact"/>
        <w:ind w:left="149" w:leftChars="71" w:firstLine="315" w:firstLineChars="15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合同当事人是否同意将工程争议提交争议评审小组决定：</w:t>
      </w:r>
      <w:r>
        <w:rPr>
          <w:rFonts w:hint="eastAsia" w:ascii="宋体" w:hAnsi="宋体" w:eastAsia="宋体" w:cs="宋体"/>
          <w:color w:val="auto"/>
          <w:kern w:val="2"/>
          <w:sz w:val="21"/>
          <w:szCs w:val="21"/>
          <w:highlight w:val="none"/>
          <w:u w:val="single"/>
          <w:lang w:val="en-US" w:eastAsia="zh-CN" w:bidi="ar-SA"/>
        </w:rPr>
        <w:t xml:space="preserve">  不同意  </w:t>
      </w:r>
      <w:r>
        <w:rPr>
          <w:rFonts w:hint="eastAsia" w:ascii="宋体" w:hAnsi="宋体" w:eastAsia="宋体" w:cs="宋体"/>
          <w:color w:val="auto"/>
          <w:kern w:val="2"/>
          <w:sz w:val="21"/>
          <w:szCs w:val="21"/>
          <w:highlight w:val="none"/>
          <w:lang w:val="en-US" w:eastAsia="zh-CN" w:bidi="ar-SA"/>
        </w:rPr>
        <w:t>。</w:t>
      </w:r>
    </w:p>
    <w:p w14:paraId="13C03D14">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20.3.1 争议评审小组的确定</w:t>
      </w:r>
    </w:p>
    <w:p w14:paraId="652716DD">
      <w:pPr>
        <w:widowControl w:val="0"/>
        <w:spacing w:line="380" w:lineRule="exact"/>
        <w:ind w:firstLine="420" w:firstLineChars="200"/>
        <w:jc w:val="left"/>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争议评审小组成员的确定：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BEAB0C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选定争议评审员的期限：</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7688EA78">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争议评审小组成员的报酬承担方式：</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12169380">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其他事项的约定：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23E2593E">
      <w:pPr>
        <w:widowControl w:val="0"/>
        <w:autoSpaceDE w:val="0"/>
        <w:autoSpaceDN w:val="0"/>
        <w:adjustRightInd w:val="0"/>
        <w:spacing w:line="38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20.3.2 争议评审小组的决定</w:t>
      </w:r>
    </w:p>
    <w:p w14:paraId="280F749E">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合同当事人关于本事项的约定：</w:t>
      </w:r>
      <w:r>
        <w:rPr>
          <w:rFonts w:hint="eastAsia" w:ascii="宋体" w:hAnsi="宋体" w:eastAsia="宋体" w:cs="宋体"/>
          <w:color w:val="auto"/>
          <w:kern w:val="2"/>
          <w:sz w:val="21"/>
          <w:szCs w:val="21"/>
          <w:highlight w:val="none"/>
          <w:u w:val="single"/>
          <w:lang w:val="en-US" w:eastAsia="zh-CN" w:bidi="ar-SA"/>
        </w:rPr>
        <w:t xml:space="preserve">         /                  </w:t>
      </w:r>
      <w:r>
        <w:rPr>
          <w:rFonts w:hint="eastAsia" w:ascii="宋体" w:hAnsi="宋体" w:eastAsia="宋体" w:cs="宋体"/>
          <w:color w:val="auto"/>
          <w:kern w:val="2"/>
          <w:sz w:val="21"/>
          <w:szCs w:val="21"/>
          <w:highlight w:val="none"/>
          <w:lang w:val="en-US" w:eastAsia="zh-CN" w:bidi="ar-SA"/>
        </w:rPr>
        <w:t>。</w:t>
      </w:r>
    </w:p>
    <w:p w14:paraId="72AC01C7">
      <w:pPr>
        <w:keepNext/>
        <w:keepLines/>
        <w:widowControl w:val="0"/>
        <w:spacing w:line="380" w:lineRule="exact"/>
        <w:ind w:firstLine="422" w:firstLineChars="200"/>
        <w:jc w:val="both"/>
        <w:outlineLvl w:val="0"/>
        <w:rPr>
          <w:rFonts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20.4 仲裁或诉讼</w:t>
      </w:r>
    </w:p>
    <w:p w14:paraId="2E9AD203">
      <w:pPr>
        <w:widowControl w:val="0"/>
        <w:spacing w:line="38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因合同及合同有关事项发生的争议，按下列第</w:t>
      </w:r>
      <w:r>
        <w:rPr>
          <w:rFonts w:hint="eastAsia" w:ascii="宋体" w:hAnsi="宋体" w:eastAsia="宋体" w:cs="宋体"/>
          <w:color w:val="auto"/>
          <w:kern w:val="2"/>
          <w:sz w:val="21"/>
          <w:szCs w:val="21"/>
          <w:highlight w:val="none"/>
          <w:u w:val="single"/>
          <w:lang w:val="en-US" w:eastAsia="zh-CN" w:bidi="ar-SA"/>
        </w:rPr>
        <w:t xml:space="preserve">  （2）    </w:t>
      </w:r>
      <w:r>
        <w:rPr>
          <w:rFonts w:hint="eastAsia" w:ascii="宋体" w:hAnsi="宋体" w:eastAsia="宋体" w:cs="宋体"/>
          <w:color w:val="auto"/>
          <w:kern w:val="2"/>
          <w:sz w:val="21"/>
          <w:szCs w:val="21"/>
          <w:highlight w:val="none"/>
          <w:lang w:val="en-US" w:eastAsia="zh-CN" w:bidi="ar-SA"/>
        </w:rPr>
        <w:t>种方式解决：</w:t>
      </w:r>
    </w:p>
    <w:p w14:paraId="36156417">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（1）提请</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仲裁委员会按照该会仲裁规则进行仲裁，仲裁裁决是终局的，对合同双方均有约束力。</w:t>
      </w:r>
    </w:p>
    <w:p w14:paraId="31560D52">
      <w:pPr>
        <w:widowControl w:val="0"/>
        <w:spacing w:line="380" w:lineRule="exact"/>
        <w:ind w:firstLine="420" w:firstLineChars="200"/>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（2）向</w:t>
      </w:r>
      <w:r>
        <w:rPr>
          <w:rFonts w:hint="eastAsia" w:ascii="宋体" w:hAnsi="宋体" w:eastAsia="宋体" w:cs="宋体"/>
          <w:color w:val="auto"/>
          <w:kern w:val="2"/>
          <w:sz w:val="21"/>
          <w:szCs w:val="21"/>
          <w:highlight w:val="none"/>
          <w:u w:val="single"/>
          <w:lang w:val="en-US" w:eastAsia="zh-CN" w:bidi="ar-SA"/>
        </w:rPr>
        <w:t xml:space="preserve">    桂林市本工程辖区内     </w:t>
      </w:r>
      <w:r>
        <w:rPr>
          <w:rFonts w:hint="eastAsia" w:ascii="宋体" w:hAnsi="宋体" w:eastAsia="宋体" w:cs="宋体"/>
          <w:color w:val="auto"/>
          <w:kern w:val="2"/>
          <w:sz w:val="21"/>
          <w:szCs w:val="21"/>
          <w:highlight w:val="none"/>
          <w:lang w:val="en-US" w:eastAsia="zh-CN" w:bidi="ar-SA"/>
        </w:rPr>
        <w:t>人民法院起诉。</w:t>
      </w:r>
    </w:p>
    <w:p w14:paraId="311C1172">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b/>
          <w:color w:val="auto"/>
          <w:kern w:val="2"/>
          <w:sz w:val="21"/>
          <w:szCs w:val="21"/>
          <w:highlight w:val="none"/>
          <w:lang w:val="en-US" w:bidi="ar-SA"/>
        </w:rPr>
      </w:pPr>
      <w:r>
        <w:rPr>
          <w:rFonts w:hint="eastAsia" w:ascii="宋体" w:hAnsi="宋体" w:eastAsia="宋体" w:cs="宋体"/>
          <w:b/>
          <w:color w:val="auto"/>
          <w:kern w:val="2"/>
          <w:sz w:val="21"/>
          <w:szCs w:val="21"/>
          <w:highlight w:val="none"/>
          <w:lang w:val="en-US" w:bidi="ar-SA"/>
        </w:rPr>
        <w:t>附件</w:t>
      </w:r>
    </w:p>
    <w:p w14:paraId="74715915">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协议书附件：</w:t>
      </w:r>
    </w:p>
    <w:p w14:paraId="268D5927">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附件1：承包人承揽工程项目一览表</w:t>
      </w:r>
    </w:p>
    <w:p w14:paraId="05C7A3E9">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专用合同条款附件：</w:t>
      </w:r>
    </w:p>
    <w:p w14:paraId="1E4B6705">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附件2：发包人供应材料设备一览表</w:t>
      </w:r>
    </w:p>
    <w:p w14:paraId="0D1BF989">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附件3：工程质量保修书</w:t>
      </w:r>
    </w:p>
    <w:p w14:paraId="2D6F59D4">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附件4：主要建设工程文件目录</w:t>
      </w:r>
    </w:p>
    <w:p w14:paraId="4777927B">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附件5：承包人用于本工程施工的机械设备表</w:t>
      </w:r>
    </w:p>
    <w:p w14:paraId="3C079BBC">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附件6：承包人主要施工管理人员表</w:t>
      </w:r>
    </w:p>
    <w:p w14:paraId="3A50D0DC">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附件7：分包人主要施工管理人员表</w:t>
      </w:r>
    </w:p>
    <w:p w14:paraId="1EFF0242">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附件8：履约担保格式</w:t>
      </w:r>
    </w:p>
    <w:p w14:paraId="1565D3DF">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附件9：预付款担保格式</w:t>
      </w:r>
    </w:p>
    <w:p w14:paraId="5595C92D">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附件10：支付担保格式</w:t>
      </w:r>
    </w:p>
    <w:p w14:paraId="21338F65">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附件11：暂估价一览表</w:t>
      </w:r>
    </w:p>
    <w:p w14:paraId="7FEAD25D">
      <w:pPr>
        <w:widowControl w:val="0"/>
        <w:spacing w:after="120"/>
        <w:jc w:val="both"/>
        <w:rPr>
          <w:rFonts w:hint="eastAsia" w:ascii="宋体" w:hAnsi="宋体" w:eastAsia="宋体" w:cs="宋体"/>
          <w:color w:val="auto"/>
          <w:kern w:val="2"/>
          <w:sz w:val="21"/>
          <w:szCs w:val="21"/>
          <w:highlight w:val="none"/>
          <w:lang w:val="en-US" w:eastAsia="zh-CN" w:bidi="ar-SA"/>
        </w:rPr>
      </w:pPr>
    </w:p>
    <w:p w14:paraId="199269D5">
      <w:pPr>
        <w:rPr>
          <w:rFonts w:hint="default" w:ascii="宋体" w:hAnsi="宋体" w:eastAsia="宋体" w:cs="宋体"/>
          <w:color w:val="auto"/>
          <w:sz w:val="21"/>
          <w:szCs w:val="21"/>
          <w:highlight w:val="none"/>
          <w:lang w:val="en-US" w:eastAsia="zh-CN"/>
        </w:rPr>
        <w:sectPr>
          <w:footerReference r:id="rId7" w:type="default"/>
          <w:pgSz w:w="11911" w:h="16838"/>
          <w:pgMar w:top="1134" w:right="1134" w:bottom="850" w:left="1134" w:header="0" w:footer="1003" w:gutter="0"/>
          <w:pgNumType w:fmt="numberInDash"/>
          <w:cols w:space="0" w:num="1"/>
          <w:rtlGutter w:val="0"/>
          <w:docGrid w:linePitch="312" w:charSpace="0"/>
        </w:sectPr>
      </w:pPr>
    </w:p>
    <w:p w14:paraId="343F09AE">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附件1：</w:t>
      </w:r>
    </w:p>
    <w:tbl>
      <w:tblPr>
        <w:tblStyle w:val="26"/>
        <w:tblpPr w:leftFromText="180" w:rightFromText="180" w:vertAnchor="text" w:horzAnchor="page" w:tblpX="573" w:tblpY="846"/>
        <w:tblOverlap w:val="never"/>
        <w:tblW w:w="109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6"/>
        <w:gridCol w:w="1130"/>
        <w:gridCol w:w="1359"/>
        <w:gridCol w:w="1168"/>
        <w:gridCol w:w="680"/>
        <w:gridCol w:w="930"/>
        <w:gridCol w:w="1166"/>
        <w:gridCol w:w="2227"/>
        <w:gridCol w:w="650"/>
        <w:gridCol w:w="649"/>
      </w:tblGrid>
      <w:tr w14:paraId="2CB3C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976" w:type="dxa"/>
            <w:tcBorders>
              <w:top w:val="single" w:color="auto" w:sz="12" w:space="0"/>
              <w:bottom w:val="double" w:color="auto" w:sz="6" w:space="0"/>
            </w:tcBorders>
            <w:noWrap w:val="0"/>
            <w:vAlign w:val="center"/>
          </w:tcPr>
          <w:p w14:paraId="519C8CE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单位工程名称</w:t>
            </w:r>
          </w:p>
        </w:tc>
        <w:tc>
          <w:tcPr>
            <w:tcW w:w="1130" w:type="dxa"/>
            <w:tcBorders>
              <w:top w:val="single" w:color="auto" w:sz="12" w:space="0"/>
              <w:bottom w:val="double" w:color="auto" w:sz="6" w:space="0"/>
            </w:tcBorders>
            <w:noWrap w:val="0"/>
            <w:vAlign w:val="center"/>
          </w:tcPr>
          <w:p w14:paraId="6C99C3A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建设规模</w:t>
            </w:r>
          </w:p>
        </w:tc>
        <w:tc>
          <w:tcPr>
            <w:tcW w:w="1359" w:type="dxa"/>
            <w:tcBorders>
              <w:top w:val="single" w:color="auto" w:sz="12" w:space="0"/>
              <w:bottom w:val="double" w:color="auto" w:sz="6" w:space="0"/>
            </w:tcBorders>
            <w:noWrap w:val="0"/>
            <w:vAlign w:val="center"/>
          </w:tcPr>
          <w:p w14:paraId="2DFEFD2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建筑面积(平方米)</w:t>
            </w:r>
          </w:p>
        </w:tc>
        <w:tc>
          <w:tcPr>
            <w:tcW w:w="1168" w:type="dxa"/>
            <w:tcBorders>
              <w:top w:val="single" w:color="auto" w:sz="12" w:space="0"/>
              <w:bottom w:val="double" w:color="auto" w:sz="6" w:space="0"/>
            </w:tcBorders>
            <w:noWrap w:val="0"/>
            <w:vAlign w:val="center"/>
          </w:tcPr>
          <w:p w14:paraId="1B30A15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结构形式</w:t>
            </w:r>
          </w:p>
        </w:tc>
        <w:tc>
          <w:tcPr>
            <w:tcW w:w="680" w:type="dxa"/>
            <w:tcBorders>
              <w:top w:val="single" w:color="auto" w:sz="12" w:space="0"/>
              <w:bottom w:val="double" w:color="auto" w:sz="6" w:space="0"/>
            </w:tcBorders>
            <w:noWrap w:val="0"/>
            <w:vAlign w:val="center"/>
          </w:tcPr>
          <w:p w14:paraId="414A701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层数</w:t>
            </w:r>
          </w:p>
        </w:tc>
        <w:tc>
          <w:tcPr>
            <w:tcW w:w="930" w:type="dxa"/>
            <w:tcBorders>
              <w:top w:val="single" w:color="auto" w:sz="12" w:space="0"/>
              <w:bottom w:val="double" w:color="auto" w:sz="6" w:space="0"/>
            </w:tcBorders>
            <w:noWrap w:val="0"/>
            <w:vAlign w:val="center"/>
          </w:tcPr>
          <w:p w14:paraId="0FB8DBF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1166" w:type="dxa"/>
            <w:tcBorders>
              <w:top w:val="single" w:color="auto" w:sz="12" w:space="0"/>
              <w:bottom w:val="double" w:color="auto" w:sz="6" w:space="0"/>
            </w:tcBorders>
            <w:noWrap w:val="0"/>
            <w:vAlign w:val="center"/>
          </w:tcPr>
          <w:p w14:paraId="7444A0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设备安装内容</w:t>
            </w:r>
          </w:p>
        </w:tc>
        <w:tc>
          <w:tcPr>
            <w:tcW w:w="2227" w:type="dxa"/>
            <w:tcBorders>
              <w:top w:val="single" w:color="auto" w:sz="12" w:space="0"/>
              <w:bottom w:val="double" w:color="auto" w:sz="6" w:space="0"/>
            </w:tcBorders>
            <w:noWrap w:val="0"/>
            <w:vAlign w:val="center"/>
          </w:tcPr>
          <w:p w14:paraId="24BE9EC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合同价格（元）</w:t>
            </w:r>
          </w:p>
        </w:tc>
        <w:tc>
          <w:tcPr>
            <w:tcW w:w="650" w:type="dxa"/>
            <w:tcBorders>
              <w:top w:val="single" w:color="auto" w:sz="12" w:space="0"/>
              <w:bottom w:val="double" w:color="auto" w:sz="6" w:space="0"/>
            </w:tcBorders>
            <w:noWrap w:val="0"/>
            <w:vAlign w:val="center"/>
          </w:tcPr>
          <w:p w14:paraId="48D7F1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开工日期</w:t>
            </w:r>
          </w:p>
        </w:tc>
        <w:tc>
          <w:tcPr>
            <w:tcW w:w="649" w:type="dxa"/>
            <w:tcBorders>
              <w:top w:val="single" w:color="auto" w:sz="12" w:space="0"/>
              <w:bottom w:val="double" w:color="auto" w:sz="6" w:space="0"/>
            </w:tcBorders>
            <w:noWrap w:val="0"/>
            <w:vAlign w:val="center"/>
          </w:tcPr>
          <w:p w14:paraId="459B99F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竣工日期</w:t>
            </w:r>
          </w:p>
        </w:tc>
      </w:tr>
      <w:tr w14:paraId="73F34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76" w:type="dxa"/>
            <w:tcBorders>
              <w:top w:val="double" w:color="auto" w:sz="6" w:space="0"/>
              <w:bottom w:val="single" w:color="auto" w:sz="6" w:space="0"/>
            </w:tcBorders>
            <w:noWrap w:val="0"/>
            <w:vAlign w:val="center"/>
          </w:tcPr>
          <w:p w14:paraId="3C47B4B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double" w:color="auto" w:sz="6" w:space="0"/>
              <w:bottom w:val="single" w:color="auto" w:sz="6" w:space="0"/>
            </w:tcBorders>
            <w:noWrap w:val="0"/>
            <w:vAlign w:val="center"/>
          </w:tcPr>
          <w:p w14:paraId="3693343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double" w:color="auto" w:sz="6" w:space="0"/>
              <w:bottom w:val="single" w:color="auto" w:sz="6" w:space="0"/>
            </w:tcBorders>
            <w:noWrap w:val="0"/>
            <w:vAlign w:val="center"/>
          </w:tcPr>
          <w:p w14:paraId="30EA6F7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double" w:color="auto" w:sz="6" w:space="0"/>
              <w:bottom w:val="single" w:color="auto" w:sz="6" w:space="0"/>
            </w:tcBorders>
            <w:noWrap w:val="0"/>
            <w:vAlign w:val="center"/>
          </w:tcPr>
          <w:p w14:paraId="649B78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double" w:color="auto" w:sz="6" w:space="0"/>
              <w:bottom w:val="single" w:color="auto" w:sz="6" w:space="0"/>
            </w:tcBorders>
            <w:noWrap w:val="0"/>
            <w:vAlign w:val="center"/>
          </w:tcPr>
          <w:p w14:paraId="1E79533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double" w:color="auto" w:sz="6" w:space="0"/>
              <w:bottom w:val="single" w:color="auto" w:sz="6" w:space="0"/>
            </w:tcBorders>
            <w:noWrap w:val="0"/>
            <w:vAlign w:val="center"/>
          </w:tcPr>
          <w:p w14:paraId="6A0BE23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double" w:color="auto" w:sz="6" w:space="0"/>
              <w:bottom w:val="single" w:color="auto" w:sz="6" w:space="0"/>
            </w:tcBorders>
            <w:noWrap w:val="0"/>
            <w:vAlign w:val="center"/>
          </w:tcPr>
          <w:p w14:paraId="2F6CEE0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double" w:color="auto" w:sz="6" w:space="0"/>
              <w:bottom w:val="single" w:color="auto" w:sz="6" w:space="0"/>
            </w:tcBorders>
            <w:noWrap w:val="0"/>
            <w:vAlign w:val="center"/>
          </w:tcPr>
          <w:p w14:paraId="6A0B6CA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double" w:color="auto" w:sz="6" w:space="0"/>
              <w:bottom w:val="single" w:color="auto" w:sz="6" w:space="0"/>
            </w:tcBorders>
            <w:noWrap w:val="0"/>
            <w:vAlign w:val="center"/>
          </w:tcPr>
          <w:p w14:paraId="508FC5F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double" w:color="auto" w:sz="6" w:space="0"/>
              <w:bottom w:val="single" w:color="auto" w:sz="6" w:space="0"/>
            </w:tcBorders>
            <w:noWrap w:val="0"/>
            <w:vAlign w:val="center"/>
          </w:tcPr>
          <w:p w14:paraId="5A1CA2D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18BDB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2C6B8BB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19D886F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034A8CE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1D0631F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5AD7F38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4767947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378DAC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3FF0137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20683BB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114C15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9C57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4C1436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1E90317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598D5A3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237DBE4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3E9A01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3FDEB02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596045F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3DA3638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6B1A89E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572694A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62CB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14:paraId="32BD41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14:paraId="1D39F89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14:paraId="435296C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5F1F9E3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14:paraId="50C4A3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14:paraId="5EE59F3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14:paraId="780927E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14:paraId="0DA99FE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14:paraId="04973E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14:paraId="3B3FCE0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AF3A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79F248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3AC1941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5A1DA8F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201F93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2040D33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767778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5AE93EC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4AD4E7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10228C0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50BB6F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0050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14:paraId="7E9F767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14:paraId="39D03D4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14:paraId="795D4E7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48AA610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14:paraId="141D917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14:paraId="66CF2D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14:paraId="7F039F2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14:paraId="590266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14:paraId="202A38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14:paraId="5650A8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C1F8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003060F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5F17FF3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0C6FA67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7B04D3C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7ADA78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50B842E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19688E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57CAC8C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36DA838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00C1CAB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83EF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43AE42A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14EDA88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109B4CB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4C67E9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43219E3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7E0AA0B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3F90A76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100B262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5578335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46E7CD4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A909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noWrap w:val="0"/>
            <w:vAlign w:val="center"/>
          </w:tcPr>
          <w:p w14:paraId="5D7837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14:paraId="0C085F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14:paraId="6109B23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74CB429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14:paraId="136C154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14:paraId="1C84130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14:paraId="17509B8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14:paraId="3D5D611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14:paraId="3274B2A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14:paraId="2957895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FE52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976" w:type="dxa"/>
            <w:tcBorders>
              <w:top w:val="nil"/>
            </w:tcBorders>
            <w:noWrap w:val="0"/>
            <w:vAlign w:val="center"/>
          </w:tcPr>
          <w:p w14:paraId="167E3A6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tcBorders>
              <w:top w:val="nil"/>
            </w:tcBorders>
            <w:noWrap w:val="0"/>
            <w:vAlign w:val="center"/>
          </w:tcPr>
          <w:p w14:paraId="635A7AC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tcBorders>
              <w:top w:val="nil"/>
            </w:tcBorders>
            <w:noWrap w:val="0"/>
            <w:vAlign w:val="center"/>
          </w:tcPr>
          <w:p w14:paraId="28F39D4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tcBorders>
              <w:top w:val="nil"/>
            </w:tcBorders>
            <w:noWrap w:val="0"/>
            <w:vAlign w:val="center"/>
          </w:tcPr>
          <w:p w14:paraId="35D7517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tcBorders>
              <w:top w:val="nil"/>
            </w:tcBorders>
            <w:noWrap w:val="0"/>
            <w:vAlign w:val="center"/>
          </w:tcPr>
          <w:p w14:paraId="0BB572D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tcBorders>
              <w:top w:val="nil"/>
            </w:tcBorders>
            <w:noWrap w:val="0"/>
            <w:vAlign w:val="center"/>
          </w:tcPr>
          <w:p w14:paraId="2712126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tcBorders>
              <w:top w:val="nil"/>
            </w:tcBorders>
            <w:noWrap w:val="0"/>
            <w:vAlign w:val="center"/>
          </w:tcPr>
          <w:p w14:paraId="1363010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tcBorders>
              <w:top w:val="nil"/>
            </w:tcBorders>
            <w:noWrap w:val="0"/>
            <w:vAlign w:val="center"/>
          </w:tcPr>
          <w:p w14:paraId="4858FD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tcBorders>
              <w:top w:val="nil"/>
            </w:tcBorders>
            <w:noWrap w:val="0"/>
            <w:vAlign w:val="center"/>
          </w:tcPr>
          <w:p w14:paraId="6E784B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tcBorders>
              <w:top w:val="nil"/>
            </w:tcBorders>
            <w:noWrap w:val="0"/>
            <w:vAlign w:val="center"/>
          </w:tcPr>
          <w:p w14:paraId="6BF91AA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A838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trPr>
        <w:tc>
          <w:tcPr>
            <w:tcW w:w="976" w:type="dxa"/>
            <w:noWrap w:val="0"/>
            <w:vAlign w:val="center"/>
          </w:tcPr>
          <w:p w14:paraId="7DA473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0" w:type="dxa"/>
            <w:noWrap w:val="0"/>
            <w:vAlign w:val="center"/>
          </w:tcPr>
          <w:p w14:paraId="2AAF84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59" w:type="dxa"/>
            <w:noWrap w:val="0"/>
            <w:vAlign w:val="center"/>
          </w:tcPr>
          <w:p w14:paraId="388232B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8" w:type="dxa"/>
            <w:noWrap w:val="0"/>
            <w:vAlign w:val="center"/>
          </w:tcPr>
          <w:p w14:paraId="0E8ACA2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80" w:type="dxa"/>
            <w:noWrap w:val="0"/>
            <w:vAlign w:val="center"/>
          </w:tcPr>
          <w:p w14:paraId="23A45D1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30" w:type="dxa"/>
            <w:noWrap w:val="0"/>
            <w:vAlign w:val="center"/>
          </w:tcPr>
          <w:p w14:paraId="3643447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66" w:type="dxa"/>
            <w:noWrap w:val="0"/>
            <w:vAlign w:val="center"/>
          </w:tcPr>
          <w:p w14:paraId="483F58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2227" w:type="dxa"/>
            <w:noWrap w:val="0"/>
            <w:vAlign w:val="center"/>
          </w:tcPr>
          <w:p w14:paraId="0070162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0" w:type="dxa"/>
            <w:noWrap w:val="0"/>
            <w:vAlign w:val="center"/>
          </w:tcPr>
          <w:p w14:paraId="5DA2B1D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49" w:type="dxa"/>
            <w:noWrap w:val="0"/>
            <w:vAlign w:val="center"/>
          </w:tcPr>
          <w:p w14:paraId="1DB23D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14:paraId="3DA4EDB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承包人承揽工程项目一览表</w:t>
      </w:r>
    </w:p>
    <w:p w14:paraId="3AF9BF79">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1"/>
          <w:szCs w:val="21"/>
          <w:highlight w:val="none"/>
        </w:rPr>
        <w:sectPr>
          <w:pgSz w:w="11911" w:h="16838"/>
          <w:pgMar w:top="1134" w:right="1134" w:bottom="850" w:left="1134" w:header="0" w:footer="1003" w:gutter="0"/>
          <w:pgNumType w:fmt="numberInDash"/>
          <w:cols w:space="0" w:num="1"/>
          <w:rtlGutter w:val="0"/>
          <w:docGrid w:linePitch="312" w:charSpace="0"/>
        </w:sectPr>
      </w:pPr>
    </w:p>
    <w:p w14:paraId="3749AF6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附件2：</w:t>
      </w:r>
    </w:p>
    <w:p w14:paraId="0CA5326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发包人供应材料设备一览表</w:t>
      </w:r>
    </w:p>
    <w:tbl>
      <w:tblPr>
        <w:tblStyle w:val="26"/>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14:paraId="6173C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noWrap w:val="0"/>
            <w:vAlign w:val="center"/>
          </w:tcPr>
          <w:p w14:paraId="545AC15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099" w:type="dxa"/>
            <w:tcBorders>
              <w:top w:val="single" w:color="auto" w:sz="12" w:space="0"/>
              <w:bottom w:val="double" w:color="auto" w:sz="6" w:space="0"/>
            </w:tcBorders>
            <w:noWrap w:val="0"/>
            <w:vAlign w:val="center"/>
          </w:tcPr>
          <w:p w14:paraId="7486E2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材料、</w:t>
            </w:r>
          </w:p>
          <w:p w14:paraId="14B5D0A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设备品种</w:t>
            </w:r>
          </w:p>
        </w:tc>
        <w:tc>
          <w:tcPr>
            <w:tcW w:w="1134" w:type="dxa"/>
            <w:tcBorders>
              <w:top w:val="single" w:color="auto" w:sz="12" w:space="0"/>
              <w:bottom w:val="double" w:color="auto" w:sz="6" w:space="0"/>
            </w:tcBorders>
            <w:noWrap w:val="0"/>
            <w:vAlign w:val="center"/>
          </w:tcPr>
          <w:p w14:paraId="47DB05B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620" w:type="dxa"/>
            <w:tcBorders>
              <w:top w:val="single" w:color="auto" w:sz="12" w:space="0"/>
              <w:bottom w:val="double" w:color="auto" w:sz="6" w:space="0"/>
            </w:tcBorders>
            <w:noWrap w:val="0"/>
            <w:vAlign w:val="center"/>
          </w:tcPr>
          <w:p w14:paraId="139F21A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690" w:type="dxa"/>
            <w:tcBorders>
              <w:top w:val="single" w:color="auto" w:sz="12" w:space="0"/>
              <w:bottom w:val="double" w:color="auto" w:sz="6" w:space="0"/>
            </w:tcBorders>
            <w:noWrap w:val="0"/>
            <w:vAlign w:val="center"/>
          </w:tcPr>
          <w:p w14:paraId="4F961BA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1044" w:type="dxa"/>
            <w:tcBorders>
              <w:top w:val="single" w:color="auto" w:sz="12" w:space="0"/>
              <w:bottom w:val="double" w:color="auto" w:sz="6" w:space="0"/>
            </w:tcBorders>
            <w:noWrap w:val="0"/>
            <w:vAlign w:val="center"/>
          </w:tcPr>
          <w:p w14:paraId="4A0BFA2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单价（元）</w:t>
            </w:r>
          </w:p>
        </w:tc>
        <w:tc>
          <w:tcPr>
            <w:tcW w:w="719" w:type="dxa"/>
            <w:tcBorders>
              <w:top w:val="single" w:color="auto" w:sz="12" w:space="0"/>
              <w:bottom w:val="double" w:color="auto" w:sz="6" w:space="0"/>
            </w:tcBorders>
            <w:noWrap w:val="0"/>
            <w:vAlign w:val="center"/>
          </w:tcPr>
          <w:p w14:paraId="7ACABE7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质量等级</w:t>
            </w:r>
          </w:p>
        </w:tc>
        <w:tc>
          <w:tcPr>
            <w:tcW w:w="716" w:type="dxa"/>
            <w:tcBorders>
              <w:top w:val="single" w:color="auto" w:sz="12" w:space="0"/>
              <w:bottom w:val="double" w:color="auto" w:sz="6" w:space="0"/>
            </w:tcBorders>
            <w:noWrap w:val="0"/>
            <w:vAlign w:val="center"/>
          </w:tcPr>
          <w:p w14:paraId="1824265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供应时间</w:t>
            </w:r>
          </w:p>
        </w:tc>
        <w:tc>
          <w:tcPr>
            <w:tcW w:w="1487" w:type="dxa"/>
            <w:tcBorders>
              <w:top w:val="single" w:color="auto" w:sz="12" w:space="0"/>
              <w:bottom w:val="double" w:color="auto" w:sz="6" w:space="0"/>
            </w:tcBorders>
            <w:noWrap w:val="0"/>
            <w:vAlign w:val="center"/>
          </w:tcPr>
          <w:p w14:paraId="4C4686E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送达地点</w:t>
            </w:r>
          </w:p>
        </w:tc>
        <w:tc>
          <w:tcPr>
            <w:tcW w:w="783" w:type="dxa"/>
            <w:tcBorders>
              <w:top w:val="single" w:color="auto" w:sz="12" w:space="0"/>
              <w:bottom w:val="double" w:color="auto" w:sz="6" w:space="0"/>
            </w:tcBorders>
            <w:noWrap w:val="0"/>
            <w:vAlign w:val="center"/>
          </w:tcPr>
          <w:p w14:paraId="284D364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14:paraId="30C76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noWrap w:val="0"/>
            <w:vAlign w:val="center"/>
          </w:tcPr>
          <w:p w14:paraId="461F311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tcBorders>
              <w:top w:val="double" w:color="auto" w:sz="6" w:space="0"/>
              <w:bottom w:val="single" w:color="auto" w:sz="6" w:space="0"/>
            </w:tcBorders>
            <w:noWrap w:val="0"/>
            <w:vAlign w:val="center"/>
          </w:tcPr>
          <w:p w14:paraId="71E060E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double" w:color="auto" w:sz="6" w:space="0"/>
              <w:bottom w:val="single" w:color="auto" w:sz="6" w:space="0"/>
            </w:tcBorders>
            <w:noWrap w:val="0"/>
            <w:vAlign w:val="center"/>
          </w:tcPr>
          <w:p w14:paraId="0C426E7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tcBorders>
              <w:top w:val="double" w:color="auto" w:sz="6" w:space="0"/>
              <w:bottom w:val="single" w:color="auto" w:sz="6" w:space="0"/>
            </w:tcBorders>
            <w:noWrap w:val="0"/>
            <w:vAlign w:val="center"/>
          </w:tcPr>
          <w:p w14:paraId="1D485B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tcBorders>
              <w:top w:val="double" w:color="auto" w:sz="6" w:space="0"/>
              <w:bottom w:val="single" w:color="auto" w:sz="6" w:space="0"/>
            </w:tcBorders>
            <w:noWrap w:val="0"/>
            <w:vAlign w:val="center"/>
          </w:tcPr>
          <w:p w14:paraId="375D4CD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tcBorders>
              <w:top w:val="double" w:color="auto" w:sz="6" w:space="0"/>
              <w:bottom w:val="single" w:color="auto" w:sz="6" w:space="0"/>
            </w:tcBorders>
            <w:noWrap w:val="0"/>
            <w:vAlign w:val="center"/>
          </w:tcPr>
          <w:p w14:paraId="6D73D41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tcBorders>
              <w:top w:val="double" w:color="auto" w:sz="6" w:space="0"/>
              <w:bottom w:val="single" w:color="auto" w:sz="6" w:space="0"/>
            </w:tcBorders>
            <w:noWrap w:val="0"/>
            <w:vAlign w:val="center"/>
          </w:tcPr>
          <w:p w14:paraId="07C1E4A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tcBorders>
              <w:top w:val="double" w:color="auto" w:sz="6" w:space="0"/>
              <w:bottom w:val="single" w:color="auto" w:sz="6" w:space="0"/>
            </w:tcBorders>
            <w:noWrap w:val="0"/>
            <w:vAlign w:val="center"/>
          </w:tcPr>
          <w:p w14:paraId="4110C49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tcBorders>
              <w:top w:val="double" w:color="auto" w:sz="6" w:space="0"/>
              <w:bottom w:val="single" w:color="auto" w:sz="6" w:space="0"/>
            </w:tcBorders>
            <w:noWrap w:val="0"/>
            <w:vAlign w:val="center"/>
          </w:tcPr>
          <w:p w14:paraId="2FD27BD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tcBorders>
              <w:top w:val="double" w:color="auto" w:sz="6" w:space="0"/>
              <w:bottom w:val="single" w:color="auto" w:sz="6" w:space="0"/>
            </w:tcBorders>
            <w:noWrap w:val="0"/>
            <w:vAlign w:val="center"/>
          </w:tcPr>
          <w:p w14:paraId="3C3E113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8524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noWrap w:val="0"/>
            <w:vAlign w:val="center"/>
          </w:tcPr>
          <w:p w14:paraId="00355F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tcBorders>
              <w:top w:val="nil"/>
            </w:tcBorders>
            <w:noWrap w:val="0"/>
            <w:vAlign w:val="center"/>
          </w:tcPr>
          <w:p w14:paraId="782C51C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14:paraId="59AF416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tcBorders>
              <w:top w:val="nil"/>
            </w:tcBorders>
            <w:noWrap w:val="0"/>
            <w:vAlign w:val="center"/>
          </w:tcPr>
          <w:p w14:paraId="690E19B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tcBorders>
              <w:top w:val="nil"/>
            </w:tcBorders>
            <w:noWrap w:val="0"/>
            <w:vAlign w:val="center"/>
          </w:tcPr>
          <w:p w14:paraId="7E0F2D9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tcBorders>
              <w:top w:val="nil"/>
            </w:tcBorders>
            <w:noWrap w:val="0"/>
            <w:vAlign w:val="center"/>
          </w:tcPr>
          <w:p w14:paraId="0AFDEBB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tcBorders>
              <w:top w:val="nil"/>
            </w:tcBorders>
            <w:noWrap w:val="0"/>
            <w:vAlign w:val="center"/>
          </w:tcPr>
          <w:p w14:paraId="25ACBBE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tcBorders>
              <w:top w:val="nil"/>
            </w:tcBorders>
            <w:noWrap w:val="0"/>
            <w:vAlign w:val="center"/>
          </w:tcPr>
          <w:p w14:paraId="5BA4AD5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tcBorders>
              <w:top w:val="nil"/>
            </w:tcBorders>
            <w:noWrap w:val="0"/>
            <w:vAlign w:val="center"/>
          </w:tcPr>
          <w:p w14:paraId="7383335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tcBorders>
              <w:top w:val="nil"/>
            </w:tcBorders>
            <w:noWrap w:val="0"/>
            <w:vAlign w:val="center"/>
          </w:tcPr>
          <w:p w14:paraId="5C8B67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3F44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D63419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3F84514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6D34D0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3E20C79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7501C24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7EBBE33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3AFB306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4925ED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24500AC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22E3653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3AC4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62A53FF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5D4E58A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19122D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565963A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19B5A5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0F2C314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4C064F8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4B4C098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619D863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1BCA8DB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C021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7099F67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2BCA769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20C338B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101B1D0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55E3B27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77234D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7A9F02C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4DB497A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1C8A333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1E6059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C27F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57AECF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311F313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406D16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450896C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258B28A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6897F4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1053C23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60060B3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4BE893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7C22B2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6367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393BD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42145A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77252F5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45D53A2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17FD99F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5DA38F3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541CA9F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0D475A3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397BE80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71C9D63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BC20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144782B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1EB335C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64E4494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6233CE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66DC0F5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77B1CBB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4BDAADF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58A4CE3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166D2EB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03B5FA8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1159A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29A3695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796EF4BC">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064E545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5EBBDE6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32C0835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68CEEFE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4ADC63F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7340214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4B56FA8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1C53A44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40222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9C1226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99" w:type="dxa"/>
            <w:noWrap w:val="0"/>
            <w:vAlign w:val="center"/>
          </w:tcPr>
          <w:p w14:paraId="7D09CA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6D53E35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20" w:type="dxa"/>
            <w:noWrap w:val="0"/>
            <w:vAlign w:val="center"/>
          </w:tcPr>
          <w:p w14:paraId="5512DC2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90" w:type="dxa"/>
            <w:noWrap w:val="0"/>
            <w:vAlign w:val="center"/>
          </w:tcPr>
          <w:p w14:paraId="1BFF3CF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44" w:type="dxa"/>
            <w:noWrap w:val="0"/>
            <w:vAlign w:val="center"/>
          </w:tcPr>
          <w:p w14:paraId="7149129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9" w:type="dxa"/>
            <w:noWrap w:val="0"/>
            <w:vAlign w:val="center"/>
          </w:tcPr>
          <w:p w14:paraId="2630B6E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16" w:type="dxa"/>
            <w:noWrap w:val="0"/>
            <w:vAlign w:val="center"/>
          </w:tcPr>
          <w:p w14:paraId="4B77A7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87" w:type="dxa"/>
            <w:noWrap w:val="0"/>
            <w:vAlign w:val="center"/>
          </w:tcPr>
          <w:p w14:paraId="1341631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783" w:type="dxa"/>
            <w:noWrap w:val="0"/>
            <w:vAlign w:val="center"/>
          </w:tcPr>
          <w:p w14:paraId="05F4AAE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5324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E854F9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010534F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19F639B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429069E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5E3A57A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21B4FF8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4BB6A8A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5FC10E5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53DF159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005CB92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44102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BFC258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0D1D9D4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46ADEAD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60A41D4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29FD518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05AE0D8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1A19239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1F012AE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20C5173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672DD1A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3134E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02DC174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2E00EF4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5F3ABA30">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05D251E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0F66742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289204A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077BFAF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69BEA3D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72E1C76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7536A5C5">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2BABC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47CBD20">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7577CB3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1598AFB8">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4BA20DA5">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3833F6C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7414C12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58BF30B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54F919F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4F02CDF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383F769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7B072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C8683B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14E3679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346A5DB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1C92A18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544C7BA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4836FD05">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1D08AD8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7203CAA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7634C9AC">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75F6C64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4201A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36935EA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25206F9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04EE532C">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0B3694C5">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3F6FA2D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476883C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13F208F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143E2BD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77022AFC">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3E071AB8">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0094C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4E2466E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65E15BD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131D5A8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60B43F30">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102940CE">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6853D9BF">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10A828B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721333F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0FA2911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121A1F37">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r w14:paraId="27A73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noWrap w:val="0"/>
            <w:vAlign w:val="center"/>
          </w:tcPr>
          <w:p w14:paraId="5144137B">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99" w:type="dxa"/>
            <w:noWrap w:val="0"/>
            <w:vAlign w:val="center"/>
          </w:tcPr>
          <w:p w14:paraId="3D19091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134" w:type="dxa"/>
            <w:noWrap w:val="0"/>
            <w:vAlign w:val="center"/>
          </w:tcPr>
          <w:p w14:paraId="7F7EC73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20" w:type="dxa"/>
            <w:noWrap w:val="0"/>
            <w:vAlign w:val="center"/>
          </w:tcPr>
          <w:p w14:paraId="75C73C90">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690" w:type="dxa"/>
            <w:noWrap w:val="0"/>
            <w:vAlign w:val="center"/>
          </w:tcPr>
          <w:p w14:paraId="740287D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044" w:type="dxa"/>
            <w:noWrap w:val="0"/>
            <w:vAlign w:val="center"/>
          </w:tcPr>
          <w:p w14:paraId="7C83269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9" w:type="dxa"/>
            <w:noWrap w:val="0"/>
            <w:vAlign w:val="center"/>
          </w:tcPr>
          <w:p w14:paraId="36545766">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16" w:type="dxa"/>
            <w:noWrap w:val="0"/>
            <w:vAlign w:val="center"/>
          </w:tcPr>
          <w:p w14:paraId="0AF5B51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1487" w:type="dxa"/>
            <w:noWrap w:val="0"/>
            <w:vAlign w:val="center"/>
          </w:tcPr>
          <w:p w14:paraId="4EE4C91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c>
          <w:tcPr>
            <w:tcW w:w="783" w:type="dxa"/>
            <w:noWrap w:val="0"/>
            <w:vAlign w:val="center"/>
          </w:tcPr>
          <w:p w14:paraId="1579CF53">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p>
        </w:tc>
      </w:tr>
    </w:tbl>
    <w:p w14:paraId="07497AE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789AA26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3F7116F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647563F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3B499D5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3E6F2B5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619EA5F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61F3761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附件3：    </w:t>
      </w:r>
    </w:p>
    <w:p w14:paraId="7596C8CA">
      <w:pPr>
        <w:widowControl w:val="0"/>
        <w:tabs>
          <w:tab w:val="left" w:pos="0"/>
        </w:tabs>
        <w:spacing w:line="276" w:lineRule="auto"/>
        <w:ind w:firstLine="0" w:firstLineChars="0"/>
        <w:jc w:val="both"/>
        <w:rPr>
          <w:rFonts w:ascii="Times New Roman" w:hAnsi="Times New Roman" w:eastAsia="宋体" w:cs="Times New Roman"/>
          <w:color w:val="auto"/>
          <w:kern w:val="2"/>
          <w:sz w:val="30"/>
          <w:szCs w:val="30"/>
          <w:highlight w:val="none"/>
          <w:lang w:val="en-US" w:eastAsia="zh-CN" w:bidi="ar-SA"/>
        </w:rPr>
      </w:pPr>
      <w:r>
        <w:rPr>
          <w:rFonts w:ascii="Times New Roman" w:hAnsi="Times New Roman" w:eastAsia="宋体" w:cs="Times New Roman"/>
          <w:color w:val="auto"/>
          <w:kern w:val="2"/>
          <w:sz w:val="30"/>
          <w:szCs w:val="30"/>
          <w:highlight w:val="none"/>
          <w:lang w:val="en-US" w:eastAsia="zh-CN" w:bidi="ar-SA"/>
        </w:rPr>
        <w:t xml:space="preserve">  </w:t>
      </w:r>
    </w:p>
    <w:p w14:paraId="6B0F75C9">
      <w:pPr>
        <w:widowControl w:val="0"/>
        <w:jc w:val="center"/>
        <w:rPr>
          <w:rFonts w:ascii="宋体" w:hAnsi="宋体" w:eastAsia="宋体" w:cs="Times New Roman"/>
          <w:color w:val="auto"/>
          <w:kern w:val="2"/>
          <w:sz w:val="28"/>
          <w:szCs w:val="28"/>
          <w:highlight w:val="none"/>
          <w:lang w:val="en-US" w:eastAsia="zh-CN" w:bidi="ar-SA"/>
        </w:rPr>
      </w:pPr>
      <w:r>
        <w:rPr>
          <w:rFonts w:ascii="宋体" w:hAnsi="宋体" w:eastAsia="宋体" w:cs="Times New Roman"/>
          <w:color w:val="auto"/>
          <w:kern w:val="2"/>
          <w:sz w:val="28"/>
          <w:szCs w:val="28"/>
          <w:highlight w:val="none"/>
          <w:lang w:val="en-US" w:eastAsia="zh-CN" w:bidi="ar-SA"/>
        </w:rPr>
        <w:t>工程质量保修书</w:t>
      </w:r>
    </w:p>
    <w:p w14:paraId="42861A10">
      <w:pPr>
        <w:widowControl w:val="0"/>
        <w:adjustRightInd w:val="0"/>
        <w:spacing w:after="60" w:line="360" w:lineRule="atLeast"/>
        <w:ind w:left="63" w:leftChars="30" w:right="63" w:rightChars="30"/>
        <w:jc w:val="center"/>
        <w:rPr>
          <w:rFonts w:ascii="Calibri" w:hAnsi="Calibri" w:eastAsia="宋体" w:cs="Times New Roman"/>
          <w:color w:val="auto"/>
          <w:kern w:val="0"/>
          <w:sz w:val="20"/>
          <w:szCs w:val="20"/>
          <w:highlight w:val="none"/>
          <w:lang w:val="zh-CN" w:eastAsia="zh-CN" w:bidi="ar-SA"/>
        </w:rPr>
      </w:pPr>
    </w:p>
    <w:p w14:paraId="5F4A9921">
      <w:pPr>
        <w:widowControl w:val="0"/>
        <w:spacing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发包人（全称）：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590D319E">
      <w:pPr>
        <w:widowControl w:val="0"/>
        <w:spacing w:line="320" w:lineRule="exact"/>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承包人（全称）：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p>
    <w:p w14:paraId="0E3A4B97">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为保证</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工程</w:t>
      </w:r>
      <w:r>
        <w:rPr>
          <w:rFonts w:hint="eastAsia" w:ascii="宋体" w:hAnsi="宋体" w:eastAsia="宋体" w:cs="宋体"/>
          <w:color w:val="auto"/>
          <w:kern w:val="2"/>
          <w:sz w:val="21"/>
          <w:szCs w:val="21"/>
          <w:highlight w:val="none"/>
          <w:lang w:val="en-US" w:eastAsia="zh-CN" w:bidi="ar-SA"/>
        </w:rPr>
        <w:t>在合理使用期限内正常使用，经发包人、承包人协商一致签订本工程质量保修书。承包人在质量保修期内按照有关管理规定及双方约定承担工程质量保修责任。</w:t>
      </w:r>
    </w:p>
    <w:p w14:paraId="0FCC9821">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一、工程保修范围和内容</w:t>
      </w:r>
    </w:p>
    <w:p w14:paraId="16E53312">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4"/>
          <w:highlight w:val="none"/>
          <w:lang w:val="en-US" w:eastAsia="zh-CN" w:bidi="ar-SA"/>
        </w:rPr>
        <w:t>质量保修范围为施工图纸所包括的工程内容，</w:t>
      </w:r>
      <w:r>
        <w:rPr>
          <w:rFonts w:hint="eastAsia" w:ascii="宋体" w:hAnsi="宋体" w:eastAsia="宋体" w:cs="宋体"/>
          <w:color w:val="auto"/>
          <w:kern w:val="2"/>
          <w:sz w:val="21"/>
          <w:szCs w:val="21"/>
          <w:highlight w:val="none"/>
          <w:lang w:val="en-US" w:eastAsia="zh-CN" w:bidi="ar-SA"/>
        </w:rPr>
        <w:t>具体质量保修内容双方约定如下：</w:t>
      </w:r>
      <w:r>
        <w:rPr>
          <w:rFonts w:hint="eastAsia" w:ascii="宋体" w:hAnsi="宋体" w:eastAsia="宋体" w:cs="宋体"/>
          <w:color w:val="auto"/>
          <w:kern w:val="2"/>
          <w:sz w:val="21"/>
          <w:szCs w:val="21"/>
          <w:highlight w:val="none"/>
          <w:u w:val="single"/>
          <w:lang w:val="en-US" w:eastAsia="zh-CN" w:bidi="ar-SA"/>
        </w:rPr>
        <w:t xml:space="preserve"> 承包方所承包施工的全部工程内容 </w:t>
      </w:r>
      <w:r>
        <w:rPr>
          <w:rFonts w:hint="eastAsia" w:ascii="宋体" w:hAnsi="宋体" w:eastAsia="宋体" w:cs="宋体"/>
          <w:color w:val="auto"/>
          <w:kern w:val="2"/>
          <w:sz w:val="21"/>
          <w:szCs w:val="21"/>
          <w:highlight w:val="none"/>
          <w:lang w:val="en-US" w:eastAsia="zh-CN" w:bidi="ar-SA"/>
        </w:rPr>
        <w:t>。</w:t>
      </w:r>
    </w:p>
    <w:p w14:paraId="72E49B95">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二、质量保修期</w:t>
      </w:r>
    </w:p>
    <w:p w14:paraId="6197904A">
      <w:pPr>
        <w:widowControl w:val="0"/>
        <w:spacing w:line="360" w:lineRule="auto"/>
        <w:ind w:firstLine="540"/>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质量保修期从工程实际竣工验收通过之日算起。分单项竣工验收的工程，按单项工程分别计算质量保修期。</w:t>
      </w:r>
    </w:p>
    <w:p w14:paraId="38468BDC">
      <w:pPr>
        <w:widowControl w:val="0"/>
        <w:spacing w:line="360" w:lineRule="auto"/>
        <w:ind w:firstLine="420"/>
        <w:jc w:val="both"/>
        <w:rPr>
          <w:rFonts w:ascii="Times New Roman" w:hAnsi="宋体" w:eastAsia="宋体" w:cs="Times New Roman"/>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根据《建设工程质量管理条例》及有关规定，工程的质量保修期如下：</w:t>
      </w:r>
    </w:p>
    <w:p w14:paraId="3B36F64A">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1</w:t>
      </w:r>
      <w:r>
        <w:rPr>
          <w:rFonts w:hint="eastAsia" w:ascii="Calibri" w:hAnsi="宋体" w:eastAsia="宋体" w:cs="宋体"/>
          <w:color w:val="auto"/>
          <w:kern w:val="2"/>
          <w:sz w:val="21"/>
          <w:szCs w:val="24"/>
          <w:highlight w:val="none"/>
          <w:lang w:val="en-US" w:eastAsia="zh-CN" w:bidi="ar-SA"/>
        </w:rPr>
        <w:t>．地基基础工程和主体结构工程为设计文件规定的工程合理使用年限；</w:t>
      </w:r>
    </w:p>
    <w:p w14:paraId="73783128">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2</w:t>
      </w:r>
      <w:r>
        <w:rPr>
          <w:rFonts w:hint="eastAsia" w:ascii="Calibri" w:hAnsi="宋体" w:eastAsia="宋体" w:cs="宋体"/>
          <w:color w:val="auto"/>
          <w:kern w:val="2"/>
          <w:sz w:val="21"/>
          <w:szCs w:val="24"/>
          <w:highlight w:val="none"/>
          <w:lang w:val="en-US" w:eastAsia="zh-CN" w:bidi="ar-SA"/>
        </w:rPr>
        <w:t>．屋面防水工程、有防水要求的卫生间、房间和外墙面的防渗为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5</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14:paraId="4BE54EF3">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3</w:t>
      </w:r>
      <w:r>
        <w:rPr>
          <w:rFonts w:hint="eastAsia" w:ascii="Calibri" w:hAnsi="宋体" w:eastAsia="宋体" w:cs="宋体"/>
          <w:color w:val="auto"/>
          <w:kern w:val="2"/>
          <w:sz w:val="21"/>
          <w:szCs w:val="24"/>
          <w:highlight w:val="none"/>
          <w:lang w:val="en-US" w:eastAsia="zh-CN" w:bidi="ar-SA"/>
        </w:rPr>
        <w:t>．装修工程为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14:paraId="09CD5961">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4</w:t>
      </w:r>
      <w:r>
        <w:rPr>
          <w:rFonts w:hint="eastAsia" w:ascii="Calibri" w:hAnsi="宋体" w:eastAsia="宋体" w:cs="宋体"/>
          <w:color w:val="auto"/>
          <w:kern w:val="2"/>
          <w:sz w:val="21"/>
          <w:szCs w:val="24"/>
          <w:highlight w:val="none"/>
          <w:lang w:val="en-US" w:eastAsia="zh-CN" w:bidi="ar-SA"/>
        </w:rPr>
        <w:t>．电气管线、给排水管道、设备安装工程为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14:paraId="0E4AD219">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5</w:t>
      </w:r>
      <w:r>
        <w:rPr>
          <w:rFonts w:hint="eastAsia" w:ascii="Calibri" w:hAnsi="宋体" w:eastAsia="宋体" w:cs="宋体"/>
          <w:color w:val="auto"/>
          <w:kern w:val="2"/>
          <w:sz w:val="21"/>
          <w:szCs w:val="24"/>
          <w:highlight w:val="none"/>
          <w:lang w:val="en-US" w:eastAsia="zh-CN" w:bidi="ar-SA"/>
        </w:rPr>
        <w:t>．供热与供冷系统为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个采暖期、供冷期；</w:t>
      </w:r>
    </w:p>
    <w:p w14:paraId="2DEFF55D">
      <w:pPr>
        <w:widowControl w:val="0"/>
        <w:spacing w:line="360" w:lineRule="auto"/>
        <w:ind w:firstLine="420"/>
        <w:jc w:val="both"/>
        <w:rPr>
          <w:rFonts w:ascii="Calibri" w:hAnsi="宋体" w:eastAsia="宋体" w:cs="Times New Roman"/>
          <w:color w:val="auto"/>
          <w:kern w:val="2"/>
          <w:sz w:val="21"/>
          <w:szCs w:val="22"/>
          <w:highlight w:val="none"/>
          <w:lang w:val="en-US" w:eastAsia="zh-CN" w:bidi="ar-SA"/>
        </w:rPr>
      </w:pPr>
      <w:r>
        <w:rPr>
          <w:rFonts w:ascii="Calibri" w:hAnsi="Calibri" w:eastAsia="宋体" w:cs="Times New Roman"/>
          <w:color w:val="auto"/>
          <w:kern w:val="2"/>
          <w:sz w:val="21"/>
          <w:szCs w:val="24"/>
          <w:highlight w:val="none"/>
          <w:lang w:val="en-US" w:eastAsia="zh-CN" w:bidi="ar-SA"/>
        </w:rPr>
        <w:t>6</w:t>
      </w:r>
      <w:r>
        <w:rPr>
          <w:rFonts w:hint="eastAsia" w:ascii="Calibri" w:hAnsi="宋体" w:eastAsia="宋体" w:cs="宋体"/>
          <w:color w:val="auto"/>
          <w:kern w:val="2"/>
          <w:sz w:val="21"/>
          <w:szCs w:val="24"/>
          <w:highlight w:val="none"/>
          <w:lang w:val="en-US" w:eastAsia="zh-CN" w:bidi="ar-SA"/>
        </w:rPr>
        <w:t>．住宅小区内的给排水设施、道路等配套工程为</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u w:val="single"/>
          <w:lang w:val="en-US" w:eastAsia="zh-CN" w:bidi="ar-SA"/>
        </w:rPr>
        <w:t>2</w:t>
      </w:r>
      <w:r>
        <w:rPr>
          <w:rFonts w:ascii="Calibri" w:hAnsi="Calibri" w:eastAsia="宋体" w:cs="Times New Roman"/>
          <w:color w:val="auto"/>
          <w:kern w:val="2"/>
          <w:sz w:val="21"/>
          <w:szCs w:val="24"/>
          <w:highlight w:val="none"/>
          <w:u w:val="single"/>
          <w:lang w:val="en-US" w:eastAsia="zh-CN" w:bidi="ar-SA"/>
        </w:rPr>
        <w:t xml:space="preserve"> </w:t>
      </w:r>
      <w:r>
        <w:rPr>
          <w:rFonts w:hint="eastAsia" w:ascii="Calibri" w:hAnsi="宋体" w:eastAsia="宋体" w:cs="宋体"/>
          <w:color w:val="auto"/>
          <w:kern w:val="2"/>
          <w:sz w:val="21"/>
          <w:szCs w:val="24"/>
          <w:highlight w:val="none"/>
          <w:lang w:val="en-US" w:eastAsia="zh-CN" w:bidi="ar-SA"/>
        </w:rPr>
        <w:t>年；</w:t>
      </w:r>
    </w:p>
    <w:p w14:paraId="1AF19240">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7．桥梁工程为</w:t>
      </w:r>
      <w:r>
        <w:rPr>
          <w:rFonts w:hint="eastAsia" w:ascii="Times New Roman" w:hAnsi="宋体" w:eastAsia="宋体" w:cs="宋体"/>
          <w:color w:val="auto"/>
          <w:kern w:val="2"/>
          <w:sz w:val="21"/>
          <w:szCs w:val="21"/>
          <w:highlight w:val="none"/>
          <w:u w:val="single"/>
          <w:lang w:val="en-US" w:eastAsia="zh-CN" w:bidi="ar-SA"/>
        </w:rPr>
        <w:t xml:space="preserve">  /  </w:t>
      </w:r>
      <w:r>
        <w:rPr>
          <w:rFonts w:hint="eastAsia" w:ascii="Times New Roman" w:hAnsi="宋体" w:eastAsia="宋体" w:cs="宋体"/>
          <w:color w:val="auto"/>
          <w:kern w:val="2"/>
          <w:sz w:val="21"/>
          <w:szCs w:val="21"/>
          <w:highlight w:val="none"/>
          <w:lang w:val="en-US" w:eastAsia="zh-CN" w:bidi="ar-SA"/>
        </w:rPr>
        <w:t>年（桥梁隧道主体结构工程为设计文件规定的合理使用年限）；</w:t>
      </w:r>
    </w:p>
    <w:p w14:paraId="60B9A2A9">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8．道路工程为 </w:t>
      </w:r>
      <w:r>
        <w:rPr>
          <w:rFonts w:hint="eastAsia" w:ascii="Times New Roman" w:hAnsi="宋体" w:eastAsia="宋体" w:cs="宋体"/>
          <w:color w:val="auto"/>
          <w:kern w:val="2"/>
          <w:sz w:val="21"/>
          <w:szCs w:val="21"/>
          <w:highlight w:val="none"/>
          <w:u w:val="single"/>
          <w:lang w:val="en-US" w:eastAsia="zh-CN" w:bidi="ar-SA"/>
        </w:rPr>
        <w:t xml:space="preserve">  2  </w:t>
      </w:r>
      <w:r>
        <w:rPr>
          <w:rFonts w:hint="eastAsia" w:ascii="Times New Roman" w:hAnsi="宋体" w:eastAsia="宋体" w:cs="宋体"/>
          <w:color w:val="auto"/>
          <w:kern w:val="2"/>
          <w:sz w:val="21"/>
          <w:szCs w:val="21"/>
          <w:highlight w:val="none"/>
          <w:lang w:val="en-US" w:eastAsia="zh-CN" w:bidi="ar-SA"/>
        </w:rPr>
        <w:t>年（建议路基、路面、桥面为2年）；</w:t>
      </w:r>
    </w:p>
    <w:p w14:paraId="7B298C27">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9．排水（雨水）工程为 </w:t>
      </w:r>
      <w:r>
        <w:rPr>
          <w:rFonts w:hint="eastAsia" w:ascii="Times New Roman" w:hAnsi="宋体" w:eastAsia="宋体" w:cs="宋体"/>
          <w:color w:val="auto"/>
          <w:kern w:val="2"/>
          <w:sz w:val="21"/>
          <w:szCs w:val="21"/>
          <w:highlight w:val="none"/>
          <w:u w:val="single"/>
          <w:lang w:val="en-US" w:eastAsia="zh-CN" w:bidi="ar-SA"/>
        </w:rPr>
        <w:t xml:space="preserve"> 3 </w:t>
      </w:r>
      <w:r>
        <w:rPr>
          <w:rFonts w:hint="eastAsia" w:ascii="Times New Roman" w:hAnsi="宋体" w:eastAsia="宋体" w:cs="宋体"/>
          <w:color w:val="auto"/>
          <w:kern w:val="2"/>
          <w:sz w:val="21"/>
          <w:szCs w:val="21"/>
          <w:highlight w:val="none"/>
          <w:lang w:val="en-US" w:eastAsia="zh-CN" w:bidi="ar-SA"/>
        </w:rPr>
        <w:t xml:space="preserve">  年（建议道路工程中的排水工程为3年）；</w:t>
      </w:r>
    </w:p>
    <w:p w14:paraId="6041B6EC">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10．绿化工程为单位工程竣工验收合格后  1 年；</w:t>
      </w:r>
    </w:p>
    <w:p w14:paraId="7D2E948C">
      <w:pPr>
        <w:widowControl w:val="0"/>
        <w:spacing w:line="360" w:lineRule="auto"/>
        <w:ind w:firstLine="420"/>
        <w:jc w:val="both"/>
        <w:rPr>
          <w:rFonts w:hint="eastAsia" w:ascii="Times New Roman" w:hAnsi="宋体" w:eastAsia="宋体" w:cs="宋体"/>
          <w:color w:val="auto"/>
          <w:kern w:val="2"/>
          <w:sz w:val="21"/>
          <w:szCs w:val="21"/>
          <w:highlight w:val="none"/>
          <w:lang w:val="en-US" w:eastAsia="zh-CN" w:bidi="ar-SA"/>
        </w:rPr>
      </w:pPr>
      <w:r>
        <w:rPr>
          <w:rFonts w:hint="eastAsia" w:ascii="Times New Roman" w:hAnsi="宋体" w:eastAsia="宋体" w:cs="宋体"/>
          <w:color w:val="auto"/>
          <w:kern w:val="2"/>
          <w:sz w:val="21"/>
          <w:szCs w:val="21"/>
          <w:highlight w:val="none"/>
          <w:lang w:val="en-US" w:eastAsia="zh-CN" w:bidi="ar-SA"/>
        </w:rPr>
        <w:t xml:space="preserve">11. 地下防水工程为 </w:t>
      </w:r>
      <w:r>
        <w:rPr>
          <w:rFonts w:hint="eastAsia" w:ascii="Times New Roman" w:hAnsi="宋体" w:eastAsia="宋体" w:cs="宋体"/>
          <w:color w:val="auto"/>
          <w:kern w:val="2"/>
          <w:sz w:val="21"/>
          <w:szCs w:val="21"/>
          <w:highlight w:val="none"/>
          <w:u w:val="single"/>
          <w:lang w:val="en-US" w:eastAsia="zh-CN" w:bidi="ar-SA"/>
        </w:rPr>
        <w:t xml:space="preserve">  5 </w:t>
      </w:r>
      <w:r>
        <w:rPr>
          <w:rFonts w:hint="eastAsia" w:ascii="Times New Roman" w:hAnsi="宋体" w:eastAsia="宋体" w:cs="宋体"/>
          <w:color w:val="auto"/>
          <w:kern w:val="2"/>
          <w:sz w:val="21"/>
          <w:szCs w:val="21"/>
          <w:highlight w:val="none"/>
          <w:lang w:val="en-US" w:eastAsia="zh-CN" w:bidi="ar-SA"/>
        </w:rPr>
        <w:t xml:space="preserve"> 年（建议为5年）；</w:t>
      </w:r>
    </w:p>
    <w:p w14:paraId="672491F1">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其他项目保修期限约定如下：</w:t>
      </w:r>
      <w:r>
        <w:rPr>
          <w:rFonts w:hint="eastAsia" w:ascii="宋体" w:hAnsi="宋体" w:eastAsia="宋体" w:cs="宋体"/>
          <w:color w:val="auto"/>
          <w:kern w:val="2"/>
          <w:sz w:val="21"/>
          <w:szCs w:val="21"/>
          <w:highlight w:val="none"/>
          <w:u w:val="single"/>
          <w:lang w:val="en-US" w:eastAsia="zh-CN" w:bidi="ar-SA"/>
        </w:rPr>
        <w:t xml:space="preserve"> 本工程其余项目质保期均为两年，质量保修规范如国家有新规定，则按新规定执行 </w:t>
      </w:r>
      <w:r>
        <w:rPr>
          <w:rFonts w:hint="eastAsia" w:ascii="宋体" w:hAnsi="宋体" w:eastAsia="宋体" w:cs="宋体"/>
          <w:color w:val="auto"/>
          <w:kern w:val="2"/>
          <w:sz w:val="21"/>
          <w:szCs w:val="21"/>
          <w:highlight w:val="none"/>
          <w:lang w:val="en-US" w:eastAsia="zh-CN" w:bidi="ar-SA"/>
        </w:rPr>
        <w:t>。</w:t>
      </w:r>
    </w:p>
    <w:p w14:paraId="054A71A9">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质量保修期自工程竣工验收合格之日起计算。 </w:t>
      </w:r>
    </w:p>
    <w:p w14:paraId="77BDDFB1">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三、缺陷责任期</w:t>
      </w:r>
    </w:p>
    <w:p w14:paraId="20893C14">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工程缺陷责任期为</w:t>
      </w:r>
      <w:r>
        <w:rPr>
          <w:rFonts w:hint="eastAsia" w:ascii="宋体" w:hAnsi="宋体" w:eastAsia="宋体" w:cs="宋体"/>
          <w:color w:val="auto"/>
          <w:kern w:val="2"/>
          <w:sz w:val="21"/>
          <w:szCs w:val="21"/>
          <w:highlight w:val="none"/>
          <w:u w:val="single"/>
          <w:lang w:val="en-US" w:eastAsia="zh-CN" w:bidi="ar-SA"/>
        </w:rPr>
        <w:t xml:space="preserve"> 24 </w:t>
      </w:r>
      <w:r>
        <w:rPr>
          <w:rFonts w:hint="eastAsia" w:ascii="宋体" w:hAnsi="宋体" w:eastAsia="宋体" w:cs="宋体"/>
          <w:color w:val="auto"/>
          <w:kern w:val="2"/>
          <w:sz w:val="21"/>
          <w:szCs w:val="21"/>
          <w:highlight w:val="none"/>
          <w:lang w:val="en-US" w:eastAsia="zh-CN" w:bidi="ar-SA"/>
        </w:rPr>
        <w:t>个月（最长不超过24个月），缺陷责任期自工程竣工验收合格之日起计算。单位工程先于全部工程进行验收，单位工程缺陷责任期自单位工程验收合格之日起算。</w:t>
      </w:r>
    </w:p>
    <w:p w14:paraId="7880B1DE">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缺陷责任期终止后，发包人应退还剩余的质量保证金。</w:t>
      </w:r>
    </w:p>
    <w:p w14:paraId="0C609ED9">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四、质量保修责任</w:t>
      </w:r>
    </w:p>
    <w:p w14:paraId="6DCAF5A8">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1．属于保修范围、内容的项目，承包人应当在接到保修通知之日起</w:t>
      </w:r>
      <w:r>
        <w:rPr>
          <w:rFonts w:hint="eastAsia" w:ascii="宋体" w:hAnsi="宋体" w:eastAsia="宋体" w:cs="宋体"/>
          <w:color w:val="auto"/>
          <w:kern w:val="2"/>
          <w:sz w:val="21"/>
          <w:szCs w:val="21"/>
          <w:highlight w:val="none"/>
          <w:u w:val="single"/>
          <w:lang w:val="en-US" w:eastAsia="zh-CN" w:bidi="ar-SA"/>
        </w:rPr>
        <w:t xml:space="preserve">  三 </w:t>
      </w:r>
      <w:r>
        <w:rPr>
          <w:rFonts w:hint="eastAsia" w:ascii="宋体" w:hAnsi="宋体" w:eastAsia="宋体" w:cs="宋体"/>
          <w:color w:val="auto"/>
          <w:kern w:val="2"/>
          <w:sz w:val="21"/>
          <w:szCs w:val="21"/>
          <w:highlight w:val="none"/>
          <w:lang w:val="en-US" w:eastAsia="zh-CN" w:bidi="ar-SA"/>
        </w:rPr>
        <w:t>天内派人保修。承包人不在约定期限内派人保修的，发包人可以委托他人修理，修理费用从质量保证金内扣除。</w:t>
      </w:r>
    </w:p>
    <w:p w14:paraId="7ED8D499">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2．发生紧急事故需抢修的，承包人在接到事故通知后，应当立即到达事故现场抢修。</w:t>
      </w:r>
    </w:p>
    <w:p w14:paraId="7584790B">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F88028">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4．质量保修完成后，由发包人组织验收。</w:t>
      </w:r>
    </w:p>
    <w:p w14:paraId="38B2FF20">
      <w:pPr>
        <w:widowControl w:val="0"/>
        <w:spacing w:line="400" w:lineRule="exact"/>
        <w:ind w:firstLine="420" w:firstLineChars="200"/>
        <w:jc w:val="both"/>
        <w:outlineLvl w:val="0"/>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五、保修费用</w:t>
      </w:r>
    </w:p>
    <w:p w14:paraId="1A4513DA">
      <w:pPr>
        <w:widowControl w:val="0"/>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保修费用由造成质量缺陷的责任方承担。</w:t>
      </w:r>
    </w:p>
    <w:p w14:paraId="1277E072">
      <w:pPr>
        <w:widowControl w:val="0"/>
        <w:numPr>
          <w:ilvl w:val="0"/>
          <w:numId w:val="12"/>
        </w:numPr>
        <w:spacing w:line="40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 xml:space="preserve">双方约定的其他工程质量保修事项：  1. </w:t>
      </w:r>
      <w:r>
        <w:rPr>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承包人未按照法律法规有关规定和合同约定履行质量保修义务的，发包人有权从质量保证金中扣留用于质量保修的各项支出。</w:t>
      </w:r>
    </w:p>
    <w:p w14:paraId="7E143C51">
      <w:pPr>
        <w:widowControl w:val="0"/>
        <w:numPr>
          <w:ilvl w:val="0"/>
          <w:numId w:val="13"/>
        </w:numPr>
        <w:spacing w:line="400" w:lineRule="exact"/>
        <w:ind w:firstLine="420" w:firstLineChars="200"/>
        <w:jc w:val="both"/>
        <w:rPr>
          <w:rFonts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u w:val="single"/>
          <w:lang w:val="en-US" w:eastAsia="zh-CN" w:bidi="ar-SA"/>
        </w:rPr>
        <w:t>质量保证金比例：工程结算价的3%。</w:t>
      </w:r>
    </w:p>
    <w:p w14:paraId="6B214236">
      <w:pPr>
        <w:widowControl w:val="0"/>
        <w:numPr>
          <w:ilvl w:val="0"/>
          <w:numId w:val="13"/>
        </w:numPr>
        <w:spacing w:line="40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val="single"/>
          <w:lang w:val="en-US" w:eastAsia="zh-CN" w:bidi="ar-SA"/>
        </w:rPr>
        <w:t xml:space="preserve">质量保证金返还：发包人在工程竣工验收合格之日起满两年后14天内将保修金（无息）返回给承包人，质量保证金的返还，并不能免除承包人按照合同约定应承担的质量保修责任和应履行的质量保修义务  </w:t>
      </w:r>
      <w:r>
        <w:rPr>
          <w:rFonts w:hint="eastAsia" w:ascii="宋体" w:hAnsi="宋体" w:eastAsia="宋体" w:cs="宋体"/>
          <w:color w:val="auto"/>
          <w:kern w:val="2"/>
          <w:sz w:val="21"/>
          <w:szCs w:val="21"/>
          <w:highlight w:val="none"/>
          <w:lang w:val="en-US" w:eastAsia="zh-CN" w:bidi="ar-SA"/>
        </w:rPr>
        <w:t>。</w:t>
      </w:r>
    </w:p>
    <w:p w14:paraId="6C9B1EE6">
      <w:pPr>
        <w:widowControl w:val="0"/>
        <w:spacing w:line="32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工程质量保修书由发包人、承包人在工程竣工验收前共同签署，作为施工合同附件，其有效期限至保修期满。</w:t>
      </w:r>
    </w:p>
    <w:p w14:paraId="032C45DA">
      <w:pPr>
        <w:widowControl w:val="0"/>
        <w:spacing w:line="320" w:lineRule="exact"/>
        <w:ind w:firstLine="420" w:firstLineChars="200"/>
        <w:jc w:val="both"/>
        <w:rPr>
          <w:rFonts w:ascii="宋体" w:hAnsi="宋体" w:eastAsia="宋体" w:cs="宋体"/>
          <w:color w:val="auto"/>
          <w:kern w:val="2"/>
          <w:sz w:val="21"/>
          <w:szCs w:val="21"/>
          <w:highlight w:val="none"/>
          <w:lang w:val="en-US" w:eastAsia="zh-CN" w:bidi="ar-SA"/>
        </w:rPr>
      </w:pPr>
    </w:p>
    <w:p w14:paraId="0BDCDA82">
      <w:pPr>
        <w:widowControl w:val="0"/>
        <w:adjustRightInd w:val="0"/>
        <w:spacing w:after="60" w:line="360" w:lineRule="atLeast"/>
        <w:ind w:left="63" w:leftChars="30" w:right="63" w:rightChars="30"/>
        <w:jc w:val="center"/>
        <w:rPr>
          <w:rFonts w:hint="eastAsia" w:ascii="Calibri" w:hAnsi="Calibri" w:eastAsia="宋体" w:cs="Times New Roman"/>
          <w:color w:val="auto"/>
          <w:kern w:val="0"/>
          <w:sz w:val="20"/>
          <w:szCs w:val="20"/>
          <w:highlight w:val="none"/>
          <w:lang w:val="en-US" w:eastAsia="zh-CN" w:bidi="ar-SA"/>
        </w:rPr>
      </w:pPr>
    </w:p>
    <w:p w14:paraId="0303C096">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发</w:t>
      </w:r>
      <w:r>
        <w:rPr>
          <w:rFonts w:ascii="Times New Roman" w:hAnsi="宋体" w:eastAsia="宋体" w:cs="Times New Roman"/>
          <w:color w:val="auto"/>
          <w:kern w:val="2"/>
          <w:sz w:val="21"/>
          <w:szCs w:val="24"/>
          <w:highlight w:val="none"/>
          <w:lang w:val="en-US" w:bidi="ar-SA"/>
        </w:rPr>
        <w:t>发包人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公章</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承包人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公章</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2B43BE1B">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地</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址：</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地</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址：</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6DFF8C0E">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法定代表人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法定代表人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4C4C9E6A">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委托代理人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委托代理人</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签字</w:t>
      </w:r>
      <w:r>
        <w:rPr>
          <w:rFonts w:hint="eastAsia" w:ascii="Times New Roman" w:hAnsi="Times New Roman" w:eastAsia="宋体" w:cs="Times New Roman"/>
          <w:color w:val="auto"/>
          <w:kern w:val="2"/>
          <w:sz w:val="21"/>
          <w:szCs w:val="24"/>
          <w:highlight w:val="none"/>
          <w:lang w:val="en-US" w:bidi="ar-SA"/>
        </w:rPr>
        <w:t>）</w:t>
      </w:r>
      <w:r>
        <w:rPr>
          <w:rFonts w:ascii="Times New Roman" w:hAnsi="宋体" w:eastAsia="宋体" w:cs="Times New Roman"/>
          <w:color w:val="auto"/>
          <w:kern w:val="2"/>
          <w:sz w:val="21"/>
          <w:szCs w:val="24"/>
          <w:highlight w:val="none"/>
          <w:lang w:val="en-US" w:bidi="ar-SA"/>
        </w:rPr>
        <w:t>：</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5D0808F7">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电</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话：</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电</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话：</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3BDCE356">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传</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真：</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传</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真：</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59C327A6">
      <w:pPr>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开户银行：</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开户银行：</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218EF49F">
      <w:pPr>
        <w:tabs>
          <w:tab w:val="left" w:pos="2880"/>
          <w:tab w:val="left" w:pos="3060"/>
          <w:tab w:val="left" w:pos="4500"/>
        </w:tabs>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账</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号：</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hint="eastAsia"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账</w:t>
      </w:r>
      <w:r>
        <w:rPr>
          <w:rFonts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号：</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236DEE8A">
      <w:pPr>
        <w:tabs>
          <w:tab w:val="left" w:pos="7200"/>
          <w:tab w:val="left" w:pos="7380"/>
          <w:tab w:val="left" w:pos="7560"/>
        </w:tabs>
        <w:autoSpaceDE/>
        <w:autoSpaceDN/>
        <w:spacing w:line="360" w:lineRule="auto"/>
        <w:jc w:val="both"/>
        <w:rPr>
          <w:rFonts w:ascii="Times New Roman" w:hAnsi="Times New Roman" w:eastAsia="宋体" w:cs="Times New Roman"/>
          <w:color w:val="auto"/>
          <w:kern w:val="2"/>
          <w:sz w:val="21"/>
          <w:szCs w:val="24"/>
          <w:highlight w:val="none"/>
          <w:lang w:val="en-US" w:bidi="ar-SA"/>
        </w:rPr>
      </w:pPr>
      <w:r>
        <w:rPr>
          <w:rFonts w:ascii="Times New Roman" w:hAnsi="宋体" w:eastAsia="宋体" w:cs="Times New Roman"/>
          <w:color w:val="auto"/>
          <w:kern w:val="2"/>
          <w:sz w:val="21"/>
          <w:szCs w:val="24"/>
          <w:highlight w:val="none"/>
          <w:lang w:val="en-US" w:bidi="ar-SA"/>
        </w:rPr>
        <w:t>邮政编码：</w:t>
      </w:r>
      <w:r>
        <w:rPr>
          <w:rFonts w:ascii="Times New Roman" w:hAnsi="Times New Roman"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u w:val="single"/>
          <w:lang w:val="en-US" w:bidi="ar-SA"/>
        </w:rPr>
        <w:t xml:space="preserve">    </w:t>
      </w:r>
      <w:r>
        <w:rPr>
          <w:rFonts w:ascii="Times New Roman" w:hAnsi="Times New Roman" w:eastAsia="宋体" w:cs="Times New Roman"/>
          <w:color w:val="auto"/>
          <w:kern w:val="2"/>
          <w:sz w:val="21"/>
          <w:szCs w:val="24"/>
          <w:highlight w:val="none"/>
          <w:lang w:val="en-US" w:bidi="ar-SA"/>
        </w:rPr>
        <w:t xml:space="preserve"> </w:t>
      </w:r>
      <w:r>
        <w:rPr>
          <w:rFonts w:hint="eastAsia" w:ascii="Times New Roman" w:hAnsi="Times New Roman" w:eastAsia="宋体" w:cs="Times New Roman"/>
          <w:color w:val="auto"/>
          <w:kern w:val="2"/>
          <w:sz w:val="21"/>
          <w:szCs w:val="24"/>
          <w:highlight w:val="none"/>
          <w:lang w:val="en-US" w:bidi="ar-SA"/>
        </w:rPr>
        <w:t xml:space="preserve">             </w:t>
      </w:r>
      <w:r>
        <w:rPr>
          <w:rFonts w:ascii="Times New Roman" w:hAnsi="宋体" w:eastAsia="宋体" w:cs="Times New Roman"/>
          <w:color w:val="auto"/>
          <w:kern w:val="2"/>
          <w:sz w:val="21"/>
          <w:szCs w:val="24"/>
          <w:highlight w:val="none"/>
          <w:lang w:val="en-US" w:bidi="ar-SA"/>
        </w:rPr>
        <w:t>邮政编码：</w:t>
      </w:r>
      <w:r>
        <w:rPr>
          <w:rFonts w:ascii="宋体" w:hAnsi="宋体" w:eastAsia="宋体" w:cs="Times New Roman"/>
          <w:color w:val="auto"/>
          <w:kern w:val="2"/>
          <w:sz w:val="21"/>
          <w:szCs w:val="24"/>
          <w:highlight w:val="none"/>
          <w:u w:val="single"/>
          <w:lang w:val="en-US" w:bidi="ar-SA"/>
        </w:rPr>
        <w:t></w:t>
      </w:r>
      <w:r>
        <w:rPr>
          <w:rFonts w:hint="eastAsia" w:ascii="宋体" w:hAnsi="宋体" w:eastAsia="宋体" w:cs="Times New Roman"/>
          <w:color w:val="auto"/>
          <w:kern w:val="2"/>
          <w:sz w:val="21"/>
          <w:szCs w:val="24"/>
          <w:highlight w:val="none"/>
          <w:u w:val="single"/>
          <w:lang w:val="en-US" w:bidi="ar-SA"/>
        </w:rPr>
        <w:t xml:space="preserve">   </w:t>
      </w:r>
      <w:r>
        <w:rPr>
          <w:rFonts w:ascii="宋体" w:hAnsi="宋体" w:eastAsia="宋体" w:cs="Times New Roman"/>
          <w:color w:val="auto"/>
          <w:kern w:val="2"/>
          <w:sz w:val="21"/>
          <w:szCs w:val="24"/>
          <w:highlight w:val="none"/>
          <w:u w:val="single"/>
          <w:lang w:val="en-US" w:bidi="ar-SA"/>
        </w:rPr>
        <w:t></w:t>
      </w:r>
    </w:p>
    <w:p w14:paraId="2F6A91C5">
      <w:pPr>
        <w:pStyle w:val="37"/>
        <w:widowControl w:val="0"/>
        <w:spacing w:before="120" w:beforeLines="50" w:after="120" w:afterLines="50" w:line="440" w:lineRule="exact"/>
        <w:jc w:val="center"/>
        <w:rPr>
          <w:rStyle w:val="28"/>
          <w:rFonts w:ascii="黑体" w:hAnsi="Times New Roman" w:eastAsia="黑体" w:cs="Times New Roman"/>
          <w:color w:val="auto"/>
          <w:kern w:val="2"/>
          <w:sz w:val="32"/>
          <w:szCs w:val="32"/>
          <w:highlight w:val="none"/>
          <w:lang w:val="en-US" w:eastAsia="zh-CN" w:bidi="ar-SA"/>
        </w:rPr>
      </w:pPr>
      <w:r>
        <w:rPr>
          <w:rFonts w:hint="eastAsia" w:ascii="宋体" w:hAnsi="宋体" w:eastAsia="宋体" w:cs="宋体"/>
          <w:b/>
          <w:color w:val="auto"/>
          <w:kern w:val="2"/>
          <w:sz w:val="21"/>
          <w:szCs w:val="21"/>
          <w:highlight w:val="none"/>
          <w:lang w:val="en-US" w:bidi="ar-SA"/>
        </w:rPr>
        <w:br w:type="page"/>
      </w:r>
      <w:r>
        <w:rPr>
          <w:rStyle w:val="28"/>
          <w:rFonts w:hint="eastAsia" w:ascii="黑体" w:hAnsi="宋体" w:eastAsia="黑体" w:cs="黑体"/>
          <w:color w:val="auto"/>
          <w:kern w:val="2"/>
          <w:sz w:val="32"/>
          <w:szCs w:val="32"/>
          <w:highlight w:val="none"/>
          <w:lang w:val="en-US" w:eastAsia="zh-CN" w:bidi="ar-SA"/>
        </w:rPr>
        <w:t>工程质量保修书（市政公用工程）</w:t>
      </w:r>
    </w:p>
    <w:p w14:paraId="2C099E1D">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发包人（全称）：</w:t>
      </w:r>
      <w:r>
        <w:rPr>
          <w:rStyle w:val="28"/>
          <w:rFonts w:ascii="宋体" w:hAnsi="宋体" w:eastAsia="宋体" w:cs="宋体"/>
          <w:color w:val="auto"/>
          <w:kern w:val="2"/>
          <w:sz w:val="21"/>
          <w:szCs w:val="21"/>
          <w:highlight w:val="none"/>
          <w:u w:val="single"/>
          <w:lang w:val="en-US" w:eastAsia="zh-CN" w:bidi="ar-SA"/>
        </w:rPr>
        <w:t xml:space="preserve">                                </w:t>
      </w:r>
      <w:r>
        <w:rPr>
          <w:rStyle w:val="28"/>
          <w:rFonts w:ascii="宋体" w:hAnsi="宋体" w:eastAsia="宋体" w:cs="宋体"/>
          <w:color w:val="auto"/>
          <w:kern w:val="2"/>
          <w:sz w:val="21"/>
          <w:szCs w:val="21"/>
          <w:highlight w:val="none"/>
          <w:lang w:val="en-US" w:eastAsia="zh-CN" w:bidi="ar-SA"/>
        </w:rPr>
        <w:t xml:space="preserve"> </w:t>
      </w:r>
    </w:p>
    <w:p w14:paraId="4E2EDDF6">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承包人（全称）：</w:t>
      </w:r>
      <w:r>
        <w:rPr>
          <w:rStyle w:val="28"/>
          <w:rFonts w:ascii="宋体" w:hAnsi="宋体" w:eastAsia="宋体" w:cs="宋体"/>
          <w:color w:val="auto"/>
          <w:kern w:val="2"/>
          <w:sz w:val="21"/>
          <w:szCs w:val="21"/>
          <w:highlight w:val="none"/>
          <w:u w:val="single"/>
          <w:lang w:val="en-US" w:eastAsia="zh-CN" w:bidi="ar-SA"/>
        </w:rPr>
        <w:t xml:space="preserve">                                </w:t>
      </w:r>
      <w:r>
        <w:rPr>
          <w:rStyle w:val="28"/>
          <w:rFonts w:ascii="宋体" w:hAnsi="宋体" w:eastAsia="宋体" w:cs="宋体"/>
          <w:color w:val="auto"/>
          <w:kern w:val="2"/>
          <w:sz w:val="21"/>
          <w:szCs w:val="21"/>
          <w:highlight w:val="none"/>
          <w:lang w:val="en-US" w:eastAsia="zh-CN" w:bidi="ar-SA"/>
        </w:rPr>
        <w:t xml:space="preserve"> </w:t>
      </w:r>
    </w:p>
    <w:p w14:paraId="28580B8E">
      <w:pPr>
        <w:widowControl w:val="0"/>
        <w:spacing w:line="360" w:lineRule="auto"/>
        <w:jc w:val="both"/>
        <w:rPr>
          <w:rStyle w:val="28"/>
          <w:rFonts w:ascii="宋体" w:hAnsi="Times New Roman" w:eastAsia="宋体" w:cs="Times New Roman"/>
          <w:color w:val="auto"/>
          <w:kern w:val="2"/>
          <w:sz w:val="21"/>
          <w:szCs w:val="21"/>
          <w:highlight w:val="none"/>
          <w:lang w:val="en-US" w:eastAsia="zh-CN" w:bidi="ar-SA"/>
        </w:rPr>
      </w:pPr>
    </w:p>
    <w:p w14:paraId="794F8F2B">
      <w:pPr>
        <w:widowControl w:val="0"/>
        <w:spacing w:line="360" w:lineRule="auto"/>
        <w:ind w:firstLine="42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发包人和承包人根据《中华人民共和国建筑法》和《建设工程质量管理条例》，经协商一致就</w:t>
      </w:r>
      <w:r>
        <w:rPr>
          <w:rStyle w:val="28"/>
          <w:rFonts w:ascii="宋体" w:hAnsi="宋体" w:eastAsia="宋体" w:cs="宋体"/>
          <w:color w:val="auto"/>
          <w:kern w:val="2"/>
          <w:sz w:val="21"/>
          <w:szCs w:val="21"/>
          <w:highlight w:val="none"/>
          <w:u w:val="single"/>
          <w:lang w:val="en-US" w:eastAsia="zh-CN" w:bidi="ar-SA"/>
        </w:rPr>
        <w:t xml:space="preserve">  </w:t>
      </w:r>
      <w:r>
        <w:rPr>
          <w:rStyle w:val="28"/>
          <w:rFonts w:hint="eastAsia" w:ascii="宋体" w:hAnsi="宋体" w:cs="宋体"/>
          <w:color w:val="auto"/>
          <w:kern w:val="2"/>
          <w:sz w:val="21"/>
          <w:szCs w:val="21"/>
          <w:highlight w:val="none"/>
          <w:u w:val="single"/>
          <w:lang w:val="en-US" w:eastAsia="zh-CN" w:bidi="ar-SA"/>
        </w:rPr>
        <w:t>兴安严关修缮工程</w:t>
      </w:r>
      <w:r>
        <w:rPr>
          <w:rStyle w:val="28"/>
          <w:rFonts w:ascii="宋体" w:hAnsi="宋体" w:eastAsia="宋体" w:cs="宋体"/>
          <w:color w:val="auto"/>
          <w:kern w:val="2"/>
          <w:sz w:val="21"/>
          <w:szCs w:val="21"/>
          <w:highlight w:val="none"/>
          <w:u w:val="single"/>
          <w:lang w:val="en-US" w:eastAsia="zh-CN" w:bidi="ar-SA"/>
        </w:rPr>
        <w:t xml:space="preserve">   </w:t>
      </w:r>
      <w:r>
        <w:rPr>
          <w:rStyle w:val="28"/>
          <w:rFonts w:hint="eastAsia" w:ascii="宋体" w:hAnsi="宋体" w:eastAsia="宋体" w:cs="宋体"/>
          <w:color w:val="auto"/>
          <w:kern w:val="2"/>
          <w:sz w:val="21"/>
          <w:szCs w:val="21"/>
          <w:highlight w:val="none"/>
          <w:lang w:val="en-US" w:eastAsia="zh-CN" w:bidi="ar-SA"/>
        </w:rPr>
        <w:t>（工程全称）签订工程质量保修书。</w:t>
      </w:r>
    </w:p>
    <w:p w14:paraId="14184FDB">
      <w:pPr>
        <w:widowControl w:val="0"/>
        <w:spacing w:line="360" w:lineRule="auto"/>
        <w:ind w:firstLine="420" w:firstLineChars="200"/>
        <w:jc w:val="both"/>
        <w:rPr>
          <w:rStyle w:val="28"/>
          <w:rFonts w:ascii="黑体" w:hAnsi="宋体" w:eastAsia="黑体" w:cs="Times New Roman"/>
          <w:color w:val="auto"/>
          <w:kern w:val="2"/>
          <w:sz w:val="21"/>
          <w:szCs w:val="21"/>
          <w:highlight w:val="none"/>
          <w:lang w:val="en-US" w:eastAsia="zh-CN" w:bidi="ar-SA"/>
        </w:rPr>
      </w:pPr>
      <w:r>
        <w:rPr>
          <w:rStyle w:val="28"/>
          <w:rFonts w:hint="eastAsia" w:ascii="黑体" w:hAnsi="宋体" w:eastAsia="黑体" w:cs="黑体"/>
          <w:color w:val="auto"/>
          <w:kern w:val="2"/>
          <w:sz w:val="21"/>
          <w:szCs w:val="21"/>
          <w:highlight w:val="none"/>
          <w:lang w:val="en-US" w:eastAsia="zh-CN" w:bidi="ar-SA"/>
        </w:rPr>
        <w:t>一、工程质量保修范围和内容</w:t>
      </w:r>
    </w:p>
    <w:p w14:paraId="546E02EE">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承包人在质量保修期内，按照有关法律规定和合同约定，承担工程质量保修责任。</w:t>
      </w:r>
    </w:p>
    <w:p w14:paraId="6FC929B3">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质量保修范围包括</w:t>
      </w:r>
      <w:r>
        <w:rPr>
          <w:rStyle w:val="28"/>
          <w:rFonts w:ascii="宋体" w:hAnsi="宋体" w:eastAsia="宋体" w:cs="宋体"/>
          <w:color w:val="auto"/>
          <w:kern w:val="2"/>
          <w:sz w:val="21"/>
          <w:szCs w:val="21"/>
          <w:highlight w:val="none"/>
          <w:u w:val="single"/>
          <w:lang w:val="en-US" w:eastAsia="zh-CN" w:bidi="ar-SA"/>
        </w:rPr>
        <w:t xml:space="preserve">                                </w:t>
      </w:r>
      <w:r>
        <w:rPr>
          <w:rStyle w:val="28"/>
          <w:rFonts w:hint="eastAsia" w:ascii="宋体" w:hAnsi="宋体" w:eastAsia="宋体" w:cs="宋体"/>
          <w:color w:val="auto"/>
          <w:kern w:val="2"/>
          <w:sz w:val="21"/>
          <w:szCs w:val="21"/>
          <w:highlight w:val="none"/>
          <w:lang w:val="en-US" w:eastAsia="zh-CN" w:bidi="ar-SA"/>
        </w:rPr>
        <w:t>，以及双方约定的其他项目。具体保修的内容，双方约定如下：</w:t>
      </w:r>
    </w:p>
    <w:p w14:paraId="51A85016">
      <w:pPr>
        <w:widowControl w:val="0"/>
        <w:spacing w:line="360" w:lineRule="auto"/>
        <w:ind w:firstLine="420" w:firstLineChars="200"/>
        <w:jc w:val="both"/>
        <w:rPr>
          <w:rStyle w:val="28"/>
          <w:rFonts w:ascii="宋体" w:hAnsi="Times New Roman" w:eastAsia="宋体" w:cs="Times New Roman"/>
          <w:color w:val="auto"/>
          <w:kern w:val="2"/>
          <w:sz w:val="21"/>
          <w:szCs w:val="21"/>
          <w:highlight w:val="none"/>
          <w:lang w:val="en-US" w:eastAsia="zh-CN" w:bidi="ar-SA"/>
        </w:rPr>
      </w:pPr>
      <w:r>
        <w:rPr>
          <w:rStyle w:val="28"/>
          <w:rFonts w:ascii="宋体" w:hAnsi="宋体" w:eastAsia="宋体" w:cs="宋体"/>
          <w:color w:val="auto"/>
          <w:kern w:val="2"/>
          <w:sz w:val="21"/>
          <w:szCs w:val="21"/>
          <w:highlight w:val="none"/>
          <w:u w:val="single"/>
          <w:lang w:val="en-US" w:eastAsia="zh-CN" w:bidi="ar-SA"/>
        </w:rPr>
        <w:t xml:space="preserve">                                                                                                                                                              </w:t>
      </w:r>
    </w:p>
    <w:p w14:paraId="33A52D08">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二、质量保修期</w:t>
      </w:r>
    </w:p>
    <w:p w14:paraId="6EBD9211">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根据《建设工程质量管理条例》及有关规定，工程的质量保修期如下：</w:t>
      </w:r>
    </w:p>
    <w:p w14:paraId="5E931671">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1．桥梁工程为</w:t>
      </w:r>
      <w:r>
        <w:rPr>
          <w:rStyle w:val="28"/>
          <w:rFonts w:hint="eastAsia" w:ascii="宋体" w:hAnsi="宋体" w:eastAsia="宋体" w:cs="宋体"/>
          <w:color w:val="auto"/>
          <w:kern w:val="2"/>
          <w:sz w:val="21"/>
          <w:szCs w:val="21"/>
          <w:highlight w:val="none"/>
          <w:u w:val="single"/>
          <w:lang w:val="en-US" w:eastAsia="zh-CN" w:bidi="ar-SA"/>
        </w:rPr>
        <w:t xml:space="preserve">   /  </w:t>
      </w:r>
      <w:r>
        <w:rPr>
          <w:rStyle w:val="28"/>
          <w:rFonts w:hint="eastAsia" w:ascii="宋体" w:hAnsi="宋体" w:eastAsia="宋体" w:cs="宋体"/>
          <w:color w:val="auto"/>
          <w:kern w:val="2"/>
          <w:sz w:val="21"/>
          <w:szCs w:val="21"/>
          <w:highlight w:val="none"/>
          <w:lang w:val="en-US" w:eastAsia="zh-CN" w:bidi="ar-SA"/>
        </w:rPr>
        <w:t>年（建议桥梁隧道主体结构工程为设计文件规定的合理使用年限）；</w:t>
      </w:r>
    </w:p>
    <w:p w14:paraId="334E6E67">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2．道路工程为</w:t>
      </w:r>
      <w:r>
        <w:rPr>
          <w:rStyle w:val="28"/>
          <w:rFonts w:hint="eastAsia" w:ascii="宋体" w:hAnsi="宋体" w:eastAsia="宋体" w:cs="宋体"/>
          <w:color w:val="auto"/>
          <w:kern w:val="2"/>
          <w:sz w:val="21"/>
          <w:szCs w:val="21"/>
          <w:highlight w:val="none"/>
          <w:u w:val="single"/>
          <w:lang w:val="en-US" w:eastAsia="zh-CN" w:bidi="ar-SA"/>
        </w:rPr>
        <w:t xml:space="preserve">  2   </w:t>
      </w:r>
      <w:r>
        <w:rPr>
          <w:rStyle w:val="28"/>
          <w:rFonts w:hint="eastAsia" w:ascii="宋体" w:hAnsi="宋体" w:eastAsia="宋体" w:cs="宋体"/>
          <w:color w:val="auto"/>
          <w:kern w:val="2"/>
          <w:sz w:val="21"/>
          <w:szCs w:val="21"/>
          <w:highlight w:val="none"/>
          <w:lang w:val="en-US" w:eastAsia="zh-CN" w:bidi="ar-SA"/>
        </w:rPr>
        <w:t>年（建议路基、路面、桥面为2年）；</w:t>
      </w:r>
    </w:p>
    <w:p w14:paraId="672AC0CB">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3．排水（雨水）工程为</w:t>
      </w:r>
      <w:r>
        <w:rPr>
          <w:rStyle w:val="28"/>
          <w:rFonts w:hint="eastAsia" w:ascii="宋体" w:hAnsi="宋体" w:eastAsia="宋体" w:cs="宋体"/>
          <w:color w:val="auto"/>
          <w:kern w:val="2"/>
          <w:sz w:val="21"/>
          <w:szCs w:val="21"/>
          <w:highlight w:val="none"/>
          <w:u w:val="single"/>
          <w:lang w:val="en-US" w:eastAsia="zh-CN" w:bidi="ar-SA"/>
        </w:rPr>
        <w:t xml:space="preserve">   3  </w:t>
      </w:r>
      <w:r>
        <w:rPr>
          <w:rStyle w:val="28"/>
          <w:rFonts w:hint="eastAsia" w:ascii="宋体" w:hAnsi="宋体" w:eastAsia="宋体" w:cs="宋体"/>
          <w:color w:val="auto"/>
          <w:kern w:val="2"/>
          <w:sz w:val="21"/>
          <w:szCs w:val="21"/>
          <w:highlight w:val="none"/>
          <w:lang w:val="en-US" w:eastAsia="zh-CN" w:bidi="ar-SA"/>
        </w:rPr>
        <w:t>年（建议道路工程中的排水工程为3年）；</w:t>
      </w:r>
    </w:p>
    <w:p w14:paraId="745B2194">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 xml:space="preserve">4．绿化工程为 </w:t>
      </w:r>
      <w:r>
        <w:rPr>
          <w:rStyle w:val="28"/>
          <w:rFonts w:hint="eastAsia" w:ascii="宋体" w:hAnsi="宋体" w:eastAsia="宋体" w:cs="宋体"/>
          <w:color w:val="auto"/>
          <w:kern w:val="2"/>
          <w:sz w:val="21"/>
          <w:szCs w:val="21"/>
          <w:highlight w:val="none"/>
          <w:u w:val="single"/>
          <w:lang w:val="en-US" w:eastAsia="zh-CN" w:bidi="ar-SA"/>
        </w:rPr>
        <w:t>单位工程竣工验收合格后  1  年</w:t>
      </w:r>
      <w:r>
        <w:rPr>
          <w:rStyle w:val="28"/>
          <w:rFonts w:hint="eastAsia" w:ascii="宋体" w:hAnsi="宋体" w:eastAsia="宋体" w:cs="宋体"/>
          <w:color w:val="auto"/>
          <w:kern w:val="2"/>
          <w:sz w:val="21"/>
          <w:szCs w:val="21"/>
          <w:highlight w:val="none"/>
          <w:lang w:val="en-US" w:eastAsia="zh-CN" w:bidi="ar-SA"/>
        </w:rPr>
        <w:t>；</w:t>
      </w:r>
    </w:p>
    <w:p w14:paraId="09620B1E">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5.  地下防水工程为</w:t>
      </w:r>
      <w:r>
        <w:rPr>
          <w:rStyle w:val="28"/>
          <w:rFonts w:hint="eastAsia" w:ascii="宋体" w:hAnsi="宋体" w:eastAsia="宋体" w:cs="宋体"/>
          <w:color w:val="auto"/>
          <w:kern w:val="2"/>
          <w:sz w:val="21"/>
          <w:szCs w:val="21"/>
          <w:highlight w:val="none"/>
          <w:u w:val="single"/>
          <w:lang w:val="en-US" w:eastAsia="zh-CN" w:bidi="ar-SA"/>
        </w:rPr>
        <w:t xml:space="preserve">  5   </w:t>
      </w:r>
      <w:r>
        <w:rPr>
          <w:rStyle w:val="28"/>
          <w:rFonts w:hint="eastAsia" w:ascii="宋体" w:hAnsi="宋体" w:eastAsia="宋体" w:cs="宋体"/>
          <w:color w:val="auto"/>
          <w:kern w:val="2"/>
          <w:sz w:val="21"/>
          <w:szCs w:val="21"/>
          <w:highlight w:val="none"/>
          <w:lang w:val="en-US" w:eastAsia="zh-CN" w:bidi="ar-SA"/>
        </w:rPr>
        <w:t>年（建议为5年）；</w:t>
      </w:r>
    </w:p>
    <w:p w14:paraId="419B0697">
      <w:pPr>
        <w:widowControl w:val="0"/>
        <w:spacing w:line="360" w:lineRule="auto"/>
        <w:ind w:firstLine="426"/>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6．其他附属工程</w:t>
      </w:r>
      <w:r>
        <w:rPr>
          <w:rStyle w:val="28"/>
          <w:rFonts w:hint="eastAsia" w:ascii="宋体" w:hAnsi="宋体" w:eastAsia="宋体" w:cs="宋体"/>
          <w:color w:val="auto"/>
          <w:kern w:val="2"/>
          <w:sz w:val="21"/>
          <w:szCs w:val="21"/>
          <w:highlight w:val="none"/>
          <w:u w:val="single"/>
          <w:lang w:val="en-US" w:eastAsia="zh-CN" w:bidi="ar-SA"/>
        </w:rPr>
        <w:t xml:space="preserve">    /  </w:t>
      </w:r>
      <w:r>
        <w:rPr>
          <w:rStyle w:val="28"/>
          <w:rFonts w:hint="eastAsia" w:ascii="宋体" w:hAnsi="宋体" w:eastAsia="宋体" w:cs="宋体"/>
          <w:color w:val="auto"/>
          <w:kern w:val="2"/>
          <w:sz w:val="21"/>
          <w:szCs w:val="21"/>
          <w:highlight w:val="none"/>
          <w:lang w:val="en-US" w:eastAsia="zh-CN" w:bidi="ar-SA"/>
        </w:rPr>
        <w:t>年；</w:t>
      </w:r>
    </w:p>
    <w:p w14:paraId="02B076DF">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7．其他项目保修期限约定如下：</w:t>
      </w:r>
    </w:p>
    <w:p w14:paraId="5681731F">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u w:val="single"/>
          <w:lang w:val="en-US" w:eastAsia="zh-CN" w:bidi="ar-SA"/>
        </w:rPr>
        <w:t xml:space="preserve">  质量保修规范如国家有新规定，则按新规定执行  </w:t>
      </w:r>
      <w:r>
        <w:rPr>
          <w:rStyle w:val="28"/>
          <w:rFonts w:hint="eastAsia" w:ascii="宋体" w:hAnsi="宋体" w:eastAsia="宋体" w:cs="宋体"/>
          <w:color w:val="auto"/>
          <w:kern w:val="2"/>
          <w:sz w:val="21"/>
          <w:szCs w:val="21"/>
          <w:highlight w:val="none"/>
          <w:lang w:val="en-US" w:eastAsia="zh-CN" w:bidi="ar-SA"/>
        </w:rPr>
        <w:t>。</w:t>
      </w:r>
    </w:p>
    <w:p w14:paraId="4F9C3A5C">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质量保修期自工程竣工验收合格之日起计算。</w:t>
      </w:r>
    </w:p>
    <w:p w14:paraId="70A6761E">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三、缺陷责任期</w:t>
      </w:r>
    </w:p>
    <w:p w14:paraId="6CB310F2">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工程缺陷责任期为</w:t>
      </w:r>
      <w:r>
        <w:rPr>
          <w:rStyle w:val="28"/>
          <w:rFonts w:hint="eastAsia" w:ascii="宋体" w:hAnsi="宋体" w:eastAsia="宋体" w:cs="宋体"/>
          <w:color w:val="auto"/>
          <w:kern w:val="2"/>
          <w:sz w:val="21"/>
          <w:szCs w:val="21"/>
          <w:highlight w:val="none"/>
          <w:u w:val="single"/>
          <w:lang w:val="en-US" w:eastAsia="zh-CN" w:bidi="ar-SA"/>
        </w:rPr>
        <w:t xml:space="preserve">  24  </w:t>
      </w:r>
      <w:r>
        <w:rPr>
          <w:rStyle w:val="28"/>
          <w:rFonts w:hint="eastAsia" w:ascii="宋体" w:hAnsi="宋体" w:eastAsia="宋体" w:cs="宋体"/>
          <w:color w:val="auto"/>
          <w:kern w:val="2"/>
          <w:sz w:val="21"/>
          <w:szCs w:val="21"/>
          <w:highlight w:val="none"/>
          <w:lang w:val="en-US" w:eastAsia="zh-CN" w:bidi="ar-SA"/>
        </w:rPr>
        <w:t>个月（最长不超过24个月），缺陷责任期自工程竣工验收合格之日起计算。单位工程先于全部工程进行验收，单位工程缺陷责任期自单位工程验收合格之日起算。</w:t>
      </w:r>
    </w:p>
    <w:p w14:paraId="47DA6509">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缺陷责任期终止后，发包人应退还剩余的质量保证金。</w:t>
      </w:r>
    </w:p>
    <w:p w14:paraId="7220CE8E">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四、质量保修责任</w:t>
      </w:r>
    </w:p>
    <w:p w14:paraId="79198BFA">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1．属于保修范围、内容的项目，承包人应当在接到保修通知之日起</w:t>
      </w:r>
      <w:r>
        <w:rPr>
          <w:rStyle w:val="28"/>
          <w:rFonts w:hint="eastAsia" w:ascii="宋体" w:hAnsi="宋体" w:eastAsia="宋体" w:cs="宋体"/>
          <w:color w:val="auto"/>
          <w:kern w:val="2"/>
          <w:sz w:val="21"/>
          <w:szCs w:val="21"/>
          <w:highlight w:val="none"/>
          <w:u w:val="single"/>
          <w:lang w:val="en-US" w:eastAsia="zh-CN" w:bidi="ar-SA"/>
        </w:rPr>
        <w:t xml:space="preserve">   7   </w:t>
      </w:r>
      <w:r>
        <w:rPr>
          <w:rStyle w:val="28"/>
          <w:rFonts w:hint="eastAsia" w:ascii="宋体" w:hAnsi="宋体" w:eastAsia="宋体" w:cs="宋体"/>
          <w:color w:val="auto"/>
          <w:kern w:val="2"/>
          <w:sz w:val="21"/>
          <w:szCs w:val="21"/>
          <w:highlight w:val="none"/>
          <w:lang w:val="en-US" w:eastAsia="zh-CN" w:bidi="ar-SA"/>
        </w:rPr>
        <w:t>天内派人保修。承包人不在约定期限内派人保修的，发包人可以委托他人修理，修理费用从质量保修金内扣除。</w:t>
      </w:r>
    </w:p>
    <w:p w14:paraId="6AB49D00">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2．发生紧急事故需抢修的，承包人在接到事故通知后，应当立即到达事故现场抢修。</w:t>
      </w:r>
    </w:p>
    <w:p w14:paraId="4F15D75F">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E2E6DC">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4．质量保修完成后，由发包人组织验收。</w:t>
      </w:r>
    </w:p>
    <w:p w14:paraId="06045028">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五、保修费用</w:t>
      </w:r>
    </w:p>
    <w:p w14:paraId="67D527D5">
      <w:pPr>
        <w:widowControl w:val="0"/>
        <w:spacing w:line="360" w:lineRule="auto"/>
        <w:ind w:firstLine="420" w:firstLineChars="20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保修费用由造成质量缺陷的责任方承担。</w:t>
      </w:r>
    </w:p>
    <w:p w14:paraId="64E02663">
      <w:pPr>
        <w:widowControl w:val="0"/>
        <w:spacing w:line="360" w:lineRule="auto"/>
        <w:jc w:val="left"/>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六、双方约定的其他工程质量保修事项：</w:t>
      </w:r>
      <w:r>
        <w:rPr>
          <w:rStyle w:val="28"/>
          <w:rFonts w:hint="eastAsia" w:ascii="宋体" w:hAnsi="宋体" w:eastAsia="宋体" w:cs="宋体"/>
          <w:color w:val="auto"/>
          <w:kern w:val="2"/>
          <w:sz w:val="21"/>
          <w:szCs w:val="21"/>
          <w:highlight w:val="none"/>
          <w:u w:val="single"/>
          <w:lang w:val="en-US" w:eastAsia="zh-CN" w:bidi="ar-SA"/>
        </w:rPr>
        <w:t>承包人未按照法律法规有关规定和合同约定履行质量保修义务的，发包人有权从质量保证金扣留用于质量保修的各项支出</w:t>
      </w:r>
      <w:r>
        <w:rPr>
          <w:rStyle w:val="28"/>
          <w:rFonts w:hint="eastAsia" w:ascii="宋体" w:hAnsi="宋体" w:eastAsia="宋体" w:cs="宋体"/>
          <w:color w:val="auto"/>
          <w:kern w:val="2"/>
          <w:sz w:val="21"/>
          <w:szCs w:val="21"/>
          <w:highlight w:val="none"/>
          <w:lang w:val="en-US" w:eastAsia="zh-CN" w:bidi="ar-SA"/>
        </w:rPr>
        <w:t>。</w:t>
      </w:r>
    </w:p>
    <w:p w14:paraId="00357A0D">
      <w:pPr>
        <w:widowControl w:val="0"/>
        <w:spacing w:line="360" w:lineRule="auto"/>
        <w:ind w:firstLine="399" w:firstLineChars="190"/>
        <w:jc w:val="both"/>
        <w:rPr>
          <w:rStyle w:val="28"/>
          <w:rFonts w:hint="eastAsia" w:ascii="宋体" w:hAnsi="宋体" w:eastAsia="宋体" w:cs="宋体"/>
          <w:color w:val="auto"/>
          <w:kern w:val="2"/>
          <w:sz w:val="21"/>
          <w:szCs w:val="21"/>
          <w:highlight w:val="none"/>
          <w:lang w:val="en-US" w:eastAsia="zh-CN" w:bidi="ar-SA"/>
        </w:rPr>
      </w:pPr>
      <w:r>
        <w:rPr>
          <w:rStyle w:val="28"/>
          <w:rFonts w:hint="eastAsia" w:ascii="宋体" w:hAnsi="宋体" w:eastAsia="宋体" w:cs="宋体"/>
          <w:color w:val="auto"/>
          <w:kern w:val="2"/>
          <w:sz w:val="21"/>
          <w:szCs w:val="21"/>
          <w:highlight w:val="none"/>
          <w:lang w:val="en-US" w:eastAsia="zh-CN" w:bidi="ar-SA"/>
        </w:rPr>
        <w:t>工程质量保修书由发包人、承包人在工程竣工验收前共同签署，作为施工合同附件，其有效期限至保修期满。</w:t>
      </w:r>
    </w:p>
    <w:p w14:paraId="333C46AD">
      <w:pPr>
        <w:widowControl w:val="0"/>
        <w:spacing w:line="360" w:lineRule="auto"/>
        <w:ind w:firstLine="420"/>
        <w:jc w:val="both"/>
        <w:rPr>
          <w:rStyle w:val="28"/>
          <w:rFonts w:ascii="宋体" w:hAnsi="Times New Roman" w:eastAsia="宋体" w:cs="Times New Roman"/>
          <w:color w:val="auto"/>
          <w:kern w:val="2"/>
          <w:sz w:val="21"/>
          <w:szCs w:val="21"/>
          <w:highlight w:val="none"/>
          <w:lang w:val="en-US" w:eastAsia="zh-CN" w:bidi="ar-SA"/>
        </w:rPr>
      </w:pPr>
    </w:p>
    <w:p w14:paraId="35F15B82">
      <w:pPr>
        <w:widowControl w:val="0"/>
        <w:spacing w:line="360" w:lineRule="auto"/>
        <w:ind w:firstLine="420"/>
        <w:jc w:val="both"/>
        <w:rPr>
          <w:rStyle w:val="28"/>
          <w:rFonts w:ascii="宋体" w:hAnsi="Times New Roman" w:eastAsia="宋体" w:cs="Times New Roman"/>
          <w:color w:val="auto"/>
          <w:kern w:val="2"/>
          <w:sz w:val="21"/>
          <w:szCs w:val="21"/>
          <w:highlight w:val="none"/>
          <w:lang w:val="en-US" w:eastAsia="zh-CN" w:bidi="ar-SA"/>
        </w:rPr>
      </w:pPr>
    </w:p>
    <w:p w14:paraId="5E5DEE09">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发包人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公章</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承包人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公章</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2A6F6080">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地</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址：</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地</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址：</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5AE53630">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法定代表人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签字</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法定代表人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签字</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74F51A9E">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委托代理人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签字</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委托代理人</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签字</w:t>
      </w:r>
      <w:r>
        <w:rPr>
          <w:rStyle w:val="28"/>
          <w:rFonts w:hint="eastAsia" w:ascii="Times New Roman" w:hAnsi="Times New Roman" w:eastAsia="宋体" w:cs="Times New Roman"/>
          <w:color w:val="auto"/>
          <w:kern w:val="2"/>
          <w:sz w:val="21"/>
          <w:szCs w:val="21"/>
          <w:highlight w:val="none"/>
          <w:lang w:val="en-US" w:eastAsia="zh-CN" w:bidi="ar-SA"/>
        </w:rPr>
        <w:t>）</w:t>
      </w:r>
      <w:r>
        <w:rPr>
          <w:rStyle w:val="28"/>
          <w:rFonts w:ascii="Times New Roman" w:hAnsi="宋体" w:eastAsia="宋体" w:cs="Times New Roman"/>
          <w:color w:val="auto"/>
          <w:kern w:val="2"/>
          <w:sz w:val="21"/>
          <w:szCs w:val="21"/>
          <w:highlight w:val="none"/>
          <w:lang w:val="en-US" w:eastAsia="zh-CN" w:bidi="ar-SA"/>
        </w:rPr>
        <w:t>：</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6A29A552">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电</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话：</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电</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话：</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62CA1CCA">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传</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真：</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传</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真：</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13F59F9F">
      <w:pPr>
        <w:widowControl w:val="0"/>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开户银行：</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开户银行：</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00862EE4">
      <w:pPr>
        <w:widowControl w:val="0"/>
        <w:tabs>
          <w:tab w:val="left" w:pos="2880"/>
          <w:tab w:val="left" w:pos="3060"/>
          <w:tab w:val="left" w:pos="4500"/>
        </w:tabs>
        <w:spacing w:line="360" w:lineRule="auto"/>
        <w:jc w:val="both"/>
        <w:rPr>
          <w:rStyle w:val="28"/>
          <w:rFonts w:ascii="Times New Roman" w:hAnsi="Times New Roman" w:eastAsia="宋体" w:cs="Times New Roman"/>
          <w:color w:val="auto"/>
          <w:kern w:val="2"/>
          <w:sz w:val="21"/>
          <w:szCs w:val="21"/>
          <w:highlight w:val="none"/>
          <w:lang w:val="en-US" w:eastAsia="zh-CN" w:bidi="ar-SA"/>
        </w:rPr>
      </w:pPr>
      <w:r>
        <w:rPr>
          <w:rStyle w:val="28"/>
          <w:rFonts w:ascii="Times New Roman" w:hAnsi="宋体" w:eastAsia="宋体" w:cs="Times New Roman"/>
          <w:color w:val="auto"/>
          <w:kern w:val="2"/>
          <w:sz w:val="21"/>
          <w:szCs w:val="21"/>
          <w:highlight w:val="none"/>
          <w:lang w:val="en-US" w:eastAsia="zh-CN" w:bidi="ar-SA"/>
        </w:rPr>
        <w:t>账</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号：</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hint="eastAsia"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账</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号：</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p>
    <w:p w14:paraId="2775753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Style w:val="28"/>
          <w:rFonts w:ascii="Times New Roman" w:hAnsi="宋体" w:eastAsia="宋体" w:cs="Times New Roman"/>
          <w:color w:val="auto"/>
          <w:kern w:val="2"/>
          <w:sz w:val="21"/>
          <w:szCs w:val="21"/>
          <w:highlight w:val="none"/>
          <w:lang w:val="en-US" w:eastAsia="zh-CN" w:bidi="ar-SA"/>
        </w:rPr>
        <w:t>邮政编码：</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u w:val="single"/>
          <w:lang w:val="en-US" w:eastAsia="zh-CN" w:bidi="ar-SA"/>
        </w:rPr>
        <w:t xml:space="preserve">    </w:t>
      </w:r>
      <w:r>
        <w:rPr>
          <w:rStyle w:val="28"/>
          <w:rFonts w:ascii="Times New Roman" w:hAnsi="Times New Roman" w:eastAsia="宋体" w:cs="Times New Roman"/>
          <w:color w:val="auto"/>
          <w:kern w:val="2"/>
          <w:sz w:val="21"/>
          <w:szCs w:val="21"/>
          <w:highlight w:val="none"/>
          <w:lang w:val="en-US" w:eastAsia="zh-CN" w:bidi="ar-SA"/>
        </w:rPr>
        <w:t xml:space="preserve"> </w:t>
      </w:r>
      <w:r>
        <w:rPr>
          <w:rStyle w:val="28"/>
          <w:rFonts w:hint="eastAsia" w:ascii="Times New Roman" w:hAnsi="Times New Roman" w:eastAsia="宋体" w:cs="Times New Roman"/>
          <w:color w:val="auto"/>
          <w:kern w:val="2"/>
          <w:sz w:val="21"/>
          <w:szCs w:val="21"/>
          <w:highlight w:val="none"/>
          <w:lang w:val="en-US" w:eastAsia="zh-CN" w:bidi="ar-SA"/>
        </w:rPr>
        <w:t xml:space="preserve">                       </w:t>
      </w:r>
      <w:r>
        <w:rPr>
          <w:rStyle w:val="28"/>
          <w:rFonts w:ascii="Times New Roman" w:hAnsi="宋体" w:eastAsia="宋体" w:cs="Times New Roman"/>
          <w:color w:val="auto"/>
          <w:kern w:val="2"/>
          <w:sz w:val="21"/>
          <w:szCs w:val="21"/>
          <w:highlight w:val="none"/>
          <w:lang w:val="en-US" w:eastAsia="zh-CN" w:bidi="ar-SA"/>
        </w:rPr>
        <w:t>邮政编码：</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Style w:val="28"/>
          <w:rFonts w:ascii="宋体" w:hAnsi="宋体" w:eastAsia="宋体" w:cs="Times New Roman"/>
          <w:color w:val="auto"/>
          <w:kern w:val="2"/>
          <w:sz w:val="21"/>
          <w:szCs w:val="21"/>
          <w:highlight w:val="none"/>
          <w:u w:val="single"/>
          <w:lang w:val="en-US" w:eastAsia="zh-CN" w:bidi="ar-SA"/>
        </w:rPr>
        <w:t></w:t>
      </w:r>
      <w:r>
        <w:rPr>
          <w:rStyle w:val="28"/>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宋体"/>
          <w:b/>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附件4：</w:t>
      </w:r>
    </w:p>
    <w:p w14:paraId="08D0EA5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主要建设工程文件目录</w:t>
      </w:r>
    </w:p>
    <w:p w14:paraId="0B029BF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bl>
      <w:tblPr>
        <w:tblStyle w:val="26"/>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14:paraId="64F888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0D8E803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文件名称</w:t>
            </w:r>
          </w:p>
        </w:tc>
        <w:tc>
          <w:tcPr>
            <w:tcW w:w="1067" w:type="dxa"/>
            <w:tcBorders>
              <w:top w:val="single" w:color="auto" w:sz="12" w:space="0"/>
              <w:bottom w:val="double" w:color="auto" w:sz="6" w:space="0"/>
            </w:tcBorders>
            <w:noWrap w:val="0"/>
            <w:vAlign w:val="center"/>
          </w:tcPr>
          <w:p w14:paraId="3387D25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套数</w:t>
            </w:r>
          </w:p>
        </w:tc>
        <w:tc>
          <w:tcPr>
            <w:tcW w:w="1450" w:type="dxa"/>
            <w:tcBorders>
              <w:top w:val="single" w:color="auto" w:sz="12" w:space="0"/>
              <w:bottom w:val="double" w:color="auto" w:sz="6" w:space="0"/>
            </w:tcBorders>
            <w:noWrap w:val="0"/>
            <w:vAlign w:val="center"/>
          </w:tcPr>
          <w:p w14:paraId="44A09EF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费用（元）</w:t>
            </w:r>
          </w:p>
        </w:tc>
        <w:tc>
          <w:tcPr>
            <w:tcW w:w="1243" w:type="dxa"/>
            <w:tcBorders>
              <w:top w:val="single" w:color="auto" w:sz="12" w:space="0"/>
              <w:bottom w:val="double" w:color="auto" w:sz="6" w:space="0"/>
            </w:tcBorders>
            <w:noWrap w:val="0"/>
            <w:vAlign w:val="center"/>
          </w:tcPr>
          <w:p w14:paraId="24F5382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w:t>
            </w:r>
          </w:p>
        </w:tc>
        <w:tc>
          <w:tcPr>
            <w:tcW w:w="1450" w:type="dxa"/>
            <w:tcBorders>
              <w:top w:val="single" w:color="auto" w:sz="12" w:space="0"/>
              <w:bottom w:val="double" w:color="auto" w:sz="6" w:space="0"/>
            </w:tcBorders>
            <w:noWrap w:val="0"/>
            <w:vAlign w:val="top"/>
          </w:tcPr>
          <w:p w14:paraId="03F11339">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移交时间</w:t>
            </w:r>
          </w:p>
        </w:tc>
        <w:tc>
          <w:tcPr>
            <w:tcW w:w="1564" w:type="dxa"/>
            <w:tcBorders>
              <w:top w:val="single" w:color="auto" w:sz="12" w:space="0"/>
              <w:bottom w:val="double" w:color="auto" w:sz="6" w:space="0"/>
            </w:tcBorders>
            <w:noWrap w:val="0"/>
            <w:vAlign w:val="top"/>
          </w:tcPr>
          <w:p w14:paraId="1D0FBDA1">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责任人</w:t>
            </w:r>
          </w:p>
        </w:tc>
      </w:tr>
      <w:tr w14:paraId="4F865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noWrap w:val="0"/>
            <w:vAlign w:val="center"/>
          </w:tcPr>
          <w:p w14:paraId="6F9CA78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tcBorders>
              <w:top w:val="double" w:color="auto" w:sz="6" w:space="0"/>
              <w:bottom w:val="single" w:color="auto" w:sz="6" w:space="0"/>
            </w:tcBorders>
            <w:noWrap w:val="0"/>
            <w:vAlign w:val="center"/>
          </w:tcPr>
          <w:p w14:paraId="75C2471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double" w:color="auto" w:sz="6" w:space="0"/>
              <w:bottom w:val="single" w:color="auto" w:sz="6" w:space="0"/>
            </w:tcBorders>
            <w:noWrap w:val="0"/>
            <w:vAlign w:val="center"/>
          </w:tcPr>
          <w:p w14:paraId="5BA9E6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tcBorders>
              <w:top w:val="double" w:color="auto" w:sz="6" w:space="0"/>
              <w:bottom w:val="single" w:color="auto" w:sz="6" w:space="0"/>
            </w:tcBorders>
            <w:noWrap w:val="0"/>
            <w:vAlign w:val="center"/>
          </w:tcPr>
          <w:p w14:paraId="1CB4CC3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double" w:color="auto" w:sz="6" w:space="0"/>
              <w:bottom w:val="single" w:color="auto" w:sz="6" w:space="0"/>
            </w:tcBorders>
            <w:noWrap w:val="0"/>
            <w:vAlign w:val="center"/>
          </w:tcPr>
          <w:p w14:paraId="65F42B8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tcBorders>
              <w:top w:val="double" w:color="auto" w:sz="6" w:space="0"/>
              <w:bottom w:val="single" w:color="auto" w:sz="6" w:space="0"/>
            </w:tcBorders>
            <w:noWrap w:val="0"/>
            <w:vAlign w:val="center"/>
          </w:tcPr>
          <w:p w14:paraId="110A7C2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DA73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2FE5E45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tcBorders>
              <w:top w:val="nil"/>
            </w:tcBorders>
            <w:noWrap w:val="0"/>
            <w:vAlign w:val="center"/>
          </w:tcPr>
          <w:p w14:paraId="72F7174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nil"/>
            </w:tcBorders>
            <w:noWrap w:val="0"/>
            <w:vAlign w:val="center"/>
          </w:tcPr>
          <w:p w14:paraId="43BC854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tcBorders>
              <w:top w:val="nil"/>
            </w:tcBorders>
            <w:noWrap w:val="0"/>
            <w:vAlign w:val="center"/>
          </w:tcPr>
          <w:p w14:paraId="6DDEA95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tcBorders>
              <w:top w:val="nil"/>
            </w:tcBorders>
            <w:noWrap w:val="0"/>
            <w:vAlign w:val="center"/>
          </w:tcPr>
          <w:p w14:paraId="4C379DF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tcBorders>
              <w:top w:val="nil"/>
            </w:tcBorders>
            <w:noWrap w:val="0"/>
            <w:vAlign w:val="center"/>
          </w:tcPr>
          <w:p w14:paraId="58B2B0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5994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9060DF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18809EE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673BBA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6C4E86C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731CA0E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0DF173B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4467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3C6A7F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0DBB07C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23E1797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7A6761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582132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22876B3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9294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1CD1D8F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578322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39C561E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5C3F533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1D644C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5F5E93D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D277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37B591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6DBC439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7628DE1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6F578A0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02CD7B3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3892D4B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77B4B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41A9DB4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1CD9FC0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1361844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6E85941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753BBAC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244E52B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7307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2AB19DB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2D05E59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5902CF9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4744BBC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52F3BFB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63DE3FA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1677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0BB361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5F948EA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F5001C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2C39500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F63141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0AD0716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29D9D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center"/>
          </w:tcPr>
          <w:p w14:paraId="4FD1488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67" w:type="dxa"/>
            <w:noWrap w:val="0"/>
            <w:vAlign w:val="center"/>
          </w:tcPr>
          <w:p w14:paraId="1ADAD18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46EB54B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243" w:type="dxa"/>
            <w:noWrap w:val="0"/>
            <w:vAlign w:val="center"/>
          </w:tcPr>
          <w:p w14:paraId="3C4449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50" w:type="dxa"/>
            <w:noWrap w:val="0"/>
            <w:vAlign w:val="center"/>
          </w:tcPr>
          <w:p w14:paraId="0FB082E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564" w:type="dxa"/>
            <w:noWrap w:val="0"/>
            <w:vAlign w:val="center"/>
          </w:tcPr>
          <w:p w14:paraId="00FE6B3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CEE8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DE0EC5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66E0C5A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61C56B8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2B98EAF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A8AA20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75E0935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4EB48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219502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518AC64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F9881E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1E509DA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77327F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6136C3E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3648E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AD8F46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4D4BF5F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2868BCF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52E3611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2DE166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1BFD283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4A90B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E2038C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74764C8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221F60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3A2A4D9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0D53E1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51C3EC5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6AE84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74E153B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2EAA957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51B09B9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2B8567E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73D95D0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53B03F6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68FA7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0C3E5E3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17194F8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65D73C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45F29E8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2226629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062CDAA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1A9D9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3EEC7C7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1EF17D6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5608244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7A41E54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0F00567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77C369D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0AAC5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21695C4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565B460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4A908D9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243B7CB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6B22756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0626389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6A895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4DBF69A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67" w:type="dxa"/>
            <w:noWrap w:val="0"/>
            <w:vAlign w:val="top"/>
          </w:tcPr>
          <w:p w14:paraId="0F77306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493AD2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243" w:type="dxa"/>
            <w:noWrap w:val="0"/>
            <w:vAlign w:val="top"/>
          </w:tcPr>
          <w:p w14:paraId="627998C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50" w:type="dxa"/>
            <w:noWrap w:val="0"/>
            <w:vAlign w:val="top"/>
          </w:tcPr>
          <w:p w14:paraId="394380F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564" w:type="dxa"/>
            <w:noWrap w:val="0"/>
            <w:vAlign w:val="top"/>
          </w:tcPr>
          <w:p w14:paraId="578AD9A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bl>
    <w:p w14:paraId="43E5FE9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附件5：</w:t>
      </w:r>
    </w:p>
    <w:p w14:paraId="73324D6D">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承包人用于本工程施工的机械设备表</w:t>
      </w:r>
    </w:p>
    <w:tbl>
      <w:tblPr>
        <w:tblStyle w:val="26"/>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14:paraId="7FCA3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noWrap w:val="0"/>
            <w:vAlign w:val="center"/>
          </w:tcPr>
          <w:p w14:paraId="0A4064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418" w:type="dxa"/>
            <w:tcBorders>
              <w:top w:val="single" w:color="auto" w:sz="12" w:space="0"/>
              <w:bottom w:val="double" w:color="auto" w:sz="6" w:space="0"/>
            </w:tcBorders>
            <w:noWrap w:val="0"/>
            <w:vAlign w:val="center"/>
          </w:tcPr>
          <w:p w14:paraId="5E0FA11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机械或设备名称</w:t>
            </w:r>
          </w:p>
        </w:tc>
        <w:tc>
          <w:tcPr>
            <w:tcW w:w="850" w:type="dxa"/>
            <w:tcBorders>
              <w:top w:val="single" w:color="auto" w:sz="12" w:space="0"/>
              <w:bottom w:val="double" w:color="auto" w:sz="6" w:space="0"/>
            </w:tcBorders>
            <w:noWrap w:val="0"/>
            <w:vAlign w:val="center"/>
          </w:tcPr>
          <w:p w14:paraId="7FAA256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规格型号</w:t>
            </w:r>
          </w:p>
        </w:tc>
        <w:tc>
          <w:tcPr>
            <w:tcW w:w="1058" w:type="dxa"/>
            <w:tcBorders>
              <w:top w:val="single" w:color="auto" w:sz="12" w:space="0"/>
              <w:bottom w:val="double" w:color="auto" w:sz="6" w:space="0"/>
            </w:tcBorders>
            <w:noWrap w:val="0"/>
            <w:vAlign w:val="center"/>
          </w:tcPr>
          <w:p w14:paraId="0FE211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c>
          <w:tcPr>
            <w:tcW w:w="880" w:type="dxa"/>
            <w:tcBorders>
              <w:top w:val="single" w:color="auto" w:sz="12" w:space="0"/>
              <w:bottom w:val="double" w:color="auto" w:sz="6" w:space="0"/>
            </w:tcBorders>
            <w:noWrap w:val="0"/>
            <w:vAlign w:val="center"/>
          </w:tcPr>
          <w:p w14:paraId="4EA83AD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产地</w:t>
            </w:r>
          </w:p>
        </w:tc>
        <w:tc>
          <w:tcPr>
            <w:tcW w:w="806" w:type="dxa"/>
            <w:tcBorders>
              <w:top w:val="single" w:color="auto" w:sz="12" w:space="0"/>
              <w:bottom w:val="double" w:color="auto" w:sz="6" w:space="0"/>
            </w:tcBorders>
            <w:noWrap w:val="0"/>
            <w:vAlign w:val="center"/>
          </w:tcPr>
          <w:p w14:paraId="5A9C284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制造年份</w:t>
            </w:r>
          </w:p>
        </w:tc>
        <w:tc>
          <w:tcPr>
            <w:tcW w:w="1310" w:type="dxa"/>
            <w:tcBorders>
              <w:top w:val="single" w:color="auto" w:sz="12" w:space="0"/>
              <w:bottom w:val="double" w:color="auto" w:sz="6" w:space="0"/>
            </w:tcBorders>
            <w:noWrap w:val="0"/>
            <w:vAlign w:val="center"/>
          </w:tcPr>
          <w:p w14:paraId="1396FBB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额定功率(kW)</w:t>
            </w:r>
          </w:p>
        </w:tc>
        <w:tc>
          <w:tcPr>
            <w:tcW w:w="906" w:type="dxa"/>
            <w:tcBorders>
              <w:top w:val="single" w:color="auto" w:sz="12" w:space="0"/>
              <w:bottom w:val="double" w:color="auto" w:sz="6" w:space="0"/>
            </w:tcBorders>
            <w:noWrap w:val="0"/>
            <w:vAlign w:val="center"/>
          </w:tcPr>
          <w:p w14:paraId="0E5469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生产能力</w:t>
            </w:r>
          </w:p>
        </w:tc>
        <w:tc>
          <w:tcPr>
            <w:tcW w:w="652" w:type="dxa"/>
            <w:tcBorders>
              <w:top w:val="single" w:color="auto" w:sz="12" w:space="0"/>
              <w:bottom w:val="double" w:color="auto" w:sz="6" w:space="0"/>
            </w:tcBorders>
            <w:noWrap w:val="0"/>
            <w:vAlign w:val="center"/>
          </w:tcPr>
          <w:p w14:paraId="04181B9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w:t>
            </w:r>
          </w:p>
        </w:tc>
      </w:tr>
      <w:tr w14:paraId="44317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noWrap w:val="0"/>
            <w:vAlign w:val="center"/>
          </w:tcPr>
          <w:p w14:paraId="0B8A822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top w:val="double" w:color="auto" w:sz="6" w:space="0"/>
              <w:bottom w:val="single" w:color="auto" w:sz="6" w:space="0"/>
            </w:tcBorders>
            <w:noWrap w:val="0"/>
            <w:vAlign w:val="center"/>
          </w:tcPr>
          <w:p w14:paraId="40D299E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tcBorders>
              <w:top w:val="double" w:color="auto" w:sz="6" w:space="0"/>
              <w:bottom w:val="single" w:color="auto" w:sz="6" w:space="0"/>
            </w:tcBorders>
            <w:noWrap w:val="0"/>
            <w:vAlign w:val="center"/>
          </w:tcPr>
          <w:p w14:paraId="685C9DA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tcBorders>
              <w:top w:val="double" w:color="auto" w:sz="6" w:space="0"/>
              <w:bottom w:val="single" w:color="auto" w:sz="6" w:space="0"/>
            </w:tcBorders>
            <w:noWrap w:val="0"/>
            <w:vAlign w:val="center"/>
          </w:tcPr>
          <w:p w14:paraId="39E438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tcBorders>
              <w:top w:val="double" w:color="auto" w:sz="6" w:space="0"/>
              <w:bottom w:val="single" w:color="auto" w:sz="6" w:space="0"/>
            </w:tcBorders>
            <w:noWrap w:val="0"/>
            <w:vAlign w:val="center"/>
          </w:tcPr>
          <w:p w14:paraId="1F7CD05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tcBorders>
              <w:top w:val="double" w:color="auto" w:sz="6" w:space="0"/>
              <w:bottom w:val="single" w:color="auto" w:sz="6" w:space="0"/>
            </w:tcBorders>
            <w:noWrap w:val="0"/>
            <w:vAlign w:val="center"/>
          </w:tcPr>
          <w:p w14:paraId="0B9E0CD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tcBorders>
              <w:top w:val="double" w:color="auto" w:sz="6" w:space="0"/>
              <w:bottom w:val="single" w:color="auto" w:sz="6" w:space="0"/>
            </w:tcBorders>
            <w:noWrap w:val="0"/>
            <w:vAlign w:val="center"/>
          </w:tcPr>
          <w:p w14:paraId="104D3C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tcBorders>
              <w:top w:val="double" w:color="auto" w:sz="6" w:space="0"/>
              <w:bottom w:val="single" w:color="auto" w:sz="6" w:space="0"/>
            </w:tcBorders>
            <w:noWrap w:val="0"/>
            <w:vAlign w:val="center"/>
          </w:tcPr>
          <w:p w14:paraId="6F8DE3F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tcBorders>
              <w:top w:val="double" w:color="auto" w:sz="6" w:space="0"/>
              <w:bottom w:val="single" w:color="auto" w:sz="6" w:space="0"/>
            </w:tcBorders>
            <w:noWrap w:val="0"/>
            <w:vAlign w:val="center"/>
          </w:tcPr>
          <w:p w14:paraId="549C3F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2C0B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noWrap w:val="0"/>
            <w:vAlign w:val="center"/>
          </w:tcPr>
          <w:p w14:paraId="71B6045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top w:val="nil"/>
            </w:tcBorders>
            <w:noWrap w:val="0"/>
            <w:vAlign w:val="center"/>
          </w:tcPr>
          <w:p w14:paraId="7DCD5A0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tcBorders>
              <w:top w:val="nil"/>
            </w:tcBorders>
            <w:noWrap w:val="0"/>
            <w:vAlign w:val="center"/>
          </w:tcPr>
          <w:p w14:paraId="771B843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tcBorders>
              <w:top w:val="nil"/>
            </w:tcBorders>
            <w:noWrap w:val="0"/>
            <w:vAlign w:val="center"/>
          </w:tcPr>
          <w:p w14:paraId="6BBED20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tcBorders>
              <w:top w:val="nil"/>
            </w:tcBorders>
            <w:noWrap w:val="0"/>
            <w:vAlign w:val="center"/>
          </w:tcPr>
          <w:p w14:paraId="2821AE9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tcBorders>
              <w:top w:val="nil"/>
            </w:tcBorders>
            <w:noWrap w:val="0"/>
            <w:vAlign w:val="center"/>
          </w:tcPr>
          <w:p w14:paraId="247535D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tcBorders>
              <w:top w:val="nil"/>
            </w:tcBorders>
            <w:noWrap w:val="0"/>
            <w:vAlign w:val="center"/>
          </w:tcPr>
          <w:p w14:paraId="470041C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tcBorders>
              <w:top w:val="nil"/>
            </w:tcBorders>
            <w:noWrap w:val="0"/>
            <w:vAlign w:val="center"/>
          </w:tcPr>
          <w:p w14:paraId="1FD3851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tcBorders>
              <w:top w:val="nil"/>
            </w:tcBorders>
            <w:noWrap w:val="0"/>
            <w:vAlign w:val="center"/>
          </w:tcPr>
          <w:p w14:paraId="7A0317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D533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273C684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26F50E1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00A1D3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2320C10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39FA21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2CD8258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2DCD53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4965A4D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1B4A373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129B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4E65E5A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50570DC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0591396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656C369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2466E09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1F53D04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798DC53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604830B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79223B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F7D7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7B537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039469A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736CC21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1EA8DFB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6074164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7C5C5E4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4FBBE15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4E84C9F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67413CA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E5DE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3D0BF04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354823C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77AE432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50EA5C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4B9B96E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7025BA1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7515DD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3EAA347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31BEDB6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2302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3744AFD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780E325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0D1CFFA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0E92D0D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3BE1BF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131C4F5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32E3374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563E0CA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69988C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D8ED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56940D5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125AEE1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6FAB6D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768FDB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058F940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291C31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44A345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45D70B4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2A63E1D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1C20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07C80E3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0052AE1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6100EAA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3F72EB8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3FC272C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4F8F94F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60AD472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03630DC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7CDF675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59853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center"/>
          </w:tcPr>
          <w:p w14:paraId="7DE0A5E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02FE6A5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50" w:type="dxa"/>
            <w:noWrap w:val="0"/>
            <w:vAlign w:val="center"/>
          </w:tcPr>
          <w:p w14:paraId="267DC5E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058" w:type="dxa"/>
            <w:noWrap w:val="0"/>
            <w:vAlign w:val="center"/>
          </w:tcPr>
          <w:p w14:paraId="57A956B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80" w:type="dxa"/>
            <w:noWrap w:val="0"/>
            <w:vAlign w:val="center"/>
          </w:tcPr>
          <w:p w14:paraId="649554B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806" w:type="dxa"/>
            <w:noWrap w:val="0"/>
            <w:vAlign w:val="center"/>
          </w:tcPr>
          <w:p w14:paraId="1CA62E1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310" w:type="dxa"/>
            <w:noWrap w:val="0"/>
            <w:vAlign w:val="center"/>
          </w:tcPr>
          <w:p w14:paraId="5A98672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6" w:type="dxa"/>
            <w:noWrap w:val="0"/>
            <w:vAlign w:val="center"/>
          </w:tcPr>
          <w:p w14:paraId="475F4E2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652" w:type="dxa"/>
            <w:noWrap w:val="0"/>
            <w:vAlign w:val="center"/>
          </w:tcPr>
          <w:p w14:paraId="2557D5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0877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4002BC8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6F15F03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14EF071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7A40D19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481B1E3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436931D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257D79D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4DF3407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2E6FE5C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48917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1CEBCDD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6189888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2D61A04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7219163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108A80D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39CEBB7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546B7FA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3C6D20D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5F82306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7B88C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D579CC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1227FFD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16D4DCB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271F6A8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6A57B1D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5238DB9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6F179E3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3F03658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087644D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36054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38FDE7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1ED83E8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402BF84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041EBAF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57B0DD4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404F3D9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2B6EE89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1C64003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447BDA0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77031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023601A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28F6B8C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2AF9A2E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3B0095D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4CB5064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3B0BD7B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08DA7BC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518C2A3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3171992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3EB6F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590BD12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0A767B3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24798D3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29500CA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1380F1F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61A72DC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43F17F4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4C5D958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6A26F67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2B6408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73E72CA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1F64BAB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19F7392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0951B6E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3831A8D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457C0EA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254587B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2CAF2B4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5EFC5F8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34830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093C084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278DBB9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3057F8B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11D3493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08990E7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36DDFB8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7835607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6987AF3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607A5DA6">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r w14:paraId="00332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noWrap w:val="0"/>
            <w:vAlign w:val="top"/>
          </w:tcPr>
          <w:p w14:paraId="67DF8B7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418" w:type="dxa"/>
            <w:noWrap w:val="0"/>
            <w:vAlign w:val="top"/>
          </w:tcPr>
          <w:p w14:paraId="103A2898">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50" w:type="dxa"/>
            <w:noWrap w:val="0"/>
            <w:vAlign w:val="top"/>
          </w:tcPr>
          <w:p w14:paraId="55CA252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058" w:type="dxa"/>
            <w:noWrap w:val="0"/>
            <w:vAlign w:val="top"/>
          </w:tcPr>
          <w:p w14:paraId="5D0EFAD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80" w:type="dxa"/>
            <w:noWrap w:val="0"/>
            <w:vAlign w:val="top"/>
          </w:tcPr>
          <w:p w14:paraId="48BDCE5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806" w:type="dxa"/>
            <w:noWrap w:val="0"/>
            <w:vAlign w:val="top"/>
          </w:tcPr>
          <w:p w14:paraId="74E5845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1310" w:type="dxa"/>
            <w:noWrap w:val="0"/>
            <w:vAlign w:val="top"/>
          </w:tcPr>
          <w:p w14:paraId="49DD24D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906" w:type="dxa"/>
            <w:noWrap w:val="0"/>
            <w:vAlign w:val="top"/>
          </w:tcPr>
          <w:p w14:paraId="2B7EB0C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c>
          <w:tcPr>
            <w:tcW w:w="652" w:type="dxa"/>
            <w:noWrap w:val="0"/>
            <w:vAlign w:val="top"/>
          </w:tcPr>
          <w:p w14:paraId="7E92BD8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tc>
      </w:tr>
    </w:tbl>
    <w:p w14:paraId="13EE19A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3DC0EA32">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17B3A35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1664B606">
      <w:pPr>
        <w:widowControl w:val="0"/>
        <w:spacing w:after="120"/>
        <w:jc w:val="both"/>
        <w:rPr>
          <w:rFonts w:hint="eastAsia" w:ascii="宋体" w:hAnsi="宋体" w:eastAsia="宋体" w:cs="宋体"/>
          <w:color w:val="auto"/>
          <w:kern w:val="2"/>
          <w:sz w:val="21"/>
          <w:szCs w:val="21"/>
          <w:highlight w:val="none"/>
          <w:lang w:val="en-US" w:eastAsia="zh-CN" w:bidi="ar-SA"/>
        </w:rPr>
      </w:pPr>
    </w:p>
    <w:p w14:paraId="55EFD683">
      <w:pPr>
        <w:pStyle w:val="3"/>
        <w:rPr>
          <w:rFonts w:hint="eastAsia"/>
          <w:color w:val="auto"/>
          <w:highlight w:val="none"/>
          <w:lang w:val="en-US" w:eastAsia="zh-CN"/>
        </w:rPr>
      </w:pPr>
    </w:p>
    <w:p w14:paraId="498A8A1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附件6：</w:t>
      </w:r>
    </w:p>
    <w:p w14:paraId="196601AA">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承包人主要施工管理人员表</w:t>
      </w:r>
    </w:p>
    <w:tbl>
      <w:tblPr>
        <w:tblStyle w:val="26"/>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14:paraId="30312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C1499B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148" w:type="dxa"/>
            <w:tcBorders>
              <w:top w:val="single" w:color="auto" w:sz="12" w:space="0"/>
              <w:bottom w:val="double" w:color="auto" w:sz="6" w:space="0"/>
            </w:tcBorders>
            <w:noWrap w:val="0"/>
            <w:vAlign w:val="center"/>
          </w:tcPr>
          <w:p w14:paraId="5FDAA58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姓名</w:t>
            </w:r>
          </w:p>
        </w:tc>
        <w:tc>
          <w:tcPr>
            <w:tcW w:w="941" w:type="dxa"/>
            <w:tcBorders>
              <w:top w:val="single" w:color="auto" w:sz="12" w:space="0"/>
              <w:bottom w:val="double" w:color="auto" w:sz="6" w:space="0"/>
            </w:tcBorders>
            <w:noWrap w:val="0"/>
            <w:vAlign w:val="center"/>
          </w:tcPr>
          <w:p w14:paraId="3AC2777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职务</w:t>
            </w:r>
          </w:p>
        </w:tc>
        <w:tc>
          <w:tcPr>
            <w:tcW w:w="1134" w:type="dxa"/>
            <w:tcBorders>
              <w:top w:val="single" w:color="auto" w:sz="12" w:space="0"/>
              <w:bottom w:val="double" w:color="auto" w:sz="6" w:space="0"/>
            </w:tcBorders>
            <w:noWrap w:val="0"/>
            <w:vAlign w:val="center"/>
          </w:tcPr>
          <w:p w14:paraId="121824E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职称</w:t>
            </w:r>
          </w:p>
        </w:tc>
        <w:tc>
          <w:tcPr>
            <w:tcW w:w="3660" w:type="dxa"/>
            <w:tcBorders>
              <w:top w:val="single" w:color="auto" w:sz="12" w:space="0"/>
              <w:bottom w:val="double" w:color="auto" w:sz="6" w:space="0"/>
            </w:tcBorders>
            <w:noWrap w:val="0"/>
            <w:vAlign w:val="center"/>
          </w:tcPr>
          <w:p w14:paraId="49EED9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主要资历、经验及承担过的项目</w:t>
            </w:r>
          </w:p>
        </w:tc>
      </w:tr>
      <w:tr w14:paraId="367C4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noWrap w:val="0"/>
            <w:vAlign w:val="center"/>
          </w:tcPr>
          <w:p w14:paraId="4F809AD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一、总部人员</w:t>
            </w:r>
          </w:p>
        </w:tc>
      </w:tr>
      <w:tr w14:paraId="5D54A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078BE6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项目主管</w:t>
            </w:r>
          </w:p>
        </w:tc>
        <w:tc>
          <w:tcPr>
            <w:tcW w:w="1148" w:type="dxa"/>
            <w:tcBorders>
              <w:top w:val="nil"/>
            </w:tcBorders>
            <w:noWrap w:val="0"/>
            <w:vAlign w:val="center"/>
          </w:tcPr>
          <w:p w14:paraId="2615EBC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top w:val="nil"/>
            </w:tcBorders>
            <w:noWrap w:val="0"/>
            <w:vAlign w:val="center"/>
          </w:tcPr>
          <w:p w14:paraId="79B82E1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top w:val="nil"/>
            </w:tcBorders>
            <w:noWrap w:val="0"/>
            <w:vAlign w:val="center"/>
          </w:tcPr>
          <w:p w14:paraId="61F9C6E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top w:val="nil"/>
            </w:tcBorders>
            <w:noWrap w:val="0"/>
            <w:vAlign w:val="center"/>
          </w:tcPr>
          <w:p w14:paraId="02553A6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7DDD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3AE0BB7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35B49F2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4816F5A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69E0054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32B8876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FC14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DBFF77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148" w:type="dxa"/>
            <w:noWrap w:val="0"/>
            <w:vAlign w:val="center"/>
          </w:tcPr>
          <w:p w14:paraId="7FAC4A4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2D96701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0E6FBA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46CDD5A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659E0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880526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16A22D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0402A55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6B14DFB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AA22AD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5B67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noWrap w:val="0"/>
            <w:vAlign w:val="center"/>
          </w:tcPr>
          <w:p w14:paraId="21D1EE3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二、现场人员</w:t>
            </w:r>
          </w:p>
        </w:tc>
      </w:tr>
      <w:tr w14:paraId="1CC50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06199C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项目经理</w:t>
            </w:r>
          </w:p>
        </w:tc>
        <w:tc>
          <w:tcPr>
            <w:tcW w:w="1148" w:type="dxa"/>
            <w:noWrap w:val="0"/>
            <w:vAlign w:val="center"/>
          </w:tcPr>
          <w:p w14:paraId="1F4D236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2586298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E44B2D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3EB172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5B9F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7EB08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项目副经理</w:t>
            </w:r>
          </w:p>
        </w:tc>
        <w:tc>
          <w:tcPr>
            <w:tcW w:w="1148" w:type="dxa"/>
            <w:noWrap w:val="0"/>
            <w:vAlign w:val="center"/>
          </w:tcPr>
          <w:p w14:paraId="6EA102F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3C69FB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55D9FB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D1DFA8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A1CD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C55E49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技术负责人</w:t>
            </w:r>
          </w:p>
        </w:tc>
        <w:tc>
          <w:tcPr>
            <w:tcW w:w="1148" w:type="dxa"/>
            <w:noWrap w:val="0"/>
            <w:vAlign w:val="center"/>
          </w:tcPr>
          <w:p w14:paraId="3781033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2800F20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5F8A76C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71D4863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B189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EA9AE1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造价管理</w:t>
            </w:r>
          </w:p>
        </w:tc>
        <w:tc>
          <w:tcPr>
            <w:tcW w:w="1148" w:type="dxa"/>
            <w:noWrap w:val="0"/>
            <w:vAlign w:val="center"/>
          </w:tcPr>
          <w:p w14:paraId="56B2F3C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62CE22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5BD785C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03FFDD2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33B6E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EB3138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1148" w:type="dxa"/>
            <w:noWrap w:val="0"/>
            <w:vAlign w:val="center"/>
          </w:tcPr>
          <w:p w14:paraId="502D577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767F759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35A1591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3F3A80B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9DF8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7753F8B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材料管理</w:t>
            </w:r>
          </w:p>
        </w:tc>
        <w:tc>
          <w:tcPr>
            <w:tcW w:w="1148" w:type="dxa"/>
            <w:noWrap w:val="0"/>
            <w:vAlign w:val="center"/>
          </w:tcPr>
          <w:p w14:paraId="0D3F851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2773518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72E10F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78C12B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30A0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6227DB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计划管理</w:t>
            </w:r>
          </w:p>
        </w:tc>
        <w:tc>
          <w:tcPr>
            <w:tcW w:w="1148" w:type="dxa"/>
            <w:noWrap w:val="0"/>
            <w:vAlign w:val="center"/>
          </w:tcPr>
          <w:p w14:paraId="64A4161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5E35D6F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48B04EA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2162C67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92B7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B1477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安全管理</w:t>
            </w:r>
          </w:p>
        </w:tc>
        <w:tc>
          <w:tcPr>
            <w:tcW w:w="1148" w:type="dxa"/>
            <w:noWrap w:val="0"/>
            <w:vAlign w:val="center"/>
          </w:tcPr>
          <w:p w14:paraId="303BE0F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690378A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3B1A6C6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4442297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2B19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2392B35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148" w:type="dxa"/>
            <w:noWrap w:val="0"/>
            <w:vAlign w:val="center"/>
          </w:tcPr>
          <w:p w14:paraId="13CF304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170D100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05E715D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3B6F6C2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F866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F5E98F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tcBorders>
              <w:bottom w:val="nil"/>
            </w:tcBorders>
            <w:noWrap w:val="0"/>
            <w:vAlign w:val="center"/>
          </w:tcPr>
          <w:p w14:paraId="0FA7202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bottom w:val="nil"/>
            </w:tcBorders>
            <w:noWrap w:val="0"/>
            <w:vAlign w:val="center"/>
          </w:tcPr>
          <w:p w14:paraId="18A9D8A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bottom w:val="nil"/>
            </w:tcBorders>
            <w:noWrap w:val="0"/>
            <w:vAlign w:val="center"/>
          </w:tcPr>
          <w:p w14:paraId="69D573F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bottom w:val="nil"/>
            </w:tcBorders>
            <w:noWrap w:val="0"/>
            <w:vAlign w:val="center"/>
          </w:tcPr>
          <w:p w14:paraId="673896E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9ADF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83F1A5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45EF7CE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6A786B1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2E6F15A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4CE0C1A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10AE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7E252E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2DC22D3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07EB4A4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C7B41A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452E795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8FA0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21C9AA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noWrap w:val="0"/>
            <w:vAlign w:val="center"/>
          </w:tcPr>
          <w:p w14:paraId="4BFE231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noWrap w:val="0"/>
            <w:vAlign w:val="center"/>
          </w:tcPr>
          <w:p w14:paraId="5B4148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noWrap w:val="0"/>
            <w:vAlign w:val="center"/>
          </w:tcPr>
          <w:p w14:paraId="1465A67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noWrap w:val="0"/>
            <w:vAlign w:val="center"/>
          </w:tcPr>
          <w:p w14:paraId="17775B3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8953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31B549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48" w:type="dxa"/>
            <w:tcBorders>
              <w:bottom w:val="single" w:color="auto" w:sz="12" w:space="0"/>
            </w:tcBorders>
            <w:noWrap w:val="0"/>
            <w:vAlign w:val="center"/>
          </w:tcPr>
          <w:p w14:paraId="365E188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41" w:type="dxa"/>
            <w:tcBorders>
              <w:bottom w:val="single" w:color="auto" w:sz="12" w:space="0"/>
            </w:tcBorders>
            <w:noWrap w:val="0"/>
            <w:vAlign w:val="center"/>
          </w:tcPr>
          <w:p w14:paraId="34FEB9D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134" w:type="dxa"/>
            <w:tcBorders>
              <w:bottom w:val="single" w:color="auto" w:sz="12" w:space="0"/>
            </w:tcBorders>
            <w:noWrap w:val="0"/>
            <w:vAlign w:val="center"/>
          </w:tcPr>
          <w:p w14:paraId="65D9BE3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660" w:type="dxa"/>
            <w:tcBorders>
              <w:bottom w:val="single" w:color="auto" w:sz="12" w:space="0"/>
            </w:tcBorders>
            <w:noWrap w:val="0"/>
            <w:vAlign w:val="center"/>
          </w:tcPr>
          <w:p w14:paraId="07D98D2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14:paraId="67709A7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附件7：</w:t>
      </w:r>
    </w:p>
    <w:p w14:paraId="72E70A6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分包人主要施工管理人员表</w:t>
      </w:r>
    </w:p>
    <w:tbl>
      <w:tblPr>
        <w:tblStyle w:val="26"/>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14:paraId="7449F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noWrap w:val="0"/>
            <w:vAlign w:val="center"/>
          </w:tcPr>
          <w:p w14:paraId="30856E6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p>
        </w:tc>
        <w:tc>
          <w:tcPr>
            <w:tcW w:w="1418" w:type="dxa"/>
            <w:tcBorders>
              <w:top w:val="single" w:color="auto" w:sz="12" w:space="0"/>
              <w:bottom w:val="double" w:color="auto" w:sz="6" w:space="0"/>
            </w:tcBorders>
            <w:noWrap w:val="0"/>
            <w:vAlign w:val="center"/>
          </w:tcPr>
          <w:p w14:paraId="162590C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姓名</w:t>
            </w:r>
          </w:p>
        </w:tc>
        <w:tc>
          <w:tcPr>
            <w:tcW w:w="928" w:type="dxa"/>
            <w:tcBorders>
              <w:top w:val="single" w:color="auto" w:sz="12" w:space="0"/>
              <w:bottom w:val="double" w:color="auto" w:sz="6" w:space="0"/>
            </w:tcBorders>
            <w:noWrap w:val="0"/>
            <w:vAlign w:val="center"/>
          </w:tcPr>
          <w:p w14:paraId="2403B18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职务</w:t>
            </w:r>
          </w:p>
        </w:tc>
        <w:tc>
          <w:tcPr>
            <w:tcW w:w="902" w:type="dxa"/>
            <w:tcBorders>
              <w:top w:val="single" w:color="auto" w:sz="12" w:space="0"/>
              <w:bottom w:val="double" w:color="auto" w:sz="6" w:space="0"/>
            </w:tcBorders>
            <w:noWrap w:val="0"/>
            <w:vAlign w:val="center"/>
          </w:tcPr>
          <w:p w14:paraId="3AC4165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职称</w:t>
            </w:r>
          </w:p>
        </w:tc>
        <w:tc>
          <w:tcPr>
            <w:tcW w:w="3814" w:type="dxa"/>
            <w:tcBorders>
              <w:top w:val="single" w:color="auto" w:sz="12" w:space="0"/>
              <w:bottom w:val="double" w:color="auto" w:sz="6" w:space="0"/>
            </w:tcBorders>
            <w:noWrap w:val="0"/>
            <w:vAlign w:val="center"/>
          </w:tcPr>
          <w:p w14:paraId="7639215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主要资历、经验及承担过的项目</w:t>
            </w:r>
          </w:p>
        </w:tc>
      </w:tr>
      <w:tr w14:paraId="62F79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noWrap w:val="0"/>
            <w:vAlign w:val="center"/>
          </w:tcPr>
          <w:p w14:paraId="590D955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一、总部人员</w:t>
            </w:r>
          </w:p>
        </w:tc>
      </w:tr>
      <w:tr w14:paraId="1166B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732E596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项目主管</w:t>
            </w:r>
          </w:p>
        </w:tc>
        <w:tc>
          <w:tcPr>
            <w:tcW w:w="1418" w:type="dxa"/>
            <w:tcBorders>
              <w:top w:val="nil"/>
            </w:tcBorders>
            <w:noWrap w:val="0"/>
            <w:vAlign w:val="center"/>
          </w:tcPr>
          <w:p w14:paraId="00A8AD1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top w:val="nil"/>
            </w:tcBorders>
            <w:noWrap w:val="0"/>
            <w:vAlign w:val="center"/>
          </w:tcPr>
          <w:p w14:paraId="638CE29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top w:val="nil"/>
            </w:tcBorders>
            <w:noWrap w:val="0"/>
            <w:vAlign w:val="center"/>
          </w:tcPr>
          <w:p w14:paraId="5746C22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top w:val="nil"/>
            </w:tcBorders>
            <w:noWrap w:val="0"/>
            <w:vAlign w:val="center"/>
          </w:tcPr>
          <w:p w14:paraId="4D35440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DEEF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noWrap w:val="0"/>
            <w:vAlign w:val="center"/>
          </w:tcPr>
          <w:p w14:paraId="507AD02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6712125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1FE3ED9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0446709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59CD109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B1BB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21EEF1E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14:paraId="09DE0D6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0B86B9B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6516C6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42DC359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0A4B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noWrap w:val="0"/>
            <w:vAlign w:val="center"/>
          </w:tcPr>
          <w:p w14:paraId="6176E69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05D87CB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708FE99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46A51BF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569BD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17C9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noWrap w:val="0"/>
            <w:vAlign w:val="center"/>
          </w:tcPr>
          <w:p w14:paraId="4D63A95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二、现场人员</w:t>
            </w:r>
          </w:p>
        </w:tc>
      </w:tr>
      <w:tr w14:paraId="4F621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9EA9A7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项目经理</w:t>
            </w:r>
          </w:p>
        </w:tc>
        <w:tc>
          <w:tcPr>
            <w:tcW w:w="1418" w:type="dxa"/>
            <w:noWrap w:val="0"/>
            <w:vAlign w:val="center"/>
          </w:tcPr>
          <w:p w14:paraId="385740E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2CEC8B0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11E3F18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E9D14C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B822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2BF8511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项目副经理</w:t>
            </w:r>
          </w:p>
        </w:tc>
        <w:tc>
          <w:tcPr>
            <w:tcW w:w="1418" w:type="dxa"/>
            <w:noWrap w:val="0"/>
            <w:vAlign w:val="center"/>
          </w:tcPr>
          <w:p w14:paraId="788F436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5AA8E7B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6C17F38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329E781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1779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255D8B2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技术负责人</w:t>
            </w:r>
          </w:p>
        </w:tc>
        <w:tc>
          <w:tcPr>
            <w:tcW w:w="1418" w:type="dxa"/>
            <w:noWrap w:val="0"/>
            <w:vAlign w:val="center"/>
          </w:tcPr>
          <w:p w14:paraId="4E3BBD4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4A14070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36C0E8E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6A44CF0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565A3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0127E98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造价管理</w:t>
            </w:r>
          </w:p>
        </w:tc>
        <w:tc>
          <w:tcPr>
            <w:tcW w:w="1418" w:type="dxa"/>
            <w:noWrap w:val="0"/>
            <w:vAlign w:val="center"/>
          </w:tcPr>
          <w:p w14:paraId="5329D03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00C86EC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388AAD5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6D6009F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1A59E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3EAAA4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1418" w:type="dxa"/>
            <w:noWrap w:val="0"/>
            <w:vAlign w:val="center"/>
          </w:tcPr>
          <w:p w14:paraId="418F249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13E903E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7E7CFD0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B3C963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66FF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45760E2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材料管理</w:t>
            </w:r>
          </w:p>
        </w:tc>
        <w:tc>
          <w:tcPr>
            <w:tcW w:w="1418" w:type="dxa"/>
            <w:noWrap w:val="0"/>
            <w:vAlign w:val="center"/>
          </w:tcPr>
          <w:p w14:paraId="111E68A0">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0BC975F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55CD3D83">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452F24E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8938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16ABC2C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计划管理</w:t>
            </w:r>
          </w:p>
        </w:tc>
        <w:tc>
          <w:tcPr>
            <w:tcW w:w="1418" w:type="dxa"/>
            <w:noWrap w:val="0"/>
            <w:vAlign w:val="center"/>
          </w:tcPr>
          <w:p w14:paraId="53D8682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2DEE60F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5FCD0E21">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45983BB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74154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noWrap w:val="0"/>
            <w:vAlign w:val="center"/>
          </w:tcPr>
          <w:p w14:paraId="4096A62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安全管理</w:t>
            </w:r>
          </w:p>
        </w:tc>
        <w:tc>
          <w:tcPr>
            <w:tcW w:w="1418" w:type="dxa"/>
            <w:noWrap w:val="0"/>
            <w:vAlign w:val="center"/>
          </w:tcPr>
          <w:p w14:paraId="5582F72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533CFFD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4A2EE5C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7310D17D">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ADC1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noWrap w:val="0"/>
            <w:vAlign w:val="center"/>
          </w:tcPr>
          <w:p w14:paraId="03F0A46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其他人员</w:t>
            </w:r>
          </w:p>
        </w:tc>
        <w:tc>
          <w:tcPr>
            <w:tcW w:w="1418" w:type="dxa"/>
            <w:noWrap w:val="0"/>
            <w:vAlign w:val="center"/>
          </w:tcPr>
          <w:p w14:paraId="3C2EA42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7F7227A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3829ADA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625738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04CA2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4B73F20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bottom w:val="nil"/>
            </w:tcBorders>
            <w:noWrap w:val="0"/>
            <w:vAlign w:val="center"/>
          </w:tcPr>
          <w:p w14:paraId="77C3BC9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bottom w:val="nil"/>
            </w:tcBorders>
            <w:noWrap w:val="0"/>
            <w:vAlign w:val="center"/>
          </w:tcPr>
          <w:p w14:paraId="27AEF58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bottom w:val="nil"/>
            </w:tcBorders>
            <w:noWrap w:val="0"/>
            <w:vAlign w:val="center"/>
          </w:tcPr>
          <w:p w14:paraId="4EFF57F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bottom w:val="nil"/>
            </w:tcBorders>
            <w:noWrap w:val="0"/>
            <w:vAlign w:val="center"/>
          </w:tcPr>
          <w:p w14:paraId="2B75EDE8">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3BBEB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30C4EEF">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7ECC24C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59908B3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09A931C9">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5A9878E">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63428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37BFA0E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23F8758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3889DB9B">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4DF27216">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2AFF87F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2A216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noWrap w:val="0"/>
            <w:vAlign w:val="center"/>
          </w:tcPr>
          <w:p w14:paraId="0FE4689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noWrap w:val="0"/>
            <w:vAlign w:val="center"/>
          </w:tcPr>
          <w:p w14:paraId="6C08B1A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noWrap w:val="0"/>
            <w:vAlign w:val="center"/>
          </w:tcPr>
          <w:p w14:paraId="3E99934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noWrap w:val="0"/>
            <w:vAlign w:val="center"/>
          </w:tcPr>
          <w:p w14:paraId="67FA8235">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noWrap w:val="0"/>
            <w:vAlign w:val="center"/>
          </w:tcPr>
          <w:p w14:paraId="7F304154">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r w14:paraId="4200E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noWrap w:val="0"/>
            <w:vAlign w:val="center"/>
          </w:tcPr>
          <w:p w14:paraId="370B2A0A">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1418" w:type="dxa"/>
            <w:tcBorders>
              <w:bottom w:val="single" w:color="auto" w:sz="12" w:space="0"/>
            </w:tcBorders>
            <w:noWrap w:val="0"/>
            <w:vAlign w:val="center"/>
          </w:tcPr>
          <w:p w14:paraId="668EBD0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28" w:type="dxa"/>
            <w:tcBorders>
              <w:bottom w:val="single" w:color="auto" w:sz="12" w:space="0"/>
            </w:tcBorders>
            <w:noWrap w:val="0"/>
            <w:vAlign w:val="center"/>
          </w:tcPr>
          <w:p w14:paraId="59C5EA6C">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902" w:type="dxa"/>
            <w:tcBorders>
              <w:bottom w:val="single" w:color="auto" w:sz="12" w:space="0"/>
            </w:tcBorders>
            <w:noWrap w:val="0"/>
            <w:vAlign w:val="center"/>
          </w:tcPr>
          <w:p w14:paraId="714A6967">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c>
          <w:tcPr>
            <w:tcW w:w="3814" w:type="dxa"/>
            <w:tcBorders>
              <w:bottom w:val="single" w:color="auto" w:sz="12" w:space="0"/>
            </w:tcBorders>
            <w:noWrap w:val="0"/>
            <w:vAlign w:val="center"/>
          </w:tcPr>
          <w:p w14:paraId="65C45772">
            <w:pPr>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bidi="ar-SA"/>
              </w:rPr>
            </w:pPr>
          </w:p>
        </w:tc>
      </w:tr>
    </w:tbl>
    <w:p w14:paraId="79B6F34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br w:type="page"/>
      </w:r>
      <w:r>
        <w:rPr>
          <w:rFonts w:hint="eastAsia" w:ascii="宋体" w:hAnsi="宋体" w:eastAsia="宋体" w:cs="宋体"/>
          <w:color w:val="auto"/>
          <w:kern w:val="2"/>
          <w:sz w:val="21"/>
          <w:szCs w:val="21"/>
          <w:highlight w:val="none"/>
          <w:lang w:val="en-US" w:bidi="ar-SA"/>
        </w:rPr>
        <w:t>附件8：</w:t>
      </w:r>
    </w:p>
    <w:p w14:paraId="1F2D86C2">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履约担保</w:t>
      </w:r>
    </w:p>
    <w:p w14:paraId="2EC8281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lang w:val="en-US" w:bidi="ar-SA"/>
        </w:rPr>
        <w:t>（发包人名称）：</w:t>
      </w:r>
    </w:p>
    <w:p w14:paraId="0F9D9F8E">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2A46AECB">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鉴于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（发包人名称，以下简称“发包人”）与</w:t>
      </w:r>
    </w:p>
    <w:p w14:paraId="437B236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（承包人名称）（以下称“承包人”）于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日就</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 xml:space="preserve">（工程名称）施工及有关事项协商一致共同签订《建设工程施工合同》。我方愿意无条件地、不可撤销地就承包人履行与你方签订的合同，向你方提供连带责任担保。 </w:t>
      </w:r>
    </w:p>
    <w:p w14:paraId="0EF50A7A">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担保金额人民币（大写）</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元（¥</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w:t>
      </w:r>
    </w:p>
    <w:p w14:paraId="18721758">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担保有效期自你方与承包人签订的合同生效之日起至你方签发或应签发工程接收证书之日止。</w:t>
      </w:r>
    </w:p>
    <w:p w14:paraId="250D9226">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在本担保有效期内，因承包人违反合同约定的义务给你方造成经济损失时，我方在收到你方以书面形式提出的在担保金额内的赔偿要求后，在7天内无条件支付。</w:t>
      </w:r>
    </w:p>
    <w:p w14:paraId="6B40C56D">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你方和承包人按合同约定变更合同时，我方承担本担保规定的义务不变。</w:t>
      </w:r>
    </w:p>
    <w:p w14:paraId="4358D15A">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 因本保函发生的纠纷，可由双方协商解决，协商不成的，任何一方均可提请</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仲裁委员会仲裁。</w:t>
      </w:r>
    </w:p>
    <w:p w14:paraId="7C45A95D">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 本保函自我方法定代表人（或其授权代理人）签字并加盖公章之日起生效。</w:t>
      </w:r>
    </w:p>
    <w:p w14:paraId="346F9ED3">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74E9710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担 保 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（盖单位章）</w:t>
      </w:r>
    </w:p>
    <w:p w14:paraId="079DED4F">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法定代表人或其委托代理人：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（签字）</w:t>
      </w:r>
    </w:p>
    <w:p w14:paraId="0CC8A6D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地    址：</w:t>
      </w:r>
      <w:r>
        <w:rPr>
          <w:rFonts w:hint="eastAsia" w:ascii="宋体" w:hAnsi="宋体" w:eastAsia="宋体" w:cs="宋体"/>
          <w:color w:val="auto"/>
          <w:kern w:val="2"/>
          <w:sz w:val="21"/>
          <w:szCs w:val="21"/>
          <w:highlight w:val="none"/>
          <w:u w:val="single"/>
          <w:lang w:val="en-US" w:bidi="ar-SA"/>
        </w:rPr>
        <w:t xml:space="preserve">                                      </w:t>
      </w:r>
    </w:p>
    <w:p w14:paraId="523FF6EA">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邮政编码：</w:t>
      </w:r>
      <w:r>
        <w:rPr>
          <w:rFonts w:hint="eastAsia" w:ascii="宋体" w:hAnsi="宋体" w:eastAsia="宋体" w:cs="宋体"/>
          <w:color w:val="auto"/>
          <w:kern w:val="2"/>
          <w:sz w:val="21"/>
          <w:szCs w:val="21"/>
          <w:highlight w:val="none"/>
          <w:u w:val="single"/>
          <w:lang w:val="en-US" w:bidi="ar-SA"/>
        </w:rPr>
        <w:t xml:space="preserve">                                      </w:t>
      </w:r>
    </w:p>
    <w:p w14:paraId="0DF9A42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电    话：</w:t>
      </w:r>
      <w:r>
        <w:rPr>
          <w:rFonts w:hint="eastAsia" w:ascii="宋体" w:hAnsi="宋体" w:eastAsia="宋体" w:cs="宋体"/>
          <w:color w:val="auto"/>
          <w:kern w:val="2"/>
          <w:sz w:val="21"/>
          <w:szCs w:val="21"/>
          <w:highlight w:val="none"/>
          <w:u w:val="single"/>
          <w:lang w:val="en-US" w:bidi="ar-SA"/>
        </w:rPr>
        <w:t xml:space="preserve">                                      </w:t>
      </w:r>
    </w:p>
    <w:p w14:paraId="500B340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传    真：</w:t>
      </w:r>
      <w:r>
        <w:rPr>
          <w:rFonts w:hint="eastAsia" w:ascii="宋体" w:hAnsi="宋体" w:eastAsia="宋体" w:cs="宋体"/>
          <w:color w:val="auto"/>
          <w:kern w:val="2"/>
          <w:sz w:val="21"/>
          <w:szCs w:val="21"/>
          <w:highlight w:val="none"/>
          <w:u w:val="single"/>
          <w:lang w:val="en-US" w:bidi="ar-SA"/>
        </w:rPr>
        <w:t xml:space="preserve">                                      </w:t>
      </w:r>
    </w:p>
    <w:p w14:paraId="58B6B6B2">
      <w:pPr>
        <w:pageBreakBefore w:val="0"/>
        <w:widowControl w:val="0"/>
        <w:kinsoku/>
        <w:wordWrap/>
        <w:overflowPunct/>
        <w:topLinePunct w:val="0"/>
        <w:autoSpaceDE/>
        <w:autoSpaceDN/>
        <w:bidi w:val="0"/>
        <w:snapToGrid/>
        <w:spacing w:line="360" w:lineRule="exact"/>
        <w:ind w:left="0" w:leftChars="0" w:right="0" w:rightChars="0"/>
        <w:jc w:val="left"/>
        <w:rPr>
          <w:rFonts w:hint="eastAsia" w:ascii="宋体" w:hAnsi="宋体" w:eastAsia="宋体" w:cs="宋体"/>
          <w:color w:val="auto"/>
          <w:kern w:val="2"/>
          <w:sz w:val="21"/>
          <w:szCs w:val="21"/>
          <w:highlight w:val="none"/>
          <w:u w:val="single"/>
          <w:lang w:val="en-US" w:bidi="ar-SA"/>
        </w:rPr>
      </w:pPr>
    </w:p>
    <w:p w14:paraId="2E3479AC">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w:t>
      </w:r>
    </w:p>
    <w:p w14:paraId="40F4A2A5">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4BBA480F">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2C8C863B">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0497A79C">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533B88CF">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74771D4E">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05A921DB">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5D2DDD82">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286BB111">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3BCEA3DB">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75A5A32B">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584E56F0">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436D233F">
      <w:pPr>
        <w:pageBreakBefore w:val="0"/>
        <w:widowControl w:val="0"/>
        <w:kinsoku/>
        <w:wordWrap/>
        <w:overflowPunct/>
        <w:topLinePunct w:val="0"/>
        <w:autoSpaceDE/>
        <w:autoSpaceDN/>
        <w:bidi w:val="0"/>
        <w:snapToGrid/>
        <w:spacing w:line="360" w:lineRule="exact"/>
        <w:ind w:left="1329" w:leftChars="0" w:right="0" w:rightChars="0" w:hanging="1329" w:hangingChars="633"/>
        <w:jc w:val="both"/>
        <w:rPr>
          <w:rFonts w:hint="eastAsia" w:ascii="宋体" w:hAnsi="宋体" w:eastAsia="宋体" w:cs="宋体"/>
          <w:color w:val="auto"/>
          <w:kern w:val="2"/>
          <w:sz w:val="21"/>
          <w:szCs w:val="21"/>
          <w:highlight w:val="none"/>
          <w:lang w:val="en-US" w:bidi="ar-SA"/>
        </w:rPr>
      </w:pPr>
    </w:p>
    <w:p w14:paraId="7468032F">
      <w:pPr>
        <w:widowControl w:val="0"/>
        <w:spacing w:after="120"/>
        <w:jc w:val="both"/>
        <w:rPr>
          <w:rFonts w:hint="eastAsia" w:ascii="宋体" w:hAnsi="宋体" w:eastAsia="宋体" w:cs="宋体"/>
          <w:color w:val="auto"/>
          <w:kern w:val="2"/>
          <w:sz w:val="21"/>
          <w:szCs w:val="21"/>
          <w:highlight w:val="none"/>
          <w:lang w:val="en-US" w:eastAsia="zh-CN" w:bidi="ar-SA"/>
        </w:rPr>
      </w:pPr>
    </w:p>
    <w:p w14:paraId="3DDFA95E">
      <w:pPr>
        <w:widowControl w:val="0"/>
        <w:spacing w:after="120"/>
        <w:jc w:val="both"/>
        <w:rPr>
          <w:rFonts w:hint="eastAsia" w:ascii="宋体" w:hAnsi="宋体" w:eastAsia="宋体" w:cs="宋体"/>
          <w:color w:val="auto"/>
          <w:kern w:val="2"/>
          <w:sz w:val="21"/>
          <w:szCs w:val="21"/>
          <w:highlight w:val="none"/>
          <w:lang w:val="en-US" w:eastAsia="zh-CN" w:bidi="ar-SA"/>
        </w:rPr>
      </w:pPr>
    </w:p>
    <w:p w14:paraId="553A45CD">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附件9 ：</w:t>
      </w:r>
    </w:p>
    <w:p w14:paraId="183066C4">
      <w:pPr>
        <w:pageBreakBefore w:val="0"/>
        <w:widowControl w:val="0"/>
        <w:kinsoku/>
        <w:wordWrap/>
        <w:overflowPunct/>
        <w:topLinePunct w:val="0"/>
        <w:autoSpaceDE/>
        <w:autoSpaceDN/>
        <w:bidi w:val="0"/>
        <w:snapToGrid/>
        <w:spacing w:line="360" w:lineRule="exact"/>
        <w:ind w:left="0" w:leftChars="0" w:right="0" w:rightChars="0"/>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预付款担保</w:t>
      </w:r>
    </w:p>
    <w:p w14:paraId="665E2A7C">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 xml:space="preserve"> （发包人名称）：</w:t>
      </w:r>
    </w:p>
    <w:p w14:paraId="7121885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48C4BDF2">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根据</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（承包人名称）（以下称“承包人”）与</w:t>
      </w:r>
    </w:p>
    <w:p w14:paraId="554A1771">
      <w:pPr>
        <w:pageBreakBefore w:val="0"/>
        <w:widowControl w:val="0"/>
        <w:kinsoku/>
        <w:wordWrap/>
        <w:overflowPunct/>
        <w:topLinePunct w:val="0"/>
        <w:autoSpaceDE/>
        <w:autoSpaceDN/>
        <w:bidi w:val="0"/>
        <w:snapToGrid/>
        <w:spacing w:line="360" w:lineRule="exact"/>
        <w:ind w:left="0" w:leftChars="0" w:right="0" w:rightChars="0"/>
        <w:jc w:val="both"/>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（发包人名称）（以下简称“发包人”）</w:t>
      </w:r>
    </w:p>
    <w:p w14:paraId="04E63729">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日签订的</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14:paraId="6D881E02">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担保金额人民币（大写）</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元（¥</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w:t>
      </w:r>
    </w:p>
    <w:p w14:paraId="26758A33">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担保有效期自预付款支付给承包人起生效，至你方签发的进度款支付证书说明已完全扣清止。</w:t>
      </w:r>
    </w:p>
    <w:p w14:paraId="20868ADC">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1E15640">
      <w:pPr>
        <w:pageBreakBefore w:val="0"/>
        <w:widowControl w:val="0"/>
        <w:kinsoku/>
        <w:wordWrap/>
        <w:overflowPunct/>
        <w:topLinePunct w:val="0"/>
        <w:autoSpaceDE/>
        <w:autoSpaceDN/>
        <w:bidi w:val="0"/>
        <w:snapToGrid/>
        <w:spacing w:line="360" w:lineRule="exact"/>
        <w:ind w:left="0" w:leftChars="0" w:right="0" w:rightChars="0"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你方和承包人按合同约定变更合同时，我方承担本保函规定的义务不变。</w:t>
      </w:r>
    </w:p>
    <w:p w14:paraId="312655E0">
      <w:pPr>
        <w:pageBreakBefore w:val="0"/>
        <w:widowControl w:val="0"/>
        <w:kinsoku/>
        <w:wordWrap/>
        <w:overflowPunct/>
        <w:topLinePunct w:val="0"/>
        <w:autoSpaceDE/>
        <w:autoSpaceDN/>
        <w:bidi w:val="0"/>
        <w:snapToGrid/>
        <w:spacing w:line="360" w:lineRule="exact"/>
        <w:ind w:left="0" w:leftChars="0" w:right="0" w:rightChars="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 因本保函发生的纠纷，可由双方协商解决，协商不成的，任何一方均可提请</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仲裁委员会仲裁。</w:t>
      </w:r>
    </w:p>
    <w:p w14:paraId="7245BAE3">
      <w:pPr>
        <w:pageBreakBefore w:val="0"/>
        <w:widowControl w:val="0"/>
        <w:kinsoku/>
        <w:wordWrap/>
        <w:overflowPunct/>
        <w:topLinePunct w:val="0"/>
        <w:autoSpaceDE/>
        <w:autoSpaceDN/>
        <w:bidi w:val="0"/>
        <w:snapToGrid/>
        <w:spacing w:line="360" w:lineRule="exact"/>
        <w:ind w:left="0" w:leftChars="0" w:right="0" w:rightChars="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6. 本保函自我方法定代表人（或其授权代理人）签字并加盖公章之日起生效。</w:t>
      </w:r>
    </w:p>
    <w:p w14:paraId="33280B9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53BE028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p>
    <w:p w14:paraId="6B9AD9C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担保人：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（盖单位章）</w:t>
      </w:r>
    </w:p>
    <w:p w14:paraId="25F7F17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法定代表人或其委托代理人：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（签字）</w:t>
      </w:r>
    </w:p>
    <w:p w14:paraId="4F644D10">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地    址：</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14:paraId="144E106B">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邮政编码：</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14:paraId="59F91624">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电    话：</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14:paraId="0AF89365">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r>
        <w:rPr>
          <w:rFonts w:hint="eastAsia" w:ascii="宋体" w:hAnsi="宋体" w:eastAsia="宋体" w:cs="宋体"/>
          <w:color w:val="auto"/>
          <w:kern w:val="2"/>
          <w:sz w:val="21"/>
          <w:szCs w:val="21"/>
          <w:highlight w:val="none"/>
          <w:lang w:val="en-US" w:bidi="ar-SA"/>
        </w:rPr>
        <w:t>传    真：</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r>
        <w:rPr>
          <w:rFonts w:hint="eastAsia" w:ascii="宋体" w:hAnsi="宋体" w:eastAsia="宋体" w:cs="宋体"/>
          <w:color w:val="auto"/>
          <w:kern w:val="2"/>
          <w:sz w:val="21"/>
          <w:szCs w:val="21"/>
          <w:highlight w:val="none"/>
          <w:u w:val="single"/>
          <w:lang w:val="en-US" w:bidi="ar-SA"/>
        </w:rPr>
        <w:tab/>
      </w:r>
    </w:p>
    <w:p w14:paraId="7C4C3241">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p>
    <w:p w14:paraId="4016652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u w:val="single"/>
          <w:lang w:val="en-US" w:bidi="ar-SA"/>
        </w:rPr>
      </w:pPr>
    </w:p>
    <w:p w14:paraId="000BAF27">
      <w:pPr>
        <w:pageBreakBefore w:val="0"/>
        <w:widowControl w:val="0"/>
        <w:kinsoku/>
        <w:wordWrap/>
        <w:overflowPunct/>
        <w:topLinePunct w:val="0"/>
        <w:autoSpaceDE/>
        <w:autoSpaceDN/>
        <w:bidi w:val="0"/>
        <w:snapToGrid/>
        <w:spacing w:line="360" w:lineRule="exact"/>
        <w:ind w:left="0" w:leftChars="0" w:right="0" w:rightChars="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w:t>
      </w:r>
    </w:p>
    <w:p w14:paraId="01A0C5B6">
      <w:pPr>
        <w:autoSpaceDE/>
        <w:autoSpaceDN/>
        <w:spacing w:line="440" w:lineRule="exact"/>
        <w:jc w:val="both"/>
        <w:rPr>
          <w:rFonts w:hint="eastAsia" w:ascii="宋体" w:hAnsi="宋体" w:eastAsia="宋体" w:cs="宋体"/>
          <w:color w:val="auto"/>
          <w:kern w:val="2"/>
          <w:sz w:val="21"/>
          <w:szCs w:val="21"/>
          <w:highlight w:val="none"/>
          <w:lang w:val="en-US" w:bidi="ar-SA"/>
        </w:rPr>
      </w:pPr>
      <w:r>
        <w:rPr>
          <w:rFonts w:ascii="Times New Roman" w:hAnsi="Times New Roman" w:eastAsia="仿宋_GB2312" w:cs="Times New Roman"/>
          <w:b/>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 xml:space="preserve">附件10:  </w:t>
      </w:r>
    </w:p>
    <w:p w14:paraId="21675164">
      <w:pPr>
        <w:autoSpaceDE/>
        <w:autoSpaceDN/>
        <w:spacing w:before="120" w:beforeLines="50" w:after="120" w:afterLines="50" w:line="440" w:lineRule="exact"/>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支付担保</w:t>
      </w:r>
    </w:p>
    <w:p w14:paraId="2DA88ACF">
      <w:pPr>
        <w:autoSpaceDE/>
        <w:autoSpaceDN/>
        <w:spacing w:line="440" w:lineRule="exact"/>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（承包人）：</w:t>
      </w:r>
    </w:p>
    <w:p w14:paraId="0EC57541">
      <w:pPr>
        <w:autoSpaceDE/>
        <w:autoSpaceDN/>
        <w:spacing w:line="440" w:lineRule="exact"/>
        <w:jc w:val="left"/>
        <w:rPr>
          <w:rFonts w:hint="eastAsia" w:ascii="宋体" w:hAnsi="宋体" w:eastAsia="宋体" w:cs="宋体"/>
          <w:color w:val="auto"/>
          <w:kern w:val="2"/>
          <w:sz w:val="21"/>
          <w:szCs w:val="21"/>
          <w:highlight w:val="none"/>
          <w:lang w:val="en-US" w:bidi="ar-SA"/>
        </w:rPr>
      </w:pPr>
    </w:p>
    <w:p w14:paraId="536D897A">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鉴于你方作为承包人已经与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（发包人名称）（以下称“发包人”）于</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日签订了</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（工程名称）《建设工程施工合同》（以下称“主合同”），应发包人的申请，我方愿就发包人履行主合同约定的工程款支付义务以保证的方式向你方提供如下担保：</w:t>
      </w:r>
    </w:p>
    <w:p w14:paraId="123CC5B7">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一、保证的范围及保证金额</w:t>
      </w:r>
    </w:p>
    <w:p w14:paraId="6646FC96">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我方的保证范围是主合同约定的工程款。</w:t>
      </w:r>
    </w:p>
    <w:p w14:paraId="75555CD4">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本保函所称主合同约定的工程款是指主合同约定的除工程质量保证金以外的合同价款。</w:t>
      </w:r>
    </w:p>
    <w:p w14:paraId="3A9CF574">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我方保证的金额是主合同约定的工程款的</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%，数额最高不超过人民币元（大写：</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w:t>
      </w:r>
    </w:p>
    <w:p w14:paraId="25443E72">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二、保证的方式及保证期间</w:t>
      </w:r>
    </w:p>
    <w:p w14:paraId="0DC28F9B">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我方保证的方式为：连带责任保证。</w:t>
      </w:r>
    </w:p>
    <w:p w14:paraId="1ABF5C5D">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我方保证的期间为：自本合同生效之日起至主合同约定的工程款支付完毕之</w:t>
      </w:r>
      <w:r>
        <w:rPr>
          <w:rFonts w:hint="eastAsia" w:ascii="宋体" w:hAnsi="宋体" w:eastAsia="宋体" w:cs="宋体"/>
          <w:color w:val="auto"/>
          <w:kern w:val="2"/>
          <w:sz w:val="21"/>
          <w:szCs w:val="21"/>
          <w:highlight w:val="none"/>
          <w:lang w:val="en-US" w:eastAsia="zh-CN" w:bidi="ar-SA"/>
        </w:rPr>
        <w:t>日</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日内。</w:t>
      </w:r>
    </w:p>
    <w:p w14:paraId="685EAA95">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你方与发包人协议变更工程款支付日期的，经我方书面同意后，保证期间按照变更后的支付日期做相应调整。</w:t>
      </w:r>
    </w:p>
    <w:p w14:paraId="0BBB6E12">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三、承担保证责任的形式</w:t>
      </w:r>
    </w:p>
    <w:p w14:paraId="235A5BE5">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我方承担保证责任的形式是代为支付。发包人未按主合同约定向你方支付工程款的，由我方在保证金额内代为支付。</w:t>
      </w:r>
    </w:p>
    <w:p w14:paraId="6E27B34E">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四、代偿的安排</w:t>
      </w:r>
    </w:p>
    <w:p w14:paraId="292FF403">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你方要求我方承担保证责任的，应向我方发出书面索赔通知及发包人未支付主合同约定工程款的证明材料。索赔通知应写明要求索赔的金额，支付款项应到达的账号。</w:t>
      </w:r>
    </w:p>
    <w:p w14:paraId="23A639FD">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在出现你方与发包人因工程质量发生争议，发包人拒绝向你方支付工程款的情形时，你方要求我方履行保证责任代为支付的，需提供符合相应条件要求的工程质量检测机构出具的质量说明材料。</w:t>
      </w:r>
    </w:p>
    <w:p w14:paraId="2C967EAD">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我方收到你方的书面索赔通知及相应的证明材料后７天内无条件支付。</w:t>
      </w:r>
    </w:p>
    <w:p w14:paraId="4A524B80">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五、保证责任的解除</w:t>
      </w:r>
    </w:p>
    <w:p w14:paraId="0834BA69">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在本保函承诺的保证期间内，你方未书面向我方主张保证责任的，自保证期间届满次日起，我方保证责任解除。</w:t>
      </w:r>
    </w:p>
    <w:p w14:paraId="3E37E09E">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发包人按主合同约定履行了工程款的全部支付义务的，自本保函承诺的保证期间届满次日起，我方保证责任解除。</w:t>
      </w:r>
    </w:p>
    <w:p w14:paraId="7A90B45C">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我方按照本保函向你方履行保证责任所支付金额达到本保函保证金额时，自我方向你方支付（支付款项从我方账户划出）之日起，保证责任即解除。</w:t>
      </w:r>
    </w:p>
    <w:p w14:paraId="580937C4">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按照法律法规的规定或出现应解除我方保证责任的其他情形的，我方在本保函项下的保证责任亦解除。</w:t>
      </w:r>
    </w:p>
    <w:p w14:paraId="744B6A57">
      <w:pPr>
        <w:autoSpaceDE/>
        <w:autoSpaceDN/>
        <w:spacing w:line="360" w:lineRule="auto"/>
        <w:jc w:val="left"/>
        <w:rPr>
          <w:rFonts w:hint="eastAsia" w:ascii="宋体" w:hAnsi="宋体" w:eastAsia="宋体" w:cs="宋体"/>
          <w:color w:val="auto"/>
          <w:kern w:val="2"/>
          <w:sz w:val="21"/>
          <w:szCs w:val="21"/>
          <w:highlight w:val="none"/>
          <w:lang w:val="en-US" w:bidi="ar-SA"/>
        </w:rPr>
      </w:pPr>
    </w:p>
    <w:p w14:paraId="71879592">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5. 我方解除保证责任后，你方应自我方保证责任解除之日起</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个工作日内，将本保函原件返还我方。</w:t>
      </w:r>
    </w:p>
    <w:p w14:paraId="722FB4F2">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六、免责条款</w:t>
      </w:r>
    </w:p>
    <w:p w14:paraId="7C934333">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 因你方违约致使发包人不能履行义务的，我方不承担保证责任。</w:t>
      </w:r>
    </w:p>
    <w:p w14:paraId="65EE2CF9">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 依照法律法规的规定或你方与发包人的另行约定，免除发包人部分或全部义务的，我方亦免除其相应的保证责任。</w:t>
      </w:r>
    </w:p>
    <w:p w14:paraId="4178CDCC">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3. 你方与发包人协议变更主合同的，如加重发包人责任致使我方保证责任加重的，需征得我方书面同意，否则我方不再承担因此而加重部分的保证责任，但主合同第10条〔变更〕约定的变更不受本款限制。</w:t>
      </w:r>
    </w:p>
    <w:p w14:paraId="070017CB">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4. 因不可抗力造成发包人不能履行义务的，我方不承担保证责任。</w:t>
      </w:r>
    </w:p>
    <w:p w14:paraId="5679E7AD">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七、争议解决</w:t>
      </w:r>
    </w:p>
    <w:p w14:paraId="77CF3F5A">
      <w:pPr>
        <w:autoSpaceDE/>
        <w:autoSpaceDN/>
        <w:spacing w:after="120" w:line="360" w:lineRule="auto"/>
        <w:ind w:firstLine="420" w:firstLineChars="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因本保函或本保函相关事项发生的纠纷，可由双方协商解决，协商不成的，按下列第</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种方式解决：</w:t>
      </w:r>
    </w:p>
    <w:p w14:paraId="4061D80A">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（1）向</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仲裁委员会申请仲裁；</w:t>
      </w:r>
    </w:p>
    <w:p w14:paraId="5AB8E400">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（2）向</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人民法院起诉。</w:t>
      </w:r>
    </w:p>
    <w:p w14:paraId="721E6CCF">
      <w:pPr>
        <w:autoSpaceDE/>
        <w:autoSpaceDN/>
        <w:spacing w:line="360" w:lineRule="auto"/>
        <w:ind w:firstLine="420" w:firstLineChars="200"/>
        <w:jc w:val="left"/>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八、保函的生效</w:t>
      </w:r>
    </w:p>
    <w:p w14:paraId="70759184">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本保函自我方法定代表人（或其授权代理人）签字并加盖公章之日起生效。</w:t>
      </w:r>
    </w:p>
    <w:p w14:paraId="36E6EBBD">
      <w:pPr>
        <w:autoSpaceDE/>
        <w:autoSpaceDN/>
        <w:spacing w:line="360" w:lineRule="auto"/>
        <w:ind w:firstLine="420" w:firstLineChars="200"/>
        <w:jc w:val="left"/>
        <w:rPr>
          <w:rFonts w:hint="eastAsia" w:ascii="宋体" w:hAnsi="宋体" w:eastAsia="宋体" w:cs="宋体"/>
          <w:color w:val="auto"/>
          <w:kern w:val="2"/>
          <w:sz w:val="21"/>
          <w:szCs w:val="21"/>
          <w:highlight w:val="none"/>
          <w:lang w:val="en-US" w:bidi="ar-SA"/>
        </w:rPr>
      </w:pPr>
    </w:p>
    <w:p w14:paraId="3DDF104A">
      <w:pPr>
        <w:autoSpaceDE/>
        <w:autoSpaceDN/>
        <w:spacing w:line="360" w:lineRule="auto"/>
        <w:ind w:right="600"/>
        <w:jc w:val="left"/>
        <w:rPr>
          <w:rFonts w:hint="eastAsia" w:ascii="宋体" w:hAnsi="宋体" w:eastAsia="宋体" w:cs="宋体"/>
          <w:color w:val="auto"/>
          <w:kern w:val="2"/>
          <w:sz w:val="21"/>
          <w:szCs w:val="21"/>
          <w:highlight w:val="none"/>
          <w:lang w:val="en-US" w:bidi="ar-SA"/>
        </w:rPr>
      </w:pPr>
    </w:p>
    <w:p w14:paraId="441C1E41">
      <w:pPr>
        <w:autoSpaceDE/>
        <w:autoSpaceDN/>
        <w:spacing w:line="360" w:lineRule="auto"/>
        <w:ind w:right="6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担保人：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（盖章）</w:t>
      </w:r>
    </w:p>
    <w:p w14:paraId="75863BA7">
      <w:pPr>
        <w:autoSpaceDE/>
        <w:autoSpaceDN/>
        <w:spacing w:line="360" w:lineRule="auto"/>
        <w:ind w:right="1200"/>
        <w:jc w:val="both"/>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法定代表人或委托代理人：</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（签字）</w:t>
      </w:r>
    </w:p>
    <w:p w14:paraId="29837A1A">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地    址：</w:t>
      </w:r>
      <w:r>
        <w:rPr>
          <w:rFonts w:hint="eastAsia" w:ascii="宋体" w:hAnsi="宋体" w:eastAsia="宋体" w:cs="宋体"/>
          <w:color w:val="auto"/>
          <w:kern w:val="2"/>
          <w:sz w:val="21"/>
          <w:szCs w:val="21"/>
          <w:highlight w:val="none"/>
          <w:u w:val="single"/>
          <w:lang w:val="en-US" w:bidi="ar-SA"/>
        </w:rPr>
        <w:t xml:space="preserve">                                        </w:t>
      </w:r>
    </w:p>
    <w:p w14:paraId="08D576E1">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邮政编码：</w:t>
      </w:r>
      <w:r>
        <w:rPr>
          <w:rFonts w:hint="eastAsia" w:ascii="宋体" w:hAnsi="宋体" w:eastAsia="宋体" w:cs="宋体"/>
          <w:color w:val="auto"/>
          <w:kern w:val="2"/>
          <w:sz w:val="21"/>
          <w:szCs w:val="21"/>
          <w:highlight w:val="none"/>
          <w:u w:val="single"/>
          <w:lang w:val="en-US" w:bidi="ar-SA"/>
        </w:rPr>
        <w:t xml:space="preserve">                                        </w:t>
      </w:r>
    </w:p>
    <w:p w14:paraId="16F0E122">
      <w:pPr>
        <w:autoSpaceDE/>
        <w:autoSpaceDN/>
        <w:spacing w:line="360" w:lineRule="auto"/>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传    真：</w:t>
      </w:r>
      <w:r>
        <w:rPr>
          <w:rFonts w:hint="eastAsia" w:ascii="宋体" w:hAnsi="宋体" w:eastAsia="宋体" w:cs="宋体"/>
          <w:color w:val="auto"/>
          <w:kern w:val="2"/>
          <w:sz w:val="21"/>
          <w:szCs w:val="21"/>
          <w:highlight w:val="none"/>
          <w:u w:val="single"/>
          <w:lang w:val="en-US" w:bidi="ar-SA"/>
        </w:rPr>
        <w:t xml:space="preserve">                                        </w:t>
      </w:r>
    </w:p>
    <w:p w14:paraId="3CAE53D5">
      <w:pPr>
        <w:autoSpaceDE/>
        <w:autoSpaceDN/>
        <w:spacing w:line="360" w:lineRule="auto"/>
        <w:ind w:right="150" w:firstLine="420" w:firstLineChars="200"/>
        <w:jc w:val="left"/>
        <w:rPr>
          <w:rFonts w:hint="eastAsia" w:ascii="宋体" w:hAnsi="宋体" w:eastAsia="宋体" w:cs="宋体"/>
          <w:color w:val="auto"/>
          <w:kern w:val="2"/>
          <w:sz w:val="21"/>
          <w:szCs w:val="21"/>
          <w:highlight w:val="none"/>
          <w:u w:val="single"/>
          <w:lang w:val="en-US" w:bidi="ar-SA"/>
        </w:rPr>
      </w:pPr>
    </w:p>
    <w:p w14:paraId="710315FC">
      <w:pPr>
        <w:autoSpaceDE/>
        <w:autoSpaceDN/>
        <w:spacing w:line="360" w:lineRule="auto"/>
        <w:ind w:right="150" w:firstLine="420" w:firstLineChars="200"/>
        <w:jc w:val="left"/>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 xml:space="preserve">             </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年</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月</w:t>
      </w:r>
      <w:r>
        <w:rPr>
          <w:rFonts w:hint="eastAsia" w:ascii="宋体" w:hAnsi="宋体" w:eastAsia="宋体" w:cs="宋体"/>
          <w:color w:val="auto"/>
          <w:kern w:val="2"/>
          <w:sz w:val="21"/>
          <w:szCs w:val="21"/>
          <w:highlight w:val="none"/>
          <w:u w:val="single"/>
          <w:lang w:val="en-US" w:bidi="ar-SA"/>
        </w:rPr>
        <w:t xml:space="preserve">      </w:t>
      </w:r>
      <w:r>
        <w:rPr>
          <w:rFonts w:hint="eastAsia" w:ascii="宋体" w:hAnsi="宋体" w:eastAsia="宋体" w:cs="宋体"/>
          <w:color w:val="auto"/>
          <w:kern w:val="2"/>
          <w:sz w:val="21"/>
          <w:szCs w:val="21"/>
          <w:highlight w:val="none"/>
          <w:lang w:val="en-US" w:bidi="ar-SA"/>
        </w:rPr>
        <w:t>日</w:t>
      </w:r>
    </w:p>
    <w:p w14:paraId="4BA9979B">
      <w:pPr>
        <w:autoSpaceDE/>
        <w:autoSpaceDN/>
        <w:spacing w:line="440" w:lineRule="exact"/>
        <w:jc w:val="both"/>
        <w:rPr>
          <w:rFonts w:ascii="Times New Roman" w:hAnsi="Times New Roman" w:eastAsia="黑体" w:cs="Times New Roman"/>
          <w:color w:val="auto"/>
          <w:kern w:val="2"/>
          <w:sz w:val="30"/>
          <w:szCs w:val="30"/>
          <w:highlight w:val="none"/>
          <w:lang w:val="en-US" w:bidi="ar-SA"/>
        </w:rPr>
      </w:pPr>
      <w:r>
        <w:rPr>
          <w:rFonts w:ascii="Times New Roman" w:hAnsi="Times New Roman" w:eastAsia="仿宋_GB2312" w:cs="Times New Roman"/>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附件11：</w:t>
      </w:r>
    </w:p>
    <w:p w14:paraId="2771CC97">
      <w:pPr>
        <w:autoSpaceDE/>
        <w:autoSpaceDN/>
        <w:spacing w:before="120" w:beforeLines="50" w:after="120" w:afterLines="50" w:line="440" w:lineRule="exact"/>
        <w:jc w:val="center"/>
        <w:outlineLvl w:val="0"/>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11-1：材料暂估价表</w:t>
      </w:r>
    </w:p>
    <w:tbl>
      <w:tblPr>
        <w:tblStyle w:val="26"/>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7A7B2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16951B0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73DBDBC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0F75E57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00F75BD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17B4566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单价</w:t>
            </w:r>
            <w:r>
              <w:rPr>
                <w:rFonts w:hint="eastAsia" w:ascii="等线" w:hAnsi="等线" w:eastAsia="仿宋_GB2312" w:cs="Times New Roman"/>
                <w:color w:val="auto"/>
                <w:kern w:val="2"/>
                <w:sz w:val="24"/>
                <w:szCs w:val="24"/>
                <w:highlight w:val="none"/>
                <w:lang w:val="en-US" w:eastAsia="zh-CN" w:bidi="ar-SA"/>
              </w:rPr>
              <w:t>（元）</w:t>
            </w:r>
          </w:p>
        </w:tc>
        <w:tc>
          <w:tcPr>
            <w:tcW w:w="1418" w:type="dxa"/>
            <w:tcBorders>
              <w:top w:val="single" w:color="auto" w:sz="12" w:space="0"/>
              <w:bottom w:val="double" w:color="auto" w:sz="6" w:space="0"/>
            </w:tcBorders>
            <w:noWrap w:val="0"/>
            <w:vAlign w:val="top"/>
          </w:tcPr>
          <w:p w14:paraId="7C2A658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合价</w:t>
            </w:r>
            <w:r>
              <w:rPr>
                <w:rFonts w:hint="eastAsia" w:ascii="等线" w:hAnsi="等线" w:eastAsia="仿宋_GB2312" w:cs="Times New Roman"/>
                <w:color w:val="auto"/>
                <w:kern w:val="2"/>
                <w:sz w:val="24"/>
                <w:szCs w:val="24"/>
                <w:highlight w:val="none"/>
                <w:lang w:val="en-US" w:eastAsia="zh-CN" w:bidi="ar-SA"/>
              </w:rPr>
              <w:t>（元）</w:t>
            </w:r>
          </w:p>
        </w:tc>
        <w:tc>
          <w:tcPr>
            <w:tcW w:w="1303" w:type="dxa"/>
            <w:tcBorders>
              <w:top w:val="single" w:color="auto" w:sz="12" w:space="0"/>
              <w:bottom w:val="double" w:color="auto" w:sz="6" w:space="0"/>
            </w:tcBorders>
            <w:noWrap w:val="0"/>
            <w:vAlign w:val="top"/>
          </w:tcPr>
          <w:p w14:paraId="4C3155C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备注</w:t>
            </w:r>
          </w:p>
        </w:tc>
      </w:tr>
      <w:tr w14:paraId="7C773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671C063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011179B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7648F04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008FC4B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74AEED9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27E082D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double" w:color="auto" w:sz="6" w:space="0"/>
              <w:bottom w:val="single" w:color="auto" w:sz="6" w:space="0"/>
            </w:tcBorders>
            <w:noWrap w:val="0"/>
            <w:vAlign w:val="top"/>
          </w:tcPr>
          <w:p w14:paraId="10B6D13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E1B8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07D7DFA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nil"/>
            </w:tcBorders>
            <w:noWrap w:val="0"/>
            <w:vAlign w:val="top"/>
          </w:tcPr>
          <w:p w14:paraId="5763D58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nil"/>
            </w:tcBorders>
            <w:noWrap w:val="0"/>
            <w:vAlign w:val="top"/>
          </w:tcPr>
          <w:p w14:paraId="3DFD5C7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nil"/>
            </w:tcBorders>
            <w:noWrap w:val="0"/>
            <w:vAlign w:val="top"/>
          </w:tcPr>
          <w:p w14:paraId="59F75A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nil"/>
            </w:tcBorders>
            <w:noWrap w:val="0"/>
            <w:vAlign w:val="top"/>
          </w:tcPr>
          <w:p w14:paraId="5BC5F54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nil"/>
            </w:tcBorders>
            <w:noWrap w:val="0"/>
            <w:vAlign w:val="top"/>
          </w:tcPr>
          <w:p w14:paraId="60A0DD1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nil"/>
            </w:tcBorders>
            <w:noWrap w:val="0"/>
            <w:vAlign w:val="top"/>
          </w:tcPr>
          <w:p w14:paraId="07B49E6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A769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841A89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890708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D8B038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3FB37B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3391AC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1D66098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0DB5AD1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0849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C3BDD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BBE191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DE107F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F81235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72647D3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8F05A4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6FDDE0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7B38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50C0F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6E3FC9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D368BD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BF47B1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67FABA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3BAACE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DF661C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9433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A3B98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B55AF1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F30068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4C15C1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9B176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00ED3A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EC18D5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3D124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15F4C1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BDE528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5D0DC5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A8E88A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FCF484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1460861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8E1ACD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E51B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7BDE26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BEAE69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2E815D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974B0E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51A860F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BC6E5E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47C3F4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8A54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58821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1BAE86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6D9560A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5F8441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FBA97B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D24320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D1CFB6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6ADE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6DA3F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32D3AE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5776E2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9DF422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74FC47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5DDA26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125E6E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4F27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BF411A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D747C4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B0E7BE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B3B25E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79ACCD1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BE195A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24E4E0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FA5B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CE112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7F9966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64BD9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9CC1E5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0A2D0B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FECE02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9858E2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15D9B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B77A6C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EA9712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0A21322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24F012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8B6DA0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0BC15C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03725D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8B32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366A0D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02DB9E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8FEDC4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42F8BE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570A6E9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DF49CF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D17198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618E0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B87F9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861892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E24765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67FEB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7D521A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18F65DF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417B81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1B9F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4FE9B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FFF466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E1F822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71264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48DCD4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A93713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3CFE26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658C5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0B14CE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AF2AE1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CAF4A3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4214ECF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F49AF6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D5335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E1F888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0A20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3A367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509CB7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60B669A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7DEDA1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1B174D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EFA29F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64C3FDC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7E700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4A1B7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2548D6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073CDB3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54821F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D53098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45AF914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C3A465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1FFA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889EA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3978BD3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7E803F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3E337C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638B98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455A43E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EDCDE3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E985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0191F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A69296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572972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4C3350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8E9920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9D0689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1D5F8D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BA28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3EADE9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5F95C3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447EE4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0BD08F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8F1EAA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1A788CD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178F03B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9B1B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A3587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C0F13F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1DBFB0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3B0133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EE11C4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8F0A51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B5579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C20A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9FB8CD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349103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351D29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AE39C5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483908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559A4C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06334C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494A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31F94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444022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C5AD84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181AA2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22A18E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A7EC82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3DB89A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bl>
    <w:p w14:paraId="39A75E19">
      <w:pPr>
        <w:autoSpaceDE/>
        <w:autoSpaceDN/>
        <w:spacing w:before="120" w:beforeLines="50" w:after="120" w:afterLines="50" w:line="440" w:lineRule="exact"/>
        <w:jc w:val="both"/>
        <w:rPr>
          <w:rFonts w:hint="eastAsia" w:ascii="Times New Roman" w:hAnsi="Times New Roman" w:eastAsia="黑体" w:cs="Times New Roman"/>
          <w:color w:val="auto"/>
          <w:kern w:val="2"/>
          <w:sz w:val="30"/>
          <w:szCs w:val="30"/>
          <w:highlight w:val="none"/>
          <w:lang w:val="en-US" w:bidi="ar-SA"/>
        </w:rPr>
      </w:pPr>
    </w:p>
    <w:p w14:paraId="0BB169E5">
      <w:pPr>
        <w:autoSpaceDE/>
        <w:autoSpaceDN/>
        <w:spacing w:before="120" w:beforeLines="50" w:after="120" w:afterLines="50" w:line="440" w:lineRule="exact"/>
        <w:jc w:val="center"/>
        <w:rPr>
          <w:rFonts w:hint="eastAsia"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11-2：工程设备暂估价表</w:t>
      </w:r>
    </w:p>
    <w:tbl>
      <w:tblPr>
        <w:tblStyle w:val="26"/>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14:paraId="77FEF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5A8A301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09B8707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名称</w:t>
            </w:r>
          </w:p>
        </w:tc>
        <w:tc>
          <w:tcPr>
            <w:tcW w:w="851" w:type="dxa"/>
            <w:tcBorders>
              <w:top w:val="single" w:color="auto" w:sz="12" w:space="0"/>
              <w:bottom w:val="double" w:color="auto" w:sz="6" w:space="0"/>
            </w:tcBorders>
            <w:noWrap w:val="0"/>
            <w:vAlign w:val="top"/>
          </w:tcPr>
          <w:p w14:paraId="49747F2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单位</w:t>
            </w:r>
          </w:p>
        </w:tc>
        <w:tc>
          <w:tcPr>
            <w:tcW w:w="774" w:type="dxa"/>
            <w:tcBorders>
              <w:top w:val="single" w:color="auto" w:sz="12" w:space="0"/>
              <w:bottom w:val="double" w:color="auto" w:sz="6" w:space="0"/>
            </w:tcBorders>
            <w:noWrap w:val="0"/>
            <w:vAlign w:val="top"/>
          </w:tcPr>
          <w:p w14:paraId="3D22ECB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数量</w:t>
            </w:r>
          </w:p>
        </w:tc>
        <w:tc>
          <w:tcPr>
            <w:tcW w:w="1352" w:type="dxa"/>
            <w:tcBorders>
              <w:top w:val="single" w:color="auto" w:sz="12" w:space="0"/>
              <w:bottom w:val="double" w:color="auto" w:sz="6" w:space="0"/>
            </w:tcBorders>
            <w:noWrap w:val="0"/>
            <w:vAlign w:val="top"/>
          </w:tcPr>
          <w:p w14:paraId="4FA7CB2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单价</w:t>
            </w:r>
            <w:r>
              <w:rPr>
                <w:rFonts w:hint="eastAsia" w:ascii="等线" w:hAnsi="等线" w:eastAsia="仿宋_GB2312" w:cs="Times New Roman"/>
                <w:color w:val="auto"/>
                <w:kern w:val="2"/>
                <w:sz w:val="24"/>
                <w:szCs w:val="24"/>
                <w:highlight w:val="none"/>
                <w:lang w:val="en-US" w:eastAsia="zh-CN" w:bidi="ar-SA"/>
              </w:rPr>
              <w:t>（元）</w:t>
            </w:r>
          </w:p>
        </w:tc>
        <w:tc>
          <w:tcPr>
            <w:tcW w:w="1418" w:type="dxa"/>
            <w:tcBorders>
              <w:top w:val="single" w:color="auto" w:sz="12" w:space="0"/>
              <w:bottom w:val="double" w:color="auto" w:sz="6" w:space="0"/>
            </w:tcBorders>
            <w:noWrap w:val="0"/>
            <w:vAlign w:val="top"/>
          </w:tcPr>
          <w:p w14:paraId="63BC533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合价</w:t>
            </w:r>
            <w:r>
              <w:rPr>
                <w:rFonts w:hint="eastAsia" w:ascii="等线" w:hAnsi="等线" w:eastAsia="仿宋_GB2312" w:cs="Times New Roman"/>
                <w:color w:val="auto"/>
                <w:kern w:val="2"/>
                <w:sz w:val="24"/>
                <w:szCs w:val="24"/>
                <w:highlight w:val="none"/>
                <w:lang w:val="en-US" w:eastAsia="zh-CN" w:bidi="ar-SA"/>
              </w:rPr>
              <w:t>（元）</w:t>
            </w:r>
          </w:p>
        </w:tc>
        <w:tc>
          <w:tcPr>
            <w:tcW w:w="1303" w:type="dxa"/>
            <w:tcBorders>
              <w:top w:val="single" w:color="auto" w:sz="12" w:space="0"/>
              <w:bottom w:val="double" w:color="auto" w:sz="6" w:space="0"/>
            </w:tcBorders>
            <w:noWrap w:val="0"/>
            <w:vAlign w:val="top"/>
          </w:tcPr>
          <w:p w14:paraId="1C364C0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备注</w:t>
            </w:r>
          </w:p>
        </w:tc>
      </w:tr>
      <w:tr w14:paraId="24B4F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2AB61C8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7B32A6E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double" w:color="auto" w:sz="6" w:space="0"/>
              <w:bottom w:val="single" w:color="auto" w:sz="6" w:space="0"/>
            </w:tcBorders>
            <w:noWrap w:val="0"/>
            <w:vAlign w:val="top"/>
          </w:tcPr>
          <w:p w14:paraId="1D52EDE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double" w:color="auto" w:sz="6" w:space="0"/>
              <w:bottom w:val="single" w:color="auto" w:sz="6" w:space="0"/>
            </w:tcBorders>
            <w:noWrap w:val="0"/>
            <w:vAlign w:val="top"/>
          </w:tcPr>
          <w:p w14:paraId="3356FF3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double" w:color="auto" w:sz="6" w:space="0"/>
              <w:bottom w:val="single" w:color="auto" w:sz="6" w:space="0"/>
            </w:tcBorders>
            <w:noWrap w:val="0"/>
            <w:vAlign w:val="top"/>
          </w:tcPr>
          <w:p w14:paraId="4BFF3C2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double" w:color="auto" w:sz="6" w:space="0"/>
              <w:bottom w:val="single" w:color="auto" w:sz="6" w:space="0"/>
            </w:tcBorders>
            <w:noWrap w:val="0"/>
            <w:vAlign w:val="top"/>
          </w:tcPr>
          <w:p w14:paraId="6927418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double" w:color="auto" w:sz="6" w:space="0"/>
              <w:bottom w:val="single" w:color="auto" w:sz="6" w:space="0"/>
            </w:tcBorders>
            <w:noWrap w:val="0"/>
            <w:vAlign w:val="top"/>
          </w:tcPr>
          <w:p w14:paraId="2338550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66543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9B75FD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tcBorders>
              <w:top w:val="nil"/>
            </w:tcBorders>
            <w:noWrap w:val="0"/>
            <w:vAlign w:val="top"/>
          </w:tcPr>
          <w:p w14:paraId="3B63F40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tcBorders>
              <w:top w:val="nil"/>
            </w:tcBorders>
            <w:noWrap w:val="0"/>
            <w:vAlign w:val="top"/>
          </w:tcPr>
          <w:p w14:paraId="01B8111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tcBorders>
              <w:top w:val="nil"/>
            </w:tcBorders>
            <w:noWrap w:val="0"/>
            <w:vAlign w:val="top"/>
          </w:tcPr>
          <w:p w14:paraId="7F7F316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tcBorders>
              <w:top w:val="nil"/>
            </w:tcBorders>
            <w:noWrap w:val="0"/>
            <w:vAlign w:val="top"/>
          </w:tcPr>
          <w:p w14:paraId="3A92233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tcBorders>
              <w:top w:val="nil"/>
            </w:tcBorders>
            <w:noWrap w:val="0"/>
            <w:vAlign w:val="top"/>
          </w:tcPr>
          <w:p w14:paraId="3E2C44B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tcBorders>
              <w:top w:val="nil"/>
            </w:tcBorders>
            <w:noWrap w:val="0"/>
            <w:vAlign w:val="top"/>
          </w:tcPr>
          <w:p w14:paraId="5FA159B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5810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5C518E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8FB451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256CDD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1C15D1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DFE926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11F60C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0AC36DC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6185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B89182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A47F2E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0E3FD6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1A9A43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486D99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B99F28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10B6C7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4511D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3591BF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A7AB98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967600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74A07A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51BE09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967F38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020E8E7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7C16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CA9A7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6479B0C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194F82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9B9CBD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A6066A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4CC4C7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DCFEBE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4C55F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08331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6CB1BF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AE2F70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4AB748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3F6005A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FCE4AC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FDC60D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1F3A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7D335B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310D04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0642F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25CBA4F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35CD5D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E7F8C2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BDE1DA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88BB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53A136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69D3847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6A0A2B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410A45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38232E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E367D5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4546B5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0C52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46BA3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0886BE0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D3E4D3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500B10D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9D7BDD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663419B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54E511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7AD26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45A798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6302431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7F3FD17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BC5768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CF3454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74AE27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3848AD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E739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4E251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006BDF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25CF6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B1E76C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53042A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41DD77E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D7733E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35EF1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D85F4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765288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FF79F0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30F8F3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83D5B6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456796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239AD15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16017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D3BF5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DDCDA7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7D3304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55F5D6B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BCB10C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5FA4EE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60DCD1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1796E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C2E0A4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713CC7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9BCBA8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E1F017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5F70EC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34B4C5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37E1F7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41A9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8057E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5916BC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66730F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8E4DF7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69B4218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5BD749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2D3322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0A180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D953D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AEA22B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8B247D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5AD163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901681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96C42A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20760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FDE3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BE2CF8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6128AC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60BE068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1CAAA0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D9DD5D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050FEE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4DDE68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67B1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17EBBA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67758F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1363A42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0B3434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1E0E7DF2">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76F331B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D74563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378F5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35EB0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4A4D64C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67EEFB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375AB41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026E1581">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C5063D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8E839B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FB6C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FB5E7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D2A3F9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256B498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621AA39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5DFD281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5431340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F57DA5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17232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34F59B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769CFA0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3AACB7B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109E655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EE4AAD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3C84762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02668417">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2DE78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349BF1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56184EAF">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4ECFBC7B">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5C5A30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28675C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0B62C29">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5767D79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F0F8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27FAF4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27C457DA">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55F68BBE">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7323F83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2D39743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00A5D3F6">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7CDFD21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r w14:paraId="5D41A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918362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984" w:type="dxa"/>
            <w:noWrap w:val="0"/>
            <w:vAlign w:val="top"/>
          </w:tcPr>
          <w:p w14:paraId="186AB13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851" w:type="dxa"/>
            <w:noWrap w:val="0"/>
            <w:vAlign w:val="top"/>
          </w:tcPr>
          <w:p w14:paraId="07F2A09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774" w:type="dxa"/>
            <w:noWrap w:val="0"/>
            <w:vAlign w:val="top"/>
          </w:tcPr>
          <w:p w14:paraId="03BE727C">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52" w:type="dxa"/>
            <w:noWrap w:val="0"/>
            <w:vAlign w:val="top"/>
          </w:tcPr>
          <w:p w14:paraId="498EA70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418" w:type="dxa"/>
            <w:noWrap w:val="0"/>
            <w:vAlign w:val="top"/>
          </w:tcPr>
          <w:p w14:paraId="2D37EFDD">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c>
          <w:tcPr>
            <w:tcW w:w="1303" w:type="dxa"/>
            <w:noWrap w:val="0"/>
            <w:vAlign w:val="top"/>
          </w:tcPr>
          <w:p w14:paraId="416BF568">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p>
        </w:tc>
      </w:tr>
    </w:tbl>
    <w:p w14:paraId="54E7DE5E">
      <w:pPr>
        <w:autoSpaceDE/>
        <w:autoSpaceDN/>
        <w:spacing w:line="440" w:lineRule="exact"/>
        <w:jc w:val="both"/>
        <w:rPr>
          <w:rFonts w:ascii="Times New Roman" w:hAnsi="Times New Roman" w:eastAsia="仿宋_GB2312" w:cs="Times New Roman"/>
          <w:color w:val="auto"/>
          <w:kern w:val="2"/>
          <w:sz w:val="30"/>
          <w:szCs w:val="30"/>
          <w:highlight w:val="none"/>
          <w:lang w:val="en-US" w:bidi="ar-SA"/>
        </w:rPr>
      </w:pPr>
    </w:p>
    <w:p w14:paraId="2CF29503">
      <w:pPr>
        <w:autoSpaceDE/>
        <w:autoSpaceDN/>
        <w:spacing w:before="120" w:beforeLines="50" w:after="120" w:afterLines="50" w:line="440" w:lineRule="exact"/>
        <w:jc w:val="center"/>
        <w:rPr>
          <w:rFonts w:ascii="Times New Roman" w:hAnsi="Times New Roman" w:eastAsia="黑体" w:cs="Times New Roman"/>
          <w:color w:val="auto"/>
          <w:kern w:val="2"/>
          <w:sz w:val="30"/>
          <w:szCs w:val="30"/>
          <w:highlight w:val="none"/>
          <w:lang w:val="en-US" w:bidi="ar-SA"/>
        </w:rPr>
      </w:pPr>
      <w:r>
        <w:rPr>
          <w:rFonts w:ascii="Times New Roman" w:hAnsi="Times New Roman" w:eastAsia="仿宋_GB2312" w:cs="Times New Roman"/>
          <w:color w:val="auto"/>
          <w:kern w:val="2"/>
          <w:sz w:val="30"/>
          <w:szCs w:val="30"/>
          <w:highlight w:val="none"/>
          <w:lang w:val="en-US" w:bidi="ar-SA"/>
        </w:rPr>
        <w:br w:type="page"/>
      </w:r>
      <w:r>
        <w:rPr>
          <w:rFonts w:hint="eastAsia" w:ascii="宋体" w:hAnsi="宋体" w:eastAsia="宋体" w:cs="宋体"/>
          <w:color w:val="auto"/>
          <w:kern w:val="2"/>
          <w:sz w:val="21"/>
          <w:szCs w:val="21"/>
          <w:highlight w:val="none"/>
          <w:lang w:val="en-US" w:bidi="ar-SA"/>
        </w:rPr>
        <w:t>11-3：专业工程暂估价表</w:t>
      </w:r>
    </w:p>
    <w:tbl>
      <w:tblPr>
        <w:tblStyle w:val="26"/>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14:paraId="5EE41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14:paraId="47E8F084">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序号</w:t>
            </w:r>
          </w:p>
        </w:tc>
        <w:tc>
          <w:tcPr>
            <w:tcW w:w="1984" w:type="dxa"/>
            <w:tcBorders>
              <w:top w:val="single" w:color="auto" w:sz="12" w:space="0"/>
              <w:bottom w:val="double" w:color="auto" w:sz="6" w:space="0"/>
            </w:tcBorders>
            <w:noWrap w:val="0"/>
            <w:vAlign w:val="top"/>
          </w:tcPr>
          <w:p w14:paraId="202ECD43">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专业工程名称</w:t>
            </w:r>
          </w:p>
        </w:tc>
        <w:tc>
          <w:tcPr>
            <w:tcW w:w="4395" w:type="dxa"/>
            <w:tcBorders>
              <w:top w:val="single" w:color="auto" w:sz="12" w:space="0"/>
              <w:bottom w:val="double" w:color="auto" w:sz="6" w:space="0"/>
            </w:tcBorders>
            <w:noWrap w:val="0"/>
            <w:vAlign w:val="top"/>
          </w:tcPr>
          <w:p w14:paraId="60D7AE85">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工程内容</w:t>
            </w:r>
          </w:p>
        </w:tc>
        <w:tc>
          <w:tcPr>
            <w:tcW w:w="1417" w:type="dxa"/>
            <w:tcBorders>
              <w:top w:val="single" w:color="auto" w:sz="12" w:space="0"/>
              <w:bottom w:val="double" w:color="auto" w:sz="6" w:space="0"/>
            </w:tcBorders>
            <w:noWrap w:val="0"/>
            <w:vAlign w:val="top"/>
          </w:tcPr>
          <w:p w14:paraId="41DA0730">
            <w:pPr>
              <w:keepNext/>
              <w:widowControl w:val="0"/>
              <w:spacing w:after="0" w:line="440" w:lineRule="exact"/>
              <w:ind w:left="63" w:right="63"/>
              <w:jc w:val="both"/>
              <w:rPr>
                <w:rFonts w:ascii="等线" w:hAnsi="等线" w:eastAsia="仿宋_GB2312"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金额</w:t>
            </w:r>
          </w:p>
        </w:tc>
      </w:tr>
      <w:tr w14:paraId="70C7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56B8F4B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double" w:color="auto" w:sz="6" w:space="0"/>
              <w:bottom w:val="single" w:color="auto" w:sz="6" w:space="0"/>
            </w:tcBorders>
            <w:noWrap w:val="0"/>
            <w:vAlign w:val="top"/>
          </w:tcPr>
          <w:p w14:paraId="503E9C7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double" w:color="auto" w:sz="6" w:space="0"/>
              <w:bottom w:val="single" w:color="auto" w:sz="6" w:space="0"/>
            </w:tcBorders>
            <w:noWrap w:val="0"/>
            <w:vAlign w:val="top"/>
          </w:tcPr>
          <w:p w14:paraId="678C478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double" w:color="auto" w:sz="6" w:space="0"/>
              <w:bottom w:val="single" w:color="auto" w:sz="6" w:space="0"/>
            </w:tcBorders>
            <w:noWrap w:val="0"/>
            <w:vAlign w:val="top"/>
          </w:tcPr>
          <w:p w14:paraId="3999EA9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41F6B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59DE88E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nil"/>
            </w:tcBorders>
            <w:noWrap w:val="0"/>
            <w:vAlign w:val="top"/>
          </w:tcPr>
          <w:p w14:paraId="1572451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nil"/>
            </w:tcBorders>
            <w:noWrap w:val="0"/>
            <w:vAlign w:val="top"/>
          </w:tcPr>
          <w:p w14:paraId="0F693EA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nil"/>
            </w:tcBorders>
            <w:noWrap w:val="0"/>
            <w:vAlign w:val="top"/>
          </w:tcPr>
          <w:p w14:paraId="1F82A60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7D304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2E0E124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tcBorders>
              <w:top w:val="nil"/>
            </w:tcBorders>
            <w:noWrap w:val="0"/>
            <w:vAlign w:val="top"/>
          </w:tcPr>
          <w:p w14:paraId="4C24672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tcBorders>
              <w:top w:val="nil"/>
            </w:tcBorders>
            <w:noWrap w:val="0"/>
            <w:vAlign w:val="top"/>
          </w:tcPr>
          <w:p w14:paraId="704DA0EA">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tcBorders>
              <w:top w:val="nil"/>
            </w:tcBorders>
            <w:noWrap w:val="0"/>
            <w:vAlign w:val="top"/>
          </w:tcPr>
          <w:p w14:paraId="62B54AF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3B355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B8CC13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4BF10C3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89001F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3E141F4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5B7AC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9933C9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0CA6442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7E6A6CD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21AA606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15C67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A7ABD2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58DF5C0">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25050C9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35D03C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381B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B428E9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C610D0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3AE7127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3EA6DDB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60065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17C60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7B84262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76A4B8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A0A6FA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52A46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18E4AF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E104A9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AB34FC0">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B2EC69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242E7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CFCAE6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5D9DBEC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1D86BF7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24E3C7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477C3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853870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6EABC28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3DDA06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123E2A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4B8CD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8735CB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43085D1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1B7D38A">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08D2F8F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38700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F6BB4A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4BFEA0E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D8ED36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3BD5D81A">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1813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5E3A3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2BFB697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7AE6D8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E19E1C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7B6AD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7B1848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6678F96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749F2B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100B4D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49B8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5A5E58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2936CEC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D1A4457">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4A01994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4949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39EA89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3F12A2F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19F93F0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F333E6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637F4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C8C35B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36D830A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1CA300A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6B6042B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2131C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8FA5BE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00E5A19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370C75D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142FD19B">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698B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D9A0B0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5FAB34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2EA45F4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E355D7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7BD7A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3CC59D0">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14913A49">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03AA71D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7463575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1432E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C63CD9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3276F1E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6ED590F">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500CA7C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1E149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7F3C2F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66CD1D8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13FFC44">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2CACFEAC">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1E0A3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93CE6E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796DEB7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56B9C8B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080FDC95">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CF2F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30BFB1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05FE2B61">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4A2C6FDE">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4E343650">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65C7E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9008652">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984" w:type="dxa"/>
            <w:noWrap w:val="0"/>
            <w:vAlign w:val="top"/>
          </w:tcPr>
          <w:p w14:paraId="6110E016">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4395" w:type="dxa"/>
            <w:noWrap w:val="0"/>
            <w:vAlign w:val="top"/>
          </w:tcPr>
          <w:p w14:paraId="344A17BD">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c>
          <w:tcPr>
            <w:tcW w:w="1417" w:type="dxa"/>
            <w:noWrap w:val="0"/>
            <w:vAlign w:val="top"/>
          </w:tcPr>
          <w:p w14:paraId="060A5848">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p>
        </w:tc>
      </w:tr>
      <w:tr w14:paraId="05414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noWrap w:val="0"/>
            <w:vAlign w:val="top"/>
          </w:tcPr>
          <w:p w14:paraId="2F1A1923">
            <w:pPr>
              <w:keepNext/>
              <w:widowControl w:val="0"/>
              <w:spacing w:after="0" w:line="440" w:lineRule="exact"/>
              <w:ind w:left="63" w:right="63"/>
              <w:jc w:val="both"/>
              <w:rPr>
                <w:rFonts w:ascii="等线" w:hAnsi="等线" w:eastAsia="宋体" w:cs="Times New Roman"/>
                <w:color w:val="auto"/>
                <w:kern w:val="2"/>
                <w:sz w:val="24"/>
                <w:szCs w:val="24"/>
                <w:highlight w:val="none"/>
                <w:lang w:val="en-US" w:eastAsia="zh-CN" w:bidi="ar-SA"/>
              </w:rPr>
            </w:pPr>
            <w:r>
              <w:rPr>
                <w:rFonts w:ascii="等线" w:hAnsi="等线" w:eastAsia="仿宋_GB2312" w:cs="Times New Roman"/>
                <w:color w:val="auto"/>
                <w:kern w:val="2"/>
                <w:sz w:val="24"/>
                <w:szCs w:val="24"/>
                <w:highlight w:val="none"/>
                <w:lang w:val="en-US" w:eastAsia="zh-CN" w:bidi="ar-SA"/>
              </w:rPr>
              <w:t>小计：</w:t>
            </w:r>
          </w:p>
        </w:tc>
      </w:tr>
    </w:tbl>
    <w:p w14:paraId="02637658">
      <w:pPr>
        <w:autoSpaceDE/>
        <w:autoSpaceDN/>
        <w:spacing w:line="480" w:lineRule="auto"/>
        <w:jc w:val="both"/>
        <w:rPr>
          <w:rFonts w:ascii="Times New Roman" w:hAnsi="宋体" w:eastAsia="宋体" w:cs="Times New Roman"/>
          <w:color w:val="auto"/>
          <w:kern w:val="2"/>
          <w:sz w:val="21"/>
          <w:szCs w:val="24"/>
          <w:highlight w:val="none"/>
          <w:lang w:val="en-US" w:bidi="ar-SA"/>
        </w:rPr>
      </w:pPr>
    </w:p>
    <w:p w14:paraId="47821A33">
      <w:pPr>
        <w:pStyle w:val="38"/>
        <w:numPr>
          <w:ilvl w:val="0"/>
          <w:numId w:val="14"/>
        </w:numPr>
        <w:tabs>
          <w:tab w:val="left" w:pos="812"/>
        </w:tabs>
        <w:spacing w:line="554" w:lineRule="auto"/>
        <w:ind w:right="4083" w:firstLine="400"/>
        <w:rPr>
          <w:color w:val="auto"/>
          <w:spacing w:val="0"/>
          <w:w w:val="100"/>
          <w:position w:val="0"/>
          <w:sz w:val="21"/>
          <w:highlight w:val="none"/>
        </w:rPr>
        <w:sectPr>
          <w:footerReference r:id="rId8" w:type="default"/>
          <w:pgSz w:w="11911" w:h="16838"/>
          <w:pgMar w:top="1134" w:right="1134" w:bottom="850" w:left="1134" w:header="0" w:footer="1003" w:gutter="0"/>
          <w:pgNumType w:fmt="numberInDash"/>
          <w:cols w:space="0" w:num="1"/>
          <w:rtlGutter w:val="0"/>
          <w:docGrid w:linePitch="0" w:charSpace="0"/>
        </w:sectPr>
      </w:pPr>
    </w:p>
    <w:p w14:paraId="0C55E71B">
      <w:pPr>
        <w:pStyle w:val="3"/>
        <w:tabs>
          <w:tab w:val="left" w:pos="567"/>
        </w:tabs>
        <w:ind w:left="0" w:leftChars="0" w:firstLine="0" w:firstLineChars="0"/>
        <w:jc w:val="center"/>
        <w:rPr>
          <w:rFonts w:hint="eastAsia" w:ascii="宋体" w:hAnsi="宋体" w:eastAsia="宋体" w:cs="宋体"/>
          <w:b/>
          <w:bCs/>
          <w:color w:val="auto"/>
          <w:highlight w:val="none"/>
        </w:rPr>
      </w:pPr>
      <w:bookmarkStart w:id="161" w:name="_Toc2274"/>
      <w:bookmarkStart w:id="162" w:name="_Toc25671"/>
      <w:r>
        <w:rPr>
          <w:rFonts w:hint="eastAsia" w:ascii="宋体" w:hAnsi="宋体" w:eastAsia="宋体" w:cs="宋体"/>
          <w:b/>
          <w:bCs/>
          <w:color w:val="auto"/>
          <w:kern w:val="44"/>
          <w:sz w:val="32"/>
          <w:szCs w:val="32"/>
          <w:highlight w:val="none"/>
        </w:rPr>
        <w:t xml:space="preserve">第六章  </w:t>
      </w:r>
      <w:bookmarkEnd w:id="155"/>
      <w:bookmarkEnd w:id="156"/>
      <w:bookmarkStart w:id="163" w:name="_Toc13185"/>
      <w:r>
        <w:rPr>
          <w:rFonts w:hint="eastAsia" w:ascii="宋体" w:hAnsi="宋体" w:eastAsia="宋体" w:cs="宋体"/>
          <w:b/>
          <w:bCs/>
          <w:color w:val="auto"/>
          <w:sz w:val="32"/>
          <w:szCs w:val="32"/>
          <w:highlight w:val="none"/>
        </w:rPr>
        <w:t>响应文件（格式）</w:t>
      </w:r>
      <w:bookmarkEnd w:id="161"/>
      <w:bookmarkEnd w:id="162"/>
      <w:bookmarkEnd w:id="163"/>
    </w:p>
    <w:p w14:paraId="14D86E2D">
      <w:pPr>
        <w:rPr>
          <w:rFonts w:hint="eastAsia" w:ascii="宋体" w:hAnsi="宋体" w:eastAsia="宋体" w:cs="宋体"/>
          <w:color w:val="auto"/>
          <w:highlight w:val="none"/>
        </w:rPr>
      </w:pPr>
    </w:p>
    <w:p w14:paraId="5003C50B">
      <w:pPr>
        <w:pStyle w:val="11"/>
        <w:jc w:val="both"/>
        <w:rPr>
          <w:rFonts w:hint="eastAsia" w:ascii="宋体" w:hAnsi="宋体" w:eastAsia="宋体" w:cs="宋体"/>
          <w:b/>
          <w:color w:val="auto"/>
          <w:sz w:val="32"/>
          <w:highlight w:val="none"/>
          <w:lang w:eastAsia="zh-CN"/>
        </w:rPr>
      </w:pPr>
      <w:bookmarkStart w:id="164" w:name="_Toc497927069"/>
      <w:bookmarkStart w:id="165" w:name="_Toc18351"/>
      <w:bookmarkStart w:id="166" w:name="_Toc21496"/>
      <w:r>
        <w:rPr>
          <w:rFonts w:hint="eastAsia" w:ascii="宋体" w:hAnsi="宋体" w:eastAsia="宋体" w:cs="宋体"/>
          <w:b/>
          <w:color w:val="auto"/>
          <w:sz w:val="32"/>
          <w:highlight w:val="none"/>
          <w:lang w:eastAsia="zh-CN"/>
        </w:rPr>
        <w:t>一、响应文件标记</w:t>
      </w:r>
      <w:bookmarkEnd w:id="164"/>
      <w:bookmarkEnd w:id="165"/>
      <w:bookmarkEnd w:id="166"/>
    </w:p>
    <w:p w14:paraId="12D29E9D">
      <w:pPr>
        <w:adjustRightInd w:val="0"/>
        <w:snapToGrid w:val="0"/>
        <w:rPr>
          <w:rFonts w:hint="eastAsia" w:ascii="宋体" w:hAnsi="宋体" w:eastAsia="宋体" w:cs="宋体"/>
          <w:b/>
          <w:color w:val="auto"/>
          <w:sz w:val="44"/>
          <w:szCs w:val="44"/>
          <w:highlight w:val="none"/>
        </w:rPr>
      </w:pPr>
    </w:p>
    <w:p w14:paraId="65989FA4">
      <w:pPr>
        <w:pStyle w:val="29"/>
        <w:rPr>
          <w:rFonts w:hint="eastAsia" w:ascii="宋体" w:hAnsi="宋体" w:eastAsia="宋体" w:cs="宋体"/>
          <w:color w:val="auto"/>
          <w:highlight w:val="none"/>
        </w:rPr>
      </w:pPr>
    </w:p>
    <w:p w14:paraId="6AA16361">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2FF9DFBD">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4DA542A9">
      <w:pPr>
        <w:snapToGrid w:val="0"/>
        <w:spacing w:before="156" w:beforeLines="50" w:after="50"/>
        <w:ind w:firstLine="422" w:firstLineChars="150"/>
        <w:rPr>
          <w:rFonts w:hint="eastAsia" w:ascii="宋体" w:hAnsi="宋体" w:eastAsia="宋体" w:cs="宋体"/>
          <w:b/>
          <w:color w:val="auto"/>
          <w:sz w:val="28"/>
          <w:szCs w:val="28"/>
          <w:highlight w:val="none"/>
        </w:rPr>
      </w:pPr>
    </w:p>
    <w:p w14:paraId="004F18FC">
      <w:pPr>
        <w:snapToGrid w:val="0"/>
        <w:spacing w:before="156" w:beforeLines="50" w:after="50"/>
        <w:ind w:firstLine="422" w:firstLineChars="150"/>
        <w:rPr>
          <w:rFonts w:hint="eastAsia" w:ascii="宋体" w:hAnsi="宋体" w:eastAsia="宋体" w:cs="宋体"/>
          <w:b/>
          <w:color w:val="auto"/>
          <w:sz w:val="28"/>
          <w:szCs w:val="28"/>
          <w:highlight w:val="none"/>
        </w:rPr>
      </w:pPr>
    </w:p>
    <w:p w14:paraId="40476AE0">
      <w:pPr>
        <w:snapToGrid w:val="0"/>
        <w:spacing w:before="156" w:beforeLines="50" w:after="50"/>
        <w:ind w:firstLine="2530" w:firstLineChars="900"/>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18"/>
          <w:szCs w:val="18"/>
          <w:highlight w:val="none"/>
        </w:rPr>
        <w:t xml:space="preserve">  </w:t>
      </w:r>
    </w:p>
    <w:p w14:paraId="6D69BDE4">
      <w:pPr>
        <w:snapToGrid w:val="0"/>
        <w:spacing w:before="156" w:beforeLines="50" w:after="50"/>
        <w:ind w:firstLine="2704" w:firstLineChars="962"/>
        <w:rPr>
          <w:rFonts w:hint="eastAsia" w:ascii="宋体" w:hAnsi="宋体" w:eastAsia="宋体" w:cs="宋体"/>
          <w:b/>
          <w:bCs w:val="0"/>
          <w:color w:val="auto"/>
          <w:sz w:val="28"/>
          <w:szCs w:val="28"/>
          <w:highlight w:val="none"/>
        </w:rPr>
      </w:pPr>
    </w:p>
    <w:p w14:paraId="568DF875">
      <w:pPr>
        <w:snapToGrid w:val="0"/>
        <w:spacing w:before="156" w:beforeLines="50" w:after="50"/>
        <w:ind w:firstLine="2530" w:firstLineChars="900"/>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 xml:space="preserve">                       </w:t>
      </w:r>
    </w:p>
    <w:p w14:paraId="2500138F">
      <w:pPr>
        <w:rPr>
          <w:rFonts w:hint="eastAsia" w:ascii="宋体" w:hAnsi="宋体" w:eastAsia="宋体" w:cs="宋体"/>
          <w:b/>
          <w:color w:val="auto"/>
          <w:highlight w:val="none"/>
        </w:rPr>
      </w:pPr>
    </w:p>
    <w:p w14:paraId="3FC07E84">
      <w:pPr>
        <w:spacing w:line="400" w:lineRule="exact"/>
        <w:ind w:firstLine="2704" w:firstLineChars="962"/>
        <w:rPr>
          <w:rFonts w:hint="eastAsia" w:ascii="宋体" w:hAnsi="宋体" w:eastAsia="宋体" w:cs="宋体"/>
          <w:b/>
          <w:color w:val="auto"/>
          <w:sz w:val="28"/>
          <w:szCs w:val="28"/>
          <w:highlight w:val="none"/>
        </w:rPr>
      </w:pPr>
    </w:p>
    <w:p w14:paraId="7498C2FD">
      <w:pPr>
        <w:pStyle w:val="29"/>
        <w:rPr>
          <w:rFonts w:hint="eastAsia" w:ascii="宋体" w:hAnsi="宋体" w:eastAsia="宋体" w:cs="宋体"/>
          <w:b/>
          <w:color w:val="auto"/>
          <w:sz w:val="28"/>
          <w:szCs w:val="28"/>
          <w:highlight w:val="none"/>
        </w:rPr>
      </w:pPr>
    </w:p>
    <w:p w14:paraId="699BA393">
      <w:pPr>
        <w:pStyle w:val="29"/>
        <w:rPr>
          <w:rFonts w:hint="eastAsia" w:ascii="宋体" w:hAnsi="宋体" w:eastAsia="宋体" w:cs="宋体"/>
          <w:b/>
          <w:color w:val="auto"/>
          <w:sz w:val="28"/>
          <w:szCs w:val="28"/>
          <w:highlight w:val="none"/>
        </w:rPr>
      </w:pPr>
    </w:p>
    <w:p w14:paraId="0DC6905A">
      <w:pPr>
        <w:snapToGrid w:val="0"/>
        <w:spacing w:before="156" w:beforeLines="50" w:after="50"/>
        <w:rPr>
          <w:rFonts w:hint="eastAsia" w:ascii="宋体" w:hAnsi="宋体" w:eastAsia="宋体" w:cs="宋体"/>
          <w:b/>
          <w:color w:val="auto"/>
          <w:sz w:val="28"/>
          <w:szCs w:val="28"/>
          <w:highlight w:val="none"/>
        </w:rPr>
      </w:pPr>
    </w:p>
    <w:p w14:paraId="18F9E4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3F9CA3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690CAC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5CCEE4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购代理机构：</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cs="宋体"/>
          <w:bCs/>
          <w:color w:val="auto"/>
          <w:kern w:val="2"/>
          <w:sz w:val="24"/>
          <w:szCs w:val="24"/>
          <w:highlight w:val="none"/>
          <w:u w:val="single"/>
          <w:lang w:val="en-US" w:eastAsia="zh-CN" w:bidi="ar-SA"/>
        </w:rPr>
        <w:t>广西中承建设工程咨询有限公司</w:t>
      </w:r>
      <w:r>
        <w:rPr>
          <w:rFonts w:hint="eastAsia" w:ascii="宋体" w:hAnsi="宋体" w:eastAsia="宋体" w:cs="宋体"/>
          <w:bCs/>
          <w:color w:val="auto"/>
          <w:kern w:val="2"/>
          <w:sz w:val="24"/>
          <w:szCs w:val="24"/>
          <w:highlight w:val="none"/>
          <w:lang w:val="en-US" w:eastAsia="zh-CN" w:bidi="ar-SA"/>
        </w:rPr>
        <w:t xml:space="preserve">  </w:t>
      </w:r>
    </w:p>
    <w:p w14:paraId="5C47BF41">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bookmarkStart w:id="167" w:name="_Toc20319_WPSOffice_Level2"/>
      <w:bookmarkStart w:id="168" w:name="_Toc4932_WPSOffice_Level2"/>
      <w:r>
        <w:rPr>
          <w:rFonts w:hint="eastAsia" w:ascii="宋体" w:hAnsi="宋体" w:eastAsia="宋体" w:cs="宋体"/>
          <w:bCs/>
          <w:color w:val="auto"/>
          <w:kern w:val="2"/>
          <w:sz w:val="24"/>
          <w:szCs w:val="24"/>
          <w:highlight w:val="none"/>
          <w:lang w:val="en-US" w:eastAsia="zh-CN" w:bidi="ar-SA"/>
        </w:rPr>
        <w:t xml:space="preserve">磋商供应商[公章(CA签章)、自然人除外]：  </w:t>
      </w:r>
      <w:r>
        <w:rPr>
          <w:rFonts w:hint="eastAsia" w:ascii="宋体" w:hAnsi="宋体" w:eastAsia="宋体" w:cs="宋体"/>
          <w:bCs/>
          <w:color w:val="auto"/>
          <w:sz w:val="24"/>
          <w:szCs w:val="24"/>
          <w:highlight w:val="none"/>
          <w:u w:val="single"/>
        </w:rPr>
        <w:t xml:space="preserve">                     </w:t>
      </w:r>
      <w:bookmarkEnd w:id="167"/>
      <w:bookmarkEnd w:id="168"/>
      <w:r>
        <w:rPr>
          <w:rFonts w:hint="eastAsia" w:ascii="宋体" w:hAnsi="宋体" w:eastAsia="宋体" w:cs="宋体"/>
          <w:bCs/>
          <w:color w:val="auto"/>
          <w:sz w:val="24"/>
          <w:szCs w:val="24"/>
          <w:highlight w:val="none"/>
          <w:u w:val="single"/>
        </w:rPr>
        <w:t xml:space="preserve">    </w:t>
      </w:r>
    </w:p>
    <w:p w14:paraId="5070CC64">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69" w:name="_Toc32056_WPSOffice_Level2"/>
      <w:bookmarkStart w:id="170" w:name="_Toc9622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14:paraId="318F3853">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4489A11">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169"/>
      <w:bookmarkEnd w:id="170"/>
      <w:r>
        <w:rPr>
          <w:rFonts w:hint="eastAsia" w:ascii="宋体" w:hAnsi="宋体" w:eastAsia="宋体" w:cs="宋体"/>
          <w:bCs/>
          <w:color w:val="auto"/>
          <w:sz w:val="24"/>
          <w:szCs w:val="24"/>
          <w:highlight w:val="none"/>
          <w:u w:val="single"/>
        </w:rPr>
        <w:t xml:space="preserve">                         </w:t>
      </w:r>
    </w:p>
    <w:p w14:paraId="708BE5BA">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bookmarkStart w:id="171" w:name="_Toc15933_WPSOffice_Level2"/>
      <w:bookmarkStart w:id="172"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71"/>
      <w:bookmarkEnd w:id="172"/>
    </w:p>
    <w:p w14:paraId="0E462A9C">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4CCC5627">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3DABAF25">
      <w:pPr>
        <w:numPr>
          <w:ilvl w:val="0"/>
          <w:numId w:val="15"/>
        </w:numPr>
        <w:rPr>
          <w:rFonts w:hint="eastAsia" w:ascii="宋体" w:hAnsi="宋体" w:eastAsia="宋体" w:cs="宋体"/>
          <w:b/>
          <w:bCs/>
          <w:color w:val="auto"/>
          <w:sz w:val="32"/>
          <w:szCs w:val="32"/>
          <w:highlight w:val="none"/>
        </w:rPr>
      </w:pPr>
      <w:bookmarkStart w:id="173" w:name="_Toc21615"/>
      <w:bookmarkStart w:id="174" w:name="_Toc497927070"/>
      <w:bookmarkStart w:id="175" w:name="_Toc19430"/>
      <w:r>
        <w:rPr>
          <w:rFonts w:hint="eastAsia" w:ascii="宋体" w:hAnsi="宋体" w:eastAsia="宋体" w:cs="宋体"/>
          <w:b/>
          <w:bCs/>
          <w:color w:val="auto"/>
          <w:sz w:val="32"/>
          <w:szCs w:val="32"/>
          <w:highlight w:val="none"/>
        </w:rPr>
        <w:t>响应文件组成</w:t>
      </w:r>
      <w:bookmarkEnd w:id="173"/>
      <w:bookmarkEnd w:id="174"/>
      <w:bookmarkEnd w:id="175"/>
    </w:p>
    <w:p w14:paraId="0F16813B">
      <w:pPr>
        <w:pStyle w:val="8"/>
        <w:numPr>
          <w:ilvl w:val="0"/>
          <w:numId w:val="0"/>
        </w:numPr>
        <w:rPr>
          <w:rFonts w:hint="eastAsia" w:ascii="宋体" w:hAnsi="宋体" w:eastAsia="宋体" w:cs="宋体"/>
          <w:color w:val="auto"/>
          <w:highlight w:val="none"/>
        </w:rPr>
      </w:pPr>
    </w:p>
    <w:p w14:paraId="55A203D5">
      <w:pPr>
        <w:pStyle w:val="8"/>
        <w:numPr>
          <w:ilvl w:val="0"/>
          <w:numId w:val="0"/>
        </w:numPr>
        <w:rPr>
          <w:rFonts w:hint="eastAsia" w:ascii="宋体" w:hAnsi="宋体" w:eastAsia="宋体" w:cs="宋体"/>
          <w:color w:val="auto"/>
          <w:highlight w:val="none"/>
        </w:rPr>
      </w:pPr>
    </w:p>
    <w:p w14:paraId="2AB58121">
      <w:pPr>
        <w:numPr>
          <w:ilvl w:val="0"/>
          <w:numId w:val="0"/>
        </w:numPr>
        <w:spacing w:line="400" w:lineRule="exact"/>
        <w:rPr>
          <w:rFonts w:hint="eastAsia" w:ascii="宋体" w:hAnsi="宋体" w:eastAsia="宋体" w:cs="宋体"/>
          <w:b/>
          <w:bCs/>
          <w:color w:val="auto"/>
          <w:sz w:val="28"/>
          <w:szCs w:val="28"/>
          <w:highlight w:val="none"/>
        </w:rPr>
      </w:pPr>
    </w:p>
    <w:p w14:paraId="50D2ADF0">
      <w:pPr>
        <w:pStyle w:val="8"/>
        <w:rPr>
          <w:rFonts w:hint="eastAsia" w:ascii="宋体" w:hAnsi="宋体" w:eastAsia="宋体" w:cs="宋体"/>
          <w:b/>
          <w:bCs/>
          <w:color w:val="auto"/>
          <w:sz w:val="28"/>
          <w:szCs w:val="28"/>
          <w:highlight w:val="none"/>
          <w:lang w:eastAsia="zh-CN"/>
        </w:rPr>
      </w:pPr>
    </w:p>
    <w:p w14:paraId="01F190A5">
      <w:pPr>
        <w:numPr>
          <w:ilvl w:val="0"/>
          <w:numId w:val="16"/>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644CA8B7">
      <w:pPr>
        <w:pStyle w:val="8"/>
        <w:rPr>
          <w:rFonts w:hint="eastAsia" w:ascii="宋体" w:hAnsi="宋体" w:eastAsia="宋体" w:cs="宋体"/>
          <w:b/>
          <w:bCs/>
          <w:color w:val="auto"/>
          <w:sz w:val="28"/>
          <w:szCs w:val="28"/>
          <w:highlight w:val="none"/>
        </w:rPr>
      </w:pPr>
    </w:p>
    <w:p w14:paraId="300DB8E4">
      <w:pPr>
        <w:pStyle w:val="8"/>
        <w:rPr>
          <w:rFonts w:hint="eastAsia" w:ascii="宋体" w:hAnsi="宋体" w:eastAsia="宋体" w:cs="宋体"/>
          <w:b/>
          <w:bCs/>
          <w:color w:val="auto"/>
          <w:sz w:val="28"/>
          <w:szCs w:val="28"/>
          <w:highlight w:val="none"/>
        </w:rPr>
      </w:pPr>
    </w:p>
    <w:p w14:paraId="1A9DADF5">
      <w:pPr>
        <w:numPr>
          <w:ilvl w:val="0"/>
          <w:numId w:val="16"/>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3FB3F9BD">
      <w:pPr>
        <w:pStyle w:val="8"/>
        <w:rPr>
          <w:rFonts w:hint="eastAsia" w:ascii="宋体" w:hAnsi="宋体" w:eastAsia="宋体" w:cs="宋体"/>
          <w:b/>
          <w:bCs/>
          <w:color w:val="auto"/>
          <w:sz w:val="28"/>
          <w:szCs w:val="28"/>
          <w:highlight w:val="none"/>
        </w:rPr>
      </w:pPr>
    </w:p>
    <w:p w14:paraId="4E0AD30D">
      <w:pPr>
        <w:pStyle w:val="8"/>
        <w:rPr>
          <w:rFonts w:hint="eastAsia" w:ascii="宋体" w:hAnsi="宋体" w:eastAsia="宋体" w:cs="宋体"/>
          <w:b/>
          <w:bCs/>
          <w:color w:val="auto"/>
          <w:sz w:val="28"/>
          <w:szCs w:val="28"/>
          <w:highlight w:val="none"/>
        </w:rPr>
      </w:pPr>
    </w:p>
    <w:p w14:paraId="1381645D">
      <w:pPr>
        <w:numPr>
          <w:ilvl w:val="0"/>
          <w:numId w:val="16"/>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134B9D3B">
      <w:pPr>
        <w:pStyle w:val="29"/>
        <w:rPr>
          <w:rFonts w:hint="eastAsia" w:ascii="宋体" w:hAnsi="宋体" w:eastAsia="宋体" w:cs="宋体"/>
          <w:color w:val="auto"/>
          <w:highlight w:val="none"/>
        </w:rPr>
      </w:pPr>
    </w:p>
    <w:p w14:paraId="061CAB84">
      <w:pPr>
        <w:tabs>
          <w:tab w:val="left" w:pos="5040"/>
        </w:tabs>
        <w:spacing w:line="400" w:lineRule="exact"/>
        <w:rPr>
          <w:rFonts w:hint="eastAsia" w:ascii="宋体" w:hAnsi="宋体" w:eastAsia="宋体" w:cs="宋体"/>
          <w:color w:val="auto"/>
          <w:szCs w:val="21"/>
          <w:highlight w:val="none"/>
        </w:rPr>
      </w:pPr>
    </w:p>
    <w:p w14:paraId="656FF6C4">
      <w:pPr>
        <w:pStyle w:val="8"/>
        <w:rPr>
          <w:rFonts w:hint="eastAsia" w:ascii="宋体" w:hAnsi="宋体" w:eastAsia="宋体" w:cs="宋体"/>
          <w:color w:val="auto"/>
          <w:szCs w:val="21"/>
          <w:highlight w:val="none"/>
        </w:rPr>
      </w:pPr>
    </w:p>
    <w:p w14:paraId="6B335D70">
      <w:pPr>
        <w:pStyle w:val="8"/>
        <w:rPr>
          <w:rFonts w:hint="eastAsia" w:ascii="宋体" w:hAnsi="宋体" w:eastAsia="宋体" w:cs="宋体"/>
          <w:color w:val="auto"/>
          <w:szCs w:val="21"/>
          <w:highlight w:val="none"/>
        </w:rPr>
      </w:pPr>
    </w:p>
    <w:p w14:paraId="75EF169C">
      <w:pPr>
        <w:pStyle w:val="8"/>
        <w:rPr>
          <w:rFonts w:hint="eastAsia" w:ascii="宋体" w:hAnsi="宋体" w:eastAsia="宋体" w:cs="宋体"/>
          <w:color w:val="auto"/>
          <w:szCs w:val="21"/>
          <w:highlight w:val="none"/>
        </w:rPr>
      </w:pPr>
    </w:p>
    <w:p w14:paraId="2971D06E">
      <w:pPr>
        <w:pStyle w:val="8"/>
        <w:rPr>
          <w:rFonts w:hint="eastAsia" w:ascii="宋体" w:hAnsi="宋体" w:eastAsia="宋体" w:cs="宋体"/>
          <w:color w:val="auto"/>
          <w:szCs w:val="21"/>
          <w:highlight w:val="none"/>
        </w:rPr>
      </w:pPr>
    </w:p>
    <w:p w14:paraId="3A939C11">
      <w:pPr>
        <w:rPr>
          <w:rFonts w:hint="eastAsia" w:ascii="宋体" w:hAnsi="宋体" w:eastAsia="宋体" w:cs="宋体"/>
          <w:color w:val="auto"/>
          <w:szCs w:val="21"/>
          <w:highlight w:val="none"/>
        </w:rPr>
      </w:pPr>
    </w:p>
    <w:p w14:paraId="36AAAADA">
      <w:pPr>
        <w:pStyle w:val="29"/>
        <w:rPr>
          <w:rFonts w:hint="eastAsia" w:ascii="宋体" w:hAnsi="宋体" w:eastAsia="宋体" w:cs="宋体"/>
          <w:color w:val="auto"/>
          <w:szCs w:val="21"/>
          <w:highlight w:val="none"/>
        </w:rPr>
      </w:pPr>
    </w:p>
    <w:p w14:paraId="5EEA1415">
      <w:pPr>
        <w:pStyle w:val="29"/>
        <w:rPr>
          <w:rFonts w:hint="eastAsia" w:ascii="宋体" w:hAnsi="宋体" w:eastAsia="宋体" w:cs="宋体"/>
          <w:color w:val="auto"/>
          <w:szCs w:val="21"/>
          <w:highlight w:val="none"/>
        </w:rPr>
      </w:pPr>
    </w:p>
    <w:p w14:paraId="0986B9FA">
      <w:pPr>
        <w:pStyle w:val="29"/>
        <w:rPr>
          <w:rFonts w:hint="eastAsia" w:ascii="宋体" w:hAnsi="宋体" w:eastAsia="宋体" w:cs="宋体"/>
          <w:color w:val="auto"/>
          <w:szCs w:val="21"/>
          <w:highlight w:val="none"/>
        </w:rPr>
      </w:pPr>
    </w:p>
    <w:p w14:paraId="0D2078AA">
      <w:pPr>
        <w:pStyle w:val="29"/>
        <w:rPr>
          <w:rFonts w:hint="eastAsia" w:ascii="宋体" w:hAnsi="宋体" w:eastAsia="宋体" w:cs="宋体"/>
          <w:color w:val="auto"/>
          <w:szCs w:val="21"/>
          <w:highlight w:val="none"/>
        </w:rPr>
      </w:pPr>
    </w:p>
    <w:p w14:paraId="51DC9F75">
      <w:pPr>
        <w:pStyle w:val="29"/>
        <w:rPr>
          <w:rFonts w:hint="eastAsia" w:ascii="宋体" w:hAnsi="宋体" w:eastAsia="宋体" w:cs="宋体"/>
          <w:color w:val="auto"/>
          <w:szCs w:val="21"/>
          <w:highlight w:val="none"/>
        </w:rPr>
      </w:pPr>
    </w:p>
    <w:p w14:paraId="0B1FA9D5">
      <w:pPr>
        <w:pStyle w:val="29"/>
        <w:rPr>
          <w:rFonts w:hint="eastAsia" w:ascii="宋体" w:hAnsi="宋体" w:eastAsia="宋体" w:cs="宋体"/>
          <w:color w:val="auto"/>
          <w:szCs w:val="21"/>
          <w:highlight w:val="none"/>
        </w:rPr>
      </w:pPr>
    </w:p>
    <w:p w14:paraId="0D3D097F">
      <w:pPr>
        <w:pStyle w:val="29"/>
        <w:rPr>
          <w:rFonts w:hint="eastAsia" w:ascii="宋体" w:hAnsi="宋体" w:eastAsia="宋体" w:cs="宋体"/>
          <w:color w:val="auto"/>
          <w:szCs w:val="21"/>
          <w:highlight w:val="none"/>
        </w:rPr>
      </w:pPr>
    </w:p>
    <w:p w14:paraId="1E5C34AB">
      <w:pPr>
        <w:pStyle w:val="29"/>
        <w:rPr>
          <w:rFonts w:hint="eastAsia" w:ascii="宋体" w:hAnsi="宋体" w:eastAsia="宋体" w:cs="宋体"/>
          <w:color w:val="auto"/>
          <w:szCs w:val="21"/>
          <w:highlight w:val="none"/>
        </w:rPr>
      </w:pPr>
    </w:p>
    <w:p w14:paraId="458FBAF5">
      <w:pPr>
        <w:pStyle w:val="29"/>
        <w:rPr>
          <w:rFonts w:hint="eastAsia" w:ascii="宋体" w:hAnsi="宋体" w:eastAsia="宋体" w:cs="宋体"/>
          <w:color w:val="auto"/>
          <w:szCs w:val="21"/>
          <w:highlight w:val="none"/>
        </w:rPr>
      </w:pPr>
    </w:p>
    <w:p w14:paraId="4B195745">
      <w:pPr>
        <w:pStyle w:val="29"/>
        <w:rPr>
          <w:rFonts w:hint="eastAsia" w:ascii="宋体" w:hAnsi="宋体" w:eastAsia="宋体" w:cs="宋体"/>
          <w:color w:val="auto"/>
          <w:szCs w:val="21"/>
          <w:highlight w:val="none"/>
        </w:rPr>
      </w:pPr>
    </w:p>
    <w:p w14:paraId="35382B77">
      <w:pPr>
        <w:pStyle w:val="29"/>
        <w:rPr>
          <w:rFonts w:hint="eastAsia" w:ascii="宋体" w:hAnsi="宋体" w:eastAsia="宋体" w:cs="宋体"/>
          <w:color w:val="auto"/>
          <w:szCs w:val="21"/>
          <w:highlight w:val="none"/>
        </w:rPr>
      </w:pPr>
    </w:p>
    <w:p w14:paraId="1D006D3F">
      <w:pPr>
        <w:pStyle w:val="29"/>
        <w:rPr>
          <w:rFonts w:hint="eastAsia" w:ascii="宋体" w:hAnsi="宋体" w:eastAsia="宋体" w:cs="宋体"/>
          <w:color w:val="auto"/>
          <w:szCs w:val="21"/>
          <w:highlight w:val="none"/>
        </w:rPr>
      </w:pPr>
    </w:p>
    <w:p w14:paraId="5B81FAA1">
      <w:pPr>
        <w:pStyle w:val="29"/>
        <w:rPr>
          <w:rFonts w:hint="eastAsia" w:ascii="宋体" w:hAnsi="宋体" w:eastAsia="宋体" w:cs="宋体"/>
          <w:color w:val="auto"/>
          <w:szCs w:val="21"/>
          <w:highlight w:val="none"/>
        </w:rPr>
      </w:pPr>
    </w:p>
    <w:p w14:paraId="0BC531D8">
      <w:pPr>
        <w:pStyle w:val="29"/>
        <w:rPr>
          <w:rFonts w:hint="eastAsia" w:ascii="宋体" w:hAnsi="宋体" w:eastAsia="宋体" w:cs="宋体"/>
          <w:color w:val="auto"/>
          <w:szCs w:val="21"/>
          <w:highlight w:val="none"/>
        </w:rPr>
      </w:pPr>
    </w:p>
    <w:p w14:paraId="37E1FEC3">
      <w:pPr>
        <w:pStyle w:val="29"/>
        <w:rPr>
          <w:rFonts w:hint="eastAsia" w:ascii="宋体" w:hAnsi="宋体" w:eastAsia="宋体" w:cs="宋体"/>
          <w:color w:val="auto"/>
          <w:szCs w:val="21"/>
          <w:highlight w:val="none"/>
        </w:rPr>
      </w:pPr>
    </w:p>
    <w:p w14:paraId="790829B3">
      <w:pPr>
        <w:pStyle w:val="29"/>
        <w:rPr>
          <w:rFonts w:hint="eastAsia" w:ascii="宋体" w:hAnsi="宋体" w:eastAsia="宋体" w:cs="宋体"/>
          <w:color w:val="auto"/>
          <w:szCs w:val="21"/>
          <w:highlight w:val="none"/>
        </w:rPr>
      </w:pPr>
    </w:p>
    <w:p w14:paraId="3EBC65BC">
      <w:pPr>
        <w:pStyle w:val="29"/>
        <w:rPr>
          <w:rFonts w:hint="eastAsia" w:ascii="宋体" w:hAnsi="宋体" w:eastAsia="宋体" w:cs="宋体"/>
          <w:color w:val="auto"/>
          <w:szCs w:val="21"/>
          <w:highlight w:val="none"/>
        </w:rPr>
      </w:pPr>
    </w:p>
    <w:p w14:paraId="05D3CA9E">
      <w:pPr>
        <w:pStyle w:val="29"/>
        <w:rPr>
          <w:rFonts w:hint="eastAsia" w:ascii="宋体" w:hAnsi="宋体" w:eastAsia="宋体" w:cs="宋体"/>
          <w:color w:val="auto"/>
          <w:szCs w:val="21"/>
          <w:highlight w:val="none"/>
        </w:rPr>
      </w:pPr>
    </w:p>
    <w:p w14:paraId="0EA6248D">
      <w:pPr>
        <w:pStyle w:val="5"/>
        <w:numPr>
          <w:ilvl w:val="0"/>
          <w:numId w:val="0"/>
        </w:numPr>
        <w:jc w:val="center"/>
        <w:rPr>
          <w:rFonts w:hint="eastAsia" w:ascii="宋体" w:hAnsi="宋体" w:eastAsia="宋体" w:cs="宋体"/>
          <w:color w:val="auto"/>
          <w:sz w:val="32"/>
          <w:szCs w:val="32"/>
          <w:highlight w:val="none"/>
          <w:lang w:eastAsia="zh-CN"/>
        </w:rPr>
      </w:pPr>
      <w:bookmarkStart w:id="176" w:name="_Toc7185"/>
      <w:bookmarkStart w:id="177" w:name="_Toc11067"/>
      <w:bookmarkStart w:id="178" w:name="_Toc497927071"/>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176"/>
      <w:bookmarkEnd w:id="177"/>
      <w:bookmarkEnd w:id="178"/>
      <w:r>
        <w:rPr>
          <w:rFonts w:hint="eastAsia" w:ascii="宋体" w:hAnsi="宋体" w:eastAsia="宋体" w:cs="宋体"/>
          <w:color w:val="auto"/>
          <w:sz w:val="32"/>
          <w:szCs w:val="32"/>
          <w:highlight w:val="none"/>
          <w:lang w:eastAsia="zh-CN"/>
        </w:rPr>
        <w:t>（根据所提供内容自行编写）</w:t>
      </w:r>
    </w:p>
    <w:p w14:paraId="07DFE841">
      <w:pPr>
        <w:rPr>
          <w:rFonts w:hint="eastAsia" w:ascii="宋体" w:hAnsi="宋体" w:eastAsia="宋体" w:cs="宋体"/>
          <w:color w:val="auto"/>
          <w:highlight w:val="none"/>
        </w:rPr>
      </w:pPr>
    </w:p>
    <w:p w14:paraId="174C5C03">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3AF5BA2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14:paraId="57F4DC3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14:paraId="7AC017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4FA3DF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519AB992">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14:paraId="209B9102">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530D06D2">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供应商的法人或者其他组织营业执照等证明文件复印件</w:t>
      </w:r>
      <w:r>
        <w:rPr>
          <w:rFonts w:hint="eastAsia" w:ascii="宋体" w:hAnsi="宋体" w:eastAsia="宋体" w:cs="宋体"/>
          <w:b/>
          <w:bCs w:val="0"/>
          <w:color w:val="auto"/>
          <w:kern w:val="0"/>
          <w:szCs w:val="21"/>
          <w:highlight w:val="none"/>
        </w:rPr>
        <w:t>（必须提供，自然人除外）</w:t>
      </w:r>
      <w:r>
        <w:rPr>
          <w:rFonts w:hint="eastAsia" w:ascii="宋体" w:hAnsi="宋体" w:eastAsia="宋体" w:cs="宋体"/>
          <w:bCs/>
          <w:color w:val="auto"/>
          <w:kern w:val="0"/>
          <w:szCs w:val="21"/>
          <w:highlight w:val="none"/>
        </w:rPr>
        <w:t>；</w:t>
      </w:r>
    </w:p>
    <w:p w14:paraId="1A41679F">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50240510">
      <w:pPr>
        <w:numPr>
          <w:ilvl w:val="0"/>
          <w:numId w:val="0"/>
        </w:numPr>
        <w:spacing w:line="360" w:lineRule="auto"/>
        <w:ind w:leftChars="200"/>
        <w:rPr>
          <w:rFonts w:hint="eastAsia" w:ascii="宋体" w:hAnsi="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 w:val="21"/>
          <w:szCs w:val="21"/>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rPr>
        <w:t>（必须提供其中一项）</w:t>
      </w:r>
      <w:r>
        <w:rPr>
          <w:rFonts w:hint="eastAsia" w:ascii="宋体" w:hAnsi="宋体" w:eastAsia="宋体" w:cs="宋体"/>
          <w:bCs/>
          <w:color w:val="auto"/>
          <w:kern w:val="0"/>
          <w:szCs w:val="21"/>
          <w:highlight w:val="none"/>
        </w:rPr>
        <w:t>；</w:t>
      </w:r>
    </w:p>
    <w:p w14:paraId="5144848E">
      <w:pPr>
        <w:numPr>
          <w:ilvl w:val="0"/>
          <w:numId w:val="0"/>
        </w:numPr>
        <w:spacing w:line="360" w:lineRule="auto"/>
        <w:ind w:leftChars="200"/>
        <w:rPr>
          <w:rFonts w:hint="eastAsia" w:ascii="宋体" w:hAnsi="宋体" w:cs="宋体"/>
          <w:color w:val="auto"/>
          <w:sz w:val="21"/>
          <w:szCs w:val="21"/>
          <w:highlight w:val="none"/>
          <w:lang w:val="en-US" w:eastAsia="zh-CN"/>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45EFD69A">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kern w:val="0"/>
          <w:szCs w:val="21"/>
          <w:highlight w:val="none"/>
          <w:lang w:eastAsia="zh-CN"/>
        </w:rPr>
        <w:t>供应商2023年度以来财务状况报告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Cs w:val="21"/>
          <w:highlight w:val="none"/>
          <w:lang w:eastAsia="zh-CN"/>
        </w:rPr>
        <w:t>，</w:t>
      </w:r>
      <w:r>
        <w:rPr>
          <w:rFonts w:ascii="宋体" w:hAnsi="宋体" w:cs="宋体"/>
          <w:b/>
          <w:bCs/>
          <w:color w:val="auto"/>
          <w:szCs w:val="21"/>
          <w:highlight w:val="none"/>
        </w:rPr>
        <w:t>可</w:t>
      </w:r>
      <w:r>
        <w:rPr>
          <w:rFonts w:hint="eastAsia" w:ascii="宋体" w:hAnsi="宋体" w:cs="宋体"/>
          <w:b/>
          <w:bCs/>
          <w:color w:val="auto"/>
          <w:szCs w:val="21"/>
          <w:highlight w:val="none"/>
          <w:lang w:eastAsia="zh-CN"/>
        </w:rPr>
        <w:t>以是磋商供应商</w:t>
      </w:r>
      <w:r>
        <w:rPr>
          <w:rFonts w:ascii="宋体" w:hAnsi="宋体" w:cs="宋体"/>
          <w:b/>
          <w:bCs/>
          <w:color w:val="auto"/>
          <w:szCs w:val="21"/>
          <w:highlight w:val="none"/>
        </w:rPr>
        <w:t>自行编制也可</w:t>
      </w:r>
      <w:r>
        <w:rPr>
          <w:rFonts w:hint="eastAsia" w:ascii="宋体" w:hAnsi="宋体" w:cs="宋体"/>
          <w:b/>
          <w:bCs/>
          <w:color w:val="auto"/>
          <w:szCs w:val="21"/>
          <w:highlight w:val="none"/>
          <w:lang w:eastAsia="zh-CN"/>
        </w:rPr>
        <w:t>是</w:t>
      </w:r>
      <w:r>
        <w:rPr>
          <w:rFonts w:ascii="宋体" w:hAnsi="宋体" w:cs="宋体"/>
          <w:b/>
          <w:bCs/>
          <w:color w:val="auto"/>
          <w:szCs w:val="21"/>
          <w:highlight w:val="none"/>
        </w:rPr>
        <w:t>通过</w:t>
      </w:r>
      <w:r>
        <w:rPr>
          <w:rFonts w:hint="eastAsia" w:ascii="宋体" w:hAnsi="宋体" w:cs="宋体"/>
          <w:b/>
          <w:bCs/>
          <w:color w:val="auto"/>
          <w:szCs w:val="21"/>
          <w:highlight w:val="none"/>
          <w:lang w:eastAsia="zh-CN"/>
        </w:rPr>
        <w:t>第三方</w:t>
      </w:r>
      <w:r>
        <w:rPr>
          <w:rFonts w:ascii="宋体" w:hAnsi="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14:paraId="1D10A312">
      <w:pPr>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763FB1E8">
      <w:pPr>
        <w:spacing w:line="440" w:lineRule="atLeast"/>
        <w:rPr>
          <w:rFonts w:hint="eastAsia" w:ascii="宋体" w:hAnsi="宋体" w:eastAsia="宋体" w:cs="宋体"/>
          <w:b/>
          <w:color w:val="auto"/>
          <w:sz w:val="28"/>
          <w:szCs w:val="28"/>
          <w:highlight w:val="none"/>
          <w:lang w:val="en-US" w:eastAsia="zh-CN"/>
        </w:rPr>
      </w:pPr>
    </w:p>
    <w:p w14:paraId="1759E7D4">
      <w:pPr>
        <w:spacing w:line="440" w:lineRule="atLeast"/>
        <w:rPr>
          <w:rFonts w:hint="eastAsia" w:ascii="宋体" w:hAnsi="宋体" w:eastAsia="宋体" w:cs="宋体"/>
          <w:b/>
          <w:color w:val="auto"/>
          <w:sz w:val="28"/>
          <w:szCs w:val="28"/>
          <w:highlight w:val="none"/>
          <w:lang w:val="en-US" w:eastAsia="zh-CN"/>
        </w:rPr>
      </w:pPr>
    </w:p>
    <w:p w14:paraId="3BC621D6">
      <w:pPr>
        <w:spacing w:line="440" w:lineRule="atLeast"/>
        <w:rPr>
          <w:rFonts w:hint="eastAsia" w:ascii="宋体" w:hAnsi="宋体" w:eastAsia="宋体" w:cs="宋体"/>
          <w:b/>
          <w:color w:val="auto"/>
          <w:sz w:val="28"/>
          <w:szCs w:val="28"/>
          <w:highlight w:val="none"/>
          <w:lang w:val="en-US" w:eastAsia="zh-CN"/>
        </w:rPr>
      </w:pPr>
    </w:p>
    <w:p w14:paraId="12E8D38D">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31B0B82">
      <w:pPr>
        <w:numPr>
          <w:ilvl w:val="0"/>
          <w:numId w:val="17"/>
        </w:num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供应商相应的法定代表人、负责人、自然人身份证正反两面复印件（必须提供）；</w:t>
      </w:r>
    </w:p>
    <w:p w14:paraId="7125D17E">
      <w:pPr>
        <w:pStyle w:val="3"/>
        <w:numPr>
          <w:ilvl w:val="0"/>
          <w:numId w:val="0"/>
        </w:numPr>
        <w:rPr>
          <w:rFonts w:hint="eastAsia"/>
          <w:color w:val="auto"/>
          <w:highlight w:val="none"/>
        </w:rPr>
      </w:pPr>
    </w:p>
    <w:p w14:paraId="4AEEF33B">
      <w:pPr>
        <w:rPr>
          <w:rFonts w:hint="eastAsia"/>
          <w:color w:val="auto"/>
          <w:highlight w:val="none"/>
        </w:rPr>
      </w:pPr>
    </w:p>
    <w:p w14:paraId="4B32E994">
      <w:pPr>
        <w:spacing w:line="440" w:lineRule="atLeast"/>
        <w:rPr>
          <w:rFonts w:hint="eastAsia" w:ascii="宋体" w:hAnsi="宋体" w:eastAsia="宋体" w:cs="宋体"/>
          <w:b/>
          <w:color w:val="auto"/>
          <w:sz w:val="28"/>
          <w:szCs w:val="28"/>
          <w:highlight w:val="none"/>
        </w:rPr>
      </w:pPr>
    </w:p>
    <w:p w14:paraId="7D85123C">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w:t>
      </w:r>
      <w:r>
        <w:rPr>
          <w:rFonts w:hint="eastAsia" w:ascii="宋体" w:hAnsi="宋体" w:eastAsia="宋体" w:cs="宋体"/>
          <w:b/>
          <w:color w:val="auto"/>
          <w:sz w:val="28"/>
          <w:szCs w:val="28"/>
          <w:highlight w:val="none"/>
          <w:lang w:eastAsia="zh-CN"/>
        </w:rPr>
        <w:t>原件</w:t>
      </w:r>
      <w:r>
        <w:rPr>
          <w:rFonts w:hint="eastAsia" w:ascii="宋体" w:hAnsi="宋体" w:eastAsia="宋体" w:cs="宋体"/>
          <w:b/>
          <w:color w:val="auto"/>
          <w:sz w:val="28"/>
          <w:szCs w:val="28"/>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8"/>
          <w:szCs w:val="28"/>
          <w:highlight w:val="none"/>
          <w:lang w:eastAsia="zh-CN"/>
        </w:rPr>
        <w:t>（委托代理时必须提供）。</w:t>
      </w:r>
      <w:r>
        <w:rPr>
          <w:rFonts w:hint="eastAsia" w:ascii="宋体" w:hAnsi="宋体" w:eastAsia="宋体" w:cs="宋体"/>
          <w:b/>
          <w:color w:val="auto"/>
          <w:sz w:val="28"/>
          <w:szCs w:val="28"/>
          <w:highlight w:val="none"/>
        </w:rPr>
        <w:t>除供应商为以下三种情形的：</w:t>
      </w:r>
    </w:p>
    <w:p w14:paraId="6C6E1300">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14:paraId="3B98A83C">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14:paraId="599C6700">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14:paraId="6E984030">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14:paraId="4FC1F263">
      <w:pPr>
        <w:spacing w:line="440" w:lineRule="atLeast"/>
        <w:rPr>
          <w:rFonts w:hint="eastAsia" w:ascii="宋体" w:hAnsi="宋体" w:eastAsia="宋体" w:cs="宋体"/>
          <w:b/>
          <w:color w:val="auto"/>
          <w:sz w:val="28"/>
          <w:szCs w:val="28"/>
          <w:highlight w:val="none"/>
        </w:rPr>
      </w:pPr>
    </w:p>
    <w:p w14:paraId="0DB1123E">
      <w:pPr>
        <w:pStyle w:val="11"/>
        <w:rPr>
          <w:rFonts w:hint="eastAsia" w:ascii="宋体" w:hAnsi="宋体" w:eastAsia="宋体" w:cs="宋体"/>
          <w:b/>
          <w:color w:val="auto"/>
          <w:sz w:val="32"/>
          <w:highlight w:val="none"/>
        </w:rPr>
      </w:pPr>
    </w:p>
    <w:p w14:paraId="3FC11CC6">
      <w:pPr>
        <w:rPr>
          <w:rFonts w:hint="eastAsia" w:ascii="宋体" w:hAnsi="宋体" w:eastAsia="宋体" w:cs="宋体"/>
          <w:b/>
          <w:color w:val="auto"/>
          <w:sz w:val="32"/>
          <w:highlight w:val="none"/>
        </w:rPr>
      </w:pPr>
    </w:p>
    <w:p w14:paraId="75800389">
      <w:pPr>
        <w:pStyle w:val="3"/>
        <w:tabs>
          <w:tab w:val="left" w:pos="567"/>
        </w:tabs>
        <w:rPr>
          <w:rFonts w:hint="eastAsia"/>
          <w:color w:val="auto"/>
          <w:highlight w:val="none"/>
        </w:rPr>
      </w:pPr>
    </w:p>
    <w:p w14:paraId="580801FE">
      <w:pPr>
        <w:rPr>
          <w:rFonts w:hint="eastAsia"/>
          <w:color w:val="auto"/>
          <w:highlight w:val="none"/>
        </w:rPr>
      </w:pPr>
    </w:p>
    <w:p w14:paraId="469C95AE">
      <w:pPr>
        <w:pStyle w:val="3"/>
        <w:rPr>
          <w:rFonts w:hint="eastAsia"/>
          <w:color w:val="auto"/>
          <w:highlight w:val="none"/>
        </w:rPr>
      </w:pPr>
    </w:p>
    <w:p w14:paraId="5B1335ED">
      <w:pPr>
        <w:rPr>
          <w:rFonts w:hint="eastAsia"/>
          <w:color w:val="auto"/>
          <w:highlight w:val="none"/>
        </w:rPr>
      </w:pPr>
    </w:p>
    <w:p w14:paraId="4BD5A9E7">
      <w:pPr>
        <w:pStyle w:val="11"/>
        <w:rPr>
          <w:rFonts w:hint="eastAsia" w:ascii="宋体" w:hAnsi="宋体" w:eastAsia="宋体" w:cs="宋体"/>
          <w:b/>
          <w:color w:val="auto"/>
          <w:sz w:val="32"/>
          <w:highlight w:val="none"/>
        </w:rPr>
      </w:pPr>
    </w:p>
    <w:p w14:paraId="64D44F02">
      <w:pPr>
        <w:pStyle w:val="11"/>
        <w:rPr>
          <w:rFonts w:hint="eastAsia" w:ascii="宋体" w:hAnsi="宋体" w:eastAsia="宋体" w:cs="宋体"/>
          <w:b/>
          <w:color w:val="auto"/>
          <w:sz w:val="32"/>
          <w:highlight w:val="none"/>
        </w:rPr>
      </w:pPr>
    </w:p>
    <w:p w14:paraId="60DA0249">
      <w:pPr>
        <w:pStyle w:val="11"/>
        <w:rPr>
          <w:rFonts w:hint="eastAsia" w:ascii="宋体" w:hAnsi="宋体" w:eastAsia="宋体" w:cs="宋体"/>
          <w:b/>
          <w:color w:val="auto"/>
          <w:sz w:val="32"/>
          <w:highlight w:val="none"/>
        </w:rPr>
      </w:pPr>
    </w:p>
    <w:p w14:paraId="723CFB04">
      <w:pPr>
        <w:pStyle w:val="1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5A57DB3E">
      <w:pPr>
        <w:pStyle w:val="11"/>
        <w:ind w:firstLine="630" w:firstLineChars="196"/>
        <w:jc w:val="center"/>
        <w:rPr>
          <w:rFonts w:hint="eastAsia" w:ascii="宋体" w:hAnsi="宋体" w:eastAsia="宋体" w:cs="宋体"/>
          <w:b/>
          <w:color w:val="auto"/>
          <w:sz w:val="32"/>
          <w:highlight w:val="none"/>
        </w:rPr>
      </w:pPr>
      <w:bookmarkStart w:id="179" w:name="_Toc5420_WPSOffice_Level1"/>
      <w:bookmarkStart w:id="180" w:name="_Toc964_WPSOffice_Level1"/>
      <w:r>
        <w:rPr>
          <w:rFonts w:hint="eastAsia" w:ascii="宋体" w:hAnsi="宋体" w:eastAsia="宋体" w:cs="宋体"/>
          <w:b/>
          <w:color w:val="auto"/>
          <w:sz w:val="32"/>
          <w:highlight w:val="none"/>
        </w:rPr>
        <w:t>授权委托书（格式一）</w:t>
      </w:r>
      <w:bookmarkEnd w:id="179"/>
      <w:bookmarkEnd w:id="180"/>
    </w:p>
    <w:p w14:paraId="11EF7514">
      <w:pPr>
        <w:pStyle w:val="11"/>
        <w:rPr>
          <w:rFonts w:hint="eastAsia" w:ascii="宋体" w:hAnsi="宋体" w:eastAsia="宋体" w:cs="宋体"/>
          <w:color w:val="auto"/>
          <w:highlight w:val="none"/>
        </w:rPr>
      </w:pPr>
    </w:p>
    <w:p w14:paraId="6CDDE23F">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广西中承建设工程咨询有限公司</w:t>
      </w:r>
    </w:p>
    <w:p w14:paraId="5ACE594D">
      <w:pPr>
        <w:spacing w:line="400" w:lineRule="exact"/>
        <w:rPr>
          <w:rFonts w:hint="eastAsia" w:ascii="宋体" w:hAnsi="宋体" w:eastAsia="宋体" w:cs="宋体"/>
          <w:color w:val="auto"/>
          <w:szCs w:val="21"/>
          <w:highlight w:val="none"/>
        </w:rPr>
      </w:pPr>
    </w:p>
    <w:p w14:paraId="24B2390A">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6A809372">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3EA831E2">
      <w:pPr>
        <w:pStyle w:val="11"/>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3257E014">
      <w:pPr>
        <w:pStyle w:val="11"/>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18C3A851">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2FCEA588">
      <w:pPr>
        <w:spacing w:line="400" w:lineRule="exact"/>
        <w:ind w:firstLine="420" w:firstLineChars="200"/>
        <w:rPr>
          <w:rFonts w:hint="eastAsia" w:ascii="宋体" w:hAnsi="宋体" w:eastAsia="宋体" w:cs="宋体"/>
          <w:color w:val="auto"/>
          <w:kern w:val="0"/>
          <w:highlight w:val="none"/>
        </w:rPr>
      </w:pPr>
    </w:p>
    <w:p w14:paraId="38C32FD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4B1C543E">
      <w:pPr>
        <w:spacing w:line="400" w:lineRule="exact"/>
        <w:ind w:firstLine="420" w:firstLineChars="200"/>
        <w:rPr>
          <w:rFonts w:hint="eastAsia" w:ascii="宋体" w:hAnsi="宋体" w:eastAsia="宋体" w:cs="宋体"/>
          <w:color w:val="auto"/>
          <w:szCs w:val="21"/>
          <w:highlight w:val="none"/>
        </w:rPr>
      </w:pPr>
    </w:p>
    <w:p w14:paraId="177E8D9C">
      <w:pPr>
        <w:spacing w:line="400" w:lineRule="exact"/>
        <w:ind w:firstLine="420" w:firstLineChars="200"/>
        <w:rPr>
          <w:rFonts w:hint="eastAsia" w:ascii="宋体" w:hAnsi="宋体" w:eastAsia="宋体" w:cs="宋体"/>
          <w:color w:val="auto"/>
          <w:szCs w:val="21"/>
          <w:highlight w:val="none"/>
        </w:rPr>
      </w:pPr>
    </w:p>
    <w:p w14:paraId="0B10812F">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2C8647F">
      <w:pPr>
        <w:snapToGrid w:val="0"/>
        <w:spacing w:line="400" w:lineRule="exact"/>
        <w:ind w:firstLine="420"/>
        <w:rPr>
          <w:rFonts w:hint="eastAsia" w:ascii="宋体" w:hAnsi="宋体" w:eastAsia="宋体" w:cs="宋体"/>
          <w:color w:val="auto"/>
          <w:szCs w:val="21"/>
          <w:highlight w:val="none"/>
        </w:rPr>
      </w:pPr>
    </w:p>
    <w:p w14:paraId="0D5323CF">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BC47169">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3978862">
      <w:pPr>
        <w:snapToGrid w:val="0"/>
        <w:spacing w:line="400" w:lineRule="exact"/>
        <w:ind w:firstLine="420"/>
        <w:rPr>
          <w:rFonts w:hint="eastAsia" w:ascii="宋体" w:hAnsi="宋体" w:eastAsia="宋体" w:cs="宋体"/>
          <w:color w:val="auto"/>
          <w:szCs w:val="21"/>
          <w:highlight w:val="none"/>
        </w:rPr>
      </w:pPr>
    </w:p>
    <w:p w14:paraId="7CA69318">
      <w:pPr>
        <w:pStyle w:val="8"/>
        <w:rPr>
          <w:rFonts w:hint="eastAsia" w:ascii="宋体" w:hAnsi="宋体" w:eastAsia="宋体" w:cs="宋体"/>
          <w:color w:val="auto"/>
          <w:highlight w:val="none"/>
        </w:rPr>
      </w:pPr>
    </w:p>
    <w:p w14:paraId="500AEAC2">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w:t>
      </w:r>
      <w:r>
        <w:rPr>
          <w:rFonts w:hint="eastAsia" w:ascii="宋体" w:hAnsi="宋体" w:eastAsia="宋体" w:cs="宋体"/>
          <w:b/>
          <w:color w:val="auto"/>
          <w:szCs w:val="21"/>
          <w:highlight w:val="none"/>
          <w:lang w:eastAsia="zh-CN"/>
        </w:rPr>
        <w:t>原件</w:t>
      </w:r>
      <w:r>
        <w:rPr>
          <w:rFonts w:hint="eastAsia" w:ascii="宋体" w:hAnsi="宋体" w:eastAsia="宋体" w:cs="宋体"/>
          <w:b/>
          <w:color w:val="auto"/>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除供应商为以下三种情形的：</w:t>
      </w:r>
    </w:p>
    <w:p w14:paraId="7B5364CE">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14:paraId="2B8EFADD">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14:paraId="0F4F03B2">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6A98F5D8">
      <w:pPr>
        <w:pStyle w:val="11"/>
        <w:spacing w:line="340" w:lineRule="exact"/>
        <w:ind w:firstLine="420" w:firstLineChars="200"/>
        <w:rPr>
          <w:rFonts w:hint="eastAsia" w:ascii="宋体" w:hAnsi="宋体" w:eastAsia="宋体" w:cs="宋体"/>
          <w:color w:val="auto"/>
          <w:highlight w:val="none"/>
        </w:rPr>
      </w:pPr>
    </w:p>
    <w:p w14:paraId="67B63C25">
      <w:pPr>
        <w:pStyle w:val="6"/>
        <w:rPr>
          <w:rFonts w:hint="eastAsia"/>
          <w:color w:val="auto"/>
          <w:highlight w:val="none"/>
        </w:rPr>
      </w:pPr>
    </w:p>
    <w:p w14:paraId="7CEB15FB">
      <w:pPr>
        <w:pStyle w:val="11"/>
        <w:jc w:val="center"/>
        <w:rPr>
          <w:rFonts w:hint="eastAsia" w:ascii="宋体" w:hAnsi="宋体" w:eastAsia="宋体" w:cs="宋体"/>
          <w:b/>
          <w:color w:val="auto"/>
          <w:sz w:val="32"/>
          <w:highlight w:val="none"/>
        </w:rPr>
      </w:pPr>
      <w:bookmarkStart w:id="181" w:name="_Toc21370_WPSOffice_Level1"/>
      <w:bookmarkStart w:id="182" w:name="_Toc6975_WPSOffice_Level1"/>
      <w:r>
        <w:rPr>
          <w:rFonts w:hint="eastAsia" w:ascii="宋体" w:hAnsi="宋体" w:eastAsia="宋体" w:cs="宋体"/>
          <w:b/>
          <w:color w:val="auto"/>
          <w:sz w:val="32"/>
          <w:highlight w:val="none"/>
        </w:rPr>
        <w:t>授权委托书（格式二）</w:t>
      </w:r>
      <w:bookmarkEnd w:id="181"/>
      <w:bookmarkEnd w:id="182"/>
    </w:p>
    <w:p w14:paraId="7BE176C1">
      <w:pPr>
        <w:pStyle w:val="11"/>
        <w:jc w:val="both"/>
        <w:rPr>
          <w:rFonts w:hint="eastAsia" w:ascii="宋体" w:hAnsi="宋体" w:eastAsia="宋体" w:cs="宋体"/>
          <w:b/>
          <w:color w:val="auto"/>
          <w:sz w:val="32"/>
          <w:highlight w:val="none"/>
        </w:rPr>
      </w:pPr>
    </w:p>
    <w:p w14:paraId="7D3D9511">
      <w:pPr>
        <w:pStyle w:val="11"/>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广西中承建设工程咨询有限公司</w:t>
      </w:r>
    </w:p>
    <w:p w14:paraId="2E47B59B">
      <w:pPr>
        <w:rPr>
          <w:rFonts w:hint="eastAsia" w:ascii="宋体" w:hAnsi="宋体" w:eastAsia="宋体" w:cs="宋体"/>
          <w:color w:val="auto"/>
          <w:highlight w:val="none"/>
        </w:rPr>
      </w:pPr>
    </w:p>
    <w:p w14:paraId="6C1D44D2">
      <w:pPr>
        <w:pStyle w:val="11"/>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46E0A30B">
      <w:pPr>
        <w:pStyle w:val="11"/>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7A2243F3">
      <w:pPr>
        <w:pStyle w:val="11"/>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77440FA8">
      <w:pPr>
        <w:pStyle w:val="11"/>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7B148A7">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098A8315">
      <w:pPr>
        <w:spacing w:line="340" w:lineRule="exact"/>
        <w:ind w:firstLine="420" w:firstLineChars="200"/>
        <w:rPr>
          <w:rFonts w:hint="eastAsia" w:ascii="宋体" w:hAnsi="宋体" w:eastAsia="宋体" w:cs="宋体"/>
          <w:color w:val="auto"/>
          <w:kern w:val="0"/>
          <w:highlight w:val="none"/>
        </w:rPr>
      </w:pPr>
    </w:p>
    <w:p w14:paraId="0D7158AE">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5CE15670">
      <w:pPr>
        <w:spacing w:line="340" w:lineRule="exact"/>
        <w:ind w:firstLine="420" w:firstLineChars="200"/>
        <w:rPr>
          <w:rFonts w:hint="eastAsia" w:ascii="宋体" w:hAnsi="宋体" w:eastAsia="宋体" w:cs="宋体"/>
          <w:color w:val="auto"/>
          <w:szCs w:val="21"/>
          <w:highlight w:val="none"/>
        </w:rPr>
      </w:pPr>
    </w:p>
    <w:p w14:paraId="16F0B14B">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E1D52DD">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C10F4AF">
      <w:pPr>
        <w:pStyle w:val="11"/>
        <w:spacing w:line="400" w:lineRule="exact"/>
        <w:ind w:left="420" w:leftChars="200"/>
        <w:rPr>
          <w:rFonts w:hint="eastAsia" w:ascii="宋体" w:hAnsi="宋体" w:eastAsia="宋体" w:cs="宋体"/>
          <w:color w:val="auto"/>
          <w:szCs w:val="21"/>
          <w:highlight w:val="none"/>
        </w:rPr>
      </w:pPr>
    </w:p>
    <w:p w14:paraId="4CDD12AA">
      <w:pPr>
        <w:pStyle w:val="11"/>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14:paraId="0CE260C7">
      <w:pPr>
        <w:rPr>
          <w:rFonts w:hint="eastAsia" w:ascii="宋体" w:hAnsi="宋体" w:eastAsia="宋体" w:cs="宋体"/>
          <w:b/>
          <w:color w:val="auto"/>
          <w:szCs w:val="21"/>
          <w:highlight w:val="none"/>
        </w:rPr>
      </w:pPr>
    </w:p>
    <w:p w14:paraId="6A599267">
      <w:pPr>
        <w:pStyle w:val="8"/>
        <w:rPr>
          <w:rFonts w:hint="eastAsia" w:ascii="宋体" w:hAnsi="宋体" w:eastAsia="宋体" w:cs="宋体"/>
          <w:b/>
          <w:color w:val="auto"/>
          <w:szCs w:val="21"/>
          <w:highlight w:val="none"/>
        </w:rPr>
      </w:pPr>
    </w:p>
    <w:p w14:paraId="01448ED2">
      <w:pPr>
        <w:pStyle w:val="8"/>
        <w:rPr>
          <w:rFonts w:hint="eastAsia" w:ascii="宋体" w:hAnsi="宋体" w:eastAsia="宋体" w:cs="宋体"/>
          <w:b/>
          <w:color w:val="auto"/>
          <w:szCs w:val="21"/>
          <w:highlight w:val="none"/>
        </w:rPr>
      </w:pPr>
    </w:p>
    <w:p w14:paraId="3CEB3E32">
      <w:pPr>
        <w:pStyle w:val="8"/>
        <w:rPr>
          <w:rFonts w:hint="eastAsia" w:ascii="宋体" w:hAnsi="宋体" w:eastAsia="宋体" w:cs="宋体"/>
          <w:b/>
          <w:color w:val="auto"/>
          <w:szCs w:val="21"/>
          <w:highlight w:val="none"/>
        </w:rPr>
      </w:pPr>
    </w:p>
    <w:p w14:paraId="5AC773D1">
      <w:pPr>
        <w:pStyle w:val="8"/>
        <w:rPr>
          <w:rFonts w:hint="eastAsia" w:ascii="宋体" w:hAnsi="宋体" w:eastAsia="宋体" w:cs="宋体"/>
          <w:b/>
          <w:color w:val="auto"/>
          <w:szCs w:val="21"/>
          <w:highlight w:val="none"/>
        </w:rPr>
      </w:pPr>
    </w:p>
    <w:p w14:paraId="56CC0EA8">
      <w:pPr>
        <w:pStyle w:val="8"/>
        <w:rPr>
          <w:rFonts w:hint="eastAsia" w:ascii="宋体" w:hAnsi="宋体" w:eastAsia="宋体" w:cs="宋体"/>
          <w:b/>
          <w:color w:val="auto"/>
          <w:szCs w:val="21"/>
          <w:highlight w:val="none"/>
        </w:rPr>
      </w:pPr>
    </w:p>
    <w:p w14:paraId="528420D3">
      <w:pPr>
        <w:pStyle w:val="8"/>
        <w:rPr>
          <w:rFonts w:hint="eastAsia" w:ascii="宋体" w:hAnsi="宋体" w:eastAsia="宋体" w:cs="宋体"/>
          <w:b/>
          <w:color w:val="auto"/>
          <w:szCs w:val="21"/>
          <w:highlight w:val="none"/>
        </w:rPr>
      </w:pPr>
    </w:p>
    <w:p w14:paraId="25E544DB">
      <w:pPr>
        <w:pStyle w:val="8"/>
        <w:rPr>
          <w:rFonts w:hint="eastAsia" w:ascii="宋体" w:hAnsi="宋体" w:eastAsia="宋体" w:cs="宋体"/>
          <w:b/>
          <w:color w:val="auto"/>
          <w:szCs w:val="21"/>
          <w:highlight w:val="none"/>
        </w:rPr>
      </w:pPr>
    </w:p>
    <w:p w14:paraId="11907F83">
      <w:pPr>
        <w:pStyle w:val="8"/>
        <w:rPr>
          <w:rFonts w:hint="eastAsia" w:ascii="宋体" w:hAnsi="宋体" w:eastAsia="宋体" w:cs="宋体"/>
          <w:b/>
          <w:color w:val="auto"/>
          <w:szCs w:val="21"/>
          <w:highlight w:val="none"/>
        </w:rPr>
      </w:pPr>
    </w:p>
    <w:p w14:paraId="208BB3C8">
      <w:pPr>
        <w:pStyle w:val="8"/>
        <w:rPr>
          <w:rFonts w:hint="eastAsia" w:ascii="宋体" w:hAnsi="宋体" w:eastAsia="宋体" w:cs="宋体"/>
          <w:b/>
          <w:color w:val="auto"/>
          <w:szCs w:val="21"/>
          <w:highlight w:val="none"/>
        </w:rPr>
      </w:pPr>
    </w:p>
    <w:p w14:paraId="0316B747">
      <w:pPr>
        <w:pStyle w:val="8"/>
        <w:rPr>
          <w:rFonts w:hint="eastAsia" w:ascii="宋体" w:hAnsi="宋体" w:eastAsia="宋体" w:cs="宋体"/>
          <w:b/>
          <w:color w:val="auto"/>
          <w:szCs w:val="21"/>
          <w:highlight w:val="none"/>
        </w:rPr>
      </w:pPr>
    </w:p>
    <w:p w14:paraId="3535CFF4">
      <w:pPr>
        <w:pStyle w:val="8"/>
        <w:rPr>
          <w:rFonts w:hint="eastAsia" w:ascii="宋体" w:hAnsi="宋体" w:eastAsia="宋体" w:cs="宋体"/>
          <w:b/>
          <w:color w:val="auto"/>
          <w:szCs w:val="21"/>
          <w:highlight w:val="none"/>
        </w:rPr>
      </w:pPr>
    </w:p>
    <w:p w14:paraId="0500E042">
      <w:pPr>
        <w:pStyle w:val="8"/>
        <w:rPr>
          <w:rFonts w:hint="eastAsia" w:ascii="宋体" w:hAnsi="宋体" w:eastAsia="宋体" w:cs="宋体"/>
          <w:b/>
          <w:color w:val="auto"/>
          <w:szCs w:val="21"/>
          <w:highlight w:val="none"/>
        </w:rPr>
      </w:pPr>
    </w:p>
    <w:p w14:paraId="13ABA398">
      <w:pPr>
        <w:pStyle w:val="8"/>
        <w:rPr>
          <w:rFonts w:hint="eastAsia" w:ascii="宋体" w:hAnsi="宋体" w:eastAsia="宋体" w:cs="宋体"/>
          <w:b/>
          <w:color w:val="auto"/>
          <w:szCs w:val="21"/>
          <w:highlight w:val="none"/>
        </w:rPr>
      </w:pPr>
    </w:p>
    <w:p w14:paraId="6BFB7CDC">
      <w:pPr>
        <w:pStyle w:val="8"/>
        <w:rPr>
          <w:rFonts w:hint="eastAsia" w:ascii="宋体" w:hAnsi="宋体" w:eastAsia="宋体" w:cs="宋体"/>
          <w:b/>
          <w:color w:val="auto"/>
          <w:szCs w:val="21"/>
          <w:highlight w:val="none"/>
        </w:rPr>
      </w:pPr>
    </w:p>
    <w:p w14:paraId="241A0759">
      <w:pPr>
        <w:rPr>
          <w:rFonts w:hint="eastAsia" w:ascii="宋体" w:hAnsi="宋体" w:eastAsia="宋体" w:cs="宋体"/>
          <w:b/>
          <w:color w:val="auto"/>
          <w:szCs w:val="21"/>
          <w:highlight w:val="none"/>
        </w:rPr>
      </w:pPr>
    </w:p>
    <w:p w14:paraId="6C2E02A0">
      <w:pPr>
        <w:pStyle w:val="3"/>
        <w:rPr>
          <w:rFonts w:hint="eastAsia"/>
          <w:color w:val="auto"/>
          <w:highlight w:val="none"/>
        </w:rPr>
      </w:pPr>
    </w:p>
    <w:p w14:paraId="38CA788F">
      <w:pPr>
        <w:pStyle w:val="8"/>
        <w:rPr>
          <w:rFonts w:hint="eastAsia" w:ascii="宋体" w:hAnsi="宋体" w:eastAsia="宋体" w:cs="宋体"/>
          <w:b/>
          <w:color w:val="auto"/>
          <w:szCs w:val="21"/>
          <w:highlight w:val="none"/>
        </w:rPr>
      </w:pPr>
    </w:p>
    <w:p w14:paraId="35A5D173">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3D71E24E">
      <w:pPr>
        <w:pStyle w:val="11"/>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62BC9B2D">
      <w:pPr>
        <w:pStyle w:val="11"/>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5F4A8740">
      <w:pPr>
        <w:pStyle w:val="11"/>
        <w:spacing w:line="400" w:lineRule="exact"/>
        <w:jc w:val="center"/>
        <w:rPr>
          <w:rFonts w:hint="eastAsia" w:ascii="宋体" w:hAnsi="宋体" w:eastAsia="宋体" w:cs="宋体"/>
          <w:b/>
          <w:color w:val="auto"/>
          <w:sz w:val="32"/>
          <w:szCs w:val="32"/>
          <w:highlight w:val="none"/>
        </w:rPr>
      </w:pPr>
      <w:bookmarkStart w:id="183" w:name="_Toc30890_WPSOffice_Level1"/>
      <w:bookmarkStart w:id="184" w:name="_Toc30304_WPSOffice_Level1"/>
      <w:r>
        <w:rPr>
          <w:rFonts w:hint="eastAsia" w:ascii="宋体" w:hAnsi="宋体" w:eastAsia="宋体" w:cs="宋体"/>
          <w:b/>
          <w:color w:val="auto"/>
          <w:sz w:val="32"/>
          <w:szCs w:val="32"/>
          <w:highlight w:val="none"/>
        </w:rPr>
        <w:t>声   明</w:t>
      </w:r>
      <w:bookmarkEnd w:id="183"/>
      <w:bookmarkEnd w:id="184"/>
    </w:p>
    <w:p w14:paraId="7A6A216A">
      <w:pPr>
        <w:pStyle w:val="11"/>
        <w:spacing w:line="400" w:lineRule="exact"/>
        <w:jc w:val="both"/>
        <w:rPr>
          <w:rFonts w:hint="eastAsia" w:ascii="宋体" w:hAnsi="宋体" w:eastAsia="宋体" w:cs="宋体"/>
          <w:b/>
          <w:color w:val="auto"/>
          <w:sz w:val="32"/>
          <w:szCs w:val="32"/>
          <w:highlight w:val="none"/>
        </w:rPr>
      </w:pPr>
    </w:p>
    <w:p w14:paraId="26E65FA2">
      <w:pPr>
        <w:pStyle w:val="11"/>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广西中承建设工程咨询有限公司</w:t>
      </w:r>
    </w:p>
    <w:p w14:paraId="07CAB320">
      <w:pPr>
        <w:rPr>
          <w:rFonts w:hint="eastAsia" w:ascii="宋体" w:hAnsi="宋体" w:eastAsia="宋体" w:cs="宋体"/>
          <w:color w:val="auto"/>
          <w:szCs w:val="21"/>
          <w:highlight w:val="none"/>
          <w:u w:val="single"/>
        </w:rPr>
      </w:pPr>
    </w:p>
    <w:p w14:paraId="6978C44E">
      <w:pPr>
        <w:pStyle w:val="8"/>
        <w:rPr>
          <w:rFonts w:hint="eastAsia" w:ascii="宋体" w:hAnsi="宋体" w:eastAsia="宋体" w:cs="宋体"/>
          <w:color w:val="auto"/>
          <w:highlight w:val="none"/>
        </w:rPr>
      </w:pPr>
    </w:p>
    <w:p w14:paraId="2640B322">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56BF062">
      <w:pPr>
        <w:rPr>
          <w:rFonts w:hint="eastAsia" w:ascii="宋体" w:hAnsi="宋体" w:eastAsia="宋体" w:cs="宋体"/>
          <w:color w:val="auto"/>
          <w:highlight w:val="none"/>
        </w:rPr>
      </w:pPr>
    </w:p>
    <w:p w14:paraId="14F23D87">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088FA4C">
      <w:pPr>
        <w:pStyle w:val="11"/>
        <w:ind w:firstLine="3990" w:firstLineChars="1900"/>
        <w:rPr>
          <w:rFonts w:hint="eastAsia" w:ascii="宋体" w:hAnsi="宋体" w:eastAsia="宋体" w:cs="宋体"/>
          <w:color w:val="auto"/>
          <w:highlight w:val="none"/>
        </w:rPr>
      </w:pPr>
    </w:p>
    <w:p w14:paraId="643192E3">
      <w:pPr>
        <w:pStyle w:val="11"/>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819B740">
      <w:pPr>
        <w:pStyle w:val="11"/>
        <w:spacing w:line="340" w:lineRule="exact"/>
        <w:rPr>
          <w:rFonts w:hint="eastAsia" w:ascii="宋体" w:hAnsi="宋体" w:eastAsia="宋体" w:cs="宋体"/>
          <w:b/>
          <w:color w:val="auto"/>
          <w:sz w:val="28"/>
          <w:szCs w:val="28"/>
          <w:highlight w:val="none"/>
        </w:rPr>
      </w:pPr>
    </w:p>
    <w:p w14:paraId="0465B2F3">
      <w:pPr>
        <w:pStyle w:val="11"/>
        <w:spacing w:line="340" w:lineRule="exact"/>
        <w:rPr>
          <w:rFonts w:hint="eastAsia" w:ascii="宋体" w:hAnsi="宋体" w:eastAsia="宋体" w:cs="宋体"/>
          <w:b/>
          <w:color w:val="auto"/>
          <w:sz w:val="28"/>
          <w:szCs w:val="28"/>
          <w:highlight w:val="none"/>
          <w:lang w:val="en-US" w:eastAsia="zh-CN"/>
        </w:rPr>
      </w:pPr>
    </w:p>
    <w:p w14:paraId="700B32D3">
      <w:pPr>
        <w:pStyle w:val="11"/>
        <w:spacing w:line="340" w:lineRule="exact"/>
        <w:rPr>
          <w:rFonts w:hint="eastAsia" w:ascii="宋体" w:hAnsi="宋体" w:eastAsia="宋体" w:cs="宋体"/>
          <w:b/>
          <w:color w:val="auto"/>
          <w:sz w:val="28"/>
          <w:szCs w:val="28"/>
          <w:highlight w:val="none"/>
          <w:lang w:val="en-US" w:eastAsia="zh-CN"/>
        </w:rPr>
      </w:pPr>
    </w:p>
    <w:p w14:paraId="352972A8">
      <w:pPr>
        <w:pStyle w:val="11"/>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.供应商的法人或者其他组织营业执照等证明文件复印件（必须提供，自然人除外）；</w:t>
      </w:r>
    </w:p>
    <w:p w14:paraId="1AC8E7AC">
      <w:pPr>
        <w:tabs>
          <w:tab w:val="left" w:pos="1305"/>
        </w:tabs>
        <w:spacing w:line="340" w:lineRule="exact"/>
        <w:rPr>
          <w:rFonts w:hint="eastAsia" w:ascii="宋体" w:hAnsi="宋体" w:eastAsia="宋体" w:cs="宋体"/>
          <w:b/>
          <w:color w:val="auto"/>
          <w:szCs w:val="21"/>
          <w:highlight w:val="none"/>
        </w:rPr>
      </w:pPr>
    </w:p>
    <w:p w14:paraId="45E907D0">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3E4E2E6B">
      <w:pPr>
        <w:rPr>
          <w:rFonts w:hint="eastAsia" w:ascii="宋体" w:hAnsi="宋体" w:eastAsia="宋体" w:cs="宋体"/>
          <w:b/>
          <w:bCs/>
          <w:color w:val="auto"/>
          <w:sz w:val="28"/>
          <w:szCs w:val="28"/>
          <w:highlight w:val="none"/>
        </w:rPr>
      </w:pPr>
    </w:p>
    <w:p w14:paraId="62BAD167">
      <w:pPr>
        <w:pStyle w:val="11"/>
        <w:numPr>
          <w:ilvl w:val="0"/>
          <w:numId w:val="0"/>
        </w:numPr>
        <w:spacing w:line="340" w:lineRule="exact"/>
        <w:rPr>
          <w:rFonts w:hint="eastAsia" w:ascii="宋体" w:hAnsi="宋体" w:eastAsia="宋体" w:cs="宋体"/>
          <w:b/>
          <w:color w:val="auto"/>
          <w:sz w:val="28"/>
          <w:szCs w:val="28"/>
          <w:highlight w:val="none"/>
          <w:lang w:val="en-US" w:eastAsia="zh-CN"/>
        </w:rPr>
      </w:pPr>
    </w:p>
    <w:p w14:paraId="6095DC05">
      <w:pPr>
        <w:pStyle w:val="11"/>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5.供应商有效的资质证书复印件（必须提供）；</w:t>
      </w:r>
    </w:p>
    <w:p w14:paraId="206D473F">
      <w:pPr>
        <w:pStyle w:val="6"/>
        <w:numPr>
          <w:ilvl w:val="0"/>
          <w:numId w:val="0"/>
        </w:numPr>
        <w:ind w:leftChars="200"/>
        <w:rPr>
          <w:rFonts w:hint="eastAsia"/>
          <w:color w:val="auto"/>
          <w:highlight w:val="none"/>
          <w:lang w:val="en-US" w:eastAsia="zh-CN"/>
        </w:rPr>
      </w:pPr>
    </w:p>
    <w:p w14:paraId="55B58BC5">
      <w:pPr>
        <w:pStyle w:val="11"/>
        <w:spacing w:line="340" w:lineRule="exact"/>
        <w:rPr>
          <w:rFonts w:hint="eastAsia" w:ascii="宋体" w:hAnsi="宋体" w:eastAsia="宋体" w:cs="宋体"/>
          <w:b/>
          <w:color w:val="auto"/>
          <w:sz w:val="28"/>
          <w:szCs w:val="28"/>
          <w:highlight w:val="none"/>
          <w:lang w:val="en-US" w:eastAsia="zh-CN"/>
        </w:rPr>
      </w:pPr>
    </w:p>
    <w:p w14:paraId="5C671C04">
      <w:pPr>
        <w:pStyle w:val="11"/>
        <w:spacing w:line="340" w:lineRule="exact"/>
        <w:rPr>
          <w:rFonts w:hint="eastAsia" w:ascii="宋体" w:hAnsi="宋体" w:eastAsia="宋体" w:cs="宋体"/>
          <w:b/>
          <w:color w:val="auto"/>
          <w:sz w:val="28"/>
          <w:szCs w:val="28"/>
          <w:highlight w:val="none"/>
          <w:lang w:val="en-US" w:eastAsia="zh-CN"/>
        </w:rPr>
      </w:pPr>
    </w:p>
    <w:p w14:paraId="4A3C8374">
      <w:pPr>
        <w:pStyle w:val="11"/>
        <w:spacing w:line="340" w:lineRule="exact"/>
        <w:rPr>
          <w:rFonts w:hint="eastAsia" w:ascii="宋体" w:hAnsi="宋体" w:eastAsia="宋体" w:cs="宋体"/>
          <w:b/>
          <w:color w:val="auto"/>
          <w:sz w:val="28"/>
          <w:szCs w:val="28"/>
          <w:highlight w:val="none"/>
          <w:lang w:val="en-US" w:eastAsia="zh-CN"/>
        </w:rPr>
      </w:pPr>
    </w:p>
    <w:p w14:paraId="368D6FD5">
      <w:pPr>
        <w:pStyle w:val="11"/>
        <w:spacing w:line="340" w:lineRule="exact"/>
        <w:rPr>
          <w:rFonts w:hint="eastAsia" w:ascii="宋体" w:hAnsi="宋体" w:eastAsia="宋体" w:cs="宋体"/>
          <w:b/>
          <w:color w:val="auto"/>
          <w:sz w:val="28"/>
          <w:szCs w:val="28"/>
          <w:highlight w:val="none"/>
          <w:lang w:val="en-US" w:eastAsia="zh-CN"/>
        </w:rPr>
      </w:pPr>
    </w:p>
    <w:p w14:paraId="5CCF2693">
      <w:pPr>
        <w:pStyle w:val="11"/>
        <w:spacing w:line="340" w:lineRule="exact"/>
        <w:rPr>
          <w:rFonts w:hint="eastAsia" w:ascii="宋体" w:hAnsi="宋体" w:eastAsia="宋体" w:cs="宋体"/>
          <w:b/>
          <w:color w:val="auto"/>
          <w:sz w:val="28"/>
          <w:szCs w:val="28"/>
          <w:highlight w:val="none"/>
          <w:lang w:val="en-US" w:eastAsia="zh-CN"/>
        </w:rPr>
      </w:pPr>
    </w:p>
    <w:p w14:paraId="0EDD9125">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6.《中小企业声明函》或《残疾人福利性单位声明函》或省级以上监狱管理局、戒毒管理局（含新疆生产建设兵团）出具的属于监狱企业的证明文件复印件（必须提供其中一项）；</w:t>
      </w:r>
    </w:p>
    <w:p w14:paraId="48FDAA31">
      <w:pPr>
        <w:jc w:val="center"/>
        <w:outlineLvl w:val="9"/>
        <w:rPr>
          <w:rStyle w:val="39"/>
          <w:rFonts w:ascii="宋体" w:hAnsi="宋体" w:cs="宋体"/>
          <w:b/>
          <w:bCs/>
          <w:color w:val="auto"/>
          <w:kern w:val="0"/>
          <w:sz w:val="21"/>
          <w:szCs w:val="21"/>
          <w:highlight w:val="none"/>
        </w:rPr>
      </w:pPr>
    </w:p>
    <w:p w14:paraId="55431D98">
      <w:pPr>
        <w:jc w:val="center"/>
        <w:outlineLvl w:val="9"/>
        <w:rPr>
          <w:rStyle w:val="39"/>
          <w:rFonts w:ascii="宋体" w:hAnsi="宋体" w:cs="宋体"/>
          <w:b/>
          <w:bCs/>
          <w:color w:val="auto"/>
          <w:kern w:val="0"/>
          <w:sz w:val="24"/>
          <w:szCs w:val="24"/>
          <w:highlight w:val="none"/>
        </w:rPr>
      </w:pPr>
      <w:r>
        <w:rPr>
          <w:rStyle w:val="39"/>
          <w:rFonts w:hint="eastAsia" w:ascii="宋体" w:hAnsi="宋体" w:cs="宋体"/>
          <w:b/>
          <w:bCs/>
          <w:color w:val="auto"/>
          <w:kern w:val="0"/>
          <w:sz w:val="24"/>
          <w:szCs w:val="24"/>
          <w:highlight w:val="none"/>
          <w:lang w:eastAsia="zh-CN"/>
        </w:rPr>
        <w:t>（</w:t>
      </w:r>
      <w:r>
        <w:rPr>
          <w:rStyle w:val="39"/>
          <w:rFonts w:hint="eastAsia" w:ascii="宋体" w:hAnsi="宋体" w:cs="宋体"/>
          <w:b/>
          <w:bCs/>
          <w:color w:val="auto"/>
          <w:kern w:val="0"/>
          <w:sz w:val="24"/>
          <w:szCs w:val="24"/>
          <w:highlight w:val="none"/>
          <w:lang w:val="en-US" w:eastAsia="zh-CN"/>
        </w:rPr>
        <w:t>1</w:t>
      </w:r>
      <w:r>
        <w:rPr>
          <w:rStyle w:val="39"/>
          <w:rFonts w:hint="eastAsia" w:ascii="宋体" w:hAnsi="宋体" w:cs="宋体"/>
          <w:b/>
          <w:bCs/>
          <w:color w:val="auto"/>
          <w:kern w:val="0"/>
          <w:sz w:val="24"/>
          <w:szCs w:val="24"/>
          <w:highlight w:val="none"/>
          <w:lang w:eastAsia="zh-CN"/>
        </w:rPr>
        <w:t>）</w:t>
      </w:r>
      <w:r>
        <w:rPr>
          <w:rStyle w:val="39"/>
          <w:rFonts w:ascii="宋体" w:hAnsi="宋体" w:cs="宋体"/>
          <w:b/>
          <w:bCs/>
          <w:color w:val="auto"/>
          <w:kern w:val="0"/>
          <w:sz w:val="24"/>
          <w:szCs w:val="24"/>
          <w:highlight w:val="none"/>
        </w:rPr>
        <w:t>中小企业声明函（</w:t>
      </w:r>
      <w:r>
        <w:rPr>
          <w:rStyle w:val="39"/>
          <w:rFonts w:hint="eastAsia" w:ascii="宋体" w:hAnsi="宋体" w:cs="宋体"/>
          <w:b/>
          <w:bCs/>
          <w:color w:val="auto"/>
          <w:kern w:val="0"/>
          <w:sz w:val="24"/>
          <w:szCs w:val="24"/>
          <w:highlight w:val="none"/>
        </w:rPr>
        <w:t>工程</w:t>
      </w:r>
      <w:r>
        <w:rPr>
          <w:rStyle w:val="39"/>
          <w:rFonts w:ascii="宋体" w:hAnsi="宋体" w:cs="宋体"/>
          <w:b/>
          <w:bCs/>
          <w:color w:val="auto"/>
          <w:kern w:val="0"/>
          <w:sz w:val="24"/>
          <w:szCs w:val="24"/>
          <w:highlight w:val="none"/>
        </w:rPr>
        <w:t>）</w:t>
      </w:r>
    </w:p>
    <w:p w14:paraId="21F75E66">
      <w:pPr>
        <w:pStyle w:val="40"/>
        <w:ind w:left="63" w:right="63"/>
        <w:rPr>
          <w:color w:val="auto"/>
          <w:sz w:val="21"/>
          <w:szCs w:val="21"/>
          <w:highlight w:val="none"/>
        </w:rPr>
      </w:pPr>
    </w:p>
    <w:p w14:paraId="7A94E1DF">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r>
        <w:rPr>
          <w:rStyle w:val="39"/>
          <w:rFonts w:ascii="宋体" w:hAnsi="宋体"/>
          <w:color w:val="auto"/>
          <w:kern w:val="0"/>
          <w:sz w:val="21"/>
          <w:szCs w:val="21"/>
          <w:highlight w:val="none"/>
        </w:rPr>
        <w:t>本公司郑重声明，根据《政府采购促进中小企业发展管理办法》（财库﹝2020﹞46 号）的规定，本公司参加</w:t>
      </w:r>
      <w:r>
        <w:rPr>
          <w:rStyle w:val="39"/>
          <w:rFonts w:ascii="宋体" w:hAnsi="宋体"/>
          <w:color w:val="auto"/>
          <w:kern w:val="0"/>
          <w:sz w:val="21"/>
          <w:szCs w:val="21"/>
          <w:highlight w:val="none"/>
          <w:u w:val="single" w:color="000000"/>
        </w:rPr>
        <w:t>（单位名称）</w:t>
      </w:r>
      <w:r>
        <w:rPr>
          <w:rStyle w:val="39"/>
          <w:rFonts w:ascii="宋体" w:hAnsi="宋体"/>
          <w:color w:val="auto"/>
          <w:kern w:val="0"/>
          <w:sz w:val="21"/>
          <w:szCs w:val="21"/>
          <w:highlight w:val="none"/>
        </w:rPr>
        <w:t>的</w:t>
      </w:r>
      <w:r>
        <w:rPr>
          <w:rStyle w:val="39"/>
          <w:rFonts w:ascii="宋体" w:hAnsi="宋体"/>
          <w:color w:val="auto"/>
          <w:kern w:val="0"/>
          <w:sz w:val="21"/>
          <w:szCs w:val="21"/>
          <w:highlight w:val="none"/>
          <w:u w:val="single" w:color="000000"/>
        </w:rPr>
        <w:t>（项目名称）</w:t>
      </w:r>
      <w:r>
        <w:rPr>
          <w:rStyle w:val="39"/>
          <w:rFonts w:ascii="宋体" w:hAnsi="宋体"/>
          <w:color w:val="auto"/>
          <w:kern w:val="0"/>
          <w:sz w:val="21"/>
          <w:szCs w:val="21"/>
          <w:highlight w:val="none"/>
        </w:rPr>
        <w:t>采购活动，</w:t>
      </w:r>
      <w:r>
        <w:rPr>
          <w:rStyle w:val="39"/>
          <w:rFonts w:hint="eastAsia" w:ascii="宋体" w:hAnsi="宋体" w:eastAsia="宋体"/>
          <w:color w:val="auto"/>
          <w:kern w:val="0"/>
          <w:sz w:val="21"/>
          <w:szCs w:val="21"/>
          <w:highlight w:val="none"/>
          <w:lang w:val="en-US" w:eastAsia="zh-CN"/>
        </w:rPr>
        <w:t>工程的施工单位</w:t>
      </w:r>
      <w:r>
        <w:rPr>
          <w:rStyle w:val="39"/>
          <w:rFonts w:ascii="宋体" w:hAnsi="宋体"/>
          <w:color w:val="auto"/>
          <w:kern w:val="0"/>
          <w:sz w:val="21"/>
          <w:szCs w:val="21"/>
          <w:highlight w:val="none"/>
        </w:rPr>
        <w:t>全部</w:t>
      </w:r>
      <w:r>
        <w:rPr>
          <w:rStyle w:val="39"/>
          <w:rFonts w:hint="eastAsia" w:ascii="宋体" w:hAnsi="宋体" w:eastAsia="宋体"/>
          <w:color w:val="auto"/>
          <w:kern w:val="0"/>
          <w:sz w:val="21"/>
          <w:szCs w:val="21"/>
          <w:highlight w:val="none"/>
          <w:lang w:val="en-US" w:eastAsia="zh-CN"/>
        </w:rPr>
        <w:t>为</w:t>
      </w:r>
      <w:r>
        <w:rPr>
          <w:rStyle w:val="39"/>
          <w:rFonts w:ascii="宋体" w:hAnsi="宋体"/>
          <w:color w:val="auto"/>
          <w:kern w:val="0"/>
          <w:sz w:val="21"/>
          <w:szCs w:val="21"/>
          <w:highlight w:val="none"/>
        </w:rPr>
        <w:t>符合政策要求的中小企业。相关企业（含联合体中的中小企业、签订分包意向协议的中小企业）的具体情况如下：</w:t>
      </w:r>
    </w:p>
    <w:p w14:paraId="1265C207">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r>
        <w:rPr>
          <w:rStyle w:val="39"/>
          <w:rFonts w:ascii="宋体" w:hAnsi="宋体"/>
          <w:color w:val="auto"/>
          <w:kern w:val="0"/>
          <w:sz w:val="21"/>
          <w:szCs w:val="21"/>
          <w:highlight w:val="none"/>
        </w:rPr>
        <w:t xml:space="preserve">1. </w:t>
      </w:r>
      <w:r>
        <w:rPr>
          <w:rStyle w:val="39"/>
          <w:rFonts w:ascii="宋体" w:hAnsi="宋体"/>
          <w:color w:val="auto"/>
          <w:kern w:val="0"/>
          <w:sz w:val="21"/>
          <w:szCs w:val="21"/>
          <w:highlight w:val="none"/>
          <w:u w:val="single" w:color="000000"/>
        </w:rPr>
        <w:t xml:space="preserve">（标的名称） </w:t>
      </w:r>
      <w:r>
        <w:rPr>
          <w:rStyle w:val="39"/>
          <w:rFonts w:ascii="宋体" w:hAnsi="宋体"/>
          <w:color w:val="auto"/>
          <w:kern w:val="0"/>
          <w:sz w:val="21"/>
          <w:szCs w:val="21"/>
          <w:highlight w:val="none"/>
        </w:rPr>
        <w:t xml:space="preserve">，属于 </w:t>
      </w:r>
      <w:r>
        <w:rPr>
          <w:rStyle w:val="39"/>
          <w:rFonts w:ascii="宋体" w:hAnsi="宋体"/>
          <w:color w:val="auto"/>
          <w:kern w:val="0"/>
          <w:sz w:val="21"/>
          <w:szCs w:val="21"/>
          <w:highlight w:val="none"/>
          <w:u w:val="single" w:color="000000"/>
        </w:rPr>
        <w:t>（</w:t>
      </w:r>
      <w:r>
        <w:rPr>
          <w:rStyle w:val="39"/>
          <w:rFonts w:hint="eastAsia" w:ascii="宋体" w:hAnsi="宋体"/>
          <w:color w:val="auto"/>
          <w:kern w:val="0"/>
          <w:sz w:val="21"/>
          <w:szCs w:val="21"/>
          <w:highlight w:val="none"/>
          <w:u w:val="single" w:color="000000"/>
        </w:rPr>
        <w:t>招标</w:t>
      </w:r>
      <w:r>
        <w:rPr>
          <w:rStyle w:val="39"/>
          <w:rFonts w:ascii="宋体" w:hAnsi="宋体"/>
          <w:color w:val="auto"/>
          <w:kern w:val="0"/>
          <w:sz w:val="21"/>
          <w:szCs w:val="21"/>
          <w:highlight w:val="none"/>
          <w:u w:val="single" w:color="000000"/>
        </w:rPr>
        <w:t xml:space="preserve">文件中明确的所属行业） </w:t>
      </w:r>
      <w:r>
        <w:rPr>
          <w:rStyle w:val="39"/>
          <w:rFonts w:ascii="宋体" w:hAnsi="宋体"/>
          <w:color w:val="auto"/>
          <w:kern w:val="0"/>
          <w:sz w:val="21"/>
          <w:szCs w:val="21"/>
          <w:highlight w:val="none"/>
        </w:rPr>
        <w:t>； 承接企业为</w:t>
      </w:r>
      <w:r>
        <w:rPr>
          <w:rStyle w:val="39"/>
          <w:rFonts w:ascii="宋体" w:hAnsi="宋体"/>
          <w:color w:val="auto"/>
          <w:kern w:val="0"/>
          <w:sz w:val="21"/>
          <w:szCs w:val="21"/>
          <w:highlight w:val="none"/>
          <w:u w:val="single" w:color="000000"/>
        </w:rPr>
        <w:t>（企业名称）</w:t>
      </w:r>
      <w:r>
        <w:rPr>
          <w:rStyle w:val="39"/>
          <w:rFonts w:ascii="宋体" w:hAnsi="宋体"/>
          <w:color w:val="auto"/>
          <w:kern w:val="0"/>
          <w:sz w:val="21"/>
          <w:szCs w:val="21"/>
          <w:highlight w:val="none"/>
        </w:rPr>
        <w:t>，从业人员</w:t>
      </w:r>
      <w:r>
        <w:rPr>
          <w:rStyle w:val="39"/>
          <w:rFonts w:ascii="宋体" w:hAnsi="宋体"/>
          <w:color w:val="auto"/>
          <w:kern w:val="0"/>
          <w:sz w:val="21"/>
          <w:szCs w:val="21"/>
          <w:highlight w:val="none"/>
          <w:u w:val="single" w:color="000000"/>
        </w:rPr>
        <w:t xml:space="preserve">    </w:t>
      </w:r>
      <w:r>
        <w:rPr>
          <w:rStyle w:val="39"/>
          <w:rFonts w:ascii="宋体" w:hAnsi="宋体"/>
          <w:color w:val="auto"/>
          <w:kern w:val="0"/>
          <w:sz w:val="21"/>
          <w:szCs w:val="21"/>
          <w:highlight w:val="none"/>
        </w:rPr>
        <w:t>人，营业收入为</w:t>
      </w:r>
      <w:r>
        <w:rPr>
          <w:rStyle w:val="39"/>
          <w:rFonts w:ascii="宋体" w:hAnsi="宋体"/>
          <w:color w:val="auto"/>
          <w:kern w:val="0"/>
          <w:sz w:val="21"/>
          <w:szCs w:val="21"/>
          <w:highlight w:val="none"/>
          <w:u w:val="single" w:color="000000"/>
        </w:rPr>
        <w:t xml:space="preserve">    </w:t>
      </w:r>
      <w:r>
        <w:rPr>
          <w:rStyle w:val="39"/>
          <w:rFonts w:ascii="宋体" w:hAnsi="宋体"/>
          <w:color w:val="auto"/>
          <w:kern w:val="0"/>
          <w:sz w:val="21"/>
          <w:szCs w:val="21"/>
          <w:highlight w:val="none"/>
        </w:rPr>
        <w:t>万元，资产总额为</w:t>
      </w:r>
      <w:r>
        <w:rPr>
          <w:rStyle w:val="39"/>
          <w:rFonts w:ascii="宋体" w:hAnsi="宋体"/>
          <w:color w:val="auto"/>
          <w:kern w:val="0"/>
          <w:sz w:val="21"/>
          <w:szCs w:val="21"/>
          <w:highlight w:val="none"/>
          <w:u w:val="single" w:color="000000"/>
        </w:rPr>
        <w:t xml:space="preserve">    </w:t>
      </w:r>
      <w:r>
        <w:rPr>
          <w:rStyle w:val="39"/>
          <w:rFonts w:ascii="宋体" w:hAnsi="宋体"/>
          <w:color w:val="auto"/>
          <w:kern w:val="0"/>
          <w:sz w:val="21"/>
          <w:szCs w:val="21"/>
          <w:highlight w:val="none"/>
        </w:rPr>
        <w:t>万元，属于</w:t>
      </w:r>
      <w:r>
        <w:rPr>
          <w:rStyle w:val="39"/>
          <w:rFonts w:ascii="宋体" w:hAnsi="宋体"/>
          <w:color w:val="auto"/>
          <w:kern w:val="0"/>
          <w:sz w:val="21"/>
          <w:szCs w:val="21"/>
          <w:highlight w:val="none"/>
          <w:u w:val="single" w:color="000000"/>
        </w:rPr>
        <w:t>（中型企业、 小型企业、微型企业）</w:t>
      </w:r>
      <w:r>
        <w:rPr>
          <w:rStyle w:val="39"/>
          <w:rFonts w:ascii="宋体" w:hAnsi="宋体"/>
          <w:color w:val="auto"/>
          <w:kern w:val="0"/>
          <w:sz w:val="21"/>
          <w:szCs w:val="21"/>
          <w:highlight w:val="none"/>
        </w:rPr>
        <w:t xml:space="preserve">； </w:t>
      </w:r>
    </w:p>
    <w:p w14:paraId="2A20293C">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r>
        <w:rPr>
          <w:rStyle w:val="39"/>
          <w:rFonts w:ascii="宋体" w:hAnsi="宋体"/>
          <w:color w:val="auto"/>
          <w:kern w:val="0"/>
          <w:sz w:val="21"/>
          <w:szCs w:val="21"/>
          <w:highlight w:val="none"/>
        </w:rPr>
        <w:t>以上企业，不属于大企业的分支机构，不存在控股股东 为大企业的情形，也不存在与大企业的负责人为同一人的情形。</w:t>
      </w:r>
    </w:p>
    <w:p w14:paraId="00D5C333">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r>
        <w:rPr>
          <w:rStyle w:val="39"/>
          <w:rFonts w:ascii="宋体" w:hAnsi="宋体"/>
          <w:color w:val="auto"/>
          <w:kern w:val="0"/>
          <w:sz w:val="21"/>
          <w:szCs w:val="21"/>
          <w:highlight w:val="none"/>
        </w:rPr>
        <w:t xml:space="preserve">本企业对上述声明内容的真实性负责。如有虚假，将依法承担相应责任。 </w:t>
      </w:r>
    </w:p>
    <w:p w14:paraId="30B0AF67">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p>
    <w:p w14:paraId="73320E72">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1DB7830">
      <w:pPr>
        <w:pStyle w:val="11"/>
        <w:spacing w:line="300" w:lineRule="exact"/>
        <w:ind w:left="2940" w:leftChars="1400" w:firstLine="630" w:firstLineChars="300"/>
        <w:rPr>
          <w:rFonts w:hint="eastAsia" w:ascii="宋体" w:hAnsi="宋体" w:eastAsia="宋体" w:cs="宋体"/>
          <w:color w:val="auto"/>
          <w:highlight w:val="none"/>
        </w:rPr>
      </w:pPr>
    </w:p>
    <w:p w14:paraId="58A3826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4DE3B5E">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39"/>
          <w:rFonts w:ascii="宋体" w:hAnsi="宋体"/>
          <w:color w:val="auto"/>
          <w:kern w:val="0"/>
          <w:sz w:val="21"/>
          <w:szCs w:val="21"/>
          <w:highlight w:val="none"/>
        </w:rPr>
      </w:pPr>
    </w:p>
    <w:p w14:paraId="21B9C728">
      <w:pPr>
        <w:pStyle w:val="16"/>
        <w:rPr>
          <w:rFonts w:hint="eastAsia" w:ascii="宋体" w:hAnsi="宋体" w:eastAsia="宋体" w:cs="宋体"/>
          <w:b/>
          <w:color w:val="auto"/>
          <w:sz w:val="21"/>
          <w:szCs w:val="21"/>
          <w:highlight w:val="none"/>
        </w:rPr>
      </w:pPr>
    </w:p>
    <w:p w14:paraId="3E600DD1">
      <w:pPr>
        <w:pStyle w:val="16"/>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7EBF5AC4">
      <w:pPr>
        <w:spacing w:line="360" w:lineRule="auto"/>
        <w:rPr>
          <w:rFonts w:hint="eastAsia" w:ascii="宋体" w:hAnsi="宋体" w:eastAsia="宋体" w:cs="宋体"/>
          <w:b/>
          <w:color w:val="auto"/>
          <w:kern w:val="0"/>
          <w:sz w:val="28"/>
          <w:szCs w:val="28"/>
          <w:highlight w:val="none"/>
        </w:rPr>
      </w:pPr>
    </w:p>
    <w:p w14:paraId="157948D6">
      <w:pPr>
        <w:spacing w:line="460" w:lineRule="exact"/>
        <w:rPr>
          <w:rFonts w:hint="eastAsia" w:ascii="宋体" w:hAnsi="宋体" w:eastAsia="宋体" w:cs="宋体"/>
          <w:b/>
          <w:color w:val="auto"/>
          <w:kern w:val="0"/>
          <w:sz w:val="28"/>
          <w:szCs w:val="28"/>
          <w:highlight w:val="none"/>
        </w:rPr>
      </w:pPr>
    </w:p>
    <w:p w14:paraId="1BCDB021">
      <w:pPr>
        <w:pStyle w:val="8"/>
        <w:rPr>
          <w:rFonts w:hint="eastAsia" w:ascii="宋体" w:hAnsi="宋体" w:eastAsia="宋体" w:cs="宋体"/>
          <w:b/>
          <w:color w:val="auto"/>
          <w:kern w:val="0"/>
          <w:sz w:val="28"/>
          <w:szCs w:val="28"/>
          <w:highlight w:val="none"/>
        </w:rPr>
      </w:pPr>
    </w:p>
    <w:p w14:paraId="7D0D5B72">
      <w:pPr>
        <w:rPr>
          <w:rFonts w:hint="eastAsia"/>
          <w:color w:val="auto"/>
          <w:highlight w:val="none"/>
        </w:rPr>
      </w:pPr>
    </w:p>
    <w:p w14:paraId="485E1CFE">
      <w:pPr>
        <w:rPr>
          <w:rStyle w:val="39"/>
          <w:rFonts w:ascii="宋体" w:hAnsi="宋体" w:cs="宋体"/>
          <w:b/>
          <w:bCs/>
          <w:color w:val="auto"/>
          <w:sz w:val="30"/>
          <w:szCs w:val="30"/>
          <w:highlight w:val="none"/>
        </w:rPr>
      </w:pPr>
    </w:p>
    <w:p w14:paraId="4E58C88A">
      <w:pPr>
        <w:rPr>
          <w:rStyle w:val="39"/>
          <w:rFonts w:ascii="宋体" w:hAnsi="宋体" w:cs="宋体"/>
          <w:b/>
          <w:bCs/>
          <w:color w:val="auto"/>
          <w:sz w:val="30"/>
          <w:szCs w:val="30"/>
          <w:highlight w:val="none"/>
        </w:rPr>
      </w:pPr>
    </w:p>
    <w:p w14:paraId="3A9F6A0C">
      <w:pPr>
        <w:rPr>
          <w:rStyle w:val="39"/>
          <w:rFonts w:ascii="宋体" w:hAnsi="宋体" w:cs="宋体"/>
          <w:b/>
          <w:bCs/>
          <w:color w:val="auto"/>
          <w:sz w:val="30"/>
          <w:szCs w:val="30"/>
          <w:highlight w:val="none"/>
        </w:rPr>
      </w:pPr>
    </w:p>
    <w:p w14:paraId="4698C6FD">
      <w:pPr>
        <w:rPr>
          <w:rStyle w:val="39"/>
          <w:rFonts w:ascii="宋体" w:hAnsi="宋体" w:cs="宋体"/>
          <w:b/>
          <w:bCs/>
          <w:color w:val="auto"/>
          <w:sz w:val="30"/>
          <w:szCs w:val="30"/>
          <w:highlight w:val="none"/>
        </w:rPr>
      </w:pPr>
    </w:p>
    <w:p w14:paraId="19D0AC9B">
      <w:pPr>
        <w:rPr>
          <w:rStyle w:val="39"/>
          <w:rFonts w:ascii="宋体" w:hAnsi="宋体" w:cs="宋体"/>
          <w:b/>
          <w:bCs/>
          <w:color w:val="auto"/>
          <w:sz w:val="30"/>
          <w:szCs w:val="30"/>
          <w:highlight w:val="none"/>
        </w:rPr>
      </w:pPr>
    </w:p>
    <w:p w14:paraId="463402F4">
      <w:pPr>
        <w:rPr>
          <w:rStyle w:val="39"/>
          <w:rFonts w:ascii="宋体" w:hAnsi="宋体" w:cs="宋体"/>
          <w:b/>
          <w:bCs/>
          <w:color w:val="auto"/>
          <w:sz w:val="30"/>
          <w:szCs w:val="30"/>
          <w:highlight w:val="none"/>
        </w:rPr>
      </w:pPr>
    </w:p>
    <w:p w14:paraId="7C24DF5B">
      <w:pPr>
        <w:rPr>
          <w:rStyle w:val="39"/>
          <w:rFonts w:ascii="宋体" w:hAnsi="宋体" w:cs="宋体"/>
          <w:b/>
          <w:bCs/>
          <w:color w:val="auto"/>
          <w:sz w:val="30"/>
          <w:szCs w:val="30"/>
          <w:highlight w:val="none"/>
        </w:rPr>
      </w:pPr>
    </w:p>
    <w:p w14:paraId="5ACEF14C">
      <w:pPr>
        <w:rPr>
          <w:rStyle w:val="39"/>
          <w:rFonts w:ascii="宋体" w:hAnsi="宋体" w:cs="宋体"/>
          <w:b/>
          <w:bCs/>
          <w:color w:val="auto"/>
          <w:sz w:val="30"/>
          <w:szCs w:val="30"/>
          <w:highlight w:val="none"/>
        </w:rPr>
      </w:pPr>
      <w:r>
        <w:rPr>
          <w:rStyle w:val="39"/>
          <w:rFonts w:ascii="宋体" w:hAnsi="宋体" w:cs="宋体"/>
          <w:b/>
          <w:bCs/>
          <w:color w:val="auto"/>
          <w:sz w:val="30"/>
          <w:szCs w:val="30"/>
          <w:highlight w:val="none"/>
        </w:rPr>
        <w:br w:type="page"/>
      </w:r>
    </w:p>
    <w:p w14:paraId="6C6EB54E">
      <w:pPr>
        <w:rPr>
          <w:rStyle w:val="39"/>
          <w:rFonts w:ascii="宋体" w:hAnsi="宋体" w:cs="宋体"/>
          <w:b/>
          <w:bCs/>
          <w:color w:val="auto"/>
          <w:highlight w:val="none"/>
        </w:rPr>
      </w:pPr>
      <w:r>
        <w:rPr>
          <w:rStyle w:val="39"/>
          <w:rFonts w:ascii="宋体" w:hAnsi="宋体" w:cs="宋体"/>
          <w:b/>
          <w:bCs/>
          <w:color w:val="auto"/>
          <w:sz w:val="30"/>
          <w:szCs w:val="30"/>
          <w:highlight w:val="none"/>
        </w:rPr>
        <w:t>附表</w:t>
      </w:r>
    </w:p>
    <w:p w14:paraId="353E5CC5">
      <w:pPr>
        <w:spacing w:before="120" w:after="120" w:line="400" w:lineRule="exact"/>
        <w:jc w:val="center"/>
        <w:rPr>
          <w:rStyle w:val="39"/>
          <w:rFonts w:ascii="宋体" w:hAnsi="宋体" w:cs="宋体"/>
          <w:b/>
          <w:bCs/>
          <w:color w:val="auto"/>
          <w:kern w:val="0"/>
          <w:sz w:val="30"/>
          <w:szCs w:val="30"/>
          <w:highlight w:val="none"/>
        </w:rPr>
      </w:pPr>
      <w:r>
        <w:rPr>
          <w:rStyle w:val="39"/>
          <w:rFonts w:ascii="宋体" w:hAnsi="宋体" w:cs="宋体"/>
          <w:b/>
          <w:bCs/>
          <w:color w:val="auto"/>
          <w:kern w:val="0"/>
          <w:sz w:val="30"/>
          <w:szCs w:val="30"/>
          <w:highlight w:val="none"/>
        </w:rPr>
        <w:t>统计上大中小微型企业划分标准</w:t>
      </w:r>
    </w:p>
    <w:tbl>
      <w:tblPr>
        <w:tblStyle w:val="26"/>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2E2D6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BA9CAE9">
            <w:pPr>
              <w:spacing w:line="240" w:lineRule="exact"/>
              <w:jc w:val="center"/>
              <w:rPr>
                <w:rStyle w:val="39"/>
                <w:rFonts w:ascii="宋体" w:hAnsi="宋体" w:cs="宋体"/>
                <w:b/>
                <w:bCs/>
                <w:color w:val="auto"/>
                <w:kern w:val="0"/>
                <w:sz w:val="18"/>
                <w:szCs w:val="21"/>
                <w:highlight w:val="none"/>
              </w:rPr>
            </w:pPr>
            <w:r>
              <w:rPr>
                <w:rStyle w:val="39"/>
                <w:rFonts w:ascii="宋体" w:hAnsi="宋体" w:cs="宋体"/>
                <w:b/>
                <w:bCs/>
                <w:color w:val="auto"/>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B05C6AF">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C9103CE">
            <w:pPr>
              <w:jc w:val="center"/>
              <w:rPr>
                <w:rStyle w:val="39"/>
                <w:rFonts w:hint="eastAsia" w:ascii="宋体" w:hAnsi="宋体" w:eastAsia="宋体" w:cs="宋体"/>
                <w:b/>
                <w:bCs/>
                <w:color w:val="auto"/>
                <w:kern w:val="0"/>
                <w:sz w:val="18"/>
                <w:szCs w:val="18"/>
                <w:highlight w:val="none"/>
                <w:lang w:eastAsia="zh-CN"/>
              </w:rPr>
            </w:pPr>
            <w:r>
              <w:rPr>
                <w:rStyle w:val="39"/>
                <w:rFonts w:ascii="宋体" w:hAnsi="宋体" w:cs="宋体"/>
                <w:b/>
                <w:bCs/>
                <w:color w:val="auto"/>
                <w:kern w:val="0"/>
                <w:sz w:val="18"/>
                <w:szCs w:val="18"/>
                <w:highlight w:val="none"/>
              </w:rPr>
              <w:t>计量</w:t>
            </w:r>
          </w:p>
          <w:p w14:paraId="67E9D8BC">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4DC3C7F8">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3EABBC4">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A757AE0">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6E8143C">
            <w:pPr>
              <w:jc w:val="center"/>
              <w:rPr>
                <w:rStyle w:val="39"/>
                <w:rFonts w:ascii="宋体" w:hAnsi="宋体" w:cs="宋体"/>
                <w:b/>
                <w:bCs/>
                <w:color w:val="auto"/>
                <w:kern w:val="0"/>
                <w:sz w:val="18"/>
                <w:szCs w:val="18"/>
                <w:highlight w:val="none"/>
              </w:rPr>
            </w:pPr>
            <w:r>
              <w:rPr>
                <w:rStyle w:val="39"/>
                <w:rFonts w:ascii="宋体" w:hAnsi="宋体" w:cs="宋体"/>
                <w:b/>
                <w:bCs/>
                <w:color w:val="auto"/>
                <w:kern w:val="0"/>
                <w:sz w:val="18"/>
                <w:szCs w:val="18"/>
                <w:highlight w:val="none"/>
              </w:rPr>
              <w:t>微型</w:t>
            </w:r>
          </w:p>
        </w:tc>
      </w:tr>
      <w:tr w14:paraId="2B850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6869C06E">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EE53A0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7D4F65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68E698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9C60D2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87CA1E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9A58C4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Y＜50</w:t>
            </w:r>
          </w:p>
        </w:tc>
      </w:tr>
      <w:tr w14:paraId="757BC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F4176BB">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F9412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A5FED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A5FCDA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E56F7F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1698FD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78BDA4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w:t>
            </w:r>
          </w:p>
        </w:tc>
      </w:tr>
      <w:tr w14:paraId="43DC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B1C5E">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61A5FB">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29E77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737F94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D9DE30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7B40DF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1C2AD2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w:t>
            </w:r>
          </w:p>
        </w:tc>
      </w:tr>
      <w:tr w14:paraId="673EE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2D663">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2CAFD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E30F1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2C9045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522624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2BD0B1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A9D47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w:t>
            </w:r>
          </w:p>
        </w:tc>
      </w:tr>
      <w:tr w14:paraId="1A54F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5DCFF">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4C03CCF">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932D2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6F943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5B543F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44C78A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65BA88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Z＜300</w:t>
            </w:r>
          </w:p>
        </w:tc>
      </w:tr>
      <w:tr w14:paraId="074C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6E7566">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4099F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EE97B1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BAF452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4C5B3C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48E98F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83BF4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X＜5</w:t>
            </w:r>
          </w:p>
        </w:tc>
      </w:tr>
      <w:tr w14:paraId="78ADA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A3D52">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86ED7B1">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219675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B7D418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593112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538D355">
            <w:pPr>
              <w:ind w:left="-1" w:leftChars="-1" w:hanging="1"/>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B65A4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w:t>
            </w:r>
          </w:p>
        </w:tc>
      </w:tr>
      <w:tr w14:paraId="06BBA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D3966E">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05601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7E1AFB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735E9B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39837D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12D041D">
            <w:pPr>
              <w:ind w:left="-1" w:leftChars="-1" w:hanging="1"/>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88E7EA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34CAC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B2A78">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EBC271B">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1DD4A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67AF52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A370DF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1A75744D">
            <w:pPr>
              <w:ind w:left="-1" w:leftChars="-1" w:hanging="1"/>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91CCE6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5F63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11661">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F78CA6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E83B7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AE863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F5C7EC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26700A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61D9C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w:t>
            </w:r>
          </w:p>
        </w:tc>
      </w:tr>
      <w:tr w14:paraId="79753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B1D21">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DC96330">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21523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C854BC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E3C1F8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64E253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842ADA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Y＜200</w:t>
            </w:r>
          </w:p>
        </w:tc>
      </w:tr>
      <w:tr w14:paraId="24AA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1F4FBF">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4B774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743BD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A74045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4D5640D">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E83B47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D9AC39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w:t>
            </w:r>
          </w:p>
        </w:tc>
      </w:tr>
      <w:tr w14:paraId="50D98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0E719">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F855AF">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708DF6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2D8905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F66961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368A6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AAB41C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65BC8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7B68D3B">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060A13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9F3C1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EBEB3E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182A96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A4CAC4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B5AE7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w:t>
            </w:r>
          </w:p>
        </w:tc>
      </w:tr>
      <w:tr w14:paraId="5621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AB298">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F8C6EE0">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34F9CC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EB88AB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396C38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B4A2A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E4A0EB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4619B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08BAC">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DB596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7CB6DD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75BF0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BF4F2B3">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367BF3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C95AFA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272E1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42BA2">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53F03E9">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C5B4FF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D4055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9099E2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879392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DBDB3F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63DC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FE60B28">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F13A29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EDC2E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C224A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8ED6B03">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373509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4818C6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4497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E22B8">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B18E95D">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0B01D7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8B7F4E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6EAD88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064409A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6A6E3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6D71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C864CA">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4D5989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2320A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78B896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716363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6F2D9E7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E78BCD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0F6BB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64FA7">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32419AE">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76A98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E694D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82CA20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446410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E2AFEB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4F0EC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03D42">
            <w:pPr>
              <w:spacing w:line="240" w:lineRule="exact"/>
              <w:jc w:val="left"/>
              <w:rPr>
                <w:rStyle w:val="39"/>
                <w:rFonts w:ascii="宋体" w:hAnsi="宋体"/>
                <w:color w:val="auto"/>
                <w:spacing w:val="-12"/>
                <w:kern w:val="0"/>
                <w:sz w:val="18"/>
                <w:szCs w:val="18"/>
                <w:highlight w:val="none"/>
              </w:rPr>
            </w:pPr>
            <w:r>
              <w:rPr>
                <w:rStyle w:val="39"/>
                <w:rFonts w:ascii="宋体" w:hAnsi="宋体"/>
                <w:color w:val="auto"/>
                <w:spacing w:val="-12"/>
                <w:kern w:val="0"/>
                <w:sz w:val="18"/>
                <w:szCs w:val="18"/>
                <w:highlight w:val="none"/>
              </w:rPr>
              <w:t>软件和信息技术服</w:t>
            </w:r>
            <w:r>
              <w:rPr>
                <w:rStyle w:val="39"/>
                <w:rFonts w:ascii="宋体" w:hAnsi="宋体"/>
                <w:color w:val="auto"/>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8D5FD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C48CBED">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8BCCD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7453518">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87B1E6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ADD30E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33ED4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27A9C">
            <w:pPr>
              <w:jc w:val="left"/>
              <w:rPr>
                <w:rStyle w:val="39"/>
                <w:rFonts w:ascii="宋体" w:hAnsi="宋体"/>
                <w:color w:val="auto"/>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9EDE47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D1AC4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4F773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C62DA5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9ED56B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F27937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Y＜50</w:t>
            </w:r>
          </w:p>
        </w:tc>
      </w:tr>
      <w:tr w14:paraId="53AB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15A54">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1DCE0D2">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91363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968D66">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635512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5DE304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D720B90">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Y＜100</w:t>
            </w:r>
          </w:p>
        </w:tc>
      </w:tr>
      <w:tr w14:paraId="4467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19346">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3581239">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EE40A4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4077BE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AB43A0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8F9385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10B77F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Z＜2000</w:t>
            </w:r>
          </w:p>
        </w:tc>
      </w:tr>
      <w:tr w14:paraId="0C0E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4A6A1EC3">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FC1F401">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E14BE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BD5CDF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5A21CA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5680110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3708A54">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X＜100</w:t>
            </w:r>
          </w:p>
        </w:tc>
      </w:tr>
      <w:tr w14:paraId="5B46C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F9E8D">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B2DCF4A">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337F46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B27A78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85DB92C">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73EF0CCE">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D17A9F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Y＜500</w:t>
            </w:r>
          </w:p>
        </w:tc>
      </w:tr>
      <w:tr w14:paraId="0690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CA6D099">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B0AA10B">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AAC8C0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0C21BE5">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13D89EE">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21A4856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80272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r w14:paraId="22F2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B4D0D">
            <w:pPr>
              <w:jc w:val="left"/>
              <w:rPr>
                <w:rStyle w:val="39"/>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CBCA86">
            <w:pPr>
              <w:spacing w:line="240" w:lineRule="exact"/>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F5BC6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5CFB5EF">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981BCD8">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3708DCA9">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199564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Z＜100</w:t>
            </w:r>
          </w:p>
        </w:tc>
      </w:tr>
      <w:tr w14:paraId="099DE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0"/>
            <w:vAlign w:val="center"/>
          </w:tcPr>
          <w:p w14:paraId="0D3B690B">
            <w:pPr>
              <w:spacing w:line="240" w:lineRule="exact"/>
              <w:jc w:val="left"/>
              <w:rPr>
                <w:rStyle w:val="39"/>
                <w:rFonts w:ascii="宋体" w:hAnsi="宋体"/>
                <w:color w:val="auto"/>
                <w:kern w:val="0"/>
                <w:sz w:val="18"/>
                <w:szCs w:val="18"/>
                <w:highlight w:val="none"/>
              </w:rPr>
            </w:pPr>
            <w:r>
              <w:rPr>
                <w:rStyle w:val="39"/>
                <w:rFonts w:ascii="宋体" w:hAnsi="宋体"/>
                <w:color w:val="auto"/>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E7BD4E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E355FC">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C6982E7">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452F987">
            <w:pPr>
              <w:ind w:left="1" w:leftChars="-51" w:hanging="108"/>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14:paraId="4ACA30BA">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0371A3">
            <w:pPr>
              <w:jc w:val="center"/>
              <w:rPr>
                <w:rStyle w:val="39"/>
                <w:rFonts w:ascii="宋体" w:hAnsi="宋体"/>
                <w:color w:val="auto"/>
                <w:kern w:val="0"/>
                <w:sz w:val="18"/>
                <w:szCs w:val="18"/>
                <w:highlight w:val="none"/>
              </w:rPr>
            </w:pPr>
            <w:r>
              <w:rPr>
                <w:rStyle w:val="39"/>
                <w:rFonts w:ascii="宋体" w:hAnsi="宋体"/>
                <w:color w:val="auto"/>
                <w:kern w:val="0"/>
                <w:sz w:val="18"/>
                <w:szCs w:val="18"/>
                <w:highlight w:val="none"/>
              </w:rPr>
              <w:t>X＜10</w:t>
            </w:r>
          </w:p>
        </w:tc>
      </w:tr>
    </w:tbl>
    <w:p w14:paraId="15E64F4E">
      <w:pPr>
        <w:spacing w:line="540" w:lineRule="exact"/>
        <w:rPr>
          <w:rStyle w:val="39"/>
          <w:rFonts w:ascii="宋体" w:hAnsi="宋体"/>
          <w:color w:val="auto"/>
          <w:spacing w:val="8"/>
          <w:kern w:val="0"/>
          <w:szCs w:val="21"/>
          <w:highlight w:val="none"/>
        </w:rPr>
      </w:pPr>
    </w:p>
    <w:p w14:paraId="5A10E0DE">
      <w:pPr>
        <w:spacing w:line="540" w:lineRule="exact"/>
        <w:rPr>
          <w:rStyle w:val="39"/>
          <w:rFonts w:ascii="宋体" w:hAnsi="宋体"/>
          <w:color w:val="auto"/>
          <w:spacing w:val="8"/>
          <w:kern w:val="0"/>
          <w:szCs w:val="21"/>
          <w:highlight w:val="none"/>
        </w:rPr>
      </w:pPr>
      <w:r>
        <w:rPr>
          <w:rStyle w:val="39"/>
          <w:rFonts w:ascii="宋体" w:hAnsi="宋体"/>
          <w:color w:val="auto"/>
          <w:spacing w:val="8"/>
          <w:kern w:val="0"/>
          <w:szCs w:val="21"/>
          <w:highlight w:val="none"/>
        </w:rPr>
        <w:t>说明：</w:t>
      </w:r>
    </w:p>
    <w:p w14:paraId="0B048539">
      <w:pPr>
        <w:pStyle w:val="41"/>
        <w:spacing w:line="380" w:lineRule="exact"/>
        <w:ind w:firstLine="452" w:firstLineChars="200"/>
        <w:rPr>
          <w:rStyle w:val="39"/>
          <w:rFonts w:hAnsi="宋体"/>
          <w:color w:val="auto"/>
          <w:spacing w:val="8"/>
          <w:szCs w:val="21"/>
          <w:highlight w:val="none"/>
        </w:rPr>
      </w:pPr>
      <w:r>
        <w:rPr>
          <w:rStyle w:val="39"/>
          <w:rFonts w:hAnsi="宋体"/>
          <w:color w:val="auto"/>
          <w:spacing w:val="8"/>
          <w:szCs w:val="21"/>
          <w:highlight w:val="none"/>
        </w:rPr>
        <w:t>1.大型、中型和小型企业须同时满足所列指标的下限，否则下划一档；微型企业只须满足所列指标中的一项即可。</w:t>
      </w:r>
    </w:p>
    <w:p w14:paraId="0A0010FE">
      <w:pPr>
        <w:pStyle w:val="41"/>
        <w:spacing w:line="380" w:lineRule="exact"/>
        <w:ind w:firstLine="452" w:firstLineChars="200"/>
        <w:rPr>
          <w:rStyle w:val="39"/>
          <w:rFonts w:hAnsi="宋体"/>
          <w:color w:val="auto"/>
          <w:spacing w:val="8"/>
          <w:szCs w:val="21"/>
          <w:highlight w:val="none"/>
        </w:rPr>
      </w:pPr>
      <w:r>
        <w:rPr>
          <w:rStyle w:val="39"/>
          <w:rFonts w:hAnsi="宋体"/>
          <w:color w:val="auto"/>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7A1AB24">
      <w:pPr>
        <w:pStyle w:val="11"/>
        <w:spacing w:line="340" w:lineRule="exact"/>
        <w:rPr>
          <w:rFonts w:hint="eastAsia" w:ascii="宋体" w:hAnsi="宋体" w:eastAsia="宋体" w:cs="宋体"/>
          <w:b/>
          <w:color w:val="auto"/>
          <w:sz w:val="28"/>
          <w:szCs w:val="28"/>
          <w:highlight w:val="none"/>
          <w:lang w:val="en-US" w:eastAsia="zh-CN"/>
        </w:rPr>
      </w:pPr>
      <w:r>
        <w:rPr>
          <w:rStyle w:val="39"/>
          <w:rFonts w:hAnsi="宋体"/>
          <w:color w:val="auto"/>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C2C9DB1">
      <w:pPr>
        <w:pStyle w:val="11"/>
        <w:spacing w:line="340" w:lineRule="exact"/>
        <w:rPr>
          <w:rFonts w:hint="eastAsia" w:ascii="宋体" w:hAnsi="宋体" w:eastAsia="宋体" w:cs="宋体"/>
          <w:b/>
          <w:color w:val="auto"/>
          <w:sz w:val="28"/>
          <w:szCs w:val="28"/>
          <w:highlight w:val="none"/>
          <w:lang w:val="en-US" w:eastAsia="zh-CN"/>
        </w:rPr>
      </w:pPr>
    </w:p>
    <w:p w14:paraId="50A0B7E9">
      <w:pPr>
        <w:pStyle w:val="5"/>
        <w:rPr>
          <w:rFonts w:hint="eastAsia" w:hAnsi="宋体" w:eastAsia="宋体" w:cs="宋体"/>
          <w:b/>
          <w:color w:val="auto"/>
          <w:sz w:val="28"/>
          <w:szCs w:val="28"/>
          <w:highlight w:val="none"/>
          <w:lang w:val="en-US" w:eastAsia="zh-CN"/>
        </w:rPr>
      </w:pPr>
    </w:p>
    <w:p w14:paraId="72E4A1A8">
      <w:pPr>
        <w:rPr>
          <w:rFonts w:hint="eastAsia"/>
          <w:color w:val="auto"/>
          <w:highlight w:val="none"/>
          <w:lang w:val="en-US" w:eastAsia="zh-CN"/>
        </w:rPr>
      </w:pPr>
    </w:p>
    <w:p w14:paraId="41C4F1E5">
      <w:pPr>
        <w:rPr>
          <w:rFonts w:hint="eastAsia"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br w:type="page"/>
      </w:r>
    </w:p>
    <w:p w14:paraId="7430DE6E">
      <w:pPr>
        <w:spacing w:line="588"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14:paraId="1C9418BF">
      <w:pPr>
        <w:spacing w:line="588" w:lineRule="exact"/>
        <w:rPr>
          <w:rFonts w:hint="eastAsia" w:ascii="宋体" w:hAnsi="宋体" w:eastAsia="宋体" w:cs="宋体"/>
          <w:b/>
          <w:color w:val="auto"/>
          <w:kern w:val="0"/>
          <w:sz w:val="21"/>
          <w:szCs w:val="21"/>
          <w:highlight w:val="none"/>
        </w:rPr>
      </w:pPr>
    </w:p>
    <w:p w14:paraId="2D9963E6">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0F2EA1">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378089CC">
      <w:pPr>
        <w:spacing w:line="588" w:lineRule="exact"/>
        <w:ind w:firstLine="420" w:firstLineChars="200"/>
        <w:rPr>
          <w:rFonts w:hint="eastAsia" w:ascii="宋体" w:hAnsi="宋体" w:eastAsia="宋体" w:cs="宋体"/>
          <w:color w:val="auto"/>
          <w:kern w:val="0"/>
          <w:sz w:val="21"/>
          <w:szCs w:val="21"/>
          <w:highlight w:val="none"/>
        </w:rPr>
      </w:pPr>
    </w:p>
    <w:p w14:paraId="0168809B">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D7FD266">
      <w:pPr>
        <w:pStyle w:val="11"/>
        <w:spacing w:line="300" w:lineRule="exact"/>
        <w:ind w:left="2940" w:leftChars="1400" w:firstLine="630" w:firstLineChars="300"/>
        <w:rPr>
          <w:rFonts w:hint="eastAsia" w:ascii="宋体" w:hAnsi="宋体" w:eastAsia="宋体" w:cs="宋体"/>
          <w:color w:val="auto"/>
          <w:sz w:val="21"/>
          <w:szCs w:val="21"/>
          <w:highlight w:val="none"/>
        </w:rPr>
      </w:pPr>
    </w:p>
    <w:p w14:paraId="43DFC366">
      <w:pPr>
        <w:ind w:firstLine="4200" w:firstLineChars="20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08B495E">
      <w:pPr>
        <w:pStyle w:val="3"/>
        <w:rPr>
          <w:rFonts w:hint="eastAsia" w:ascii="宋体" w:hAnsi="宋体" w:eastAsia="宋体" w:cs="宋体"/>
          <w:color w:val="auto"/>
          <w:sz w:val="21"/>
          <w:szCs w:val="21"/>
          <w:highlight w:val="none"/>
          <w:u w:val="single"/>
        </w:rPr>
      </w:pPr>
    </w:p>
    <w:p w14:paraId="72EA119D">
      <w:pPr>
        <w:rPr>
          <w:rFonts w:hint="eastAsia" w:ascii="宋体" w:hAnsi="宋体" w:eastAsia="宋体" w:cs="宋体"/>
          <w:color w:val="auto"/>
          <w:sz w:val="21"/>
          <w:szCs w:val="21"/>
          <w:highlight w:val="none"/>
          <w:u w:val="single"/>
        </w:rPr>
      </w:pPr>
    </w:p>
    <w:p w14:paraId="73C3804F">
      <w:pPr>
        <w:pStyle w:val="3"/>
        <w:rPr>
          <w:rFonts w:hint="eastAsia" w:ascii="宋体" w:hAnsi="宋体" w:eastAsia="宋体" w:cs="宋体"/>
          <w:color w:val="auto"/>
          <w:sz w:val="21"/>
          <w:szCs w:val="21"/>
          <w:highlight w:val="none"/>
          <w:u w:val="single"/>
        </w:rPr>
      </w:pPr>
    </w:p>
    <w:p w14:paraId="28355DD1">
      <w:pPr>
        <w:rPr>
          <w:rFonts w:hint="eastAsia" w:ascii="宋体" w:hAnsi="宋体" w:eastAsia="宋体" w:cs="宋体"/>
          <w:color w:val="auto"/>
          <w:sz w:val="21"/>
          <w:szCs w:val="21"/>
          <w:highlight w:val="none"/>
          <w:u w:val="single"/>
        </w:rPr>
      </w:pPr>
    </w:p>
    <w:p w14:paraId="36436649">
      <w:pPr>
        <w:pStyle w:val="3"/>
        <w:rPr>
          <w:rFonts w:hint="eastAsia" w:ascii="宋体" w:hAnsi="宋体" w:eastAsia="宋体" w:cs="宋体"/>
          <w:b/>
          <w:bCs w:val="0"/>
          <w:color w:val="auto"/>
          <w:kern w:val="0"/>
          <w:sz w:val="21"/>
          <w:szCs w:val="21"/>
          <w:highlight w:val="none"/>
          <w:lang w:val="en-US" w:eastAsia="zh-CN" w:bidi="ar-SA"/>
        </w:rPr>
      </w:pPr>
      <w:bookmarkStart w:id="185" w:name="_Toc5077"/>
      <w:bookmarkStart w:id="186" w:name="_Toc7822"/>
      <w:r>
        <w:rPr>
          <w:rFonts w:hint="eastAsia" w:ascii="宋体" w:hAnsi="宋体" w:eastAsia="宋体" w:cs="宋体"/>
          <w:b/>
          <w:bCs w:val="0"/>
          <w:color w:val="auto"/>
          <w:kern w:val="0"/>
          <w:sz w:val="21"/>
          <w:szCs w:val="21"/>
          <w:highlight w:val="none"/>
          <w:lang w:val="en-US" w:eastAsia="zh-CN" w:bidi="ar-SA"/>
        </w:rPr>
        <w:t>（3）监狱企业的证明文件复印件[供应商如为监狱企业的，应当提供由省级以上监狱管理局、戒毒管理局（含新疆生产建设兵团）出具的属于监狱企业的证明文件, 否则不予享受优惠政策]</w:t>
      </w:r>
      <w:bookmarkEnd w:id="185"/>
      <w:bookmarkEnd w:id="186"/>
    </w:p>
    <w:p w14:paraId="35F7CF01">
      <w:pPr>
        <w:pStyle w:val="3"/>
        <w:rPr>
          <w:rFonts w:hint="eastAsia" w:ascii="宋体" w:hAnsi="宋体" w:eastAsia="宋体" w:cs="宋体"/>
          <w:color w:val="auto"/>
          <w:sz w:val="21"/>
          <w:szCs w:val="21"/>
          <w:highlight w:val="none"/>
          <w:u w:val="single"/>
        </w:rPr>
      </w:pPr>
    </w:p>
    <w:p w14:paraId="7E0EF639">
      <w:pPr>
        <w:rPr>
          <w:rFonts w:hint="eastAsia" w:ascii="宋体" w:hAnsi="宋体" w:eastAsia="宋体" w:cs="宋体"/>
          <w:color w:val="auto"/>
          <w:sz w:val="21"/>
          <w:szCs w:val="21"/>
          <w:highlight w:val="none"/>
          <w:u w:val="single"/>
        </w:rPr>
      </w:pPr>
    </w:p>
    <w:p w14:paraId="63EB1173">
      <w:pPr>
        <w:pStyle w:val="3"/>
        <w:rPr>
          <w:rFonts w:hint="eastAsia" w:ascii="宋体" w:hAnsi="宋体" w:eastAsia="宋体" w:cs="宋体"/>
          <w:color w:val="auto"/>
          <w:sz w:val="21"/>
          <w:szCs w:val="21"/>
          <w:highlight w:val="none"/>
          <w:u w:val="single"/>
        </w:rPr>
      </w:pPr>
    </w:p>
    <w:p w14:paraId="6EB88A71">
      <w:pPr>
        <w:rPr>
          <w:rFonts w:hint="eastAsia" w:ascii="宋体" w:hAnsi="宋体" w:eastAsia="宋体" w:cs="宋体"/>
          <w:color w:val="auto"/>
          <w:sz w:val="21"/>
          <w:szCs w:val="21"/>
          <w:highlight w:val="none"/>
          <w:u w:val="single"/>
        </w:rPr>
      </w:pPr>
    </w:p>
    <w:p w14:paraId="09CDE945">
      <w:pPr>
        <w:pStyle w:val="3"/>
        <w:rPr>
          <w:rFonts w:hint="eastAsia" w:ascii="宋体" w:hAnsi="宋体" w:eastAsia="宋体" w:cs="宋体"/>
          <w:color w:val="auto"/>
          <w:sz w:val="21"/>
          <w:szCs w:val="21"/>
          <w:highlight w:val="none"/>
          <w:u w:val="single"/>
        </w:rPr>
      </w:pPr>
    </w:p>
    <w:p w14:paraId="1423F4A0">
      <w:pPr>
        <w:rPr>
          <w:rFonts w:hint="eastAsia" w:ascii="宋体" w:hAnsi="宋体" w:eastAsia="宋体" w:cs="宋体"/>
          <w:color w:val="auto"/>
          <w:sz w:val="21"/>
          <w:szCs w:val="21"/>
          <w:highlight w:val="none"/>
          <w:u w:val="single"/>
        </w:rPr>
      </w:pPr>
    </w:p>
    <w:p w14:paraId="51730731">
      <w:pPr>
        <w:rPr>
          <w:rFonts w:hint="eastAsia"/>
          <w:color w:val="auto"/>
          <w:highlight w:val="none"/>
          <w:lang w:val="en-US" w:eastAsia="zh-CN"/>
        </w:rPr>
      </w:pPr>
      <w:r>
        <w:rPr>
          <w:rFonts w:hint="eastAsia"/>
          <w:color w:val="auto"/>
          <w:highlight w:val="none"/>
          <w:lang w:val="en-US" w:eastAsia="zh-CN"/>
        </w:rPr>
        <w:br w:type="page"/>
      </w:r>
    </w:p>
    <w:p w14:paraId="656549D7">
      <w:pPr>
        <w:pStyle w:val="11"/>
        <w:spacing w:line="340" w:lineRule="exact"/>
        <w:rPr>
          <w:rFonts w:hint="default"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.供应商有效的安全生产许可证书复印件（必须提供）；</w:t>
      </w:r>
    </w:p>
    <w:p w14:paraId="157A9620">
      <w:pPr>
        <w:pStyle w:val="11"/>
        <w:spacing w:line="340" w:lineRule="exact"/>
        <w:rPr>
          <w:rFonts w:hint="eastAsia" w:ascii="宋体" w:hAnsi="宋体" w:eastAsia="宋体" w:cs="宋体"/>
          <w:b/>
          <w:color w:val="auto"/>
          <w:sz w:val="28"/>
          <w:szCs w:val="28"/>
          <w:highlight w:val="none"/>
          <w:lang w:val="en-US" w:eastAsia="zh-CN"/>
        </w:rPr>
      </w:pPr>
    </w:p>
    <w:p w14:paraId="4108ACE8">
      <w:pPr>
        <w:rPr>
          <w:rFonts w:hint="eastAsia"/>
          <w:color w:val="auto"/>
          <w:highlight w:val="none"/>
          <w:lang w:val="en-US" w:eastAsia="zh-CN"/>
        </w:rPr>
      </w:pPr>
    </w:p>
    <w:p w14:paraId="15F79294">
      <w:pPr>
        <w:pStyle w:val="11"/>
        <w:spacing w:line="340" w:lineRule="exact"/>
        <w:rPr>
          <w:rFonts w:hint="eastAsia" w:hAnsi="宋体" w:eastAsia="宋体" w:cs="宋体"/>
          <w:b/>
          <w:color w:val="auto"/>
          <w:sz w:val="28"/>
          <w:szCs w:val="28"/>
          <w:highlight w:val="none"/>
          <w:lang w:val="en-US" w:eastAsia="zh-CN"/>
        </w:rPr>
      </w:pPr>
    </w:p>
    <w:p w14:paraId="5949990D">
      <w:pPr>
        <w:pStyle w:val="11"/>
        <w:spacing w:line="340" w:lineRule="exact"/>
        <w:rPr>
          <w:rFonts w:hint="eastAsia"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hAnsi="宋体" w:cs="宋体"/>
          <w:b/>
          <w:color w:val="auto"/>
          <w:sz w:val="28"/>
          <w:szCs w:val="28"/>
          <w:highlight w:val="none"/>
          <w:lang w:val="en-US" w:eastAsia="zh-CN"/>
        </w:rPr>
        <w:t>供应商2023年度以来财务状况报告</w:t>
      </w:r>
      <w:r>
        <w:rPr>
          <w:rFonts w:hint="eastAsia" w:ascii="宋体" w:hAnsi="宋体" w:eastAsia="宋体" w:cs="宋体"/>
          <w:b/>
          <w:color w:val="auto"/>
          <w:sz w:val="28"/>
          <w:szCs w:val="28"/>
          <w:highlight w:val="none"/>
          <w:lang w:val="en-US" w:eastAsia="zh-CN"/>
        </w:rPr>
        <w:t>（必须提供，可以是磋商供应商自行编制也可是通过第三方审计公司编制，如为自行编制至少须提供现金流量表、负债表及利润表）；</w:t>
      </w:r>
    </w:p>
    <w:p w14:paraId="60D9B375">
      <w:pPr>
        <w:pStyle w:val="6"/>
        <w:numPr>
          <w:ilvl w:val="0"/>
          <w:numId w:val="0"/>
        </w:numPr>
        <w:rPr>
          <w:rFonts w:hint="eastAsia" w:ascii="宋体" w:hAnsi="宋体" w:eastAsia="宋体" w:cs="宋体"/>
          <w:b/>
          <w:color w:val="auto"/>
          <w:sz w:val="28"/>
          <w:szCs w:val="28"/>
          <w:highlight w:val="none"/>
          <w:lang w:val="en-US" w:eastAsia="zh-CN"/>
        </w:rPr>
      </w:pPr>
    </w:p>
    <w:p w14:paraId="5E36DAA3">
      <w:pPr>
        <w:pStyle w:val="8"/>
        <w:rPr>
          <w:rFonts w:hint="eastAsia"/>
          <w:color w:val="auto"/>
          <w:highlight w:val="none"/>
          <w:lang w:val="en-US" w:eastAsia="zh-CN"/>
        </w:rPr>
      </w:pPr>
    </w:p>
    <w:p w14:paraId="2F267EC6">
      <w:pPr>
        <w:pStyle w:val="6"/>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14:paraId="26AAFA93">
      <w:pPr>
        <w:numPr>
          <w:ilvl w:val="0"/>
          <w:numId w:val="0"/>
        </w:numPr>
        <w:ind w:left="420" w:leftChars="0"/>
        <w:jc w:val="center"/>
        <w:rPr>
          <w:rFonts w:hint="eastAsia" w:ascii="宋体" w:hAnsi="宋体" w:cs="宋体"/>
          <w:b/>
          <w:bCs/>
          <w:color w:val="auto"/>
          <w:sz w:val="32"/>
          <w:szCs w:val="32"/>
          <w:highlight w:val="none"/>
          <w:lang w:eastAsia="zh-CN"/>
        </w:rPr>
      </w:pPr>
    </w:p>
    <w:p w14:paraId="3B043083">
      <w:pPr>
        <w:numPr>
          <w:ilvl w:val="0"/>
          <w:numId w:val="0"/>
        </w:numPr>
        <w:ind w:left="420" w:leftChars="0"/>
        <w:jc w:val="center"/>
        <w:rPr>
          <w:rFonts w:hint="eastAsia" w:ascii="宋体" w:hAnsi="宋体" w:cs="宋体"/>
          <w:b/>
          <w:bCs/>
          <w:color w:val="auto"/>
          <w:sz w:val="32"/>
          <w:szCs w:val="32"/>
          <w:highlight w:val="none"/>
          <w:lang w:eastAsia="zh-CN"/>
        </w:rPr>
      </w:pPr>
    </w:p>
    <w:p w14:paraId="2ECA2754">
      <w:pPr>
        <w:numPr>
          <w:ilvl w:val="0"/>
          <w:numId w:val="0"/>
        </w:numPr>
        <w:jc w:val="center"/>
        <w:rPr>
          <w:rFonts w:hint="eastAsia" w:ascii="宋体" w:hAnsi="宋体" w:cs="宋体"/>
          <w:b/>
          <w:bCs/>
          <w:color w:val="auto"/>
          <w:sz w:val="32"/>
          <w:szCs w:val="32"/>
          <w:highlight w:val="none"/>
          <w:lang w:eastAsia="zh-CN"/>
        </w:rPr>
      </w:pPr>
    </w:p>
    <w:p w14:paraId="19D6B889">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728C5935">
      <w:pPr>
        <w:numPr>
          <w:ilvl w:val="0"/>
          <w:numId w:val="0"/>
        </w:numPr>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04FC0914">
      <w:pPr>
        <w:numPr>
          <w:ilvl w:val="0"/>
          <w:numId w:val="0"/>
        </w:numPr>
        <w:spacing w:line="360" w:lineRule="auto"/>
        <w:ind w:left="420" w:leftChars="0"/>
        <w:rPr>
          <w:rFonts w:hint="eastAsia" w:ascii="宋体" w:hAnsi="宋体" w:eastAsia="宋体" w:cs="宋体"/>
          <w:color w:val="auto"/>
          <w:sz w:val="24"/>
          <w:highlight w:val="none"/>
          <w:lang w:val="en-US" w:eastAsia="zh-CN"/>
        </w:rPr>
      </w:pPr>
    </w:p>
    <w:p w14:paraId="59BC81CC">
      <w:pPr>
        <w:numPr>
          <w:ilvl w:val="0"/>
          <w:numId w:val="0"/>
        </w:numPr>
        <w:spacing w:line="360" w:lineRule="auto"/>
        <w:ind w:left="420" w:leftChars="200" w:firstLine="0" w:firstLineChars="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3F82A7DF">
      <w:pPr>
        <w:numPr>
          <w:ilvl w:val="0"/>
          <w:numId w:val="0"/>
        </w:numPr>
        <w:spacing w:line="360" w:lineRule="auto"/>
        <w:ind w:left="420" w:leftChars="200" w:firstLine="0" w:firstLineChars="0"/>
        <w:rPr>
          <w:rFonts w:hint="eastAsia" w:ascii="宋体" w:hAnsi="宋体" w:eastAsia="宋体" w:cs="宋体"/>
          <w:color w:val="auto"/>
          <w:sz w:val="24"/>
          <w:highlight w:val="none"/>
          <w:lang w:val="en-US" w:eastAsia="zh-CN"/>
        </w:rPr>
      </w:pPr>
    </w:p>
    <w:p w14:paraId="79E9E7A2">
      <w:pPr>
        <w:numPr>
          <w:ilvl w:val="0"/>
          <w:numId w:val="0"/>
        </w:numPr>
        <w:spacing w:line="360" w:lineRule="auto"/>
        <w:ind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工程报价汇总表</w:t>
      </w:r>
      <w:r>
        <w:rPr>
          <w:rFonts w:hint="eastAsia" w:ascii="宋体" w:hAnsi="宋体" w:eastAsia="宋体" w:cs="宋体"/>
          <w:b/>
          <w:bCs/>
          <w:color w:val="auto"/>
          <w:sz w:val="24"/>
          <w:highlight w:val="none"/>
        </w:rPr>
        <w:t>（格式见附件）（必须提供）；</w:t>
      </w:r>
    </w:p>
    <w:p w14:paraId="43164C99">
      <w:pPr>
        <w:numPr>
          <w:ilvl w:val="0"/>
          <w:numId w:val="0"/>
        </w:numPr>
        <w:spacing w:line="360" w:lineRule="auto"/>
        <w:ind w:leftChars="0" w:firstLine="480" w:firstLineChars="200"/>
        <w:rPr>
          <w:rFonts w:hint="eastAsia" w:ascii="宋体" w:hAnsi="宋体" w:eastAsia="宋体" w:cs="宋体"/>
          <w:color w:val="auto"/>
          <w:sz w:val="24"/>
          <w:highlight w:val="none"/>
          <w:lang w:val="en-US" w:eastAsia="zh-CN"/>
        </w:rPr>
      </w:pPr>
    </w:p>
    <w:p w14:paraId="02E342EB">
      <w:pPr>
        <w:numPr>
          <w:ilvl w:val="0"/>
          <w:numId w:val="0"/>
        </w:numPr>
        <w:spacing w:line="360" w:lineRule="auto"/>
        <w:ind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3.标价工程量清单</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68C839BC">
      <w:pPr>
        <w:pStyle w:val="8"/>
        <w:rPr>
          <w:rFonts w:hint="eastAsia" w:ascii="宋体" w:hAnsi="宋体" w:eastAsia="宋体" w:cs="宋体"/>
          <w:color w:val="auto"/>
          <w:highlight w:val="none"/>
        </w:rPr>
      </w:pPr>
    </w:p>
    <w:p w14:paraId="7822EC4F">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拟投入本工程主要施工管理人员表</w:t>
      </w:r>
      <w:r>
        <w:rPr>
          <w:rFonts w:hint="eastAsia" w:ascii="宋体" w:hAnsi="宋体" w:eastAsia="宋体" w:cs="宋体"/>
          <w:b/>
          <w:bCs/>
          <w:color w:val="auto"/>
          <w:sz w:val="24"/>
          <w:highlight w:val="none"/>
        </w:rPr>
        <w:t>（必须提供）；</w:t>
      </w:r>
    </w:p>
    <w:p w14:paraId="7BCE691C">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val="0"/>
          <w:bCs w:val="0"/>
          <w:color w:val="auto"/>
          <w:szCs w:val="21"/>
          <w:highlight w:val="none"/>
        </w:rPr>
        <w:t>；</w:t>
      </w:r>
    </w:p>
    <w:p w14:paraId="5C61E202">
      <w:pPr>
        <w:pStyle w:val="8"/>
        <w:rPr>
          <w:rFonts w:hint="eastAsia" w:ascii="宋体" w:hAnsi="宋体" w:eastAsia="宋体" w:cs="宋体"/>
          <w:color w:val="auto"/>
          <w:highlight w:val="none"/>
        </w:rPr>
      </w:pPr>
    </w:p>
    <w:p w14:paraId="487C4D96">
      <w:pPr>
        <w:numPr>
          <w:ilvl w:val="0"/>
          <w:numId w:val="0"/>
        </w:numPr>
        <w:spacing w:line="360" w:lineRule="auto"/>
        <w:ind w:left="420" w:leftChars="0"/>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担任本工程的项目经理简历表（应附相关证书、身份证复印件）</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4D6EE055">
      <w:pPr>
        <w:numPr>
          <w:ilvl w:val="0"/>
          <w:numId w:val="0"/>
        </w:numPr>
        <w:spacing w:line="360" w:lineRule="auto"/>
        <w:ind w:left="420" w:leftChars="0"/>
        <w:rPr>
          <w:rFonts w:hint="eastAsia" w:ascii="宋体" w:hAnsi="宋体" w:eastAsia="宋体" w:cs="宋体"/>
          <w:color w:val="auto"/>
          <w:sz w:val="24"/>
          <w:highlight w:val="none"/>
          <w:lang w:eastAsia="zh-CN"/>
        </w:rPr>
      </w:pPr>
    </w:p>
    <w:p w14:paraId="36C4F2BE">
      <w:pPr>
        <w:numPr>
          <w:ilvl w:val="0"/>
          <w:numId w:val="0"/>
        </w:numPr>
        <w:spacing w:line="360" w:lineRule="auto"/>
        <w:ind w:left="420" w:leftChars="0"/>
        <w:rPr>
          <w:rFonts w:hint="default"/>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eastAsia="zh-CN"/>
        </w:rPr>
        <w:t>施工组织设计方案</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65040F60">
      <w:pPr>
        <w:numPr>
          <w:ilvl w:val="0"/>
          <w:numId w:val="0"/>
        </w:numPr>
        <w:spacing w:line="360" w:lineRule="auto"/>
        <w:ind w:left="420" w:leftChars="0"/>
        <w:rPr>
          <w:rFonts w:hint="eastAsia" w:ascii="宋体" w:hAnsi="宋体" w:eastAsia="宋体" w:cs="宋体"/>
          <w:color w:val="auto"/>
          <w:sz w:val="24"/>
          <w:highlight w:val="none"/>
          <w:lang w:eastAsia="zh-CN"/>
        </w:rPr>
      </w:pPr>
    </w:p>
    <w:p w14:paraId="6A448E7C">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7.工程完工服务承诺书</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088D3976">
      <w:pPr>
        <w:pStyle w:val="3"/>
        <w:numPr>
          <w:ilvl w:val="0"/>
          <w:numId w:val="0"/>
        </w:numPr>
        <w:ind w:left="420" w:leftChars="0"/>
        <w:rPr>
          <w:rFonts w:hint="eastAsia" w:ascii="宋体" w:hAnsi="宋体" w:eastAsia="宋体" w:cs="宋体"/>
          <w:b/>
          <w:bCs/>
          <w:color w:val="auto"/>
          <w:kern w:val="2"/>
          <w:sz w:val="24"/>
          <w:szCs w:val="24"/>
          <w:highlight w:val="none"/>
          <w:lang w:val="en-US" w:eastAsia="zh-CN" w:bidi="ar-SA"/>
        </w:rPr>
      </w:pPr>
      <w:bookmarkStart w:id="187" w:name="_Toc14835"/>
      <w:bookmarkStart w:id="188" w:name="_Toc1014"/>
      <w:bookmarkStart w:id="189" w:name="_Toc32505"/>
      <w:bookmarkStart w:id="190" w:name="_Toc6633"/>
      <w:r>
        <w:rPr>
          <w:rFonts w:hint="eastAsia" w:ascii="宋体" w:hAnsi="宋体" w:eastAsia="宋体" w:cs="宋体"/>
          <w:b w:val="0"/>
          <w:bCs w:val="0"/>
          <w:color w:val="auto"/>
          <w:kern w:val="2"/>
          <w:sz w:val="24"/>
          <w:szCs w:val="24"/>
          <w:highlight w:val="none"/>
          <w:lang w:val="en-US" w:eastAsia="zh-CN" w:bidi="ar-SA"/>
        </w:rPr>
        <w:t>8.农民工工资保障金交纳与使用承诺书</w:t>
      </w:r>
      <w:r>
        <w:rPr>
          <w:rFonts w:hint="eastAsia" w:ascii="宋体" w:hAnsi="宋体" w:eastAsia="宋体" w:cs="宋体"/>
          <w:b/>
          <w:bCs/>
          <w:color w:val="auto"/>
          <w:kern w:val="2"/>
          <w:sz w:val="24"/>
          <w:szCs w:val="24"/>
          <w:highlight w:val="none"/>
          <w:lang w:val="en-US" w:eastAsia="zh-CN" w:bidi="ar-SA"/>
        </w:rPr>
        <w:t>（必须提供）</w:t>
      </w:r>
      <w:r>
        <w:rPr>
          <w:rFonts w:hint="eastAsia" w:ascii="宋体" w:hAnsi="宋体" w:eastAsia="宋体" w:cs="宋体"/>
          <w:b w:val="0"/>
          <w:bCs w:val="0"/>
          <w:color w:val="auto"/>
          <w:kern w:val="2"/>
          <w:sz w:val="24"/>
          <w:szCs w:val="24"/>
          <w:highlight w:val="none"/>
          <w:lang w:val="en-US" w:eastAsia="zh-CN" w:bidi="ar-SA"/>
        </w:rPr>
        <w:t>；</w:t>
      </w:r>
      <w:bookmarkEnd w:id="187"/>
      <w:bookmarkEnd w:id="188"/>
      <w:bookmarkEnd w:id="189"/>
      <w:bookmarkEnd w:id="190"/>
    </w:p>
    <w:p w14:paraId="2F0814BE">
      <w:pPr>
        <w:pStyle w:val="3"/>
        <w:numPr>
          <w:ilvl w:val="0"/>
          <w:numId w:val="0"/>
        </w:numPr>
        <w:ind w:left="420" w:leftChars="0"/>
        <w:rPr>
          <w:rFonts w:hint="default"/>
          <w:color w:val="auto"/>
          <w:highlight w:val="none"/>
          <w:lang w:val="en-US" w:eastAsia="zh-CN"/>
        </w:rPr>
      </w:pPr>
      <w:bookmarkStart w:id="191" w:name="_Toc9702"/>
      <w:bookmarkStart w:id="192" w:name="_Toc6752"/>
      <w:bookmarkStart w:id="193" w:name="_Toc13958"/>
      <w:bookmarkStart w:id="194" w:name="_Toc4171"/>
      <w:r>
        <w:rPr>
          <w:rFonts w:hint="eastAsia" w:ascii="宋体" w:hAnsi="宋体" w:eastAsia="宋体" w:cs="宋体"/>
          <w:b w:val="0"/>
          <w:bCs w:val="0"/>
          <w:color w:val="auto"/>
          <w:kern w:val="2"/>
          <w:sz w:val="24"/>
          <w:szCs w:val="24"/>
          <w:highlight w:val="none"/>
          <w:lang w:val="en-US" w:eastAsia="zh-CN" w:bidi="ar-SA"/>
        </w:rPr>
        <w:t>9.城乡清洁工程渣土清运承诺书</w:t>
      </w:r>
      <w:r>
        <w:rPr>
          <w:rFonts w:hint="eastAsia" w:ascii="宋体" w:hAnsi="宋体" w:eastAsia="宋体" w:cs="宋体"/>
          <w:b/>
          <w:bCs/>
          <w:color w:val="auto"/>
          <w:kern w:val="2"/>
          <w:sz w:val="24"/>
          <w:szCs w:val="24"/>
          <w:highlight w:val="none"/>
          <w:lang w:val="en-US" w:eastAsia="zh-CN" w:bidi="ar-SA"/>
        </w:rPr>
        <w:t>（必须提供）</w:t>
      </w:r>
      <w:bookmarkEnd w:id="191"/>
      <w:bookmarkEnd w:id="192"/>
      <w:bookmarkEnd w:id="193"/>
      <w:r>
        <w:rPr>
          <w:rFonts w:hint="eastAsia" w:ascii="宋体" w:hAnsi="宋体" w:cs="宋体"/>
          <w:b w:val="0"/>
          <w:bCs w:val="0"/>
          <w:color w:val="auto"/>
          <w:kern w:val="2"/>
          <w:sz w:val="24"/>
          <w:szCs w:val="24"/>
          <w:highlight w:val="none"/>
          <w:lang w:val="en-US" w:eastAsia="zh-CN" w:bidi="ar-SA"/>
        </w:rPr>
        <w:t>；</w:t>
      </w:r>
      <w:bookmarkEnd w:id="194"/>
    </w:p>
    <w:p w14:paraId="202FDABB">
      <w:pPr>
        <w:pStyle w:val="29"/>
        <w:rPr>
          <w:rFonts w:hint="eastAsia" w:ascii="宋体" w:hAnsi="宋体" w:eastAsia="宋体" w:cs="宋体"/>
          <w:color w:val="auto"/>
          <w:highlight w:val="none"/>
        </w:rPr>
      </w:pPr>
    </w:p>
    <w:p w14:paraId="23856615">
      <w:pPr>
        <w:pStyle w:val="29"/>
        <w:rPr>
          <w:rFonts w:hint="eastAsia" w:ascii="宋体" w:hAnsi="宋体" w:eastAsia="宋体" w:cs="宋体"/>
          <w:color w:val="auto"/>
          <w:highlight w:val="none"/>
        </w:rPr>
      </w:pPr>
    </w:p>
    <w:p w14:paraId="237AF577">
      <w:pPr>
        <w:pStyle w:val="29"/>
        <w:rPr>
          <w:rFonts w:hint="eastAsia" w:ascii="宋体" w:hAnsi="宋体" w:eastAsia="宋体" w:cs="宋体"/>
          <w:color w:val="auto"/>
          <w:highlight w:val="none"/>
        </w:rPr>
      </w:pPr>
    </w:p>
    <w:p w14:paraId="009AC8EA">
      <w:pPr>
        <w:pStyle w:val="29"/>
        <w:rPr>
          <w:rFonts w:hint="eastAsia" w:ascii="宋体" w:hAnsi="宋体" w:eastAsia="宋体" w:cs="宋体"/>
          <w:color w:val="auto"/>
          <w:highlight w:val="none"/>
        </w:rPr>
      </w:pPr>
    </w:p>
    <w:p w14:paraId="305BAE81">
      <w:pPr>
        <w:pStyle w:val="8"/>
        <w:rPr>
          <w:rFonts w:hint="eastAsia" w:ascii="宋体" w:hAnsi="宋体" w:eastAsia="宋体" w:cs="宋体"/>
          <w:color w:val="auto"/>
          <w:highlight w:val="none"/>
        </w:rPr>
      </w:pPr>
    </w:p>
    <w:p w14:paraId="11DC77DC">
      <w:pPr>
        <w:rPr>
          <w:rFonts w:hint="eastAsia" w:ascii="宋体" w:hAnsi="宋体" w:cs="宋体"/>
          <w:b/>
          <w:bCs/>
          <w:color w:val="auto"/>
          <w:sz w:val="28"/>
          <w:szCs w:val="28"/>
          <w:highlight w:val="none"/>
          <w:lang w:val="en-US" w:eastAsia="zh-CN"/>
        </w:rPr>
      </w:pPr>
      <w:bookmarkStart w:id="195" w:name="_Toc497927072"/>
      <w:bookmarkStart w:id="196" w:name="_Toc17617"/>
      <w:bookmarkStart w:id="197" w:name="_Toc12920"/>
      <w:r>
        <w:rPr>
          <w:rFonts w:hint="eastAsia" w:ascii="宋体" w:hAnsi="宋体" w:cs="宋体"/>
          <w:b/>
          <w:bCs/>
          <w:color w:val="auto"/>
          <w:sz w:val="28"/>
          <w:szCs w:val="28"/>
          <w:highlight w:val="none"/>
          <w:lang w:val="en-US" w:eastAsia="zh-CN"/>
        </w:rPr>
        <w:br w:type="page"/>
      </w:r>
    </w:p>
    <w:p w14:paraId="0837C034">
      <w:pPr>
        <w:numPr>
          <w:ilvl w:val="0"/>
          <w:numId w:val="0"/>
        </w:numPr>
        <w:spacing w:line="40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195"/>
      <w:bookmarkEnd w:id="196"/>
      <w:bookmarkEnd w:id="197"/>
    </w:p>
    <w:p w14:paraId="3F39C955">
      <w:pPr>
        <w:pStyle w:val="29"/>
        <w:rPr>
          <w:rFonts w:hint="eastAsia" w:ascii="宋体" w:hAnsi="宋体" w:eastAsia="宋体" w:cs="宋体"/>
          <w:color w:val="auto"/>
          <w:highlight w:val="none"/>
        </w:rPr>
      </w:pPr>
    </w:p>
    <w:p w14:paraId="3AD1BFCF">
      <w:pPr>
        <w:pStyle w:val="1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0EA99A57">
      <w:pPr>
        <w:pStyle w:val="11"/>
        <w:ind w:firstLine="803" w:firstLineChars="250"/>
        <w:jc w:val="center"/>
        <w:rPr>
          <w:rFonts w:hint="eastAsia" w:ascii="宋体" w:hAnsi="宋体" w:eastAsia="宋体" w:cs="宋体"/>
          <w:b/>
          <w:color w:val="auto"/>
          <w:sz w:val="32"/>
          <w:highlight w:val="none"/>
        </w:rPr>
      </w:pPr>
      <w:bookmarkStart w:id="198" w:name="_Toc17832_WPSOffice_Level1"/>
      <w:bookmarkStart w:id="199" w:name="_Toc7273_WPSOffice_Level1"/>
      <w:r>
        <w:rPr>
          <w:rFonts w:hint="eastAsia" w:ascii="宋体" w:hAnsi="宋体" w:eastAsia="宋体" w:cs="宋体"/>
          <w:b/>
          <w:color w:val="auto"/>
          <w:sz w:val="32"/>
          <w:highlight w:val="none"/>
        </w:rPr>
        <w:t>响 应 函 （格 式）</w:t>
      </w:r>
      <w:bookmarkEnd w:id="198"/>
      <w:bookmarkEnd w:id="199"/>
    </w:p>
    <w:p w14:paraId="0632E629">
      <w:pPr>
        <w:spacing w:line="240" w:lineRule="exact"/>
        <w:jc w:val="center"/>
        <w:rPr>
          <w:rFonts w:hint="eastAsia" w:ascii="宋体" w:hAnsi="宋体" w:eastAsia="宋体" w:cs="宋体"/>
          <w:color w:val="auto"/>
          <w:sz w:val="32"/>
          <w:highlight w:val="none"/>
        </w:rPr>
      </w:pPr>
    </w:p>
    <w:p w14:paraId="50890DA3">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广西中承建设工程咨询有限公司</w:t>
      </w:r>
    </w:p>
    <w:p w14:paraId="3C8467BD">
      <w:pPr>
        <w:pStyle w:val="11"/>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21356C0C">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3469D7F8">
      <w:pPr>
        <w:pStyle w:val="11"/>
        <w:numPr>
          <w:ilvl w:val="0"/>
          <w:numId w:val="0"/>
        </w:numPr>
        <w:spacing w:line="360" w:lineRule="exact"/>
        <w:ind w:firstLine="420" w:firstLineChars="200"/>
        <w:rPr>
          <w:rFonts w:hint="eastAsia" w:ascii="宋体" w:hAnsi="宋体" w:eastAsia="宋体" w:cs="宋体"/>
          <w:color w:val="auto"/>
          <w:spacing w:val="-1"/>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我方已仔细研究磋商文件的全部内容，愿意以人民币（大写）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5"/>
          <w:sz w:val="21"/>
          <w:szCs w:val="21"/>
          <w:highlight w:val="none"/>
          <w:u w:val="single"/>
        </w:rPr>
        <w:t xml:space="preserve">     </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
          <w:sz w:val="21"/>
          <w:szCs w:val="21"/>
          <w:highlight w:val="none"/>
        </w:rPr>
        <w:t>)的磋商报价（或根据磋商文件规定修正核实后确定的另一金额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14:paraId="44A9F640">
      <w:pPr>
        <w:pStyle w:val="11"/>
        <w:numPr>
          <w:ilvl w:val="0"/>
          <w:numId w:val="0"/>
        </w:numPr>
        <w:spacing w:line="360" w:lineRule="exact"/>
        <w:ind w:firstLine="420" w:firstLineChars="200"/>
        <w:rPr>
          <w:rFonts w:hint="eastAsia" w:ascii="宋体" w:hAnsi="宋体" w:eastAsia="宋体" w:cs="宋体"/>
          <w:color w:val="auto"/>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合同履约期限</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0438D569">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3</w:t>
      </w:r>
      <w:r>
        <w:rPr>
          <w:rFonts w:hint="eastAsia" w:ascii="宋体" w:hAnsi="宋体" w:eastAsia="宋体" w:cs="宋体"/>
          <w:color w:val="auto"/>
          <w:highlight w:val="none"/>
        </w:rPr>
        <w:t>.我方承诺已具备磋商文件规定的供应商资格条件。</w:t>
      </w:r>
    </w:p>
    <w:p w14:paraId="5C45B052">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4</w:t>
      </w:r>
      <w:r>
        <w:rPr>
          <w:rFonts w:hint="eastAsia" w:ascii="宋体" w:hAnsi="宋体" w:eastAsia="宋体" w:cs="宋体"/>
          <w:color w:val="auto"/>
          <w:highlight w:val="none"/>
        </w:rPr>
        <w:t>.我方已详细审核磋商文件，包括修改文件（如有的话）和有关附件，将自行承担因对全部磋商文件理解不正确或误解而产生的相应后果。</w:t>
      </w:r>
    </w:p>
    <w:p w14:paraId="038FD797">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5</w:t>
      </w:r>
      <w:r>
        <w:rPr>
          <w:rFonts w:hint="eastAsia" w:ascii="宋体" w:hAnsi="宋体" w:eastAsia="宋体" w:cs="宋体"/>
          <w:color w:val="auto"/>
          <w:highlight w:val="none"/>
        </w:rPr>
        <w:t>. 响应文件有效期为</w:t>
      </w:r>
      <w:r>
        <w:rPr>
          <w:rFonts w:hint="eastAsia" w:ascii="宋体" w:hAnsi="宋体" w:eastAsia="宋体" w:cs="宋体"/>
          <w:color w:val="auto"/>
          <w:szCs w:val="21"/>
          <w:highlight w:val="none"/>
        </w:rPr>
        <w:t>响应文件递交截止时间之日起90天。</w:t>
      </w:r>
    </w:p>
    <w:p w14:paraId="025FBC7A">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6</w:t>
      </w:r>
      <w:r>
        <w:rPr>
          <w:rFonts w:hint="eastAsia" w:ascii="宋体" w:hAnsi="宋体" w:eastAsia="宋体" w:cs="宋体"/>
          <w:color w:val="auto"/>
          <w:highlight w:val="none"/>
        </w:rPr>
        <w:t>. 如我方成交：</w:t>
      </w:r>
    </w:p>
    <w:p w14:paraId="51F83ECA">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0324EB76">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033CBFFA">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5FE32B5D">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72E565D6">
      <w:pPr>
        <w:rPr>
          <w:rFonts w:hint="eastAsia" w:ascii="宋体" w:hAnsi="宋体" w:eastAsia="宋体" w:cs="宋体"/>
          <w:color w:val="auto"/>
          <w:sz w:val="21"/>
          <w:szCs w:val="21"/>
          <w:highlight w:val="none"/>
        </w:rPr>
      </w:pPr>
    </w:p>
    <w:p w14:paraId="5C310B29">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57A10F0E">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66B0EF5C">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787FF2FC">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214098D9">
      <w:pPr>
        <w:pStyle w:val="11"/>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47AD3869">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F45F961">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56964A8">
      <w:pPr>
        <w:pStyle w:val="6"/>
        <w:rPr>
          <w:rFonts w:hint="eastAsia" w:ascii="宋体" w:hAnsi="宋体" w:eastAsia="宋体" w:cs="宋体"/>
          <w:color w:val="auto"/>
          <w:sz w:val="21"/>
          <w:szCs w:val="21"/>
          <w:highlight w:val="none"/>
          <w:u w:val="single"/>
        </w:rPr>
      </w:pPr>
    </w:p>
    <w:p w14:paraId="17348DF5">
      <w:pPr>
        <w:rPr>
          <w:rFonts w:hint="eastAsia" w:ascii="宋体" w:hAnsi="宋体" w:eastAsia="宋体" w:cs="宋体"/>
          <w:color w:val="auto"/>
          <w:sz w:val="21"/>
          <w:szCs w:val="21"/>
          <w:highlight w:val="none"/>
          <w:u w:val="single"/>
        </w:rPr>
      </w:pPr>
    </w:p>
    <w:p w14:paraId="0B9E2D37">
      <w:pPr>
        <w:pStyle w:val="6"/>
        <w:rPr>
          <w:rFonts w:hint="eastAsia"/>
          <w:color w:val="auto"/>
          <w:highlight w:val="none"/>
          <w:lang w:val="en-US" w:eastAsia="zh-CN"/>
        </w:rPr>
      </w:pPr>
    </w:p>
    <w:p w14:paraId="293D2B1F">
      <w:pPr>
        <w:rPr>
          <w:rFonts w:hint="eastAsia"/>
          <w:color w:val="auto"/>
          <w:highlight w:val="none"/>
          <w:lang w:val="en-US" w:eastAsia="zh-CN"/>
        </w:rPr>
      </w:pPr>
    </w:p>
    <w:p w14:paraId="7A0B58F1">
      <w:pPr>
        <w:rPr>
          <w:rFonts w:hint="eastAsia"/>
          <w:color w:val="auto"/>
          <w:highlight w:val="none"/>
          <w:lang w:val="en-US" w:eastAsia="zh-CN"/>
        </w:rPr>
      </w:pPr>
    </w:p>
    <w:p w14:paraId="376472A7">
      <w:pPr>
        <w:pStyle w:val="11"/>
        <w:numPr>
          <w:ilvl w:val="0"/>
          <w:numId w:val="0"/>
        </w:numPr>
        <w:spacing w:line="340" w:lineRule="exact"/>
        <w:rPr>
          <w:rFonts w:hint="eastAsia" w:hAnsi="宋体" w:cs="宋体"/>
          <w:b/>
          <w:color w:val="auto"/>
          <w:sz w:val="28"/>
          <w:szCs w:val="28"/>
          <w:highlight w:val="none"/>
          <w:lang w:val="en-US" w:eastAsia="zh-CN"/>
        </w:rPr>
      </w:pPr>
    </w:p>
    <w:p w14:paraId="50AB5BFC">
      <w:pPr>
        <w:pStyle w:val="11"/>
        <w:numPr>
          <w:ilvl w:val="0"/>
          <w:numId w:val="0"/>
        </w:numPr>
        <w:spacing w:line="340" w:lineRule="exact"/>
        <w:rPr>
          <w:rFonts w:hint="eastAsia" w:hAnsi="宋体" w:cs="宋体"/>
          <w:b/>
          <w:color w:val="auto"/>
          <w:sz w:val="28"/>
          <w:szCs w:val="28"/>
          <w:highlight w:val="none"/>
          <w:lang w:val="en-US" w:eastAsia="zh-CN"/>
        </w:rPr>
      </w:pPr>
    </w:p>
    <w:p w14:paraId="458C47C5">
      <w:pPr>
        <w:pStyle w:val="5"/>
        <w:rPr>
          <w:rFonts w:hint="eastAsia"/>
          <w:color w:val="auto"/>
          <w:highlight w:val="none"/>
          <w:lang w:val="en-US" w:eastAsia="zh-CN"/>
        </w:rPr>
      </w:pPr>
    </w:p>
    <w:p w14:paraId="0248343E">
      <w:pPr>
        <w:pStyle w:val="11"/>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工程报价汇总表</w:t>
      </w:r>
      <w:r>
        <w:rPr>
          <w:rFonts w:hint="eastAsia" w:ascii="宋体" w:hAnsi="宋体" w:eastAsia="宋体" w:cs="宋体"/>
          <w:b/>
          <w:color w:val="auto"/>
          <w:sz w:val="28"/>
          <w:szCs w:val="28"/>
          <w:highlight w:val="none"/>
        </w:rPr>
        <w:t>（必须提供）；</w:t>
      </w:r>
    </w:p>
    <w:p w14:paraId="1468DDD8">
      <w:pPr>
        <w:pStyle w:val="11"/>
        <w:spacing w:line="320" w:lineRule="exact"/>
        <w:jc w:val="left"/>
        <w:rPr>
          <w:rFonts w:hint="eastAsia" w:ascii="宋体" w:hAnsi="宋体" w:eastAsia="宋体" w:cs="宋体"/>
          <w:b/>
          <w:color w:val="auto"/>
          <w:sz w:val="28"/>
          <w:szCs w:val="28"/>
          <w:highlight w:val="none"/>
        </w:rPr>
      </w:pPr>
    </w:p>
    <w:p w14:paraId="645D4718">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工程报价汇总表</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格式</w:t>
      </w:r>
      <w:r>
        <w:rPr>
          <w:rFonts w:hint="eastAsia" w:ascii="宋体" w:hAnsi="宋体" w:eastAsia="宋体" w:cs="宋体"/>
          <w:b/>
          <w:color w:val="auto"/>
          <w:kern w:val="0"/>
          <w:sz w:val="24"/>
          <w:szCs w:val="24"/>
          <w:highlight w:val="none"/>
          <w:lang w:eastAsia="zh-CN"/>
        </w:rPr>
        <w:t>）</w:t>
      </w:r>
    </w:p>
    <w:p w14:paraId="103372AC">
      <w:pPr>
        <w:widowControl/>
        <w:jc w:val="center"/>
        <w:rPr>
          <w:rFonts w:hint="eastAsia" w:ascii="宋体" w:hAnsi="宋体" w:cs="宋体"/>
          <w:color w:val="auto"/>
          <w:kern w:val="0"/>
          <w:sz w:val="24"/>
          <w:highlight w:val="none"/>
        </w:rPr>
      </w:pPr>
    </w:p>
    <w:p w14:paraId="42E69C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币种：人民币</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4969"/>
        <w:gridCol w:w="1768"/>
      </w:tblGrid>
      <w:tr w14:paraId="312E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402" w:type="dxa"/>
            <w:noWrap w:val="0"/>
            <w:vAlign w:val="center"/>
          </w:tcPr>
          <w:p w14:paraId="4000626F">
            <w:pPr>
              <w:kinsoku/>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磋商总报价</w:t>
            </w:r>
          </w:p>
        </w:tc>
        <w:tc>
          <w:tcPr>
            <w:tcW w:w="4969" w:type="dxa"/>
            <w:noWrap w:val="0"/>
            <w:vAlign w:val="center"/>
          </w:tcPr>
          <w:p w14:paraId="365C93DA">
            <w:pPr>
              <w:kinsoku/>
              <w:adjustRightIn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元</w:t>
            </w:r>
          </w:p>
        </w:tc>
        <w:tc>
          <w:tcPr>
            <w:tcW w:w="1768" w:type="dxa"/>
            <w:noWrap w:val="0"/>
            <w:vAlign w:val="center"/>
          </w:tcPr>
          <w:p w14:paraId="110301A8">
            <w:pPr>
              <w:kinsoku/>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3774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02" w:type="dxa"/>
            <w:noWrap w:val="0"/>
            <w:vAlign w:val="center"/>
          </w:tcPr>
          <w:p w14:paraId="68610916">
            <w:pPr>
              <w:kinsoku/>
              <w:autoSpaceDE/>
              <w:autoSpaceDN/>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合同履约期限</w:t>
            </w:r>
          </w:p>
        </w:tc>
        <w:tc>
          <w:tcPr>
            <w:tcW w:w="6737" w:type="dxa"/>
            <w:gridSpan w:val="2"/>
            <w:noWrap w:val="0"/>
            <w:vAlign w:val="center"/>
          </w:tcPr>
          <w:p w14:paraId="6572EA5A">
            <w:pPr>
              <w:kinsoku/>
              <w:autoSpaceDE/>
              <w:autoSpaceDN/>
              <w:adjustRightInd/>
              <w:snapToGrid/>
              <w:spacing w:line="360" w:lineRule="auto"/>
              <w:jc w:val="right"/>
              <w:textAlignment w:val="auto"/>
              <w:rPr>
                <w:rFonts w:hint="eastAsia" w:ascii="宋体" w:hAnsi="宋体" w:eastAsia="宋体" w:cs="宋体"/>
                <w:color w:val="auto"/>
                <w:kern w:val="2"/>
                <w:sz w:val="21"/>
                <w:szCs w:val="21"/>
                <w:highlight w:val="none"/>
              </w:rPr>
            </w:pPr>
          </w:p>
        </w:tc>
      </w:tr>
      <w:tr w14:paraId="6DD9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02" w:type="dxa"/>
            <w:noWrap w:val="0"/>
            <w:vAlign w:val="center"/>
          </w:tcPr>
          <w:p w14:paraId="3DD9538D">
            <w:pPr>
              <w:kinsoku/>
              <w:autoSpaceDE/>
              <w:autoSpaceDN/>
              <w:adjustRightInd/>
              <w:snapToGrid/>
              <w:spacing w:line="36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p>
        </w:tc>
        <w:tc>
          <w:tcPr>
            <w:tcW w:w="6737" w:type="dxa"/>
            <w:gridSpan w:val="2"/>
            <w:noWrap w:val="0"/>
            <w:vAlign w:val="center"/>
          </w:tcPr>
          <w:p w14:paraId="644263AE">
            <w:pPr>
              <w:kinsoku/>
              <w:autoSpaceDE/>
              <w:autoSpaceDN/>
              <w:adjustRightInd/>
              <w:snapToGri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w:t>
            </w:r>
          </w:p>
        </w:tc>
      </w:tr>
    </w:tbl>
    <w:p w14:paraId="28C6ED75">
      <w:pPr>
        <w:spacing w:line="340" w:lineRule="exact"/>
        <w:rPr>
          <w:rFonts w:hint="eastAsia" w:ascii="宋体" w:hAnsi="宋体" w:eastAsia="宋体" w:cs="宋体"/>
          <w:color w:val="auto"/>
          <w:szCs w:val="21"/>
          <w:highlight w:val="none"/>
        </w:rPr>
      </w:pPr>
    </w:p>
    <w:p w14:paraId="7B2F4F8A">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42AF0449">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5BB56D45">
      <w:pPr>
        <w:tabs>
          <w:tab w:val="left" w:pos="1305"/>
        </w:tabs>
        <w:spacing w:line="340" w:lineRule="exact"/>
        <w:rPr>
          <w:rFonts w:hint="eastAsia" w:ascii="宋体" w:hAnsi="宋体" w:eastAsia="宋体" w:cs="宋体"/>
          <w:bCs/>
          <w:color w:val="auto"/>
          <w:sz w:val="21"/>
          <w:szCs w:val="21"/>
          <w:highlight w:val="none"/>
        </w:rPr>
      </w:pPr>
    </w:p>
    <w:p w14:paraId="6B98C2A5">
      <w:pPr>
        <w:pStyle w:val="11"/>
        <w:numPr>
          <w:ilvl w:val="0"/>
          <w:numId w:val="0"/>
        </w:numPr>
        <w:spacing w:line="340" w:lineRule="exact"/>
        <w:rPr>
          <w:rFonts w:hint="eastAsia" w:hAnsi="宋体" w:cs="宋体"/>
          <w:b/>
          <w:color w:val="auto"/>
          <w:sz w:val="28"/>
          <w:szCs w:val="28"/>
          <w:highlight w:val="none"/>
          <w:lang w:val="en-US" w:eastAsia="zh-CN"/>
        </w:rPr>
      </w:pPr>
    </w:p>
    <w:p w14:paraId="228BFD61">
      <w:pPr>
        <w:pStyle w:val="11"/>
        <w:numPr>
          <w:ilvl w:val="0"/>
          <w:numId w:val="0"/>
        </w:numPr>
        <w:spacing w:line="340" w:lineRule="exact"/>
        <w:rPr>
          <w:rFonts w:hint="eastAsia" w:hAnsi="宋体" w:cs="宋体"/>
          <w:b/>
          <w:color w:val="auto"/>
          <w:sz w:val="28"/>
          <w:szCs w:val="28"/>
          <w:highlight w:val="none"/>
          <w:lang w:val="en-US" w:eastAsia="zh-CN"/>
        </w:rPr>
      </w:pPr>
    </w:p>
    <w:p w14:paraId="0B8F1E7F">
      <w:pPr>
        <w:pStyle w:val="11"/>
        <w:numPr>
          <w:ilvl w:val="0"/>
          <w:numId w:val="0"/>
        </w:numPr>
        <w:spacing w:line="340" w:lineRule="exact"/>
        <w:rPr>
          <w:rFonts w:hint="eastAsia" w:hAnsi="宋体" w:cs="宋体"/>
          <w:b/>
          <w:color w:val="auto"/>
          <w:sz w:val="28"/>
          <w:szCs w:val="28"/>
          <w:highlight w:val="none"/>
          <w:lang w:val="en-US" w:eastAsia="zh-CN"/>
        </w:rPr>
      </w:pPr>
    </w:p>
    <w:p w14:paraId="079011D2">
      <w:pPr>
        <w:pStyle w:val="11"/>
        <w:numPr>
          <w:ilvl w:val="0"/>
          <w:numId w:val="0"/>
        </w:numPr>
        <w:spacing w:line="340" w:lineRule="exact"/>
        <w:rPr>
          <w:rFonts w:hint="eastAsia" w:hAnsi="宋体" w:cs="宋体"/>
          <w:b/>
          <w:color w:val="auto"/>
          <w:sz w:val="28"/>
          <w:szCs w:val="28"/>
          <w:highlight w:val="none"/>
          <w:lang w:val="en-US" w:eastAsia="zh-CN"/>
        </w:rPr>
      </w:pPr>
    </w:p>
    <w:p w14:paraId="522A4556">
      <w:pPr>
        <w:pStyle w:val="11"/>
        <w:numPr>
          <w:ilvl w:val="0"/>
          <w:numId w:val="0"/>
        </w:numPr>
        <w:spacing w:line="340" w:lineRule="exact"/>
        <w:rPr>
          <w:rFonts w:hint="eastAsia" w:hAnsi="宋体" w:cs="宋体"/>
          <w:b/>
          <w:color w:val="auto"/>
          <w:sz w:val="28"/>
          <w:szCs w:val="28"/>
          <w:highlight w:val="none"/>
          <w:lang w:val="en-US" w:eastAsia="zh-CN"/>
        </w:rPr>
      </w:pPr>
    </w:p>
    <w:p w14:paraId="0693BDE1">
      <w:pPr>
        <w:pStyle w:val="11"/>
        <w:numPr>
          <w:ilvl w:val="0"/>
          <w:numId w:val="0"/>
        </w:numPr>
        <w:spacing w:line="340" w:lineRule="exact"/>
        <w:rPr>
          <w:rFonts w:hint="eastAsia" w:hAnsi="宋体" w:cs="宋体"/>
          <w:b/>
          <w:color w:val="auto"/>
          <w:sz w:val="28"/>
          <w:szCs w:val="28"/>
          <w:highlight w:val="none"/>
          <w:lang w:val="en-US" w:eastAsia="zh-CN"/>
        </w:rPr>
      </w:pPr>
    </w:p>
    <w:p w14:paraId="20C1A447">
      <w:pPr>
        <w:pStyle w:val="11"/>
        <w:numPr>
          <w:ilvl w:val="0"/>
          <w:numId w:val="0"/>
        </w:numPr>
        <w:spacing w:line="340" w:lineRule="exact"/>
        <w:rPr>
          <w:rFonts w:hint="eastAsia" w:hAnsi="宋体" w:cs="宋体"/>
          <w:b/>
          <w:color w:val="auto"/>
          <w:sz w:val="28"/>
          <w:szCs w:val="28"/>
          <w:highlight w:val="none"/>
          <w:lang w:val="en-US" w:eastAsia="zh-CN"/>
        </w:rPr>
      </w:pPr>
    </w:p>
    <w:p w14:paraId="5DA85CD8">
      <w:pPr>
        <w:pStyle w:val="11"/>
        <w:numPr>
          <w:ilvl w:val="0"/>
          <w:numId w:val="0"/>
        </w:numPr>
        <w:spacing w:line="340" w:lineRule="exact"/>
        <w:rPr>
          <w:rFonts w:hint="eastAsia" w:hAnsi="宋体" w:cs="宋体"/>
          <w:b/>
          <w:color w:val="auto"/>
          <w:sz w:val="28"/>
          <w:szCs w:val="28"/>
          <w:highlight w:val="none"/>
          <w:lang w:val="en-US" w:eastAsia="zh-CN"/>
        </w:rPr>
      </w:pPr>
    </w:p>
    <w:p w14:paraId="7F3E8CBF">
      <w:pPr>
        <w:pStyle w:val="11"/>
        <w:numPr>
          <w:ilvl w:val="0"/>
          <w:numId w:val="0"/>
        </w:numPr>
        <w:spacing w:line="340" w:lineRule="exact"/>
        <w:rPr>
          <w:rFonts w:hint="eastAsia" w:hAnsi="宋体" w:cs="宋体"/>
          <w:b/>
          <w:color w:val="auto"/>
          <w:sz w:val="28"/>
          <w:szCs w:val="28"/>
          <w:highlight w:val="none"/>
          <w:lang w:val="en-US" w:eastAsia="zh-CN"/>
        </w:rPr>
      </w:pPr>
    </w:p>
    <w:p w14:paraId="2E05FD23">
      <w:pPr>
        <w:pStyle w:val="11"/>
        <w:numPr>
          <w:ilvl w:val="0"/>
          <w:numId w:val="0"/>
        </w:numPr>
        <w:spacing w:line="340" w:lineRule="exact"/>
        <w:rPr>
          <w:rFonts w:hint="eastAsia" w:hAnsi="宋体" w:cs="宋体"/>
          <w:b/>
          <w:color w:val="auto"/>
          <w:sz w:val="28"/>
          <w:szCs w:val="28"/>
          <w:highlight w:val="none"/>
          <w:lang w:val="en-US" w:eastAsia="zh-CN"/>
        </w:rPr>
      </w:pPr>
    </w:p>
    <w:p w14:paraId="4EB8A76D">
      <w:pPr>
        <w:pStyle w:val="11"/>
        <w:numPr>
          <w:ilvl w:val="0"/>
          <w:numId w:val="0"/>
        </w:numPr>
        <w:spacing w:line="340" w:lineRule="exact"/>
        <w:rPr>
          <w:rFonts w:hint="eastAsia" w:hAnsi="宋体" w:cs="宋体"/>
          <w:b/>
          <w:color w:val="auto"/>
          <w:sz w:val="28"/>
          <w:szCs w:val="28"/>
          <w:highlight w:val="none"/>
          <w:lang w:val="en-US" w:eastAsia="zh-CN"/>
        </w:rPr>
      </w:pPr>
    </w:p>
    <w:p w14:paraId="4C280E0A">
      <w:pPr>
        <w:pStyle w:val="5"/>
        <w:rPr>
          <w:rFonts w:hint="eastAsia"/>
          <w:color w:val="auto"/>
          <w:highlight w:val="none"/>
          <w:lang w:val="en-US" w:eastAsia="zh-CN"/>
        </w:rPr>
      </w:pPr>
    </w:p>
    <w:p w14:paraId="3323C88F">
      <w:pPr>
        <w:pStyle w:val="11"/>
        <w:numPr>
          <w:ilvl w:val="0"/>
          <w:numId w:val="0"/>
        </w:numPr>
        <w:spacing w:line="340" w:lineRule="exact"/>
        <w:rPr>
          <w:rFonts w:hint="eastAsia" w:hAnsi="宋体" w:cs="宋体"/>
          <w:b/>
          <w:color w:val="auto"/>
          <w:sz w:val="28"/>
          <w:szCs w:val="28"/>
          <w:highlight w:val="none"/>
          <w:lang w:val="en-US" w:eastAsia="zh-CN"/>
        </w:rPr>
      </w:pPr>
    </w:p>
    <w:p w14:paraId="24706D76">
      <w:pPr>
        <w:pStyle w:val="11"/>
        <w:numPr>
          <w:ilvl w:val="0"/>
          <w:numId w:val="0"/>
        </w:numPr>
        <w:spacing w:line="340" w:lineRule="exact"/>
        <w:rPr>
          <w:rFonts w:hint="eastAsia" w:hAnsi="宋体" w:cs="宋体"/>
          <w:b/>
          <w:color w:val="auto"/>
          <w:sz w:val="28"/>
          <w:szCs w:val="28"/>
          <w:highlight w:val="none"/>
          <w:lang w:val="en-US" w:eastAsia="zh-CN"/>
        </w:rPr>
      </w:pPr>
    </w:p>
    <w:p w14:paraId="6CACA1FC">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05598889">
      <w:pPr>
        <w:pStyle w:val="11"/>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w:t>
      </w:r>
      <w:r>
        <w:rPr>
          <w:rFonts w:hint="eastAsia" w:hAnsi="宋体" w:eastAsia="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标价工程量清单（必须提供）</w:t>
      </w:r>
    </w:p>
    <w:p w14:paraId="193AFD95">
      <w:pPr>
        <w:snapToGrid w:val="0"/>
        <w:spacing w:line="240" w:lineRule="auto"/>
        <w:ind w:firstLine="420"/>
        <w:jc w:val="right"/>
        <w:rPr>
          <w:rFonts w:hint="eastAsia" w:ascii="宋体" w:hAnsi="宋体" w:eastAsia="宋体" w:cs="宋体"/>
          <w:color w:val="auto"/>
          <w:highlight w:val="none"/>
        </w:rPr>
      </w:pPr>
    </w:p>
    <w:p w14:paraId="0418B77C">
      <w:pPr>
        <w:pStyle w:val="5"/>
        <w:spacing w:line="240" w:lineRule="auto"/>
        <w:jc w:val="center"/>
        <w:rPr>
          <w:rFonts w:hint="eastAsia" w:ascii="宋体" w:hAnsi="宋体" w:eastAsia="宋体" w:cs="宋体"/>
          <w:color w:val="auto"/>
          <w:sz w:val="24"/>
          <w:szCs w:val="24"/>
          <w:highlight w:val="none"/>
        </w:rPr>
      </w:pPr>
      <w:bookmarkStart w:id="200" w:name="_Toc446943082"/>
      <w:bookmarkStart w:id="201" w:name="_Toc271557289"/>
      <w:bookmarkStart w:id="202" w:name="_Toc234659851"/>
      <w:bookmarkStart w:id="203" w:name="_Toc394929435"/>
      <w:r>
        <w:rPr>
          <w:rFonts w:hint="eastAsia" w:ascii="宋体" w:hAnsi="宋体" w:eastAsia="宋体" w:cs="宋体"/>
          <w:color w:val="auto"/>
          <w:sz w:val="24"/>
          <w:szCs w:val="24"/>
          <w:highlight w:val="none"/>
        </w:rPr>
        <w:t>已标价工程量清单</w:t>
      </w:r>
      <w:bookmarkEnd w:id="200"/>
      <w:bookmarkEnd w:id="201"/>
      <w:bookmarkEnd w:id="202"/>
      <w:bookmarkEnd w:id="203"/>
    </w:p>
    <w:p w14:paraId="1D1C1A69">
      <w:pPr>
        <w:spacing w:line="240" w:lineRule="auto"/>
        <w:ind w:firstLine="420"/>
        <w:jc w:val="center"/>
        <w:rPr>
          <w:rFonts w:hint="eastAsia" w:ascii="宋体" w:hAnsi="宋体" w:eastAsia="宋体" w:cs="宋体"/>
          <w:color w:val="auto"/>
          <w:highlight w:val="none"/>
        </w:rPr>
      </w:pPr>
    </w:p>
    <w:p w14:paraId="336D9169">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采购人</w:t>
      </w:r>
      <w:r>
        <w:rPr>
          <w:rFonts w:hint="eastAsia" w:ascii="宋体" w:hAnsi="宋体" w:eastAsia="宋体" w:cs="宋体"/>
          <w:b/>
          <w:bCs/>
          <w:color w:val="auto"/>
          <w:highlight w:val="none"/>
        </w:rPr>
        <w:t>提供的工程量清单</w:t>
      </w:r>
      <w:r>
        <w:rPr>
          <w:rFonts w:hint="eastAsia" w:ascii="宋体" w:hAnsi="宋体" w:eastAsia="宋体" w:cs="宋体"/>
          <w:b/>
          <w:bCs/>
          <w:color w:val="auto"/>
          <w:szCs w:val="21"/>
          <w:highlight w:val="none"/>
        </w:rPr>
        <w:t>）。</w:t>
      </w:r>
    </w:p>
    <w:p w14:paraId="4C44F61C">
      <w:pPr>
        <w:spacing w:line="340" w:lineRule="exact"/>
        <w:rPr>
          <w:rFonts w:hint="eastAsia" w:ascii="宋体" w:hAnsi="宋体" w:eastAsia="宋体" w:cs="宋体"/>
          <w:color w:val="auto"/>
          <w:szCs w:val="21"/>
          <w:highlight w:val="none"/>
        </w:rPr>
      </w:pPr>
    </w:p>
    <w:p w14:paraId="4F1090BE">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517555F2">
      <w:pPr>
        <w:pStyle w:val="8"/>
        <w:rPr>
          <w:rFonts w:hint="eastAsia" w:ascii="宋体" w:hAnsi="宋体" w:eastAsia="宋体" w:cs="宋体"/>
          <w:color w:val="auto"/>
          <w:highlight w:val="none"/>
        </w:rPr>
      </w:pPr>
    </w:p>
    <w:p w14:paraId="096CD8C9">
      <w:pPr>
        <w:pStyle w:val="8"/>
        <w:rPr>
          <w:rFonts w:hint="eastAsia" w:ascii="宋体" w:hAnsi="宋体" w:eastAsia="宋体" w:cs="宋体"/>
          <w:color w:val="auto"/>
          <w:highlight w:val="none"/>
        </w:rPr>
      </w:pPr>
    </w:p>
    <w:p w14:paraId="6D0D2332">
      <w:pPr>
        <w:pStyle w:val="8"/>
        <w:rPr>
          <w:rFonts w:hint="eastAsia" w:ascii="宋体" w:hAnsi="宋体" w:eastAsia="宋体" w:cs="宋体"/>
          <w:color w:val="auto"/>
          <w:highlight w:val="none"/>
        </w:rPr>
      </w:pPr>
    </w:p>
    <w:p w14:paraId="23C671CA">
      <w:pPr>
        <w:pStyle w:val="8"/>
        <w:rPr>
          <w:rFonts w:hint="eastAsia" w:ascii="宋体" w:hAnsi="宋体" w:eastAsia="宋体" w:cs="宋体"/>
          <w:color w:val="auto"/>
          <w:highlight w:val="none"/>
        </w:rPr>
      </w:pPr>
    </w:p>
    <w:p w14:paraId="1D9C6B3D">
      <w:pPr>
        <w:pStyle w:val="8"/>
        <w:rPr>
          <w:rFonts w:hint="eastAsia" w:ascii="宋体" w:hAnsi="宋体" w:eastAsia="宋体" w:cs="宋体"/>
          <w:color w:val="auto"/>
          <w:highlight w:val="none"/>
        </w:rPr>
      </w:pPr>
    </w:p>
    <w:p w14:paraId="1C04FF0E">
      <w:pPr>
        <w:pStyle w:val="8"/>
        <w:rPr>
          <w:rFonts w:hint="eastAsia" w:ascii="宋体" w:hAnsi="宋体" w:eastAsia="宋体" w:cs="宋体"/>
          <w:color w:val="auto"/>
          <w:highlight w:val="none"/>
        </w:rPr>
      </w:pPr>
    </w:p>
    <w:p w14:paraId="52E350A6">
      <w:pPr>
        <w:pStyle w:val="8"/>
        <w:rPr>
          <w:rFonts w:hint="eastAsia" w:ascii="宋体" w:hAnsi="宋体" w:eastAsia="宋体" w:cs="宋体"/>
          <w:color w:val="auto"/>
          <w:highlight w:val="none"/>
        </w:rPr>
      </w:pPr>
    </w:p>
    <w:p w14:paraId="4C6D28AD">
      <w:pPr>
        <w:rPr>
          <w:rFonts w:hint="eastAsia" w:ascii="宋体" w:hAnsi="宋体" w:eastAsia="宋体" w:cs="宋体"/>
          <w:color w:val="auto"/>
          <w:highlight w:val="none"/>
        </w:rPr>
      </w:pPr>
    </w:p>
    <w:p w14:paraId="1DB50EB9">
      <w:pPr>
        <w:pStyle w:val="29"/>
        <w:rPr>
          <w:rFonts w:hint="eastAsia" w:ascii="宋体" w:hAnsi="宋体" w:eastAsia="宋体" w:cs="宋体"/>
          <w:color w:val="auto"/>
          <w:highlight w:val="none"/>
        </w:rPr>
      </w:pPr>
    </w:p>
    <w:p w14:paraId="0D0E7710">
      <w:pPr>
        <w:pStyle w:val="29"/>
        <w:rPr>
          <w:rFonts w:hint="eastAsia" w:ascii="宋体" w:hAnsi="宋体" w:eastAsia="宋体" w:cs="宋体"/>
          <w:color w:val="auto"/>
          <w:highlight w:val="none"/>
        </w:rPr>
      </w:pPr>
    </w:p>
    <w:p w14:paraId="38A75F3D">
      <w:pPr>
        <w:pStyle w:val="29"/>
        <w:rPr>
          <w:rFonts w:hint="eastAsia" w:ascii="宋体" w:hAnsi="宋体" w:eastAsia="宋体" w:cs="宋体"/>
          <w:color w:val="auto"/>
          <w:highlight w:val="none"/>
        </w:rPr>
      </w:pPr>
    </w:p>
    <w:p w14:paraId="5180D292">
      <w:pPr>
        <w:pStyle w:val="29"/>
        <w:rPr>
          <w:rFonts w:hint="eastAsia" w:ascii="宋体" w:hAnsi="宋体" w:eastAsia="宋体" w:cs="宋体"/>
          <w:color w:val="auto"/>
          <w:highlight w:val="none"/>
        </w:rPr>
      </w:pPr>
    </w:p>
    <w:p w14:paraId="3738381C">
      <w:pPr>
        <w:pStyle w:val="29"/>
        <w:rPr>
          <w:rFonts w:hint="eastAsia" w:ascii="宋体" w:hAnsi="宋体" w:eastAsia="宋体" w:cs="宋体"/>
          <w:color w:val="auto"/>
          <w:highlight w:val="none"/>
        </w:rPr>
      </w:pPr>
    </w:p>
    <w:p w14:paraId="11AB2E31">
      <w:pPr>
        <w:pStyle w:val="29"/>
        <w:rPr>
          <w:rFonts w:hint="eastAsia" w:ascii="宋体" w:hAnsi="宋体" w:eastAsia="宋体" w:cs="宋体"/>
          <w:color w:val="auto"/>
          <w:highlight w:val="none"/>
        </w:rPr>
      </w:pPr>
    </w:p>
    <w:p w14:paraId="0282D578">
      <w:pPr>
        <w:pStyle w:val="29"/>
        <w:rPr>
          <w:rFonts w:hint="eastAsia" w:ascii="宋体" w:hAnsi="宋体" w:eastAsia="宋体" w:cs="宋体"/>
          <w:color w:val="auto"/>
          <w:highlight w:val="none"/>
        </w:rPr>
      </w:pPr>
    </w:p>
    <w:p w14:paraId="1E8917D0">
      <w:pPr>
        <w:pStyle w:val="8"/>
        <w:rPr>
          <w:rFonts w:hint="eastAsia" w:ascii="宋体" w:hAnsi="宋体" w:eastAsia="宋体" w:cs="宋体"/>
          <w:color w:val="auto"/>
          <w:highlight w:val="none"/>
        </w:rPr>
      </w:pPr>
    </w:p>
    <w:p w14:paraId="0C92EDFF">
      <w:pPr>
        <w:rPr>
          <w:rFonts w:hint="eastAsia" w:ascii="宋体" w:hAnsi="宋体" w:eastAsia="宋体" w:cs="宋体"/>
          <w:color w:val="auto"/>
          <w:highlight w:val="none"/>
        </w:rPr>
      </w:pPr>
    </w:p>
    <w:p w14:paraId="2741E422">
      <w:pPr>
        <w:rPr>
          <w:rFonts w:hint="eastAsia" w:ascii="宋体" w:hAnsi="宋体" w:eastAsia="宋体" w:cs="宋体"/>
          <w:color w:val="auto"/>
          <w:highlight w:val="none"/>
        </w:rPr>
      </w:pPr>
    </w:p>
    <w:p w14:paraId="37398EC0">
      <w:pPr>
        <w:pStyle w:val="12"/>
        <w:rPr>
          <w:rFonts w:hint="eastAsia" w:ascii="宋体" w:hAnsi="宋体" w:eastAsia="宋体" w:cs="宋体"/>
          <w:color w:val="auto"/>
          <w:highlight w:val="none"/>
        </w:rPr>
      </w:pPr>
    </w:p>
    <w:p w14:paraId="13370446">
      <w:pPr>
        <w:pStyle w:val="12"/>
        <w:rPr>
          <w:rFonts w:hint="eastAsia" w:ascii="宋体" w:hAnsi="宋体" w:eastAsia="宋体" w:cs="宋体"/>
          <w:color w:val="auto"/>
          <w:highlight w:val="none"/>
        </w:rPr>
      </w:pPr>
    </w:p>
    <w:p w14:paraId="1DF8C47C">
      <w:pPr>
        <w:pStyle w:val="12"/>
        <w:rPr>
          <w:rFonts w:hint="eastAsia" w:ascii="宋体" w:hAnsi="宋体" w:eastAsia="宋体" w:cs="宋体"/>
          <w:color w:val="auto"/>
          <w:highlight w:val="none"/>
        </w:rPr>
      </w:pPr>
    </w:p>
    <w:p w14:paraId="5D54D319">
      <w:pPr>
        <w:pStyle w:val="12"/>
        <w:rPr>
          <w:rFonts w:hint="eastAsia" w:ascii="宋体" w:hAnsi="宋体" w:eastAsia="宋体" w:cs="宋体"/>
          <w:color w:val="auto"/>
          <w:highlight w:val="none"/>
        </w:rPr>
      </w:pPr>
    </w:p>
    <w:p w14:paraId="7E1C2830">
      <w:pPr>
        <w:pStyle w:val="12"/>
        <w:rPr>
          <w:rFonts w:hint="eastAsia" w:ascii="宋体" w:hAnsi="宋体" w:eastAsia="宋体" w:cs="宋体"/>
          <w:color w:val="auto"/>
          <w:highlight w:val="none"/>
        </w:rPr>
      </w:pPr>
    </w:p>
    <w:p w14:paraId="519FC167">
      <w:pPr>
        <w:pStyle w:val="12"/>
        <w:rPr>
          <w:rFonts w:hint="eastAsia" w:ascii="宋体" w:hAnsi="宋体" w:eastAsia="宋体" w:cs="宋体"/>
          <w:color w:val="auto"/>
          <w:highlight w:val="none"/>
        </w:rPr>
      </w:pPr>
    </w:p>
    <w:p w14:paraId="1E4A7982">
      <w:pPr>
        <w:pStyle w:val="12"/>
        <w:rPr>
          <w:rFonts w:hint="eastAsia" w:ascii="宋体" w:hAnsi="宋体" w:eastAsia="宋体" w:cs="宋体"/>
          <w:color w:val="auto"/>
          <w:highlight w:val="none"/>
        </w:rPr>
      </w:pPr>
    </w:p>
    <w:p w14:paraId="32969092">
      <w:pPr>
        <w:pStyle w:val="12"/>
        <w:rPr>
          <w:rFonts w:hint="eastAsia" w:ascii="宋体" w:hAnsi="宋体" w:eastAsia="宋体" w:cs="宋体"/>
          <w:color w:val="auto"/>
          <w:highlight w:val="none"/>
        </w:rPr>
      </w:pPr>
    </w:p>
    <w:p w14:paraId="255D1C20">
      <w:pPr>
        <w:pStyle w:val="12"/>
        <w:rPr>
          <w:rFonts w:hint="eastAsia" w:ascii="宋体" w:hAnsi="宋体" w:eastAsia="宋体" w:cs="宋体"/>
          <w:color w:val="auto"/>
          <w:highlight w:val="none"/>
        </w:rPr>
      </w:pPr>
    </w:p>
    <w:p w14:paraId="0CB11466">
      <w:pPr>
        <w:pStyle w:val="12"/>
        <w:rPr>
          <w:rFonts w:hint="eastAsia" w:ascii="宋体" w:hAnsi="宋体" w:eastAsia="宋体" w:cs="宋体"/>
          <w:color w:val="auto"/>
          <w:highlight w:val="none"/>
        </w:rPr>
      </w:pPr>
    </w:p>
    <w:p w14:paraId="7E9EC2D4">
      <w:pPr>
        <w:pStyle w:val="12"/>
        <w:rPr>
          <w:rFonts w:hint="eastAsia" w:ascii="宋体" w:hAnsi="宋体" w:eastAsia="宋体" w:cs="宋体"/>
          <w:color w:val="auto"/>
          <w:highlight w:val="none"/>
        </w:rPr>
      </w:pPr>
    </w:p>
    <w:p w14:paraId="75435610">
      <w:pPr>
        <w:pStyle w:val="12"/>
        <w:rPr>
          <w:rFonts w:hint="eastAsia" w:ascii="宋体" w:hAnsi="宋体" w:eastAsia="宋体" w:cs="宋体"/>
          <w:color w:val="auto"/>
          <w:highlight w:val="none"/>
        </w:rPr>
      </w:pPr>
    </w:p>
    <w:p w14:paraId="5CE3B965">
      <w:pPr>
        <w:pStyle w:val="12"/>
        <w:rPr>
          <w:rFonts w:hint="eastAsia" w:ascii="宋体" w:hAnsi="宋体" w:eastAsia="宋体" w:cs="宋体"/>
          <w:color w:val="auto"/>
          <w:highlight w:val="none"/>
        </w:rPr>
      </w:pPr>
    </w:p>
    <w:p w14:paraId="5CE94712">
      <w:pPr>
        <w:pStyle w:val="12"/>
        <w:rPr>
          <w:rFonts w:hint="eastAsia" w:ascii="宋体" w:hAnsi="宋体" w:eastAsia="宋体" w:cs="宋体"/>
          <w:color w:val="auto"/>
          <w:highlight w:val="none"/>
        </w:rPr>
      </w:pPr>
    </w:p>
    <w:p w14:paraId="043C6A2E">
      <w:pPr>
        <w:pStyle w:val="8"/>
        <w:rPr>
          <w:rFonts w:hint="eastAsia" w:ascii="宋体" w:hAnsi="宋体" w:eastAsia="宋体" w:cs="宋体"/>
          <w:color w:val="auto"/>
          <w:highlight w:val="none"/>
        </w:rPr>
      </w:pPr>
    </w:p>
    <w:p w14:paraId="611636B7">
      <w:pPr>
        <w:rPr>
          <w:rFonts w:hint="eastAsia" w:ascii="宋体" w:hAnsi="宋体" w:eastAsia="宋体" w:cs="宋体"/>
          <w:color w:val="auto"/>
          <w:highlight w:val="none"/>
        </w:rPr>
      </w:pPr>
    </w:p>
    <w:p w14:paraId="60512886">
      <w:pPr>
        <w:pStyle w:val="10"/>
        <w:rPr>
          <w:rFonts w:hint="eastAsia"/>
          <w:color w:val="auto"/>
          <w:highlight w:val="none"/>
        </w:rPr>
      </w:pPr>
    </w:p>
    <w:p w14:paraId="3FEE5E8A">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iCs/>
          <w:color w:val="auto"/>
          <w:kern w:val="2"/>
          <w:sz w:val="28"/>
          <w:szCs w:val="28"/>
          <w:highlight w:val="none"/>
          <w:lang w:val="en-US" w:eastAsia="zh-CN" w:bidi="ar-SA"/>
        </w:rPr>
        <w:t>拟投入本工程主要施工管理人员表（必须提供）；</w:t>
      </w:r>
    </w:p>
    <w:p w14:paraId="4EFBBE25">
      <w:pPr>
        <w:spacing w:line="500" w:lineRule="exact"/>
        <w:jc w:val="center"/>
        <w:rPr>
          <w:rFonts w:hint="eastAsia" w:ascii="宋体" w:hAnsi="宋体" w:eastAsia="宋体" w:cs="宋体"/>
          <w:b/>
          <w:color w:val="auto"/>
          <w:sz w:val="24"/>
          <w:szCs w:val="24"/>
          <w:highlight w:val="none"/>
          <w:lang w:val="en-US" w:eastAsia="zh-CN"/>
        </w:rPr>
      </w:pPr>
    </w:p>
    <w:p w14:paraId="5E6CA1F9">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14:paraId="5522B08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6E03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1EEF2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92BE6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noWrap w:val="0"/>
            <w:vAlign w:val="center"/>
          </w:tcPr>
          <w:p w14:paraId="5F45B9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EFF32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65AA8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14:paraId="6BCE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CB686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6F204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1B811E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C03A11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C7163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354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66AB7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58369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50A0B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B9900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653C0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133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7052A9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66E66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D57E0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6E60BB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71A0F5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BE2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5D5A41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8249C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594C39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965412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0C28D3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19D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8C67B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2DA250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A40D0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41AE00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003F8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96A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173135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1EAEA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2BF30B0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E4CD5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35FF72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6BA5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3EB042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8AD91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7AD0B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90C1AF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1D9994A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7ED8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06F1D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623A5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704790B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0AD37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482364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974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ACCE8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252A51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309D0E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14D022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2718A49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96C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4E3265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672707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1A59A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034710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32D37F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5728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229903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38DC42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07A93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2E8288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01A038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5726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6316AB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E8AA2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6BF4A9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36BEC7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D42ED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276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noWrap w:val="0"/>
            <w:vAlign w:val="center"/>
          </w:tcPr>
          <w:p w14:paraId="0F8A2DE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623C0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noWrap w:val="0"/>
            <w:vAlign w:val="center"/>
          </w:tcPr>
          <w:p w14:paraId="413F18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14:paraId="55781FC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noWrap w:val="0"/>
            <w:vAlign w:val="center"/>
          </w:tcPr>
          <w:p w14:paraId="672A38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14:paraId="1EC2E9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w:t>
      </w:r>
      <w:r>
        <w:rPr>
          <w:rFonts w:hint="eastAsia" w:ascii="宋体" w:hAnsi="宋体" w:cs="宋体"/>
          <w:color w:val="auto"/>
          <w:spacing w:val="-2"/>
          <w:kern w:val="0"/>
          <w:sz w:val="21"/>
          <w:szCs w:val="21"/>
          <w:highlight w:val="none"/>
          <w:lang w:eastAsia="zh-CN"/>
        </w:rPr>
        <w:t>项目经理至少应附身份证复印件、责任工程师证书复印件、中级（含）以上职称证复印件</w:t>
      </w:r>
      <w:r>
        <w:rPr>
          <w:rFonts w:hint="eastAsia" w:ascii="宋体" w:hAnsi="宋体" w:eastAsia="宋体" w:cs="宋体"/>
          <w:color w:val="auto"/>
          <w:spacing w:val="-2"/>
          <w:kern w:val="0"/>
          <w:sz w:val="21"/>
          <w:szCs w:val="21"/>
          <w:highlight w:val="none"/>
        </w:rPr>
        <w:t>；技术负责人应附身份证复印件、职称证复印件</w:t>
      </w:r>
      <w:r>
        <w:rPr>
          <w:rFonts w:hint="eastAsia" w:ascii="宋体" w:hAnsi="宋体" w:cs="宋体"/>
          <w:color w:val="auto"/>
          <w:spacing w:val="-2"/>
          <w:kern w:val="0"/>
          <w:sz w:val="21"/>
          <w:szCs w:val="21"/>
          <w:highlight w:val="none"/>
          <w:lang w:eastAsia="zh-CN"/>
        </w:rPr>
        <w:t>（</w:t>
      </w:r>
      <w:r>
        <w:rPr>
          <w:rFonts w:hint="eastAsia" w:ascii="宋体" w:hAnsi="宋体" w:cs="宋体"/>
          <w:color w:val="auto"/>
          <w:spacing w:val="-2"/>
          <w:kern w:val="0"/>
          <w:sz w:val="21"/>
          <w:szCs w:val="21"/>
          <w:highlight w:val="none"/>
          <w:lang w:val="en-US" w:eastAsia="zh-CN"/>
        </w:rPr>
        <w:t>如有</w:t>
      </w:r>
      <w:r>
        <w:rPr>
          <w:rFonts w:hint="eastAsia" w:ascii="宋体" w:hAnsi="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；专职安全生产管理人员至少应附身份证复印件、专职安全员安全生产考核合格证书（C类）复印件；其他主要人员（施工员、质检</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量</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员、材料员）应附执业证或上岗证书复印件。</w:t>
      </w:r>
      <w:r>
        <w:rPr>
          <w:rFonts w:hint="eastAsia" w:ascii="宋体" w:hAnsi="宋体" w:eastAsia="宋体" w:cs="宋体"/>
          <w:color w:val="auto"/>
          <w:kern w:val="0"/>
          <w:sz w:val="21"/>
          <w:szCs w:val="21"/>
          <w:highlight w:val="none"/>
        </w:rPr>
        <w:t>同时还需提供社保部门出具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为项目管理机构成员（包含项目经理、技术负责人、专职安全员、施工员、质检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员、材料员）缴纳的响应文件递交截止时间前半年内任意连续三个月社保证明复印件。若为近期新聘员工的，以提供劳动合同证明材料复印件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14:paraId="1306981F">
      <w:pPr>
        <w:pStyle w:val="11"/>
        <w:spacing w:line="340" w:lineRule="exact"/>
        <w:jc w:val="center"/>
        <w:rPr>
          <w:rFonts w:hint="eastAsia" w:ascii="宋体" w:hAnsi="宋体" w:eastAsia="宋体" w:cs="宋体"/>
          <w:b/>
          <w:color w:val="auto"/>
          <w:sz w:val="32"/>
          <w:szCs w:val="32"/>
          <w:highlight w:val="none"/>
        </w:rPr>
      </w:pPr>
    </w:p>
    <w:p w14:paraId="56A97C58">
      <w:pPr>
        <w:pStyle w:val="6"/>
        <w:rPr>
          <w:rFonts w:hint="eastAsia"/>
          <w:color w:val="auto"/>
          <w:highlight w:val="none"/>
        </w:rPr>
      </w:pPr>
    </w:p>
    <w:p w14:paraId="22C4EAAE">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 xml:space="preserve">               </w:t>
      </w:r>
    </w:p>
    <w:p w14:paraId="68072F3C">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p>
    <w:p w14:paraId="24D37A71">
      <w:pPr>
        <w:pStyle w:val="8"/>
        <w:rPr>
          <w:rFonts w:hint="eastAsia" w:ascii="宋体" w:hAnsi="宋体" w:eastAsia="宋体" w:cs="宋体"/>
          <w:b/>
          <w:bCs/>
          <w:color w:val="auto"/>
          <w:szCs w:val="21"/>
          <w:highlight w:val="none"/>
        </w:rPr>
      </w:pPr>
    </w:p>
    <w:p w14:paraId="6D123EAD">
      <w:pPr>
        <w:pStyle w:val="8"/>
        <w:rPr>
          <w:rFonts w:hint="eastAsia" w:ascii="宋体" w:hAnsi="宋体" w:eastAsia="宋体" w:cs="宋体"/>
          <w:b/>
          <w:bCs/>
          <w:color w:val="auto"/>
          <w:szCs w:val="21"/>
          <w:highlight w:val="none"/>
        </w:rPr>
      </w:pPr>
    </w:p>
    <w:p w14:paraId="62E74B9D">
      <w:pPr>
        <w:pStyle w:val="8"/>
        <w:rPr>
          <w:rFonts w:hint="eastAsia" w:ascii="宋体" w:hAnsi="宋体" w:eastAsia="宋体" w:cs="宋体"/>
          <w:b/>
          <w:bCs/>
          <w:color w:val="auto"/>
          <w:szCs w:val="21"/>
          <w:highlight w:val="none"/>
        </w:rPr>
      </w:pPr>
    </w:p>
    <w:p w14:paraId="1F2B9184">
      <w:pPr>
        <w:pStyle w:val="43"/>
        <w:rPr>
          <w:rFonts w:hint="eastAsia"/>
          <w:color w:val="auto"/>
          <w:highlight w:val="none"/>
        </w:rPr>
      </w:pPr>
    </w:p>
    <w:p w14:paraId="53E5D95D">
      <w:pPr>
        <w:pStyle w:val="8"/>
        <w:rPr>
          <w:rFonts w:hint="eastAsia" w:ascii="宋体" w:hAnsi="宋体" w:eastAsia="宋体" w:cs="宋体"/>
          <w:b/>
          <w:bCs/>
          <w:color w:val="auto"/>
          <w:szCs w:val="21"/>
          <w:highlight w:val="none"/>
        </w:rPr>
      </w:pPr>
    </w:p>
    <w:p w14:paraId="45DD14FD">
      <w:pPr>
        <w:pStyle w:val="11"/>
        <w:numPr>
          <w:ilvl w:val="0"/>
          <w:numId w:val="0"/>
        </w:numPr>
        <w:spacing w:line="340" w:lineRule="exact"/>
        <w:ind w:left="0" w:firstLine="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.担任本工程的</w:t>
      </w:r>
      <w:r>
        <w:rPr>
          <w:rFonts w:hint="eastAsia" w:hAnsi="宋体" w:eastAsia="宋体" w:cs="宋体"/>
          <w:b/>
          <w:color w:val="auto"/>
          <w:sz w:val="28"/>
          <w:szCs w:val="28"/>
          <w:highlight w:val="none"/>
          <w:lang w:val="en-US" w:eastAsia="zh-CN"/>
        </w:rPr>
        <w:t>项目经理</w:t>
      </w:r>
      <w:r>
        <w:rPr>
          <w:rFonts w:hint="eastAsia" w:ascii="宋体" w:hAnsi="宋体" w:eastAsia="宋体" w:cs="宋体"/>
          <w:b/>
          <w:color w:val="auto"/>
          <w:sz w:val="28"/>
          <w:szCs w:val="28"/>
          <w:highlight w:val="none"/>
          <w:lang w:val="en-US" w:eastAsia="zh-CN"/>
        </w:rPr>
        <w:t>简历表（应附相关证书、身份证复印件）（必须提供）</w:t>
      </w:r>
      <w:r>
        <w:rPr>
          <w:rFonts w:hint="eastAsia" w:ascii="宋体" w:hAnsi="宋体" w:eastAsia="宋体" w:cs="宋体"/>
          <w:b/>
          <w:color w:val="auto"/>
          <w:sz w:val="28"/>
          <w:szCs w:val="28"/>
          <w:highlight w:val="none"/>
        </w:rPr>
        <w:t>；</w:t>
      </w:r>
    </w:p>
    <w:p w14:paraId="0C73D548">
      <w:pPr>
        <w:rPr>
          <w:rFonts w:hint="eastAsia" w:ascii="宋体" w:hAnsi="宋体" w:eastAsia="宋体" w:cs="宋体"/>
          <w:color w:val="auto"/>
          <w:highlight w:val="none"/>
        </w:rPr>
      </w:pPr>
    </w:p>
    <w:p w14:paraId="17037E79">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担任本工程的项目经理简历表</w:t>
      </w:r>
    </w:p>
    <w:p w14:paraId="745DD3B8">
      <w:pPr>
        <w:jc w:val="center"/>
        <w:rPr>
          <w:rFonts w:hint="eastAsia" w:ascii="宋体" w:hAnsi="宋体" w:cs="宋体"/>
          <w:b/>
          <w:color w:val="auto"/>
          <w:sz w:val="32"/>
          <w:highlight w:val="none"/>
        </w:rPr>
      </w:pPr>
    </w:p>
    <w:tbl>
      <w:tblPr>
        <w:tblStyle w:val="26"/>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32D7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noWrap w:val="0"/>
            <w:vAlign w:val="top"/>
          </w:tcPr>
          <w:p w14:paraId="73D0D66F">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608" w:type="dxa"/>
            <w:tcBorders>
              <w:top w:val="single" w:color="auto" w:sz="8" w:space="0"/>
            </w:tcBorders>
            <w:noWrap w:val="0"/>
            <w:vAlign w:val="top"/>
          </w:tcPr>
          <w:p w14:paraId="6A647EFC">
            <w:pPr>
              <w:spacing w:line="440" w:lineRule="exact"/>
              <w:jc w:val="center"/>
              <w:rPr>
                <w:rFonts w:hint="eastAsia" w:ascii="宋体" w:hAnsi="宋体" w:cs="宋体"/>
                <w:color w:val="auto"/>
                <w:highlight w:val="none"/>
              </w:rPr>
            </w:pPr>
          </w:p>
        </w:tc>
        <w:tc>
          <w:tcPr>
            <w:tcW w:w="1072" w:type="dxa"/>
            <w:tcBorders>
              <w:top w:val="single" w:color="auto" w:sz="8" w:space="0"/>
            </w:tcBorders>
            <w:noWrap w:val="0"/>
            <w:vAlign w:val="top"/>
          </w:tcPr>
          <w:p w14:paraId="18146780">
            <w:pPr>
              <w:spacing w:line="440" w:lineRule="exact"/>
              <w:jc w:val="center"/>
              <w:rPr>
                <w:rFonts w:hint="eastAsia" w:ascii="宋体" w:hAnsi="宋体" w:cs="宋体"/>
                <w:color w:val="auto"/>
                <w:highlight w:val="none"/>
              </w:rPr>
            </w:pPr>
            <w:r>
              <w:rPr>
                <w:rFonts w:hint="eastAsia" w:ascii="宋体" w:hAnsi="宋体" w:cs="宋体"/>
                <w:color w:val="auto"/>
                <w:highlight w:val="none"/>
              </w:rPr>
              <w:t>性  别</w:t>
            </w:r>
          </w:p>
        </w:tc>
        <w:tc>
          <w:tcPr>
            <w:tcW w:w="1072" w:type="dxa"/>
            <w:gridSpan w:val="3"/>
            <w:tcBorders>
              <w:top w:val="single" w:color="auto" w:sz="8" w:space="0"/>
            </w:tcBorders>
            <w:noWrap w:val="0"/>
            <w:vAlign w:val="top"/>
          </w:tcPr>
          <w:p w14:paraId="190E446A">
            <w:pPr>
              <w:spacing w:line="440" w:lineRule="exact"/>
              <w:jc w:val="center"/>
              <w:rPr>
                <w:rFonts w:hint="eastAsia" w:ascii="宋体" w:hAnsi="宋体" w:cs="宋体"/>
                <w:color w:val="auto"/>
                <w:highlight w:val="none"/>
              </w:rPr>
            </w:pPr>
          </w:p>
        </w:tc>
        <w:tc>
          <w:tcPr>
            <w:tcW w:w="1340" w:type="dxa"/>
            <w:gridSpan w:val="2"/>
            <w:tcBorders>
              <w:top w:val="single" w:color="auto" w:sz="8" w:space="0"/>
            </w:tcBorders>
            <w:noWrap w:val="0"/>
            <w:vAlign w:val="top"/>
          </w:tcPr>
          <w:p w14:paraId="09192085">
            <w:pPr>
              <w:spacing w:line="440" w:lineRule="exact"/>
              <w:jc w:val="center"/>
              <w:rPr>
                <w:rFonts w:hint="eastAsia" w:ascii="宋体" w:hAnsi="宋体" w:cs="宋体"/>
                <w:color w:val="auto"/>
                <w:highlight w:val="none"/>
              </w:rPr>
            </w:pPr>
            <w:r>
              <w:rPr>
                <w:rFonts w:hint="eastAsia" w:ascii="宋体" w:hAnsi="宋体" w:cs="宋体"/>
                <w:color w:val="auto"/>
                <w:highlight w:val="none"/>
              </w:rPr>
              <w:t>年  龄</w:t>
            </w:r>
          </w:p>
        </w:tc>
        <w:tc>
          <w:tcPr>
            <w:tcW w:w="2144" w:type="dxa"/>
            <w:gridSpan w:val="3"/>
            <w:tcBorders>
              <w:top w:val="single" w:color="auto" w:sz="8" w:space="0"/>
              <w:right w:val="single" w:color="auto" w:sz="8" w:space="0"/>
            </w:tcBorders>
            <w:noWrap w:val="0"/>
            <w:vAlign w:val="top"/>
          </w:tcPr>
          <w:p w14:paraId="71B73D62">
            <w:pPr>
              <w:spacing w:line="440" w:lineRule="exact"/>
              <w:jc w:val="center"/>
              <w:rPr>
                <w:rFonts w:hint="eastAsia" w:ascii="宋体" w:hAnsi="宋体" w:cs="宋体"/>
                <w:color w:val="auto"/>
                <w:highlight w:val="none"/>
              </w:rPr>
            </w:pPr>
          </w:p>
        </w:tc>
      </w:tr>
      <w:tr w14:paraId="2BF1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4EA9F7D9">
            <w:pPr>
              <w:spacing w:line="440" w:lineRule="exact"/>
              <w:jc w:val="center"/>
              <w:rPr>
                <w:rFonts w:hint="eastAsia" w:ascii="宋体" w:hAnsi="宋体" w:cs="宋体"/>
                <w:color w:val="auto"/>
                <w:highlight w:val="none"/>
              </w:rPr>
            </w:pPr>
            <w:r>
              <w:rPr>
                <w:rFonts w:hint="eastAsia" w:ascii="宋体" w:hAnsi="宋体" w:cs="宋体"/>
                <w:color w:val="auto"/>
                <w:highlight w:val="none"/>
              </w:rPr>
              <w:t>职  务</w:t>
            </w:r>
          </w:p>
        </w:tc>
        <w:tc>
          <w:tcPr>
            <w:tcW w:w="1608" w:type="dxa"/>
            <w:noWrap w:val="0"/>
            <w:vAlign w:val="top"/>
          </w:tcPr>
          <w:p w14:paraId="64C6D169">
            <w:pPr>
              <w:spacing w:line="440" w:lineRule="exact"/>
              <w:jc w:val="center"/>
              <w:rPr>
                <w:rFonts w:hint="eastAsia" w:ascii="宋体" w:hAnsi="宋体" w:cs="宋体"/>
                <w:color w:val="auto"/>
                <w:highlight w:val="none"/>
              </w:rPr>
            </w:pPr>
          </w:p>
        </w:tc>
        <w:tc>
          <w:tcPr>
            <w:tcW w:w="1072" w:type="dxa"/>
            <w:noWrap w:val="0"/>
            <w:vAlign w:val="top"/>
          </w:tcPr>
          <w:p w14:paraId="1984BC34">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072" w:type="dxa"/>
            <w:gridSpan w:val="3"/>
            <w:noWrap w:val="0"/>
            <w:vAlign w:val="top"/>
          </w:tcPr>
          <w:p w14:paraId="4B7EF2E9">
            <w:pPr>
              <w:spacing w:line="440" w:lineRule="exact"/>
              <w:jc w:val="center"/>
              <w:rPr>
                <w:rFonts w:hint="eastAsia" w:ascii="宋体" w:hAnsi="宋体" w:cs="宋体"/>
                <w:color w:val="auto"/>
                <w:highlight w:val="none"/>
              </w:rPr>
            </w:pPr>
          </w:p>
        </w:tc>
        <w:tc>
          <w:tcPr>
            <w:tcW w:w="1340" w:type="dxa"/>
            <w:gridSpan w:val="2"/>
            <w:noWrap w:val="0"/>
            <w:vAlign w:val="top"/>
          </w:tcPr>
          <w:p w14:paraId="03D74426">
            <w:pPr>
              <w:spacing w:line="440" w:lineRule="exact"/>
              <w:jc w:val="center"/>
              <w:rPr>
                <w:rFonts w:hint="eastAsia" w:ascii="宋体" w:hAnsi="宋体" w:cs="宋体"/>
                <w:color w:val="auto"/>
                <w:highlight w:val="none"/>
              </w:rPr>
            </w:pPr>
            <w:r>
              <w:rPr>
                <w:rFonts w:hint="eastAsia" w:ascii="宋体" w:hAnsi="宋体" w:cs="宋体"/>
                <w:color w:val="auto"/>
                <w:highlight w:val="none"/>
              </w:rPr>
              <w:t>学  历</w:t>
            </w:r>
          </w:p>
        </w:tc>
        <w:tc>
          <w:tcPr>
            <w:tcW w:w="2144" w:type="dxa"/>
            <w:gridSpan w:val="3"/>
            <w:tcBorders>
              <w:right w:val="single" w:color="auto" w:sz="8" w:space="0"/>
            </w:tcBorders>
            <w:noWrap w:val="0"/>
            <w:vAlign w:val="top"/>
          </w:tcPr>
          <w:p w14:paraId="115687C1">
            <w:pPr>
              <w:spacing w:line="440" w:lineRule="exact"/>
              <w:jc w:val="center"/>
              <w:rPr>
                <w:rFonts w:hint="eastAsia" w:ascii="宋体" w:hAnsi="宋体" w:cs="宋体"/>
                <w:color w:val="auto"/>
                <w:highlight w:val="none"/>
              </w:rPr>
            </w:pPr>
          </w:p>
        </w:tc>
      </w:tr>
      <w:tr w14:paraId="3569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noWrap w:val="0"/>
            <w:vAlign w:val="top"/>
          </w:tcPr>
          <w:p w14:paraId="4ACFA3B0">
            <w:pPr>
              <w:spacing w:line="440" w:lineRule="exact"/>
              <w:jc w:val="center"/>
              <w:rPr>
                <w:rFonts w:hint="eastAsia" w:ascii="宋体" w:hAnsi="宋体" w:cs="宋体"/>
                <w:color w:val="auto"/>
                <w:highlight w:val="none"/>
              </w:rPr>
            </w:pPr>
            <w:r>
              <w:rPr>
                <w:rFonts w:hint="eastAsia" w:ascii="宋体" w:hAnsi="宋体" w:cs="宋体"/>
                <w:color w:val="auto"/>
                <w:highlight w:val="none"/>
              </w:rPr>
              <w:t>专  业</w:t>
            </w:r>
          </w:p>
        </w:tc>
        <w:tc>
          <w:tcPr>
            <w:tcW w:w="2708" w:type="dxa"/>
            <w:gridSpan w:val="3"/>
            <w:noWrap w:val="0"/>
            <w:vAlign w:val="top"/>
          </w:tcPr>
          <w:p w14:paraId="3F78D035">
            <w:pPr>
              <w:spacing w:line="440" w:lineRule="exact"/>
              <w:rPr>
                <w:rFonts w:hint="eastAsia" w:ascii="宋体" w:hAnsi="宋体" w:cs="宋体"/>
                <w:color w:val="auto"/>
                <w:highlight w:val="none"/>
              </w:rPr>
            </w:pPr>
          </w:p>
        </w:tc>
        <w:tc>
          <w:tcPr>
            <w:tcW w:w="2880" w:type="dxa"/>
            <w:gridSpan w:val="5"/>
            <w:noWrap w:val="0"/>
            <w:vAlign w:val="top"/>
          </w:tcPr>
          <w:p w14:paraId="00B76770">
            <w:pPr>
              <w:spacing w:line="440" w:lineRule="exact"/>
              <w:rPr>
                <w:rFonts w:hint="eastAsia" w:ascii="宋体" w:hAnsi="宋体" w:cs="宋体"/>
                <w:color w:val="auto"/>
                <w:highlight w:val="none"/>
              </w:rPr>
            </w:pPr>
            <w:r>
              <w:rPr>
                <w:rFonts w:hint="eastAsia" w:ascii="宋体" w:hAnsi="宋体" w:cs="宋体"/>
                <w:color w:val="auto"/>
                <w:highlight w:val="none"/>
              </w:rPr>
              <w:t>从事项目经理或建造师年限</w:t>
            </w:r>
          </w:p>
        </w:tc>
        <w:tc>
          <w:tcPr>
            <w:tcW w:w="1648" w:type="dxa"/>
            <w:gridSpan w:val="2"/>
            <w:tcBorders>
              <w:right w:val="single" w:color="auto" w:sz="8" w:space="0"/>
            </w:tcBorders>
            <w:noWrap w:val="0"/>
            <w:vAlign w:val="top"/>
          </w:tcPr>
          <w:p w14:paraId="74D86E68">
            <w:pPr>
              <w:spacing w:line="440" w:lineRule="exact"/>
              <w:jc w:val="center"/>
              <w:rPr>
                <w:rFonts w:hint="eastAsia" w:ascii="宋体" w:hAnsi="宋体" w:cs="宋体"/>
                <w:color w:val="auto"/>
                <w:highlight w:val="none"/>
              </w:rPr>
            </w:pPr>
            <w:r>
              <w:rPr>
                <w:rFonts w:hint="eastAsia" w:ascii="宋体" w:hAnsi="宋体" w:cs="宋体"/>
                <w:color w:val="auto"/>
                <w:highlight w:val="none"/>
              </w:rPr>
              <w:t xml:space="preserve">         (年)</w:t>
            </w:r>
          </w:p>
        </w:tc>
      </w:tr>
      <w:tr w14:paraId="675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noWrap w:val="0"/>
            <w:vAlign w:val="top"/>
          </w:tcPr>
          <w:p w14:paraId="0527CF8C">
            <w:pPr>
              <w:spacing w:line="440" w:lineRule="exact"/>
              <w:jc w:val="center"/>
              <w:rPr>
                <w:rFonts w:hint="eastAsia" w:ascii="宋体" w:hAnsi="宋体" w:cs="宋体"/>
                <w:color w:val="auto"/>
                <w:highlight w:val="none"/>
              </w:rPr>
            </w:pPr>
            <w:r>
              <w:rPr>
                <w:rFonts w:hint="eastAsia" w:ascii="宋体" w:hAnsi="宋体" w:cs="宋体"/>
                <w:color w:val="auto"/>
                <w:highlight w:val="none"/>
              </w:rPr>
              <w:t>已完工程项目情况</w:t>
            </w:r>
          </w:p>
        </w:tc>
      </w:tr>
      <w:tr w14:paraId="47FA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3A222546">
            <w:pPr>
              <w:spacing w:line="440" w:lineRule="exact"/>
              <w:jc w:val="center"/>
              <w:rPr>
                <w:rFonts w:hint="eastAsia" w:ascii="宋体" w:hAnsi="宋体" w:cs="宋体"/>
                <w:color w:val="auto"/>
                <w:highlight w:val="none"/>
              </w:rPr>
            </w:pPr>
            <w:r>
              <w:rPr>
                <w:rFonts w:hint="eastAsia" w:ascii="宋体" w:hAnsi="宋体" w:cs="宋体"/>
                <w:color w:val="auto"/>
                <w:highlight w:val="none"/>
              </w:rPr>
              <w:t>建设单位</w:t>
            </w:r>
          </w:p>
        </w:tc>
        <w:tc>
          <w:tcPr>
            <w:tcW w:w="1608" w:type="dxa"/>
            <w:noWrap w:val="0"/>
            <w:vAlign w:val="top"/>
          </w:tcPr>
          <w:p w14:paraId="790C6FEC">
            <w:pPr>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1608" w:type="dxa"/>
            <w:gridSpan w:val="3"/>
            <w:noWrap w:val="0"/>
            <w:vAlign w:val="top"/>
          </w:tcPr>
          <w:p w14:paraId="52D9CD58">
            <w:pPr>
              <w:spacing w:line="440" w:lineRule="exact"/>
              <w:jc w:val="center"/>
              <w:rPr>
                <w:rFonts w:hint="eastAsia" w:ascii="宋体" w:hAnsi="宋体" w:cs="宋体"/>
                <w:color w:val="auto"/>
                <w:highlight w:val="none"/>
              </w:rPr>
            </w:pPr>
            <w:r>
              <w:rPr>
                <w:rFonts w:hint="eastAsia" w:ascii="宋体" w:hAnsi="宋体" w:cs="宋体"/>
                <w:color w:val="auto"/>
                <w:highlight w:val="none"/>
              </w:rPr>
              <w:t>建设规模</w:t>
            </w:r>
          </w:p>
        </w:tc>
        <w:tc>
          <w:tcPr>
            <w:tcW w:w="1608" w:type="dxa"/>
            <w:gridSpan w:val="2"/>
            <w:noWrap w:val="0"/>
            <w:vAlign w:val="top"/>
          </w:tcPr>
          <w:p w14:paraId="239AA5DF">
            <w:pPr>
              <w:spacing w:line="440" w:lineRule="exact"/>
              <w:jc w:val="center"/>
              <w:rPr>
                <w:rFonts w:hint="eastAsia" w:ascii="宋体" w:hAnsi="宋体" w:cs="宋体"/>
                <w:color w:val="auto"/>
                <w:highlight w:val="none"/>
              </w:rPr>
            </w:pPr>
            <w:r>
              <w:rPr>
                <w:rFonts w:hint="eastAsia" w:ascii="宋体" w:hAnsi="宋体" w:cs="宋体"/>
                <w:color w:val="auto"/>
                <w:highlight w:val="none"/>
              </w:rPr>
              <w:t>开、竣工日期</w:t>
            </w:r>
          </w:p>
        </w:tc>
        <w:tc>
          <w:tcPr>
            <w:tcW w:w="1206" w:type="dxa"/>
            <w:gridSpan w:val="3"/>
            <w:noWrap w:val="0"/>
            <w:vAlign w:val="top"/>
          </w:tcPr>
          <w:p w14:paraId="2DB39A03">
            <w:pPr>
              <w:spacing w:line="440" w:lineRule="exact"/>
              <w:jc w:val="center"/>
              <w:rPr>
                <w:rFonts w:hint="eastAsia" w:ascii="宋体" w:hAnsi="宋体" w:cs="宋体"/>
                <w:color w:val="auto"/>
                <w:highlight w:val="none"/>
              </w:rPr>
            </w:pPr>
            <w:r>
              <w:rPr>
                <w:rFonts w:hint="eastAsia" w:ascii="宋体" w:hAnsi="宋体" w:cs="宋体"/>
                <w:color w:val="auto"/>
                <w:highlight w:val="none"/>
              </w:rPr>
              <w:t>工程质量</w:t>
            </w:r>
          </w:p>
        </w:tc>
        <w:tc>
          <w:tcPr>
            <w:tcW w:w="1206" w:type="dxa"/>
            <w:tcBorders>
              <w:right w:val="single" w:color="auto" w:sz="8" w:space="0"/>
            </w:tcBorders>
            <w:noWrap w:val="0"/>
            <w:vAlign w:val="top"/>
          </w:tcPr>
          <w:p w14:paraId="675A7228">
            <w:pPr>
              <w:spacing w:line="440" w:lineRule="exact"/>
              <w:jc w:val="center"/>
              <w:rPr>
                <w:rFonts w:hint="eastAsia" w:ascii="宋体" w:hAnsi="宋体" w:cs="宋体"/>
                <w:color w:val="auto"/>
                <w:highlight w:val="none"/>
              </w:rPr>
            </w:pPr>
            <w:r>
              <w:rPr>
                <w:rFonts w:hint="eastAsia" w:ascii="宋体" w:hAnsi="宋体" w:cs="宋体"/>
                <w:color w:val="auto"/>
                <w:highlight w:val="none"/>
              </w:rPr>
              <w:t>受奖情况</w:t>
            </w:r>
          </w:p>
        </w:tc>
      </w:tr>
      <w:tr w14:paraId="0465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FF84EB7">
            <w:pPr>
              <w:spacing w:line="440" w:lineRule="exact"/>
              <w:jc w:val="center"/>
              <w:rPr>
                <w:rFonts w:hint="eastAsia" w:ascii="宋体" w:hAnsi="宋体" w:cs="宋体"/>
                <w:color w:val="auto"/>
                <w:highlight w:val="none"/>
              </w:rPr>
            </w:pPr>
          </w:p>
        </w:tc>
        <w:tc>
          <w:tcPr>
            <w:tcW w:w="1608" w:type="dxa"/>
            <w:noWrap w:val="0"/>
            <w:vAlign w:val="top"/>
          </w:tcPr>
          <w:p w14:paraId="19BBEDA4">
            <w:pPr>
              <w:spacing w:line="440" w:lineRule="exact"/>
              <w:jc w:val="center"/>
              <w:rPr>
                <w:rFonts w:hint="eastAsia" w:ascii="宋体" w:hAnsi="宋体" w:cs="宋体"/>
                <w:color w:val="auto"/>
                <w:highlight w:val="none"/>
              </w:rPr>
            </w:pPr>
          </w:p>
        </w:tc>
        <w:tc>
          <w:tcPr>
            <w:tcW w:w="1608" w:type="dxa"/>
            <w:gridSpan w:val="3"/>
            <w:noWrap w:val="0"/>
            <w:vAlign w:val="top"/>
          </w:tcPr>
          <w:p w14:paraId="0F2396C7">
            <w:pPr>
              <w:spacing w:line="440" w:lineRule="exact"/>
              <w:jc w:val="center"/>
              <w:rPr>
                <w:rFonts w:hint="eastAsia" w:ascii="宋体" w:hAnsi="宋体" w:cs="宋体"/>
                <w:color w:val="auto"/>
                <w:highlight w:val="none"/>
              </w:rPr>
            </w:pPr>
          </w:p>
        </w:tc>
        <w:tc>
          <w:tcPr>
            <w:tcW w:w="1608" w:type="dxa"/>
            <w:gridSpan w:val="2"/>
            <w:noWrap w:val="0"/>
            <w:vAlign w:val="top"/>
          </w:tcPr>
          <w:p w14:paraId="068120A1">
            <w:pPr>
              <w:spacing w:line="440" w:lineRule="exact"/>
              <w:jc w:val="center"/>
              <w:rPr>
                <w:rFonts w:hint="eastAsia" w:ascii="宋体" w:hAnsi="宋体" w:cs="宋体"/>
                <w:color w:val="auto"/>
                <w:highlight w:val="none"/>
              </w:rPr>
            </w:pPr>
          </w:p>
        </w:tc>
        <w:tc>
          <w:tcPr>
            <w:tcW w:w="1206" w:type="dxa"/>
            <w:gridSpan w:val="3"/>
            <w:noWrap w:val="0"/>
            <w:vAlign w:val="top"/>
          </w:tcPr>
          <w:p w14:paraId="6885FFB2">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3224FEC0">
            <w:pPr>
              <w:spacing w:line="440" w:lineRule="exact"/>
              <w:jc w:val="center"/>
              <w:rPr>
                <w:rFonts w:hint="eastAsia" w:ascii="宋体" w:hAnsi="宋体" w:cs="宋体"/>
                <w:color w:val="auto"/>
                <w:highlight w:val="none"/>
              </w:rPr>
            </w:pPr>
          </w:p>
        </w:tc>
      </w:tr>
      <w:tr w14:paraId="0B65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791D2224">
            <w:pPr>
              <w:spacing w:line="440" w:lineRule="exact"/>
              <w:jc w:val="center"/>
              <w:rPr>
                <w:rFonts w:hint="eastAsia" w:ascii="宋体" w:hAnsi="宋体" w:cs="宋体"/>
                <w:color w:val="auto"/>
                <w:highlight w:val="none"/>
              </w:rPr>
            </w:pPr>
          </w:p>
        </w:tc>
        <w:tc>
          <w:tcPr>
            <w:tcW w:w="1608" w:type="dxa"/>
            <w:noWrap w:val="0"/>
            <w:vAlign w:val="top"/>
          </w:tcPr>
          <w:p w14:paraId="688A49A9">
            <w:pPr>
              <w:spacing w:line="440" w:lineRule="exact"/>
              <w:jc w:val="center"/>
              <w:rPr>
                <w:rFonts w:hint="eastAsia" w:ascii="宋体" w:hAnsi="宋体" w:cs="宋体"/>
                <w:color w:val="auto"/>
                <w:highlight w:val="none"/>
              </w:rPr>
            </w:pPr>
          </w:p>
        </w:tc>
        <w:tc>
          <w:tcPr>
            <w:tcW w:w="1608" w:type="dxa"/>
            <w:gridSpan w:val="3"/>
            <w:noWrap w:val="0"/>
            <w:vAlign w:val="top"/>
          </w:tcPr>
          <w:p w14:paraId="1A0022CB">
            <w:pPr>
              <w:spacing w:line="440" w:lineRule="exact"/>
              <w:jc w:val="center"/>
              <w:rPr>
                <w:rFonts w:hint="eastAsia" w:ascii="宋体" w:hAnsi="宋体" w:cs="宋体"/>
                <w:color w:val="auto"/>
                <w:highlight w:val="none"/>
              </w:rPr>
            </w:pPr>
          </w:p>
        </w:tc>
        <w:tc>
          <w:tcPr>
            <w:tcW w:w="1608" w:type="dxa"/>
            <w:gridSpan w:val="2"/>
            <w:noWrap w:val="0"/>
            <w:vAlign w:val="top"/>
          </w:tcPr>
          <w:p w14:paraId="79443FFE">
            <w:pPr>
              <w:spacing w:line="440" w:lineRule="exact"/>
              <w:jc w:val="center"/>
              <w:rPr>
                <w:rFonts w:hint="eastAsia" w:ascii="宋体" w:hAnsi="宋体" w:cs="宋体"/>
                <w:color w:val="auto"/>
                <w:highlight w:val="none"/>
              </w:rPr>
            </w:pPr>
          </w:p>
        </w:tc>
        <w:tc>
          <w:tcPr>
            <w:tcW w:w="1206" w:type="dxa"/>
            <w:gridSpan w:val="3"/>
            <w:noWrap w:val="0"/>
            <w:vAlign w:val="top"/>
          </w:tcPr>
          <w:p w14:paraId="06E2C717">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29EBF335">
            <w:pPr>
              <w:spacing w:line="440" w:lineRule="exact"/>
              <w:jc w:val="center"/>
              <w:rPr>
                <w:rFonts w:hint="eastAsia" w:ascii="宋体" w:hAnsi="宋体" w:cs="宋体"/>
                <w:color w:val="auto"/>
                <w:highlight w:val="none"/>
              </w:rPr>
            </w:pPr>
          </w:p>
        </w:tc>
      </w:tr>
      <w:tr w14:paraId="11ED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055CDE9E">
            <w:pPr>
              <w:spacing w:line="440" w:lineRule="exact"/>
              <w:jc w:val="center"/>
              <w:rPr>
                <w:rFonts w:hint="eastAsia" w:ascii="宋体" w:hAnsi="宋体" w:cs="宋体"/>
                <w:color w:val="auto"/>
                <w:highlight w:val="none"/>
              </w:rPr>
            </w:pPr>
          </w:p>
        </w:tc>
        <w:tc>
          <w:tcPr>
            <w:tcW w:w="1608" w:type="dxa"/>
            <w:noWrap w:val="0"/>
            <w:vAlign w:val="top"/>
          </w:tcPr>
          <w:p w14:paraId="569D833F">
            <w:pPr>
              <w:spacing w:line="440" w:lineRule="exact"/>
              <w:jc w:val="center"/>
              <w:rPr>
                <w:rFonts w:hint="eastAsia" w:ascii="宋体" w:hAnsi="宋体" w:cs="宋体"/>
                <w:color w:val="auto"/>
                <w:highlight w:val="none"/>
              </w:rPr>
            </w:pPr>
          </w:p>
        </w:tc>
        <w:tc>
          <w:tcPr>
            <w:tcW w:w="1608" w:type="dxa"/>
            <w:gridSpan w:val="3"/>
            <w:noWrap w:val="0"/>
            <w:vAlign w:val="top"/>
          </w:tcPr>
          <w:p w14:paraId="57114176">
            <w:pPr>
              <w:spacing w:line="440" w:lineRule="exact"/>
              <w:jc w:val="center"/>
              <w:rPr>
                <w:rFonts w:hint="eastAsia" w:ascii="宋体" w:hAnsi="宋体" w:cs="宋体"/>
                <w:color w:val="auto"/>
                <w:highlight w:val="none"/>
              </w:rPr>
            </w:pPr>
          </w:p>
        </w:tc>
        <w:tc>
          <w:tcPr>
            <w:tcW w:w="1608" w:type="dxa"/>
            <w:gridSpan w:val="2"/>
            <w:noWrap w:val="0"/>
            <w:vAlign w:val="top"/>
          </w:tcPr>
          <w:p w14:paraId="48747DEB">
            <w:pPr>
              <w:spacing w:line="440" w:lineRule="exact"/>
              <w:jc w:val="center"/>
              <w:rPr>
                <w:rFonts w:hint="eastAsia" w:ascii="宋体" w:hAnsi="宋体" w:cs="宋体"/>
                <w:color w:val="auto"/>
                <w:highlight w:val="none"/>
              </w:rPr>
            </w:pPr>
          </w:p>
        </w:tc>
        <w:tc>
          <w:tcPr>
            <w:tcW w:w="1206" w:type="dxa"/>
            <w:gridSpan w:val="3"/>
            <w:noWrap w:val="0"/>
            <w:vAlign w:val="top"/>
          </w:tcPr>
          <w:p w14:paraId="40B59784">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35C7C2F6">
            <w:pPr>
              <w:spacing w:line="440" w:lineRule="exact"/>
              <w:jc w:val="center"/>
              <w:rPr>
                <w:rFonts w:hint="eastAsia" w:ascii="宋体" w:hAnsi="宋体" w:cs="宋体"/>
                <w:color w:val="auto"/>
                <w:highlight w:val="none"/>
              </w:rPr>
            </w:pPr>
          </w:p>
        </w:tc>
      </w:tr>
      <w:tr w14:paraId="235C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6221497">
            <w:pPr>
              <w:spacing w:line="440" w:lineRule="exact"/>
              <w:jc w:val="center"/>
              <w:rPr>
                <w:rFonts w:hint="eastAsia" w:ascii="宋体" w:hAnsi="宋体" w:cs="宋体"/>
                <w:color w:val="auto"/>
                <w:highlight w:val="none"/>
              </w:rPr>
            </w:pPr>
          </w:p>
        </w:tc>
        <w:tc>
          <w:tcPr>
            <w:tcW w:w="1608" w:type="dxa"/>
            <w:noWrap w:val="0"/>
            <w:vAlign w:val="top"/>
          </w:tcPr>
          <w:p w14:paraId="4E1CDE44">
            <w:pPr>
              <w:spacing w:line="440" w:lineRule="exact"/>
              <w:jc w:val="center"/>
              <w:rPr>
                <w:rFonts w:hint="eastAsia" w:ascii="宋体" w:hAnsi="宋体" w:cs="宋体"/>
                <w:color w:val="auto"/>
                <w:highlight w:val="none"/>
              </w:rPr>
            </w:pPr>
          </w:p>
        </w:tc>
        <w:tc>
          <w:tcPr>
            <w:tcW w:w="1608" w:type="dxa"/>
            <w:gridSpan w:val="3"/>
            <w:noWrap w:val="0"/>
            <w:vAlign w:val="top"/>
          </w:tcPr>
          <w:p w14:paraId="790CFA48">
            <w:pPr>
              <w:spacing w:line="440" w:lineRule="exact"/>
              <w:jc w:val="center"/>
              <w:rPr>
                <w:rFonts w:hint="eastAsia" w:ascii="宋体" w:hAnsi="宋体" w:cs="宋体"/>
                <w:color w:val="auto"/>
                <w:highlight w:val="none"/>
              </w:rPr>
            </w:pPr>
          </w:p>
        </w:tc>
        <w:tc>
          <w:tcPr>
            <w:tcW w:w="1608" w:type="dxa"/>
            <w:gridSpan w:val="2"/>
            <w:noWrap w:val="0"/>
            <w:vAlign w:val="top"/>
          </w:tcPr>
          <w:p w14:paraId="51B17A02">
            <w:pPr>
              <w:spacing w:line="440" w:lineRule="exact"/>
              <w:jc w:val="center"/>
              <w:rPr>
                <w:rFonts w:hint="eastAsia" w:ascii="宋体" w:hAnsi="宋体" w:cs="宋体"/>
                <w:color w:val="auto"/>
                <w:highlight w:val="none"/>
              </w:rPr>
            </w:pPr>
          </w:p>
        </w:tc>
        <w:tc>
          <w:tcPr>
            <w:tcW w:w="1206" w:type="dxa"/>
            <w:gridSpan w:val="3"/>
            <w:noWrap w:val="0"/>
            <w:vAlign w:val="top"/>
          </w:tcPr>
          <w:p w14:paraId="1CBDA0CC">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7CB1E2C6">
            <w:pPr>
              <w:spacing w:line="440" w:lineRule="exact"/>
              <w:jc w:val="center"/>
              <w:rPr>
                <w:rFonts w:hint="eastAsia" w:ascii="宋体" w:hAnsi="宋体" w:cs="宋体"/>
                <w:color w:val="auto"/>
                <w:highlight w:val="none"/>
              </w:rPr>
            </w:pPr>
          </w:p>
        </w:tc>
      </w:tr>
      <w:tr w14:paraId="07EE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67ABC91">
            <w:pPr>
              <w:spacing w:line="440" w:lineRule="exact"/>
              <w:jc w:val="center"/>
              <w:rPr>
                <w:rFonts w:hint="eastAsia" w:ascii="宋体" w:hAnsi="宋体" w:cs="宋体"/>
                <w:color w:val="auto"/>
                <w:highlight w:val="none"/>
              </w:rPr>
            </w:pPr>
          </w:p>
        </w:tc>
        <w:tc>
          <w:tcPr>
            <w:tcW w:w="1608" w:type="dxa"/>
            <w:noWrap w:val="0"/>
            <w:vAlign w:val="top"/>
          </w:tcPr>
          <w:p w14:paraId="5E2CED2F">
            <w:pPr>
              <w:spacing w:line="440" w:lineRule="exact"/>
              <w:jc w:val="center"/>
              <w:rPr>
                <w:rFonts w:hint="eastAsia" w:ascii="宋体" w:hAnsi="宋体" w:cs="宋体"/>
                <w:color w:val="auto"/>
                <w:highlight w:val="none"/>
              </w:rPr>
            </w:pPr>
          </w:p>
        </w:tc>
        <w:tc>
          <w:tcPr>
            <w:tcW w:w="1608" w:type="dxa"/>
            <w:gridSpan w:val="3"/>
            <w:noWrap w:val="0"/>
            <w:vAlign w:val="top"/>
          </w:tcPr>
          <w:p w14:paraId="1F3C1B3D">
            <w:pPr>
              <w:spacing w:line="440" w:lineRule="exact"/>
              <w:jc w:val="center"/>
              <w:rPr>
                <w:rFonts w:hint="eastAsia" w:ascii="宋体" w:hAnsi="宋体" w:cs="宋体"/>
                <w:color w:val="auto"/>
                <w:highlight w:val="none"/>
              </w:rPr>
            </w:pPr>
          </w:p>
        </w:tc>
        <w:tc>
          <w:tcPr>
            <w:tcW w:w="1608" w:type="dxa"/>
            <w:gridSpan w:val="2"/>
            <w:noWrap w:val="0"/>
            <w:vAlign w:val="top"/>
          </w:tcPr>
          <w:p w14:paraId="49531AEB">
            <w:pPr>
              <w:spacing w:line="440" w:lineRule="exact"/>
              <w:jc w:val="center"/>
              <w:rPr>
                <w:rFonts w:hint="eastAsia" w:ascii="宋体" w:hAnsi="宋体" w:cs="宋体"/>
                <w:color w:val="auto"/>
                <w:highlight w:val="none"/>
              </w:rPr>
            </w:pPr>
          </w:p>
        </w:tc>
        <w:tc>
          <w:tcPr>
            <w:tcW w:w="1206" w:type="dxa"/>
            <w:gridSpan w:val="3"/>
            <w:noWrap w:val="0"/>
            <w:vAlign w:val="top"/>
          </w:tcPr>
          <w:p w14:paraId="7C26D289">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3053E968">
            <w:pPr>
              <w:spacing w:line="440" w:lineRule="exact"/>
              <w:jc w:val="center"/>
              <w:rPr>
                <w:rFonts w:hint="eastAsia" w:ascii="宋体" w:hAnsi="宋体" w:cs="宋体"/>
                <w:color w:val="auto"/>
                <w:highlight w:val="none"/>
              </w:rPr>
            </w:pPr>
          </w:p>
        </w:tc>
      </w:tr>
      <w:tr w14:paraId="241A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5C2A0E4D">
            <w:pPr>
              <w:spacing w:line="440" w:lineRule="exact"/>
              <w:jc w:val="center"/>
              <w:rPr>
                <w:rFonts w:hint="eastAsia" w:ascii="宋体" w:hAnsi="宋体" w:cs="宋体"/>
                <w:color w:val="auto"/>
                <w:highlight w:val="none"/>
              </w:rPr>
            </w:pPr>
          </w:p>
        </w:tc>
        <w:tc>
          <w:tcPr>
            <w:tcW w:w="1608" w:type="dxa"/>
            <w:noWrap w:val="0"/>
            <w:vAlign w:val="top"/>
          </w:tcPr>
          <w:p w14:paraId="26961240">
            <w:pPr>
              <w:spacing w:line="440" w:lineRule="exact"/>
              <w:jc w:val="center"/>
              <w:rPr>
                <w:rFonts w:hint="eastAsia" w:ascii="宋体" w:hAnsi="宋体" w:cs="宋体"/>
                <w:color w:val="auto"/>
                <w:highlight w:val="none"/>
              </w:rPr>
            </w:pPr>
          </w:p>
        </w:tc>
        <w:tc>
          <w:tcPr>
            <w:tcW w:w="1608" w:type="dxa"/>
            <w:gridSpan w:val="3"/>
            <w:noWrap w:val="0"/>
            <w:vAlign w:val="top"/>
          </w:tcPr>
          <w:p w14:paraId="68CEFE87">
            <w:pPr>
              <w:spacing w:line="440" w:lineRule="exact"/>
              <w:jc w:val="center"/>
              <w:rPr>
                <w:rFonts w:hint="eastAsia" w:ascii="宋体" w:hAnsi="宋体" w:cs="宋体"/>
                <w:color w:val="auto"/>
                <w:highlight w:val="none"/>
              </w:rPr>
            </w:pPr>
          </w:p>
        </w:tc>
        <w:tc>
          <w:tcPr>
            <w:tcW w:w="1608" w:type="dxa"/>
            <w:gridSpan w:val="2"/>
            <w:noWrap w:val="0"/>
            <w:vAlign w:val="top"/>
          </w:tcPr>
          <w:p w14:paraId="4FEBD777">
            <w:pPr>
              <w:spacing w:line="440" w:lineRule="exact"/>
              <w:jc w:val="center"/>
              <w:rPr>
                <w:rFonts w:hint="eastAsia" w:ascii="宋体" w:hAnsi="宋体" w:cs="宋体"/>
                <w:color w:val="auto"/>
                <w:highlight w:val="none"/>
              </w:rPr>
            </w:pPr>
          </w:p>
        </w:tc>
        <w:tc>
          <w:tcPr>
            <w:tcW w:w="1206" w:type="dxa"/>
            <w:gridSpan w:val="3"/>
            <w:noWrap w:val="0"/>
            <w:vAlign w:val="top"/>
          </w:tcPr>
          <w:p w14:paraId="0B68C022">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4125372D">
            <w:pPr>
              <w:spacing w:line="440" w:lineRule="exact"/>
              <w:jc w:val="center"/>
              <w:rPr>
                <w:rFonts w:hint="eastAsia" w:ascii="宋体" w:hAnsi="宋体" w:cs="宋体"/>
                <w:color w:val="auto"/>
                <w:highlight w:val="none"/>
              </w:rPr>
            </w:pPr>
          </w:p>
        </w:tc>
      </w:tr>
      <w:tr w14:paraId="0887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noWrap w:val="0"/>
            <w:vAlign w:val="top"/>
          </w:tcPr>
          <w:p w14:paraId="2C1108C2">
            <w:pPr>
              <w:spacing w:line="440" w:lineRule="exact"/>
              <w:jc w:val="center"/>
              <w:rPr>
                <w:rFonts w:hint="eastAsia" w:ascii="宋体" w:hAnsi="宋体" w:cs="宋体"/>
                <w:color w:val="auto"/>
                <w:highlight w:val="none"/>
              </w:rPr>
            </w:pPr>
          </w:p>
        </w:tc>
        <w:tc>
          <w:tcPr>
            <w:tcW w:w="1608" w:type="dxa"/>
            <w:noWrap w:val="0"/>
            <w:vAlign w:val="top"/>
          </w:tcPr>
          <w:p w14:paraId="36D0C048">
            <w:pPr>
              <w:spacing w:line="440" w:lineRule="exact"/>
              <w:jc w:val="center"/>
              <w:rPr>
                <w:rFonts w:hint="eastAsia" w:ascii="宋体" w:hAnsi="宋体" w:cs="宋体"/>
                <w:color w:val="auto"/>
                <w:highlight w:val="none"/>
              </w:rPr>
            </w:pPr>
          </w:p>
        </w:tc>
        <w:tc>
          <w:tcPr>
            <w:tcW w:w="1608" w:type="dxa"/>
            <w:gridSpan w:val="3"/>
            <w:noWrap w:val="0"/>
            <w:vAlign w:val="top"/>
          </w:tcPr>
          <w:p w14:paraId="46788BD8">
            <w:pPr>
              <w:spacing w:line="440" w:lineRule="exact"/>
              <w:jc w:val="center"/>
              <w:rPr>
                <w:rFonts w:hint="eastAsia" w:ascii="宋体" w:hAnsi="宋体" w:cs="宋体"/>
                <w:color w:val="auto"/>
                <w:highlight w:val="none"/>
              </w:rPr>
            </w:pPr>
          </w:p>
        </w:tc>
        <w:tc>
          <w:tcPr>
            <w:tcW w:w="1608" w:type="dxa"/>
            <w:gridSpan w:val="2"/>
            <w:noWrap w:val="0"/>
            <w:vAlign w:val="top"/>
          </w:tcPr>
          <w:p w14:paraId="1BEE6FD6">
            <w:pPr>
              <w:spacing w:line="440" w:lineRule="exact"/>
              <w:jc w:val="center"/>
              <w:rPr>
                <w:rFonts w:hint="eastAsia" w:ascii="宋体" w:hAnsi="宋体" w:cs="宋体"/>
                <w:color w:val="auto"/>
                <w:highlight w:val="none"/>
              </w:rPr>
            </w:pPr>
          </w:p>
        </w:tc>
        <w:tc>
          <w:tcPr>
            <w:tcW w:w="1206" w:type="dxa"/>
            <w:gridSpan w:val="3"/>
            <w:noWrap w:val="0"/>
            <w:vAlign w:val="top"/>
          </w:tcPr>
          <w:p w14:paraId="31B12C0D">
            <w:pPr>
              <w:spacing w:line="440" w:lineRule="exact"/>
              <w:jc w:val="center"/>
              <w:rPr>
                <w:rFonts w:hint="eastAsia" w:ascii="宋体" w:hAnsi="宋体" w:cs="宋体"/>
                <w:color w:val="auto"/>
                <w:highlight w:val="none"/>
              </w:rPr>
            </w:pPr>
          </w:p>
        </w:tc>
        <w:tc>
          <w:tcPr>
            <w:tcW w:w="1206" w:type="dxa"/>
            <w:tcBorders>
              <w:right w:val="single" w:color="auto" w:sz="8" w:space="0"/>
            </w:tcBorders>
            <w:noWrap w:val="0"/>
            <w:vAlign w:val="top"/>
          </w:tcPr>
          <w:p w14:paraId="51FBE12C">
            <w:pPr>
              <w:spacing w:line="440" w:lineRule="exact"/>
              <w:jc w:val="center"/>
              <w:rPr>
                <w:rFonts w:hint="eastAsia" w:ascii="宋体" w:hAnsi="宋体" w:cs="宋体"/>
                <w:color w:val="auto"/>
                <w:highlight w:val="none"/>
              </w:rPr>
            </w:pPr>
          </w:p>
        </w:tc>
      </w:tr>
      <w:tr w14:paraId="0C6A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noWrap w:val="0"/>
            <w:vAlign w:val="top"/>
          </w:tcPr>
          <w:p w14:paraId="1634D635">
            <w:pPr>
              <w:spacing w:line="440" w:lineRule="exact"/>
              <w:jc w:val="center"/>
              <w:rPr>
                <w:rFonts w:hint="eastAsia" w:ascii="宋体" w:hAnsi="宋体" w:cs="宋体"/>
                <w:color w:val="auto"/>
                <w:highlight w:val="none"/>
              </w:rPr>
            </w:pPr>
          </w:p>
        </w:tc>
        <w:tc>
          <w:tcPr>
            <w:tcW w:w="1608" w:type="dxa"/>
            <w:tcBorders>
              <w:bottom w:val="single" w:color="auto" w:sz="8" w:space="0"/>
            </w:tcBorders>
            <w:noWrap w:val="0"/>
            <w:vAlign w:val="top"/>
          </w:tcPr>
          <w:p w14:paraId="04000702">
            <w:pPr>
              <w:spacing w:line="440" w:lineRule="exact"/>
              <w:jc w:val="center"/>
              <w:rPr>
                <w:rFonts w:hint="eastAsia" w:ascii="宋体" w:hAnsi="宋体" w:cs="宋体"/>
                <w:color w:val="auto"/>
                <w:highlight w:val="none"/>
              </w:rPr>
            </w:pPr>
          </w:p>
        </w:tc>
        <w:tc>
          <w:tcPr>
            <w:tcW w:w="1608" w:type="dxa"/>
            <w:gridSpan w:val="3"/>
            <w:tcBorders>
              <w:bottom w:val="single" w:color="auto" w:sz="8" w:space="0"/>
            </w:tcBorders>
            <w:noWrap w:val="0"/>
            <w:vAlign w:val="top"/>
          </w:tcPr>
          <w:p w14:paraId="761BF1A6">
            <w:pPr>
              <w:spacing w:line="440" w:lineRule="exact"/>
              <w:jc w:val="center"/>
              <w:rPr>
                <w:rFonts w:hint="eastAsia" w:ascii="宋体" w:hAnsi="宋体" w:cs="宋体"/>
                <w:color w:val="auto"/>
                <w:highlight w:val="none"/>
              </w:rPr>
            </w:pPr>
          </w:p>
        </w:tc>
        <w:tc>
          <w:tcPr>
            <w:tcW w:w="1608" w:type="dxa"/>
            <w:gridSpan w:val="2"/>
            <w:tcBorders>
              <w:bottom w:val="single" w:color="auto" w:sz="8" w:space="0"/>
            </w:tcBorders>
            <w:noWrap w:val="0"/>
            <w:vAlign w:val="top"/>
          </w:tcPr>
          <w:p w14:paraId="265F65C5">
            <w:pPr>
              <w:spacing w:line="440" w:lineRule="exact"/>
              <w:jc w:val="center"/>
              <w:rPr>
                <w:rFonts w:hint="eastAsia" w:ascii="宋体" w:hAnsi="宋体" w:cs="宋体"/>
                <w:color w:val="auto"/>
                <w:highlight w:val="none"/>
              </w:rPr>
            </w:pPr>
          </w:p>
        </w:tc>
        <w:tc>
          <w:tcPr>
            <w:tcW w:w="1206" w:type="dxa"/>
            <w:gridSpan w:val="3"/>
            <w:tcBorders>
              <w:bottom w:val="single" w:color="auto" w:sz="8" w:space="0"/>
            </w:tcBorders>
            <w:noWrap w:val="0"/>
            <w:vAlign w:val="top"/>
          </w:tcPr>
          <w:p w14:paraId="02F54DB3">
            <w:pPr>
              <w:spacing w:line="440" w:lineRule="exact"/>
              <w:jc w:val="center"/>
              <w:rPr>
                <w:rFonts w:hint="eastAsia" w:ascii="宋体" w:hAnsi="宋体" w:cs="宋体"/>
                <w:color w:val="auto"/>
                <w:highlight w:val="none"/>
              </w:rPr>
            </w:pPr>
          </w:p>
        </w:tc>
        <w:tc>
          <w:tcPr>
            <w:tcW w:w="1206" w:type="dxa"/>
            <w:tcBorders>
              <w:bottom w:val="single" w:color="auto" w:sz="8" w:space="0"/>
              <w:right w:val="single" w:color="auto" w:sz="8" w:space="0"/>
            </w:tcBorders>
            <w:noWrap w:val="0"/>
            <w:vAlign w:val="top"/>
          </w:tcPr>
          <w:p w14:paraId="26F64FD7">
            <w:pPr>
              <w:spacing w:line="440" w:lineRule="exact"/>
              <w:jc w:val="center"/>
              <w:rPr>
                <w:rFonts w:hint="eastAsia" w:ascii="宋体" w:hAnsi="宋体" w:cs="宋体"/>
                <w:color w:val="auto"/>
                <w:highlight w:val="none"/>
              </w:rPr>
            </w:pPr>
          </w:p>
        </w:tc>
      </w:tr>
    </w:tbl>
    <w:p w14:paraId="7980FC3D">
      <w:pPr>
        <w:snapToGrid w:val="0"/>
        <w:spacing w:line="400" w:lineRule="exact"/>
        <w:outlineLvl w:val="4"/>
        <w:rPr>
          <w:rFonts w:hint="eastAsia" w:ascii="宋体" w:hAnsi="宋体" w:cs="宋体"/>
          <w:b/>
          <w:color w:val="auto"/>
          <w:sz w:val="24"/>
          <w:highlight w:val="none"/>
        </w:rPr>
      </w:pPr>
    </w:p>
    <w:p w14:paraId="1B6EA0A6">
      <w:pPr>
        <w:widowControl/>
        <w:ind w:firstLine="3092" w:firstLineChars="1100"/>
        <w:jc w:val="left"/>
        <w:rPr>
          <w:rFonts w:hint="eastAsia" w:ascii="宋体" w:hAnsi="宋体" w:eastAsia="宋体" w:cs="宋体"/>
          <w:b/>
          <w:color w:val="auto"/>
          <w:kern w:val="0"/>
          <w:sz w:val="28"/>
          <w:szCs w:val="28"/>
          <w:highlight w:val="none"/>
        </w:rPr>
      </w:pPr>
    </w:p>
    <w:p w14:paraId="4CEE19C4">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5826D13">
      <w:pPr>
        <w:pStyle w:val="11"/>
        <w:spacing w:line="300" w:lineRule="exact"/>
        <w:ind w:left="2940" w:leftChars="1400" w:firstLine="630" w:firstLineChars="300"/>
        <w:rPr>
          <w:rFonts w:hint="eastAsia" w:ascii="宋体" w:hAnsi="宋体" w:eastAsia="宋体" w:cs="宋体"/>
          <w:color w:val="auto"/>
          <w:highlight w:val="none"/>
        </w:rPr>
      </w:pPr>
    </w:p>
    <w:p w14:paraId="6457962A">
      <w:pPr>
        <w:pStyle w:val="11"/>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4EEECB49">
      <w:pPr>
        <w:pStyle w:val="11"/>
        <w:spacing w:line="300" w:lineRule="exact"/>
        <w:rPr>
          <w:rFonts w:hint="eastAsia" w:ascii="宋体" w:hAnsi="宋体" w:eastAsia="宋体" w:cs="宋体"/>
          <w:b/>
          <w:color w:val="auto"/>
          <w:sz w:val="28"/>
          <w:szCs w:val="28"/>
          <w:highlight w:val="none"/>
        </w:rPr>
      </w:pPr>
    </w:p>
    <w:p w14:paraId="75B437F3">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1F87879E">
      <w:pPr>
        <w:snapToGrid w:val="0"/>
        <w:spacing w:line="300" w:lineRule="exact"/>
        <w:ind w:firstLine="3570" w:firstLineChars="1700"/>
        <w:rPr>
          <w:rFonts w:hint="eastAsia" w:ascii="宋体" w:hAnsi="宋体" w:eastAsia="宋体" w:cs="宋体"/>
          <w:color w:val="auto"/>
          <w:highlight w:val="none"/>
          <w:u w:val="single"/>
        </w:rPr>
      </w:pPr>
    </w:p>
    <w:p w14:paraId="18FE3834">
      <w:pPr>
        <w:pStyle w:val="8"/>
        <w:rPr>
          <w:rFonts w:hint="eastAsia" w:ascii="宋体" w:hAnsi="宋体" w:eastAsia="宋体" w:cs="宋体"/>
          <w:color w:val="auto"/>
          <w:highlight w:val="none"/>
          <w:u w:val="single"/>
        </w:rPr>
      </w:pPr>
    </w:p>
    <w:p w14:paraId="59892736">
      <w:pPr>
        <w:pStyle w:val="8"/>
        <w:rPr>
          <w:rFonts w:hint="eastAsia" w:ascii="宋体" w:hAnsi="宋体" w:eastAsia="宋体" w:cs="宋体"/>
          <w:color w:val="auto"/>
          <w:highlight w:val="none"/>
          <w:u w:val="single"/>
        </w:rPr>
      </w:pPr>
    </w:p>
    <w:p w14:paraId="07158DC9">
      <w:pPr>
        <w:pStyle w:val="8"/>
        <w:rPr>
          <w:rFonts w:hint="eastAsia" w:ascii="宋体" w:hAnsi="宋体" w:eastAsia="宋体" w:cs="宋体"/>
          <w:b/>
          <w:bCs/>
          <w:color w:val="auto"/>
          <w:szCs w:val="21"/>
          <w:highlight w:val="none"/>
        </w:rPr>
      </w:pPr>
    </w:p>
    <w:p w14:paraId="4D35D650">
      <w:pPr>
        <w:pStyle w:val="8"/>
        <w:rPr>
          <w:rFonts w:hint="eastAsia" w:ascii="宋体" w:hAnsi="宋体" w:eastAsia="宋体" w:cs="宋体"/>
          <w:b/>
          <w:bCs/>
          <w:color w:val="auto"/>
          <w:szCs w:val="21"/>
          <w:highlight w:val="none"/>
        </w:rPr>
      </w:pPr>
    </w:p>
    <w:p w14:paraId="39E132F3">
      <w:pPr>
        <w:pStyle w:val="8"/>
        <w:rPr>
          <w:rFonts w:hint="eastAsia" w:ascii="宋体" w:hAnsi="宋体" w:eastAsia="宋体" w:cs="宋体"/>
          <w:b/>
          <w:bCs/>
          <w:color w:val="auto"/>
          <w:szCs w:val="21"/>
          <w:highlight w:val="none"/>
        </w:rPr>
      </w:pPr>
    </w:p>
    <w:p w14:paraId="36DBCA3D">
      <w:pPr>
        <w:pStyle w:val="8"/>
        <w:rPr>
          <w:rFonts w:hint="eastAsia" w:ascii="宋体" w:hAnsi="宋体" w:eastAsia="宋体" w:cs="宋体"/>
          <w:b/>
          <w:bCs/>
          <w:color w:val="auto"/>
          <w:szCs w:val="21"/>
          <w:highlight w:val="none"/>
        </w:rPr>
      </w:pPr>
    </w:p>
    <w:p w14:paraId="0CD799F3">
      <w:pPr>
        <w:pStyle w:val="8"/>
        <w:rPr>
          <w:rFonts w:hint="eastAsia" w:ascii="宋体" w:hAnsi="宋体" w:eastAsia="宋体" w:cs="宋体"/>
          <w:b/>
          <w:bCs/>
          <w:color w:val="auto"/>
          <w:szCs w:val="21"/>
          <w:highlight w:val="none"/>
        </w:rPr>
      </w:pPr>
    </w:p>
    <w:p w14:paraId="27CD4CE8">
      <w:pPr>
        <w:pStyle w:val="8"/>
        <w:rPr>
          <w:rFonts w:hint="eastAsia" w:ascii="宋体" w:hAnsi="宋体" w:eastAsia="宋体" w:cs="宋体"/>
          <w:b/>
          <w:bCs/>
          <w:color w:val="auto"/>
          <w:szCs w:val="21"/>
          <w:highlight w:val="none"/>
        </w:rPr>
      </w:pPr>
    </w:p>
    <w:p w14:paraId="3BA978F0">
      <w:pPr>
        <w:pStyle w:val="8"/>
        <w:rPr>
          <w:rFonts w:hint="eastAsia" w:ascii="宋体" w:hAnsi="宋体" w:eastAsia="宋体" w:cs="宋体"/>
          <w:b/>
          <w:bCs/>
          <w:color w:val="auto"/>
          <w:szCs w:val="21"/>
          <w:highlight w:val="none"/>
        </w:rPr>
      </w:pPr>
    </w:p>
    <w:p w14:paraId="7E091372">
      <w:pPr>
        <w:pStyle w:val="8"/>
        <w:rPr>
          <w:rFonts w:hint="eastAsia" w:ascii="宋体" w:hAnsi="宋体" w:eastAsia="宋体" w:cs="宋体"/>
          <w:b/>
          <w:bCs/>
          <w:color w:val="auto"/>
          <w:szCs w:val="21"/>
          <w:highlight w:val="none"/>
        </w:rPr>
      </w:pPr>
    </w:p>
    <w:p w14:paraId="0B737F75">
      <w:pPr>
        <w:pStyle w:val="11"/>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6.施工组织设计方案（必须提供）</w:t>
      </w:r>
      <w:r>
        <w:rPr>
          <w:rFonts w:hint="eastAsia" w:ascii="宋体" w:hAnsi="宋体" w:eastAsia="宋体" w:cs="宋体"/>
          <w:b/>
          <w:color w:val="auto"/>
          <w:sz w:val="28"/>
          <w:szCs w:val="28"/>
          <w:highlight w:val="none"/>
        </w:rPr>
        <w:t>；</w:t>
      </w:r>
    </w:p>
    <w:p w14:paraId="00B5EAD4">
      <w:pPr>
        <w:snapToGrid w:val="0"/>
        <w:spacing w:line="400" w:lineRule="exact"/>
        <w:jc w:val="center"/>
        <w:outlineLvl w:val="4"/>
        <w:rPr>
          <w:rFonts w:hint="eastAsia" w:ascii="宋体" w:hAnsi="宋体" w:cs="宋体"/>
          <w:b/>
          <w:color w:val="auto"/>
          <w:sz w:val="24"/>
          <w:szCs w:val="24"/>
          <w:highlight w:val="none"/>
          <w:lang w:val="en-US" w:eastAsia="zh-CN"/>
        </w:rPr>
      </w:pPr>
    </w:p>
    <w:p w14:paraId="3FD770FF">
      <w:pPr>
        <w:snapToGrid w:val="0"/>
        <w:spacing w:line="400" w:lineRule="exact"/>
        <w:jc w:val="center"/>
        <w:outlineLvl w:val="4"/>
        <w:rPr>
          <w:rFonts w:hint="eastAsia" w:ascii="宋体" w:hAnsi="宋体" w:eastAsia="宋体" w:cs="宋体"/>
          <w:b/>
          <w:color w:val="auto"/>
          <w:sz w:val="28"/>
          <w:szCs w:val="28"/>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w:t>
      </w:r>
      <w:r>
        <w:rPr>
          <w:rFonts w:hint="eastAsia" w:ascii="宋体" w:hAnsi="宋体" w:cs="宋体"/>
          <w:b/>
          <w:color w:val="auto"/>
          <w:sz w:val="24"/>
          <w:szCs w:val="24"/>
          <w:highlight w:val="none"/>
          <w:lang w:eastAsia="zh-CN"/>
        </w:rPr>
        <w:t>）</w:t>
      </w:r>
    </w:p>
    <w:p w14:paraId="0C3C5D86">
      <w:pPr>
        <w:snapToGrid w:val="0"/>
        <w:spacing w:line="400" w:lineRule="exact"/>
        <w:jc w:val="center"/>
        <w:outlineLvl w:val="4"/>
        <w:rPr>
          <w:rFonts w:hint="eastAsia" w:ascii="宋体" w:hAnsi="宋体" w:cs="宋体"/>
          <w:b/>
          <w:color w:val="auto"/>
          <w:sz w:val="28"/>
          <w:szCs w:val="28"/>
          <w:highlight w:val="none"/>
        </w:rPr>
      </w:pPr>
    </w:p>
    <w:p w14:paraId="4899991E">
      <w:pPr>
        <w:pStyle w:val="33"/>
        <w:spacing w:line="300" w:lineRule="exact"/>
        <w:ind w:firstLine="425"/>
        <w:rPr>
          <w:rFonts w:hint="eastAsia" w:ascii="宋体" w:hAnsi="宋体" w:eastAsia="宋体" w:cs="宋体"/>
          <w:color w:val="auto"/>
          <w:highlight w:val="none"/>
        </w:rPr>
      </w:pPr>
    </w:p>
    <w:p w14:paraId="2A1B6AD9">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编制施工组织设计的要求：</w:t>
      </w:r>
    </w:p>
    <w:p w14:paraId="387F04F7">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编制时应按以下章顺序采用文字并结合图表形式进行说明：</w:t>
      </w:r>
    </w:p>
    <w:p w14:paraId="5105846D">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595D47E1">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主要施工方法；</w:t>
      </w:r>
    </w:p>
    <w:p w14:paraId="3EE0691E">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施工进度计划和各阶段进度的保证措施；</w:t>
      </w:r>
    </w:p>
    <w:p w14:paraId="7A883190">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劳动力和材料投入计划及其保证措施；</w:t>
      </w:r>
    </w:p>
    <w:p w14:paraId="63C4C7C5">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施工平面布置和临时设施布置；</w:t>
      </w:r>
    </w:p>
    <w:p w14:paraId="79FB2244">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关键施工技术、工艺及工程实施的重点、难点和解决方案；</w:t>
      </w:r>
    </w:p>
    <w:p w14:paraId="06946A64">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安全文明施工措施；</w:t>
      </w:r>
    </w:p>
    <w:p w14:paraId="145F1D63">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质量保证与承诺；</w:t>
      </w:r>
    </w:p>
    <w:p w14:paraId="67D67EE2">
      <w:pPr>
        <w:pStyle w:val="33"/>
        <w:numPr>
          <w:ilvl w:val="0"/>
          <w:numId w:val="18"/>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新技术应用与承诺</w:t>
      </w:r>
    </w:p>
    <w:p w14:paraId="2E64B57B">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spacing w:val="-15"/>
          <w:highlight w:val="none"/>
        </w:rPr>
        <w:t xml:space="preserve"> </w:t>
      </w:r>
      <w:r>
        <w:rPr>
          <w:rFonts w:hint="eastAsia" w:ascii="宋体" w:hAnsi="宋体" w:eastAsia="宋体" w:cs="宋体"/>
          <w:color w:val="auto"/>
          <w:highlight w:val="none"/>
        </w:rPr>
        <w:t>施工组织设计除采用文字表述外可附下列图表，图表及格式要求附后。</w:t>
      </w:r>
    </w:p>
    <w:p w14:paraId="1238AD92">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附表一</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投入本项目的主要施工设备表</w:t>
      </w:r>
    </w:p>
    <w:p w14:paraId="0F8DA471">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附表二</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配备本项目的试验和检测仪器设备表</w:t>
      </w:r>
    </w:p>
    <w:p w14:paraId="5BACDA85">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附表三</w:t>
      </w:r>
      <w:r>
        <w:rPr>
          <w:rFonts w:hint="eastAsia" w:ascii="宋体" w:hAnsi="宋体" w:eastAsia="宋体" w:cs="宋体"/>
          <w:color w:val="auto"/>
          <w:highlight w:val="none"/>
        </w:rPr>
        <w:tab/>
      </w:r>
      <w:r>
        <w:rPr>
          <w:rFonts w:hint="eastAsia" w:ascii="宋体" w:hAnsi="宋体" w:eastAsia="宋体" w:cs="宋体"/>
          <w:color w:val="auto"/>
          <w:spacing w:val="-1"/>
          <w:highlight w:val="none"/>
        </w:rPr>
        <w:t>劳</w:t>
      </w:r>
      <w:r>
        <w:rPr>
          <w:rFonts w:hint="eastAsia" w:ascii="宋体" w:hAnsi="宋体" w:eastAsia="宋体" w:cs="宋体"/>
          <w:color w:val="auto"/>
          <w:highlight w:val="none"/>
        </w:rPr>
        <w:t>动力计划表</w:t>
      </w:r>
    </w:p>
    <w:p w14:paraId="79244FFE">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附表四</w:t>
      </w:r>
      <w:r>
        <w:rPr>
          <w:rFonts w:hint="eastAsia" w:ascii="宋体" w:hAnsi="宋体" w:eastAsia="宋体" w:cs="宋体"/>
          <w:color w:val="auto"/>
          <w:highlight w:val="none"/>
        </w:rPr>
        <w:tab/>
      </w:r>
      <w:r>
        <w:rPr>
          <w:rFonts w:hint="eastAsia" w:ascii="宋体" w:hAnsi="宋体" w:eastAsia="宋体" w:cs="宋体"/>
          <w:color w:val="auto"/>
          <w:highlight w:val="none"/>
        </w:rPr>
        <w:t>计划开、竣工日期和施工进度网络图</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横道图</w:t>
      </w:r>
    </w:p>
    <w:p w14:paraId="36882FDF">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附表五</w:t>
      </w:r>
      <w:r>
        <w:rPr>
          <w:rFonts w:hint="eastAsia" w:ascii="宋体" w:hAnsi="宋体" w:eastAsia="宋体" w:cs="宋体"/>
          <w:color w:val="auto"/>
          <w:highlight w:val="none"/>
        </w:rPr>
        <w:tab/>
      </w:r>
      <w:r>
        <w:rPr>
          <w:rFonts w:hint="eastAsia" w:ascii="宋体" w:hAnsi="宋体" w:eastAsia="宋体" w:cs="宋体"/>
          <w:color w:val="auto"/>
          <w:spacing w:val="-1"/>
          <w:highlight w:val="none"/>
        </w:rPr>
        <w:t>施</w:t>
      </w:r>
      <w:r>
        <w:rPr>
          <w:rFonts w:hint="eastAsia" w:ascii="宋体" w:hAnsi="宋体" w:eastAsia="宋体" w:cs="宋体"/>
          <w:color w:val="auto"/>
          <w:highlight w:val="none"/>
        </w:rPr>
        <w:t>工总平面图</w:t>
      </w:r>
    </w:p>
    <w:p w14:paraId="4A3A6BE1">
      <w:pPr>
        <w:pStyle w:val="33"/>
        <w:spacing w:line="300" w:lineRule="exact"/>
        <w:ind w:firstLine="425"/>
        <w:rPr>
          <w:rFonts w:hint="eastAsia" w:ascii="宋体" w:hAnsi="宋体" w:eastAsia="宋体" w:cs="宋体"/>
          <w:color w:val="auto"/>
          <w:highlight w:val="none"/>
        </w:rPr>
      </w:pPr>
      <w:r>
        <w:rPr>
          <w:rFonts w:hint="eastAsia" w:ascii="宋体" w:hAnsi="宋体" w:eastAsia="宋体" w:cs="宋体"/>
          <w:color w:val="auto"/>
          <w:position w:val="-2"/>
          <w:highlight w:val="none"/>
        </w:rPr>
        <w:t>附表六</w:t>
      </w:r>
      <w:r>
        <w:rPr>
          <w:rFonts w:hint="eastAsia" w:ascii="宋体" w:hAnsi="宋体" w:eastAsia="宋体" w:cs="宋体"/>
          <w:color w:val="auto"/>
          <w:position w:val="-2"/>
          <w:highlight w:val="none"/>
        </w:rPr>
        <w:tab/>
      </w:r>
      <w:r>
        <w:rPr>
          <w:rFonts w:hint="eastAsia" w:ascii="宋体" w:hAnsi="宋体" w:eastAsia="宋体" w:cs="宋体"/>
          <w:color w:val="auto"/>
          <w:spacing w:val="-1"/>
          <w:position w:val="-2"/>
          <w:highlight w:val="none"/>
        </w:rPr>
        <w:t>临</w:t>
      </w:r>
      <w:r>
        <w:rPr>
          <w:rFonts w:hint="eastAsia" w:ascii="宋体" w:hAnsi="宋体" w:eastAsia="宋体" w:cs="宋体"/>
          <w:color w:val="auto"/>
          <w:position w:val="-2"/>
          <w:highlight w:val="none"/>
        </w:rPr>
        <w:t>时用地表</w:t>
      </w:r>
    </w:p>
    <w:p w14:paraId="6563A838">
      <w:pPr>
        <w:rPr>
          <w:rFonts w:hint="eastAsia" w:ascii="宋体" w:hAnsi="宋体" w:eastAsia="宋体" w:cs="宋体"/>
          <w:color w:val="auto"/>
          <w:highlight w:val="none"/>
        </w:rPr>
      </w:pPr>
      <w:bookmarkStart w:id="204" w:name="_Toc418751905"/>
      <w:bookmarkStart w:id="205" w:name="_Toc418752351"/>
      <w:bookmarkStart w:id="206" w:name="_Toc483317224"/>
    </w:p>
    <w:p w14:paraId="09475B6F">
      <w:pPr>
        <w:rPr>
          <w:rFonts w:hint="eastAsia" w:ascii="宋体" w:hAnsi="宋体" w:eastAsia="宋体" w:cs="宋体"/>
          <w:b/>
          <w:color w:val="auto"/>
          <w:highlight w:val="none"/>
        </w:rPr>
      </w:pPr>
      <w:r>
        <w:rPr>
          <w:rFonts w:hint="eastAsia" w:ascii="宋体" w:hAnsi="宋体" w:eastAsia="宋体" w:cs="宋体"/>
          <w:b/>
          <w:color w:val="auto"/>
          <w:highlight w:val="none"/>
        </w:rPr>
        <w:t>附表一：拟投入本项目的主要施工设备表</w:t>
      </w:r>
      <w:bookmarkEnd w:id="204"/>
      <w:bookmarkEnd w:id="205"/>
      <w:bookmarkEnd w:id="206"/>
    </w:p>
    <w:tbl>
      <w:tblPr>
        <w:tblStyle w:val="26"/>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24B05934">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noWrap w:val="0"/>
            <w:vAlign w:val="center"/>
          </w:tcPr>
          <w:p w14:paraId="0F3FD482">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98" w:type="dxa"/>
            <w:tcBorders>
              <w:top w:val="single" w:color="000000" w:sz="4" w:space="0"/>
              <w:left w:val="nil"/>
              <w:bottom w:val="single" w:color="000000" w:sz="4" w:space="0"/>
              <w:right w:val="single" w:color="000000" w:sz="4" w:space="0"/>
            </w:tcBorders>
            <w:noWrap w:val="0"/>
            <w:vAlign w:val="center"/>
          </w:tcPr>
          <w:p w14:paraId="08830652">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39" w:type="dxa"/>
            <w:tcBorders>
              <w:top w:val="single" w:color="000000" w:sz="4" w:space="0"/>
              <w:left w:val="nil"/>
              <w:bottom w:val="single" w:color="000000" w:sz="4" w:space="0"/>
              <w:right w:val="single" w:color="000000" w:sz="4" w:space="0"/>
            </w:tcBorders>
            <w:noWrap w:val="0"/>
            <w:vAlign w:val="center"/>
          </w:tcPr>
          <w:p w14:paraId="035FA7AD">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34D46C1A">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092" w:type="dxa"/>
            <w:tcBorders>
              <w:top w:val="single" w:color="000000" w:sz="4" w:space="0"/>
              <w:left w:val="nil"/>
              <w:bottom w:val="single" w:color="000000" w:sz="4" w:space="0"/>
              <w:right w:val="single" w:color="000000" w:sz="4" w:space="0"/>
            </w:tcBorders>
            <w:noWrap w:val="0"/>
            <w:vAlign w:val="center"/>
          </w:tcPr>
          <w:p w14:paraId="1FC9F873">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41" w:type="dxa"/>
            <w:tcBorders>
              <w:top w:val="single" w:color="000000" w:sz="4" w:space="0"/>
              <w:left w:val="nil"/>
              <w:bottom w:val="single" w:color="000000" w:sz="4" w:space="0"/>
              <w:right w:val="single" w:color="000000" w:sz="4" w:space="0"/>
            </w:tcBorders>
            <w:noWrap w:val="0"/>
            <w:vAlign w:val="center"/>
          </w:tcPr>
          <w:p w14:paraId="3A909A2A">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05BBFE4A">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14" w:type="dxa"/>
            <w:tcBorders>
              <w:top w:val="single" w:color="000000" w:sz="4" w:space="0"/>
              <w:left w:val="nil"/>
              <w:bottom w:val="single" w:color="000000" w:sz="4" w:space="0"/>
              <w:right w:val="single" w:color="000000" w:sz="4" w:space="0"/>
            </w:tcBorders>
            <w:noWrap w:val="0"/>
            <w:vAlign w:val="center"/>
          </w:tcPr>
          <w:p w14:paraId="0113D8DE">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40A24F49">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337" w:type="dxa"/>
            <w:tcBorders>
              <w:top w:val="single" w:color="000000" w:sz="4" w:space="0"/>
              <w:left w:val="nil"/>
              <w:bottom w:val="single" w:color="000000" w:sz="4" w:space="0"/>
              <w:right w:val="single" w:color="000000" w:sz="4" w:space="0"/>
            </w:tcBorders>
            <w:noWrap w:val="0"/>
            <w:vAlign w:val="center"/>
          </w:tcPr>
          <w:p w14:paraId="1607873E">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3DCBD82E">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65" w:type="dxa"/>
            <w:tcBorders>
              <w:top w:val="single" w:color="000000" w:sz="4" w:space="0"/>
              <w:left w:val="nil"/>
              <w:bottom w:val="single" w:color="000000" w:sz="4" w:space="0"/>
              <w:right w:val="single" w:color="000000" w:sz="4" w:space="0"/>
            </w:tcBorders>
            <w:noWrap w:val="0"/>
            <w:vAlign w:val="center"/>
          </w:tcPr>
          <w:p w14:paraId="05CE23F9">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07768BE4">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64" w:type="dxa"/>
            <w:tcBorders>
              <w:top w:val="single" w:color="000000" w:sz="4" w:space="0"/>
              <w:left w:val="nil"/>
              <w:bottom w:val="single" w:color="000000" w:sz="4" w:space="0"/>
              <w:right w:val="single" w:color="000000" w:sz="4" w:space="0"/>
            </w:tcBorders>
            <w:noWrap w:val="0"/>
            <w:vAlign w:val="center"/>
          </w:tcPr>
          <w:p w14:paraId="544BE4AB">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14422E8B">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764" w:type="dxa"/>
            <w:tcBorders>
              <w:top w:val="single" w:color="000000" w:sz="4" w:space="0"/>
              <w:left w:val="nil"/>
              <w:bottom w:val="single" w:color="000000" w:sz="4" w:space="0"/>
              <w:right w:val="single" w:color="000000" w:sz="4" w:space="0"/>
            </w:tcBorders>
            <w:noWrap w:val="0"/>
            <w:vAlign w:val="center"/>
          </w:tcPr>
          <w:p w14:paraId="1D53BFC7">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A4A02F1">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258B5549">
            <w:pPr>
              <w:pStyle w:val="33"/>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151D8A2E">
            <w:pPr>
              <w:pStyle w:val="33"/>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604579B7">
            <w:pPr>
              <w:pStyle w:val="33"/>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F155BAD">
            <w:pPr>
              <w:pStyle w:val="33"/>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575F8C8F">
            <w:pPr>
              <w:pStyle w:val="33"/>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23200B2D">
            <w:pPr>
              <w:pStyle w:val="33"/>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0007751D">
            <w:pPr>
              <w:pStyle w:val="33"/>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150E3D02">
            <w:pPr>
              <w:pStyle w:val="33"/>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6435913F">
            <w:pPr>
              <w:pStyle w:val="33"/>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3490FC24">
            <w:pPr>
              <w:pStyle w:val="33"/>
              <w:rPr>
                <w:rFonts w:hint="eastAsia" w:ascii="宋体" w:hAnsi="宋体" w:eastAsia="宋体" w:cs="宋体"/>
                <w:color w:val="auto"/>
                <w:highlight w:val="none"/>
              </w:rPr>
            </w:pPr>
          </w:p>
        </w:tc>
      </w:tr>
      <w:tr w14:paraId="6B3F880B">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34E29F4C">
            <w:pPr>
              <w:pStyle w:val="33"/>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2F78A111">
            <w:pPr>
              <w:pStyle w:val="33"/>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635C4FEE">
            <w:pPr>
              <w:pStyle w:val="33"/>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379012D8">
            <w:pPr>
              <w:pStyle w:val="33"/>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2311D3AF">
            <w:pPr>
              <w:pStyle w:val="33"/>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58764102">
            <w:pPr>
              <w:pStyle w:val="33"/>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043E8D86">
            <w:pPr>
              <w:pStyle w:val="33"/>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12330858">
            <w:pPr>
              <w:pStyle w:val="33"/>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561A238C">
            <w:pPr>
              <w:pStyle w:val="33"/>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48019846">
            <w:pPr>
              <w:pStyle w:val="33"/>
              <w:rPr>
                <w:rFonts w:hint="eastAsia" w:ascii="宋体" w:hAnsi="宋体" w:eastAsia="宋体" w:cs="宋体"/>
                <w:color w:val="auto"/>
                <w:highlight w:val="none"/>
              </w:rPr>
            </w:pPr>
          </w:p>
        </w:tc>
      </w:tr>
      <w:tr w14:paraId="5A2B5D16">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322F5E7D">
            <w:pPr>
              <w:pStyle w:val="33"/>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08E62BCF">
            <w:pPr>
              <w:pStyle w:val="33"/>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3650707B">
            <w:pPr>
              <w:pStyle w:val="33"/>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17E18FCA">
            <w:pPr>
              <w:pStyle w:val="33"/>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66CBA0BA">
            <w:pPr>
              <w:pStyle w:val="33"/>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56041FB0">
            <w:pPr>
              <w:pStyle w:val="33"/>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288A5E5D">
            <w:pPr>
              <w:pStyle w:val="33"/>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003E3ED9">
            <w:pPr>
              <w:pStyle w:val="33"/>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C756F9A">
            <w:pPr>
              <w:pStyle w:val="33"/>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6581F4E8">
            <w:pPr>
              <w:pStyle w:val="33"/>
              <w:rPr>
                <w:rFonts w:hint="eastAsia" w:ascii="宋体" w:hAnsi="宋体" w:eastAsia="宋体" w:cs="宋体"/>
                <w:color w:val="auto"/>
                <w:highlight w:val="none"/>
              </w:rPr>
            </w:pPr>
          </w:p>
        </w:tc>
      </w:tr>
      <w:tr w14:paraId="190F637D">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noWrap w:val="0"/>
            <w:vAlign w:val="top"/>
          </w:tcPr>
          <w:p w14:paraId="2B2C1D01">
            <w:pPr>
              <w:pStyle w:val="33"/>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noWrap w:val="0"/>
            <w:vAlign w:val="top"/>
          </w:tcPr>
          <w:p w14:paraId="7BB4EA74">
            <w:pPr>
              <w:pStyle w:val="33"/>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noWrap w:val="0"/>
            <w:vAlign w:val="top"/>
          </w:tcPr>
          <w:p w14:paraId="1F211133">
            <w:pPr>
              <w:pStyle w:val="33"/>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noWrap w:val="0"/>
            <w:vAlign w:val="top"/>
          </w:tcPr>
          <w:p w14:paraId="46058C29">
            <w:pPr>
              <w:pStyle w:val="33"/>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noWrap w:val="0"/>
            <w:vAlign w:val="top"/>
          </w:tcPr>
          <w:p w14:paraId="4F26AB3E">
            <w:pPr>
              <w:pStyle w:val="33"/>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noWrap w:val="0"/>
            <w:vAlign w:val="top"/>
          </w:tcPr>
          <w:p w14:paraId="402D7150">
            <w:pPr>
              <w:pStyle w:val="33"/>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noWrap w:val="0"/>
            <w:vAlign w:val="top"/>
          </w:tcPr>
          <w:p w14:paraId="60082034">
            <w:pPr>
              <w:pStyle w:val="33"/>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noWrap w:val="0"/>
            <w:vAlign w:val="top"/>
          </w:tcPr>
          <w:p w14:paraId="3FDC9BEF">
            <w:pPr>
              <w:pStyle w:val="33"/>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noWrap w:val="0"/>
            <w:vAlign w:val="top"/>
          </w:tcPr>
          <w:p w14:paraId="4F1F857D">
            <w:pPr>
              <w:pStyle w:val="33"/>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noWrap w:val="0"/>
            <w:vAlign w:val="top"/>
          </w:tcPr>
          <w:p w14:paraId="76DA8E00">
            <w:pPr>
              <w:pStyle w:val="33"/>
              <w:rPr>
                <w:rFonts w:hint="eastAsia" w:ascii="宋体" w:hAnsi="宋体" w:eastAsia="宋体" w:cs="宋体"/>
                <w:color w:val="auto"/>
                <w:highlight w:val="none"/>
              </w:rPr>
            </w:pPr>
          </w:p>
        </w:tc>
      </w:tr>
    </w:tbl>
    <w:p w14:paraId="0D533700">
      <w:pPr>
        <w:pStyle w:val="33"/>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DBBB954">
      <w:pPr>
        <w:rPr>
          <w:rFonts w:hint="eastAsia" w:ascii="宋体" w:hAnsi="宋体" w:eastAsia="宋体" w:cs="宋体"/>
          <w:b/>
          <w:color w:val="auto"/>
          <w:highlight w:val="none"/>
        </w:rPr>
      </w:pPr>
      <w:bookmarkStart w:id="207" w:name="_Toc483317225"/>
      <w:bookmarkStart w:id="208" w:name="_Toc418752352"/>
      <w:bookmarkStart w:id="209" w:name="_Toc418751906"/>
      <w:r>
        <w:rPr>
          <w:rFonts w:hint="eastAsia" w:ascii="宋体" w:hAnsi="宋体" w:eastAsia="宋体" w:cs="宋体"/>
          <w:b/>
          <w:color w:val="auto"/>
          <w:highlight w:val="none"/>
        </w:rPr>
        <w:t>附表二：拟配备本项目的试验和检测仪器设备表</w:t>
      </w:r>
      <w:bookmarkEnd w:id="207"/>
      <w:bookmarkEnd w:id="208"/>
      <w:bookmarkEnd w:id="209"/>
    </w:p>
    <w:tbl>
      <w:tblPr>
        <w:tblStyle w:val="26"/>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14:paraId="39676004">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noWrap w:val="0"/>
            <w:vAlign w:val="center"/>
          </w:tcPr>
          <w:p w14:paraId="287FBD3F">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序号</w:t>
            </w:r>
          </w:p>
        </w:tc>
        <w:tc>
          <w:tcPr>
            <w:tcW w:w="1239" w:type="dxa"/>
            <w:tcBorders>
              <w:top w:val="single" w:color="000000" w:sz="4" w:space="0"/>
              <w:left w:val="nil"/>
              <w:bottom w:val="single" w:color="000000" w:sz="4" w:space="0"/>
              <w:right w:val="single" w:color="000000" w:sz="4" w:space="0"/>
            </w:tcBorders>
            <w:noWrap w:val="0"/>
            <w:vAlign w:val="center"/>
          </w:tcPr>
          <w:p w14:paraId="6F5BC982">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仪器设备</w:t>
            </w:r>
          </w:p>
          <w:p w14:paraId="11524F3F">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名称</w:t>
            </w:r>
          </w:p>
        </w:tc>
        <w:tc>
          <w:tcPr>
            <w:tcW w:w="866" w:type="dxa"/>
            <w:tcBorders>
              <w:top w:val="single" w:color="000000" w:sz="4" w:space="0"/>
              <w:left w:val="nil"/>
              <w:bottom w:val="single" w:color="000000" w:sz="4" w:space="0"/>
              <w:right w:val="single" w:color="000000" w:sz="4" w:space="0"/>
            </w:tcBorders>
            <w:noWrap w:val="0"/>
            <w:vAlign w:val="center"/>
          </w:tcPr>
          <w:p w14:paraId="05954EF2">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233B3942">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规格</w:t>
            </w:r>
          </w:p>
        </w:tc>
        <w:tc>
          <w:tcPr>
            <w:tcW w:w="1129" w:type="dxa"/>
            <w:tcBorders>
              <w:top w:val="single" w:color="000000" w:sz="4" w:space="0"/>
              <w:left w:val="nil"/>
              <w:bottom w:val="single" w:color="000000" w:sz="4" w:space="0"/>
              <w:right w:val="single" w:color="000000" w:sz="4" w:space="0"/>
            </w:tcBorders>
            <w:noWrap w:val="0"/>
            <w:vAlign w:val="center"/>
          </w:tcPr>
          <w:p w14:paraId="15E50632">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数量</w:t>
            </w:r>
          </w:p>
        </w:tc>
        <w:tc>
          <w:tcPr>
            <w:tcW w:w="766" w:type="dxa"/>
            <w:tcBorders>
              <w:top w:val="single" w:color="000000" w:sz="4" w:space="0"/>
              <w:left w:val="nil"/>
              <w:bottom w:val="single" w:color="000000" w:sz="4" w:space="0"/>
              <w:right w:val="single" w:color="000000" w:sz="4" w:space="0"/>
            </w:tcBorders>
            <w:noWrap w:val="0"/>
            <w:vAlign w:val="center"/>
          </w:tcPr>
          <w:p w14:paraId="4D789A05">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0A71DDEC">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产地</w:t>
            </w:r>
          </w:p>
        </w:tc>
        <w:tc>
          <w:tcPr>
            <w:tcW w:w="841" w:type="dxa"/>
            <w:tcBorders>
              <w:top w:val="single" w:color="000000" w:sz="4" w:space="0"/>
              <w:left w:val="nil"/>
              <w:bottom w:val="single" w:color="000000" w:sz="4" w:space="0"/>
              <w:right w:val="single" w:color="000000" w:sz="4" w:space="0"/>
            </w:tcBorders>
            <w:noWrap w:val="0"/>
            <w:vAlign w:val="center"/>
          </w:tcPr>
          <w:p w14:paraId="5272EF6A">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22B4F716">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年份</w:t>
            </w:r>
          </w:p>
        </w:tc>
        <w:tc>
          <w:tcPr>
            <w:tcW w:w="1382" w:type="dxa"/>
            <w:tcBorders>
              <w:top w:val="single" w:color="000000" w:sz="4" w:space="0"/>
              <w:left w:val="nil"/>
              <w:bottom w:val="single" w:color="000000" w:sz="4" w:space="0"/>
              <w:right w:val="single" w:color="000000" w:sz="4" w:space="0"/>
            </w:tcBorders>
            <w:noWrap w:val="0"/>
            <w:vAlign w:val="center"/>
          </w:tcPr>
          <w:p w14:paraId="2E14D110">
            <w:pPr>
              <w:pStyle w:val="33"/>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32EC1F0B">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台时数</w:t>
            </w:r>
          </w:p>
        </w:tc>
        <w:tc>
          <w:tcPr>
            <w:tcW w:w="1885" w:type="dxa"/>
            <w:tcBorders>
              <w:top w:val="single" w:color="000000" w:sz="4" w:space="0"/>
              <w:left w:val="nil"/>
              <w:bottom w:val="single" w:color="000000" w:sz="4" w:space="0"/>
              <w:right w:val="single" w:color="000000" w:sz="4" w:space="0"/>
            </w:tcBorders>
            <w:noWrap w:val="0"/>
            <w:vAlign w:val="center"/>
          </w:tcPr>
          <w:p w14:paraId="2EA05FB6">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用途</w:t>
            </w:r>
          </w:p>
        </w:tc>
        <w:tc>
          <w:tcPr>
            <w:tcW w:w="781" w:type="dxa"/>
            <w:tcBorders>
              <w:top w:val="single" w:color="000000" w:sz="4" w:space="0"/>
              <w:left w:val="nil"/>
              <w:bottom w:val="single" w:color="000000" w:sz="4" w:space="0"/>
              <w:right w:val="single" w:color="000000" w:sz="4" w:space="0"/>
            </w:tcBorders>
            <w:noWrap w:val="0"/>
            <w:vAlign w:val="center"/>
          </w:tcPr>
          <w:p w14:paraId="02BC52F7">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备注</w:t>
            </w:r>
          </w:p>
        </w:tc>
      </w:tr>
      <w:tr w14:paraId="6B88836A">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7C3CF35F">
            <w:pPr>
              <w:pStyle w:val="33"/>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24D0669E">
            <w:pPr>
              <w:pStyle w:val="33"/>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689E12AF">
            <w:pPr>
              <w:pStyle w:val="33"/>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202E0C03">
            <w:pPr>
              <w:pStyle w:val="33"/>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2801D2A0">
            <w:pPr>
              <w:pStyle w:val="33"/>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03B29E1C">
            <w:pPr>
              <w:pStyle w:val="33"/>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0CCE88FE">
            <w:pPr>
              <w:pStyle w:val="33"/>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D5EC3B9">
            <w:pPr>
              <w:pStyle w:val="33"/>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7625ADE0">
            <w:pPr>
              <w:pStyle w:val="33"/>
              <w:rPr>
                <w:rFonts w:hint="eastAsia" w:ascii="宋体" w:hAnsi="宋体" w:eastAsia="宋体" w:cs="宋体"/>
                <w:color w:val="auto"/>
                <w:sz w:val="24"/>
                <w:szCs w:val="24"/>
                <w:highlight w:val="none"/>
              </w:rPr>
            </w:pPr>
          </w:p>
        </w:tc>
      </w:tr>
      <w:tr w14:paraId="73F74840">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2A9B3711">
            <w:pPr>
              <w:pStyle w:val="33"/>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254093E6">
            <w:pPr>
              <w:pStyle w:val="33"/>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1C6448D8">
            <w:pPr>
              <w:pStyle w:val="33"/>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52CC3FAE">
            <w:pPr>
              <w:pStyle w:val="33"/>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47687444">
            <w:pPr>
              <w:pStyle w:val="33"/>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4C550949">
            <w:pPr>
              <w:pStyle w:val="33"/>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46E63146">
            <w:pPr>
              <w:pStyle w:val="33"/>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3ED5D28D">
            <w:pPr>
              <w:pStyle w:val="33"/>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378C6756">
            <w:pPr>
              <w:pStyle w:val="33"/>
              <w:rPr>
                <w:rFonts w:hint="eastAsia" w:ascii="宋体" w:hAnsi="宋体" w:eastAsia="宋体" w:cs="宋体"/>
                <w:color w:val="auto"/>
                <w:sz w:val="24"/>
                <w:szCs w:val="24"/>
                <w:highlight w:val="none"/>
              </w:rPr>
            </w:pPr>
          </w:p>
        </w:tc>
      </w:tr>
      <w:tr w14:paraId="5A6924C0">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51700835">
            <w:pPr>
              <w:pStyle w:val="33"/>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423B1B1A">
            <w:pPr>
              <w:pStyle w:val="33"/>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71075A80">
            <w:pPr>
              <w:pStyle w:val="33"/>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766A01C3">
            <w:pPr>
              <w:pStyle w:val="33"/>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52F1E0C2">
            <w:pPr>
              <w:pStyle w:val="33"/>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0F68C556">
            <w:pPr>
              <w:pStyle w:val="33"/>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6C85482E">
            <w:pPr>
              <w:pStyle w:val="33"/>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2B9695AB">
            <w:pPr>
              <w:pStyle w:val="33"/>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0323FFD8">
            <w:pPr>
              <w:pStyle w:val="33"/>
              <w:rPr>
                <w:rFonts w:hint="eastAsia" w:ascii="宋体" w:hAnsi="宋体" w:eastAsia="宋体" w:cs="宋体"/>
                <w:color w:val="auto"/>
                <w:sz w:val="24"/>
                <w:szCs w:val="24"/>
                <w:highlight w:val="none"/>
              </w:rPr>
            </w:pPr>
          </w:p>
        </w:tc>
      </w:tr>
      <w:tr w14:paraId="7DD3FAF8">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noWrap w:val="0"/>
            <w:vAlign w:val="top"/>
          </w:tcPr>
          <w:p w14:paraId="5BEE851D">
            <w:pPr>
              <w:pStyle w:val="33"/>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noWrap w:val="0"/>
            <w:vAlign w:val="top"/>
          </w:tcPr>
          <w:p w14:paraId="6C843C20">
            <w:pPr>
              <w:pStyle w:val="33"/>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noWrap w:val="0"/>
            <w:vAlign w:val="top"/>
          </w:tcPr>
          <w:p w14:paraId="2B3CC2D3">
            <w:pPr>
              <w:pStyle w:val="33"/>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noWrap w:val="0"/>
            <w:vAlign w:val="top"/>
          </w:tcPr>
          <w:p w14:paraId="6E9E010C">
            <w:pPr>
              <w:pStyle w:val="33"/>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noWrap w:val="0"/>
            <w:vAlign w:val="top"/>
          </w:tcPr>
          <w:p w14:paraId="3CC3729B">
            <w:pPr>
              <w:pStyle w:val="33"/>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noWrap w:val="0"/>
            <w:vAlign w:val="top"/>
          </w:tcPr>
          <w:p w14:paraId="44A0B42B">
            <w:pPr>
              <w:pStyle w:val="33"/>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noWrap w:val="0"/>
            <w:vAlign w:val="top"/>
          </w:tcPr>
          <w:p w14:paraId="51FD06E4">
            <w:pPr>
              <w:pStyle w:val="33"/>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noWrap w:val="0"/>
            <w:vAlign w:val="top"/>
          </w:tcPr>
          <w:p w14:paraId="54006491">
            <w:pPr>
              <w:pStyle w:val="33"/>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noWrap w:val="0"/>
            <w:vAlign w:val="top"/>
          </w:tcPr>
          <w:p w14:paraId="43B83143">
            <w:pPr>
              <w:pStyle w:val="33"/>
              <w:rPr>
                <w:rFonts w:hint="eastAsia" w:ascii="宋体" w:hAnsi="宋体" w:eastAsia="宋体" w:cs="宋体"/>
                <w:color w:val="auto"/>
                <w:sz w:val="24"/>
                <w:szCs w:val="24"/>
                <w:highlight w:val="none"/>
              </w:rPr>
            </w:pPr>
          </w:p>
        </w:tc>
      </w:tr>
    </w:tbl>
    <w:p w14:paraId="460E6B79">
      <w:pPr>
        <w:pStyle w:val="33"/>
        <w:rPr>
          <w:rFonts w:hint="eastAsia" w:ascii="宋体" w:hAnsi="宋体" w:eastAsia="宋体" w:cs="宋体"/>
          <w:b/>
          <w:color w:val="auto"/>
          <w:highlight w:val="none"/>
        </w:rPr>
      </w:pPr>
      <w:r>
        <w:rPr>
          <w:rFonts w:hint="eastAsia" w:ascii="宋体" w:hAnsi="宋体" w:eastAsia="宋体" w:cs="宋体"/>
          <w:color w:val="auto"/>
          <w:sz w:val="20"/>
          <w:szCs w:val="20"/>
          <w:highlight w:val="none"/>
        </w:rPr>
        <w:t xml:space="preserve"> </w:t>
      </w:r>
      <w:bookmarkStart w:id="210" w:name="_Toc418751907"/>
      <w:bookmarkStart w:id="211" w:name="_Toc418752353"/>
      <w:bookmarkStart w:id="212" w:name="_Toc483317226"/>
      <w:r>
        <w:rPr>
          <w:rFonts w:hint="eastAsia" w:ascii="宋体" w:hAnsi="宋体" w:eastAsia="宋体" w:cs="宋体"/>
          <w:b/>
          <w:color w:val="auto"/>
          <w:highlight w:val="none"/>
        </w:rPr>
        <w:t>附表三：劳动力计划表</w:t>
      </w:r>
      <w:bookmarkEnd w:id="210"/>
      <w:bookmarkEnd w:id="211"/>
      <w:bookmarkEnd w:id="212"/>
    </w:p>
    <w:p w14:paraId="534FC22E">
      <w:pPr>
        <w:pStyle w:val="33"/>
        <w:jc w:val="right"/>
        <w:rPr>
          <w:rFonts w:hint="eastAsia" w:ascii="宋体" w:hAnsi="宋体" w:eastAsia="宋体" w:cs="宋体"/>
          <w:color w:val="auto"/>
          <w:highlight w:val="none"/>
        </w:rPr>
      </w:pPr>
      <w:r>
        <w:rPr>
          <w:rFonts w:hint="eastAsia" w:ascii="宋体" w:hAnsi="宋体" w:eastAsia="宋体" w:cs="宋体"/>
          <w:color w:val="auto"/>
          <w:highlight w:val="none"/>
        </w:rPr>
        <w:t>单位：人</w:t>
      </w:r>
    </w:p>
    <w:tbl>
      <w:tblPr>
        <w:tblStyle w:val="26"/>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1ED737F6">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14:paraId="1AD159EE">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工种</w:t>
            </w:r>
          </w:p>
        </w:tc>
        <w:tc>
          <w:tcPr>
            <w:tcW w:w="8710" w:type="dxa"/>
            <w:gridSpan w:val="7"/>
            <w:tcBorders>
              <w:top w:val="single" w:color="000000" w:sz="4" w:space="0"/>
              <w:left w:val="nil"/>
              <w:bottom w:val="single" w:color="000000" w:sz="4" w:space="0"/>
              <w:right w:val="single" w:color="000000" w:sz="4" w:space="0"/>
            </w:tcBorders>
            <w:noWrap w:val="0"/>
            <w:vAlign w:val="center"/>
          </w:tcPr>
          <w:p w14:paraId="2D3C41DA">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按工程施工阶段投入劳动力情况</w:t>
            </w:r>
          </w:p>
        </w:tc>
      </w:tr>
      <w:tr w14:paraId="71E667A7">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287A40E1">
            <w:pPr>
              <w:pStyle w:val="33"/>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134F33FE">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35F3A0AC">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3E39A0CF">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D600D52">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65371507">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799C65C6">
            <w:pPr>
              <w:pStyle w:val="33"/>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35AF2E1A">
            <w:pPr>
              <w:pStyle w:val="33"/>
              <w:rPr>
                <w:rFonts w:hint="eastAsia" w:ascii="宋体" w:hAnsi="宋体" w:eastAsia="宋体" w:cs="宋体"/>
                <w:color w:val="auto"/>
                <w:sz w:val="24"/>
                <w:szCs w:val="24"/>
                <w:highlight w:val="none"/>
              </w:rPr>
            </w:pPr>
          </w:p>
        </w:tc>
      </w:tr>
      <w:tr w14:paraId="3DC99832">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722498D3">
            <w:pPr>
              <w:pStyle w:val="33"/>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33A513C3">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A1A57ED">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57889A16">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4FBA112">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430919D2">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4027EF9D">
            <w:pPr>
              <w:pStyle w:val="33"/>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7B6262AA">
            <w:pPr>
              <w:pStyle w:val="33"/>
              <w:rPr>
                <w:rFonts w:hint="eastAsia" w:ascii="宋体" w:hAnsi="宋体" w:eastAsia="宋体" w:cs="宋体"/>
                <w:color w:val="auto"/>
                <w:sz w:val="24"/>
                <w:szCs w:val="24"/>
                <w:highlight w:val="none"/>
              </w:rPr>
            </w:pPr>
          </w:p>
        </w:tc>
      </w:tr>
      <w:tr w14:paraId="00C7A531">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32F86F44">
            <w:pPr>
              <w:pStyle w:val="33"/>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33DA3D62">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4B872D23">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4E8D08A3">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8BD62C3">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363BFE82">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2B6D4D69">
            <w:pPr>
              <w:pStyle w:val="33"/>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060850E6">
            <w:pPr>
              <w:pStyle w:val="33"/>
              <w:rPr>
                <w:rFonts w:hint="eastAsia" w:ascii="宋体" w:hAnsi="宋体" w:eastAsia="宋体" w:cs="宋体"/>
                <w:color w:val="auto"/>
                <w:sz w:val="24"/>
                <w:szCs w:val="24"/>
                <w:highlight w:val="none"/>
              </w:rPr>
            </w:pPr>
          </w:p>
        </w:tc>
      </w:tr>
      <w:tr w14:paraId="45B387AB">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noWrap w:val="0"/>
            <w:vAlign w:val="top"/>
          </w:tcPr>
          <w:p w14:paraId="07926597">
            <w:pPr>
              <w:pStyle w:val="33"/>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noWrap w:val="0"/>
            <w:vAlign w:val="top"/>
          </w:tcPr>
          <w:p w14:paraId="454D6109">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5D638619">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6868E59B">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6CF2B5D1">
            <w:pPr>
              <w:pStyle w:val="33"/>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noWrap w:val="0"/>
            <w:vAlign w:val="top"/>
          </w:tcPr>
          <w:p w14:paraId="0587F9B6">
            <w:pPr>
              <w:pStyle w:val="33"/>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noWrap w:val="0"/>
            <w:vAlign w:val="top"/>
          </w:tcPr>
          <w:p w14:paraId="04A97006">
            <w:pPr>
              <w:pStyle w:val="33"/>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noWrap w:val="0"/>
            <w:vAlign w:val="top"/>
          </w:tcPr>
          <w:p w14:paraId="23E97780">
            <w:pPr>
              <w:pStyle w:val="33"/>
              <w:rPr>
                <w:rFonts w:hint="eastAsia" w:ascii="宋体" w:hAnsi="宋体" w:eastAsia="宋体" w:cs="宋体"/>
                <w:color w:val="auto"/>
                <w:sz w:val="24"/>
                <w:szCs w:val="24"/>
                <w:highlight w:val="none"/>
              </w:rPr>
            </w:pPr>
          </w:p>
        </w:tc>
      </w:tr>
    </w:tbl>
    <w:p w14:paraId="6E9DCA80">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794E755">
      <w:pPr>
        <w:rPr>
          <w:rFonts w:hint="eastAsia" w:ascii="宋体" w:hAnsi="宋体" w:eastAsia="宋体" w:cs="宋体"/>
          <w:b/>
          <w:color w:val="auto"/>
          <w:highlight w:val="none"/>
        </w:rPr>
      </w:pPr>
      <w:bookmarkStart w:id="213" w:name="_Toc418751908"/>
      <w:bookmarkStart w:id="214" w:name="_Toc418752354"/>
      <w:bookmarkStart w:id="215" w:name="_Toc483317227"/>
      <w:r>
        <w:rPr>
          <w:rFonts w:hint="eastAsia" w:ascii="宋体" w:hAnsi="宋体" w:eastAsia="宋体" w:cs="宋体"/>
          <w:b/>
          <w:color w:val="auto"/>
          <w:highlight w:val="none"/>
        </w:rPr>
        <w:t>附表四：计划开、竣工日期和施工进度网络图</w:t>
      </w:r>
      <w:r>
        <w:rPr>
          <w:rFonts w:hint="eastAsia" w:ascii="宋体" w:hAnsi="宋体" w:eastAsia="宋体" w:cs="宋体"/>
          <w:b/>
          <w:color w:val="auto"/>
          <w:highlight w:val="none"/>
          <w:lang w:val="en-US" w:eastAsia="zh-CN"/>
        </w:rPr>
        <w:t>或</w:t>
      </w:r>
      <w:r>
        <w:rPr>
          <w:rFonts w:hint="eastAsia" w:ascii="宋体" w:hAnsi="宋体" w:eastAsia="宋体" w:cs="宋体"/>
          <w:b/>
          <w:color w:val="auto"/>
          <w:highlight w:val="none"/>
        </w:rPr>
        <w:t>横道图</w:t>
      </w:r>
      <w:bookmarkEnd w:id="213"/>
      <w:bookmarkEnd w:id="214"/>
      <w:bookmarkEnd w:id="215"/>
    </w:p>
    <w:p w14:paraId="22CA789E">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31091306">
      <w:pPr>
        <w:pStyle w:val="33"/>
        <w:ind w:firstLine="424"/>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应递交施工进度网络图</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横道图</w:t>
      </w:r>
      <w:r>
        <w:rPr>
          <w:rFonts w:hint="eastAsia" w:ascii="宋体" w:hAnsi="宋体" w:eastAsia="宋体" w:cs="宋体"/>
          <w:color w:val="auto"/>
          <w:spacing w:val="1"/>
          <w:highlight w:val="none"/>
        </w:rPr>
        <w:t>，说</w:t>
      </w:r>
      <w:r>
        <w:rPr>
          <w:rFonts w:hint="eastAsia" w:ascii="宋体" w:hAnsi="宋体" w:eastAsia="宋体" w:cs="宋体"/>
          <w:color w:val="auto"/>
          <w:spacing w:val="2"/>
          <w:highlight w:val="none"/>
        </w:rPr>
        <w:t>明</w:t>
      </w:r>
      <w:r>
        <w:rPr>
          <w:rFonts w:hint="eastAsia" w:ascii="宋体" w:hAnsi="宋体" w:eastAsia="宋体" w:cs="宋体"/>
          <w:color w:val="auto"/>
          <w:spacing w:val="1"/>
          <w:highlight w:val="none"/>
        </w:rPr>
        <w:t>按</w:t>
      </w:r>
      <w:r>
        <w:rPr>
          <w:rFonts w:hint="eastAsia" w:ascii="宋体" w:hAnsi="宋体" w:eastAsia="宋体" w:cs="宋体"/>
          <w:color w:val="auto"/>
          <w:spacing w:val="2"/>
          <w:highlight w:val="none"/>
          <w:lang w:val="en-US" w:eastAsia="zh-CN"/>
        </w:rPr>
        <w:t>竞争性磋商</w:t>
      </w:r>
      <w:r>
        <w:rPr>
          <w:rFonts w:hint="eastAsia" w:ascii="宋体" w:hAnsi="宋体" w:eastAsia="宋体" w:cs="宋体"/>
          <w:color w:val="auto"/>
          <w:spacing w:val="1"/>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spacing w:val="1"/>
          <w:highlight w:val="none"/>
        </w:rPr>
        <w:t>要</w:t>
      </w:r>
      <w:r>
        <w:rPr>
          <w:rFonts w:hint="eastAsia" w:ascii="宋体" w:hAnsi="宋体" w:eastAsia="宋体" w:cs="宋体"/>
          <w:color w:val="auto"/>
          <w:spacing w:val="2"/>
          <w:highlight w:val="none"/>
        </w:rPr>
        <w:t>求</w:t>
      </w:r>
      <w:r>
        <w:rPr>
          <w:rFonts w:hint="eastAsia" w:ascii="宋体" w:hAnsi="宋体" w:eastAsia="宋体" w:cs="宋体"/>
          <w:color w:val="auto"/>
          <w:spacing w:val="1"/>
          <w:highlight w:val="none"/>
        </w:rPr>
        <w:t>的计</w:t>
      </w:r>
      <w:r>
        <w:rPr>
          <w:rFonts w:hint="eastAsia" w:ascii="宋体" w:hAnsi="宋体" w:eastAsia="宋体" w:cs="宋体"/>
          <w:color w:val="auto"/>
          <w:spacing w:val="2"/>
          <w:highlight w:val="none"/>
        </w:rPr>
        <w:t>划</w:t>
      </w:r>
      <w:r>
        <w:rPr>
          <w:rFonts w:hint="eastAsia" w:ascii="宋体" w:hAnsi="宋体" w:eastAsia="宋体" w:cs="宋体"/>
          <w:color w:val="auto"/>
          <w:spacing w:val="1"/>
          <w:highlight w:val="none"/>
        </w:rPr>
        <w:t>工</w:t>
      </w:r>
      <w:r>
        <w:rPr>
          <w:rFonts w:hint="eastAsia" w:ascii="宋体" w:hAnsi="宋体" w:eastAsia="宋体" w:cs="宋体"/>
          <w:color w:val="auto"/>
          <w:spacing w:val="4"/>
          <w:highlight w:val="none"/>
        </w:rPr>
        <w:t>期</w:t>
      </w:r>
      <w:r>
        <w:rPr>
          <w:rFonts w:hint="eastAsia" w:ascii="宋体" w:hAnsi="宋体" w:eastAsia="宋体" w:cs="宋体"/>
          <w:color w:val="auto"/>
          <w:spacing w:val="2"/>
          <w:highlight w:val="none"/>
        </w:rPr>
        <w:t>进</w:t>
      </w:r>
      <w:r>
        <w:rPr>
          <w:rFonts w:hint="eastAsia" w:ascii="宋体" w:hAnsi="宋体" w:eastAsia="宋体" w:cs="宋体"/>
          <w:color w:val="auto"/>
          <w:spacing w:val="1"/>
          <w:highlight w:val="none"/>
        </w:rPr>
        <w:t>行</w:t>
      </w:r>
      <w:r>
        <w:rPr>
          <w:rFonts w:hint="eastAsia" w:ascii="宋体" w:hAnsi="宋体" w:eastAsia="宋体" w:cs="宋体"/>
          <w:color w:val="auto"/>
          <w:highlight w:val="none"/>
        </w:rPr>
        <w:t>施工的各个关键日期。</w:t>
      </w:r>
    </w:p>
    <w:p w14:paraId="4DE79196">
      <w:pPr>
        <w:pStyle w:val="33"/>
        <w:ind w:firstLine="424"/>
        <w:rPr>
          <w:rFonts w:hint="eastAsia" w:ascii="宋体" w:hAnsi="宋体" w:eastAsia="宋体" w:cs="宋体"/>
          <w:color w:val="auto"/>
          <w:highlight w:val="none"/>
        </w:rPr>
      </w:pPr>
      <w:r>
        <w:rPr>
          <w:rFonts w:hint="eastAsia" w:ascii="宋体" w:hAnsi="宋体" w:eastAsia="宋体" w:cs="宋体"/>
          <w:color w:val="auto"/>
          <w:highlight w:val="none"/>
        </w:rPr>
        <w:t>2.计划开工日期：</w:t>
      </w:r>
      <w:r>
        <w:rPr>
          <w:rFonts w:hint="eastAsia" w:ascii="宋体" w:hAnsi="宋体"/>
          <w:color w:val="auto"/>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14:paraId="5BD5C5E1">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841B69C">
      <w:pPr>
        <w:rPr>
          <w:rFonts w:hint="eastAsia" w:ascii="宋体" w:hAnsi="宋体" w:eastAsia="宋体" w:cs="宋体"/>
          <w:b/>
          <w:color w:val="auto"/>
          <w:highlight w:val="none"/>
        </w:rPr>
      </w:pPr>
      <w:bookmarkStart w:id="216" w:name="_Toc483317228"/>
      <w:bookmarkStart w:id="217" w:name="_Toc418751909"/>
      <w:bookmarkStart w:id="218" w:name="_Toc418752355"/>
      <w:r>
        <w:rPr>
          <w:rFonts w:hint="eastAsia" w:ascii="宋体" w:hAnsi="宋体" w:eastAsia="宋体" w:cs="宋体"/>
          <w:b/>
          <w:color w:val="auto"/>
          <w:highlight w:val="none"/>
        </w:rPr>
        <w:t>附表五：施工总平面图</w:t>
      </w:r>
      <w:bookmarkEnd w:id="216"/>
      <w:bookmarkEnd w:id="217"/>
      <w:bookmarkEnd w:id="218"/>
    </w:p>
    <w:p w14:paraId="6DE710EB">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6DCA4880">
      <w:pPr>
        <w:pStyle w:val="33"/>
        <w:ind w:firstLine="4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应递交一份施工总平面图</w:t>
      </w:r>
      <w:r>
        <w:rPr>
          <w:rFonts w:hint="eastAsia" w:ascii="宋体" w:hAnsi="宋体" w:eastAsia="宋体" w:cs="宋体"/>
          <w:color w:val="auto"/>
          <w:spacing w:val="-47"/>
          <w:highlight w:val="none"/>
        </w:rPr>
        <w:t>，</w:t>
      </w:r>
      <w:r>
        <w:rPr>
          <w:rFonts w:hint="eastAsia" w:ascii="宋体" w:hAnsi="宋体" w:eastAsia="宋体" w:cs="宋体"/>
          <w:color w:val="auto"/>
          <w:highlight w:val="none"/>
        </w:rPr>
        <w:t>绘出现场临时设施布置图表并附文字说明</w:t>
      </w:r>
      <w:r>
        <w:rPr>
          <w:rFonts w:hint="eastAsia" w:ascii="宋体" w:hAnsi="宋体" w:eastAsia="宋体" w:cs="宋体"/>
          <w:color w:val="auto"/>
          <w:spacing w:val="-47"/>
          <w:highlight w:val="none"/>
        </w:rPr>
        <w:t>，</w:t>
      </w:r>
      <w:r>
        <w:rPr>
          <w:rFonts w:hint="eastAsia" w:ascii="宋体" w:hAnsi="宋体" w:eastAsia="宋体" w:cs="宋体"/>
          <w:color w:val="auto"/>
          <w:highlight w:val="none"/>
        </w:rPr>
        <w:t>说明临时设施</w:t>
      </w:r>
      <w:r>
        <w:rPr>
          <w:rFonts w:hint="eastAsia" w:ascii="宋体" w:hAnsi="宋体" w:eastAsia="宋体" w:cs="宋体"/>
          <w:color w:val="auto"/>
          <w:spacing w:val="-11"/>
          <w:highlight w:val="none"/>
        </w:rPr>
        <w:t>、</w:t>
      </w:r>
      <w:r>
        <w:rPr>
          <w:rFonts w:hint="eastAsia" w:ascii="宋体" w:hAnsi="宋体" w:eastAsia="宋体" w:cs="宋体"/>
          <w:color w:val="auto"/>
          <w:highlight w:val="none"/>
        </w:rPr>
        <w:t>加工车间</w:t>
      </w:r>
      <w:r>
        <w:rPr>
          <w:rFonts w:hint="eastAsia" w:ascii="宋体" w:hAnsi="宋体" w:eastAsia="宋体" w:cs="宋体"/>
          <w:color w:val="auto"/>
          <w:spacing w:val="-11"/>
          <w:highlight w:val="none"/>
        </w:rPr>
        <w:t>、</w:t>
      </w:r>
      <w:r>
        <w:rPr>
          <w:rFonts w:hint="eastAsia" w:ascii="宋体" w:hAnsi="宋体" w:eastAsia="宋体" w:cs="宋体"/>
          <w:color w:val="auto"/>
          <w:highlight w:val="none"/>
        </w:rPr>
        <w:t>现场办公</w:t>
      </w:r>
      <w:r>
        <w:rPr>
          <w:rFonts w:hint="eastAsia" w:ascii="宋体" w:hAnsi="宋体" w:eastAsia="宋体" w:cs="宋体"/>
          <w:color w:val="auto"/>
          <w:spacing w:val="-11"/>
          <w:highlight w:val="none"/>
        </w:rPr>
        <w:t>、</w:t>
      </w:r>
      <w:r>
        <w:rPr>
          <w:rFonts w:hint="eastAsia" w:ascii="宋体" w:hAnsi="宋体" w:eastAsia="宋体" w:cs="宋体"/>
          <w:color w:val="auto"/>
          <w:highlight w:val="none"/>
        </w:rPr>
        <w:t>设备及仓储</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供电</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供水</w:t>
      </w:r>
      <w:r>
        <w:rPr>
          <w:rFonts w:hint="eastAsia" w:ascii="宋体" w:hAnsi="宋体" w:eastAsia="宋体" w:cs="宋体"/>
          <w:color w:val="auto"/>
          <w:spacing w:val="-10"/>
          <w:highlight w:val="none"/>
        </w:rPr>
        <w:t>、</w:t>
      </w:r>
      <w:r>
        <w:rPr>
          <w:rFonts w:hint="eastAsia" w:ascii="宋体" w:hAnsi="宋体" w:eastAsia="宋体" w:cs="宋体"/>
          <w:color w:val="auto"/>
          <w:highlight w:val="none"/>
        </w:rPr>
        <w:t>卫生</w:t>
      </w:r>
      <w:r>
        <w:rPr>
          <w:rFonts w:hint="eastAsia" w:ascii="宋体" w:hAnsi="宋体" w:eastAsia="宋体" w:cs="宋体"/>
          <w:color w:val="auto"/>
          <w:spacing w:val="-11"/>
          <w:highlight w:val="none"/>
        </w:rPr>
        <w:t>、</w:t>
      </w:r>
      <w:r>
        <w:rPr>
          <w:rFonts w:hint="eastAsia" w:ascii="宋体" w:hAnsi="宋体" w:eastAsia="宋体" w:cs="宋体"/>
          <w:color w:val="auto"/>
          <w:highlight w:val="none"/>
        </w:rPr>
        <w:t>生活</w:t>
      </w:r>
      <w:r>
        <w:rPr>
          <w:rFonts w:hint="eastAsia" w:ascii="宋体" w:hAnsi="宋体" w:eastAsia="宋体" w:cs="宋体"/>
          <w:color w:val="auto"/>
          <w:spacing w:val="-11"/>
          <w:highlight w:val="none"/>
        </w:rPr>
        <w:t>、</w:t>
      </w:r>
      <w:r>
        <w:rPr>
          <w:rFonts w:hint="eastAsia" w:ascii="宋体" w:hAnsi="宋体" w:eastAsia="宋体" w:cs="宋体"/>
          <w:color w:val="auto"/>
          <w:highlight w:val="none"/>
        </w:rPr>
        <w:t>道路</w:t>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消</w:t>
      </w:r>
      <w:r>
        <w:rPr>
          <w:rFonts w:hint="eastAsia" w:ascii="宋体" w:hAnsi="宋体" w:eastAsia="宋体" w:cs="宋体"/>
          <w:color w:val="auto"/>
          <w:highlight w:val="none"/>
        </w:rPr>
        <w:t>防等设施的情况和布置。</w:t>
      </w:r>
    </w:p>
    <w:p w14:paraId="15899ECB">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7C2246B7">
      <w:pPr>
        <w:rPr>
          <w:rFonts w:hint="eastAsia" w:ascii="宋体" w:hAnsi="宋体" w:eastAsia="宋体" w:cs="宋体"/>
          <w:b/>
          <w:color w:val="auto"/>
          <w:highlight w:val="none"/>
        </w:rPr>
      </w:pPr>
      <w:bookmarkStart w:id="219" w:name="_Toc483317229"/>
      <w:bookmarkStart w:id="220" w:name="_Toc418751910"/>
      <w:bookmarkStart w:id="221" w:name="_Toc418752356"/>
      <w:r>
        <w:rPr>
          <w:rFonts w:hint="eastAsia" w:ascii="宋体" w:hAnsi="宋体" w:eastAsia="宋体" w:cs="宋体"/>
          <w:b/>
          <w:color w:val="auto"/>
          <w:highlight w:val="none"/>
        </w:rPr>
        <w:t>附表六：临时用地表</w:t>
      </w:r>
      <w:bookmarkEnd w:id="219"/>
      <w:bookmarkEnd w:id="220"/>
      <w:bookmarkEnd w:id="221"/>
    </w:p>
    <w:tbl>
      <w:tblPr>
        <w:tblStyle w:val="26"/>
        <w:tblW w:w="9648" w:type="dxa"/>
        <w:tblInd w:w="-5" w:type="dxa"/>
        <w:tblLayout w:type="fixed"/>
        <w:tblCellMar>
          <w:top w:w="0" w:type="dxa"/>
          <w:left w:w="0" w:type="dxa"/>
          <w:bottom w:w="0" w:type="dxa"/>
          <w:right w:w="0" w:type="dxa"/>
        </w:tblCellMar>
      </w:tblPr>
      <w:tblGrid>
        <w:gridCol w:w="2412"/>
        <w:gridCol w:w="2412"/>
        <w:gridCol w:w="2412"/>
        <w:gridCol w:w="2412"/>
      </w:tblGrid>
      <w:tr w14:paraId="372CD616">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center"/>
          </w:tcPr>
          <w:p w14:paraId="7E040CAB">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 </w:t>
            </w:r>
            <w:r>
              <w:rPr>
                <w:rFonts w:hint="eastAsia" w:ascii="宋体" w:hAnsi="宋体" w:eastAsia="宋体" w:cs="宋体"/>
                <w:color w:val="auto"/>
                <w:spacing w:val="1"/>
                <w:highlight w:val="none"/>
              </w:rPr>
              <w:t> </w:t>
            </w:r>
            <w:r>
              <w:rPr>
                <w:rFonts w:hint="eastAsia" w:ascii="宋体" w:hAnsi="宋体" w:eastAsia="宋体" w:cs="宋体"/>
                <w:color w:val="auto"/>
                <w:highlight w:val="none"/>
              </w:rPr>
              <w:t>途</w:t>
            </w:r>
          </w:p>
        </w:tc>
        <w:tc>
          <w:tcPr>
            <w:tcW w:w="2412" w:type="dxa"/>
            <w:tcBorders>
              <w:top w:val="single" w:color="000000" w:sz="4" w:space="0"/>
              <w:left w:val="nil"/>
              <w:bottom w:val="single" w:color="000000" w:sz="4" w:space="0"/>
              <w:right w:val="single" w:color="000000" w:sz="4" w:space="0"/>
            </w:tcBorders>
            <w:noWrap w:val="0"/>
            <w:vAlign w:val="center"/>
          </w:tcPr>
          <w:p w14:paraId="07036B70">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面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积（平</w:t>
            </w:r>
            <w:r>
              <w:rPr>
                <w:rFonts w:hint="eastAsia" w:ascii="宋体" w:hAnsi="宋体" w:eastAsia="宋体" w:cs="宋体"/>
                <w:color w:val="auto"/>
                <w:spacing w:val="-1"/>
                <w:highlight w:val="none"/>
              </w:rPr>
              <w:t>方</w:t>
            </w:r>
            <w:r>
              <w:rPr>
                <w:rFonts w:hint="eastAsia" w:ascii="宋体" w:hAnsi="宋体" w:eastAsia="宋体" w:cs="宋体"/>
                <w:color w:val="auto"/>
                <w:highlight w:val="none"/>
              </w:rPr>
              <w:t>米）</w:t>
            </w:r>
          </w:p>
        </w:tc>
        <w:tc>
          <w:tcPr>
            <w:tcW w:w="2412" w:type="dxa"/>
            <w:tcBorders>
              <w:top w:val="single" w:color="000000" w:sz="4" w:space="0"/>
              <w:left w:val="nil"/>
              <w:bottom w:val="single" w:color="000000" w:sz="4" w:space="0"/>
              <w:right w:val="single" w:color="000000" w:sz="4" w:space="0"/>
            </w:tcBorders>
            <w:noWrap w:val="0"/>
            <w:vAlign w:val="center"/>
          </w:tcPr>
          <w:p w14:paraId="0D705D34">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位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置</w:t>
            </w:r>
          </w:p>
        </w:tc>
        <w:tc>
          <w:tcPr>
            <w:tcW w:w="2412" w:type="dxa"/>
            <w:tcBorders>
              <w:top w:val="single" w:color="000000" w:sz="4" w:space="0"/>
              <w:left w:val="nil"/>
              <w:bottom w:val="single" w:color="000000" w:sz="4" w:space="0"/>
              <w:right w:val="single" w:color="000000" w:sz="4" w:space="0"/>
            </w:tcBorders>
            <w:noWrap w:val="0"/>
            <w:vAlign w:val="center"/>
          </w:tcPr>
          <w:p w14:paraId="7051CB0D">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需用时间</w:t>
            </w:r>
          </w:p>
        </w:tc>
      </w:tr>
      <w:tr w14:paraId="356685AC">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789B4EC7">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248274F9">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FB9E34A">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434BD77F">
            <w:pPr>
              <w:pStyle w:val="33"/>
              <w:rPr>
                <w:rFonts w:hint="eastAsia" w:ascii="宋体" w:hAnsi="宋体" w:eastAsia="宋体" w:cs="宋体"/>
                <w:color w:val="auto"/>
                <w:sz w:val="24"/>
                <w:szCs w:val="24"/>
                <w:highlight w:val="none"/>
              </w:rPr>
            </w:pPr>
          </w:p>
        </w:tc>
      </w:tr>
      <w:tr w14:paraId="43F2A18B">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40777BAA">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7D70AC2D">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7D455713">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8BCD2B3">
            <w:pPr>
              <w:pStyle w:val="33"/>
              <w:rPr>
                <w:rFonts w:hint="eastAsia" w:ascii="宋体" w:hAnsi="宋体" w:eastAsia="宋体" w:cs="宋体"/>
                <w:color w:val="auto"/>
                <w:sz w:val="24"/>
                <w:szCs w:val="24"/>
                <w:highlight w:val="none"/>
              </w:rPr>
            </w:pPr>
          </w:p>
        </w:tc>
      </w:tr>
      <w:tr w14:paraId="3030539A">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noWrap w:val="0"/>
            <w:vAlign w:val="top"/>
          </w:tcPr>
          <w:p w14:paraId="668A1CA5">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5FABC4E8">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04DE7132">
            <w:pPr>
              <w:pStyle w:val="33"/>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noWrap w:val="0"/>
            <w:vAlign w:val="top"/>
          </w:tcPr>
          <w:p w14:paraId="51765290">
            <w:pPr>
              <w:pStyle w:val="33"/>
              <w:rPr>
                <w:rFonts w:hint="eastAsia" w:ascii="宋体" w:hAnsi="宋体" w:eastAsia="宋体" w:cs="宋体"/>
                <w:color w:val="auto"/>
                <w:sz w:val="24"/>
                <w:szCs w:val="24"/>
                <w:highlight w:val="none"/>
              </w:rPr>
            </w:pPr>
          </w:p>
        </w:tc>
      </w:tr>
    </w:tbl>
    <w:p w14:paraId="6E7C9B3F">
      <w:pPr>
        <w:pStyle w:val="33"/>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1AC9373">
      <w:pPr>
        <w:pStyle w:val="33"/>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FA93032">
      <w:pPr>
        <w:pStyle w:val="33"/>
        <w:rPr>
          <w:rFonts w:hint="eastAsia" w:ascii="宋体" w:hAnsi="宋体" w:eastAsia="宋体" w:cs="宋体"/>
          <w:color w:val="auto"/>
          <w:highlight w:val="none"/>
        </w:rPr>
      </w:pPr>
    </w:p>
    <w:p w14:paraId="21A88141">
      <w:pPr>
        <w:pStyle w:val="6"/>
        <w:widowControl w:val="0"/>
        <w:numPr>
          <w:ilvl w:val="0"/>
          <w:numId w:val="0"/>
        </w:numPr>
        <w:jc w:val="both"/>
        <w:rPr>
          <w:rFonts w:hint="eastAsia"/>
          <w:color w:val="auto"/>
          <w:highlight w:val="none"/>
        </w:rPr>
      </w:pPr>
    </w:p>
    <w:p w14:paraId="1AE52360">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9A0429C">
      <w:pPr>
        <w:pStyle w:val="11"/>
        <w:spacing w:line="300" w:lineRule="exact"/>
        <w:ind w:left="2940" w:leftChars="1400" w:firstLine="630" w:firstLineChars="300"/>
        <w:rPr>
          <w:rFonts w:hint="eastAsia" w:ascii="宋体" w:hAnsi="宋体" w:eastAsia="宋体" w:cs="宋体"/>
          <w:color w:val="auto"/>
          <w:highlight w:val="none"/>
        </w:rPr>
      </w:pPr>
    </w:p>
    <w:p w14:paraId="7E38293D">
      <w:pPr>
        <w:pStyle w:val="11"/>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75C36442">
      <w:pPr>
        <w:pStyle w:val="11"/>
        <w:spacing w:line="300" w:lineRule="exact"/>
        <w:rPr>
          <w:rFonts w:hint="eastAsia" w:ascii="宋体" w:hAnsi="宋体" w:eastAsia="宋体" w:cs="宋体"/>
          <w:b/>
          <w:color w:val="auto"/>
          <w:sz w:val="28"/>
          <w:szCs w:val="28"/>
          <w:highlight w:val="none"/>
        </w:rPr>
      </w:pPr>
    </w:p>
    <w:p w14:paraId="18857C30">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4A4BD07">
      <w:pPr>
        <w:pStyle w:val="3"/>
        <w:rPr>
          <w:rFonts w:hint="eastAsia"/>
          <w:color w:val="auto"/>
          <w:highlight w:val="none"/>
        </w:rPr>
      </w:pPr>
    </w:p>
    <w:p w14:paraId="40E2F928">
      <w:pPr>
        <w:rPr>
          <w:rFonts w:hint="eastAsia"/>
          <w:color w:val="auto"/>
          <w:highlight w:val="none"/>
        </w:rPr>
      </w:pPr>
    </w:p>
    <w:p w14:paraId="7230F7BA">
      <w:pPr>
        <w:pStyle w:val="3"/>
        <w:rPr>
          <w:rFonts w:hint="eastAsia"/>
          <w:color w:val="auto"/>
          <w:highlight w:val="none"/>
        </w:rPr>
      </w:pPr>
    </w:p>
    <w:p w14:paraId="1541DCD9">
      <w:pPr>
        <w:rPr>
          <w:rFonts w:hint="eastAsia"/>
          <w:color w:val="auto"/>
          <w:highlight w:val="none"/>
        </w:rPr>
      </w:pPr>
    </w:p>
    <w:p w14:paraId="7ABDA2BD">
      <w:pPr>
        <w:pStyle w:val="11"/>
        <w:numPr>
          <w:ilvl w:val="0"/>
          <w:numId w:val="0"/>
        </w:numPr>
        <w:spacing w:line="340" w:lineRule="exact"/>
        <w:rPr>
          <w:rFonts w:hint="eastAsia" w:ascii="宋体" w:hAnsi="宋体" w:eastAsia="宋体" w:cs="宋体"/>
          <w:b/>
          <w:color w:val="auto"/>
          <w:sz w:val="28"/>
          <w:szCs w:val="28"/>
          <w:highlight w:val="none"/>
          <w:lang w:val="en-US" w:eastAsia="zh-CN"/>
        </w:rPr>
      </w:pPr>
    </w:p>
    <w:p w14:paraId="6DCA61E8">
      <w:pPr>
        <w:pStyle w:val="11"/>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7.工程完工服务承诺书（必须提供）</w:t>
      </w:r>
      <w:r>
        <w:rPr>
          <w:rFonts w:hint="eastAsia" w:ascii="宋体" w:hAnsi="宋体" w:eastAsia="宋体" w:cs="宋体"/>
          <w:b/>
          <w:color w:val="auto"/>
          <w:sz w:val="28"/>
          <w:szCs w:val="28"/>
          <w:highlight w:val="none"/>
        </w:rPr>
        <w:t>；</w:t>
      </w:r>
    </w:p>
    <w:p w14:paraId="5AA0053B">
      <w:pPr>
        <w:spacing w:line="360" w:lineRule="auto"/>
        <w:jc w:val="center"/>
        <w:rPr>
          <w:rFonts w:hint="eastAsia" w:ascii="宋体" w:hAnsi="宋体" w:cs="宋体"/>
          <w:b/>
          <w:color w:val="auto"/>
          <w:sz w:val="24"/>
          <w:szCs w:val="24"/>
          <w:highlight w:val="none"/>
        </w:rPr>
      </w:pPr>
    </w:p>
    <w:p w14:paraId="2FF45ED8">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工程完工服务承诺书（格式）</w:t>
      </w:r>
    </w:p>
    <w:p w14:paraId="6E9184F2">
      <w:pPr>
        <w:pStyle w:val="11"/>
        <w:jc w:val="center"/>
        <w:rPr>
          <w:rFonts w:hint="eastAsia" w:hAnsi="宋体" w:cs="宋体"/>
          <w:color w:val="auto"/>
          <w:highlight w:val="none"/>
        </w:rPr>
      </w:pPr>
      <w:r>
        <w:rPr>
          <w:rFonts w:hint="eastAsia" w:hAnsi="宋体" w:cs="宋体"/>
          <w:color w:val="auto"/>
          <w:highlight w:val="none"/>
        </w:rPr>
        <w:t>（由</w:t>
      </w:r>
      <w:r>
        <w:rPr>
          <w:rFonts w:hint="eastAsia" w:hAnsi="宋体" w:cs="宋体"/>
          <w:color w:val="auto"/>
          <w:szCs w:val="21"/>
          <w:highlight w:val="none"/>
        </w:rPr>
        <w:t>供应商</w:t>
      </w:r>
      <w:r>
        <w:rPr>
          <w:rFonts w:hint="eastAsia" w:hAnsi="宋体" w:cs="宋体"/>
          <w:color w:val="auto"/>
          <w:highlight w:val="none"/>
        </w:rPr>
        <w:t>按《工程量清单》中工程完工服务及要求自行分别填写）</w:t>
      </w:r>
    </w:p>
    <w:p w14:paraId="76058288">
      <w:pPr>
        <w:pStyle w:val="11"/>
        <w:rPr>
          <w:rFonts w:hint="eastAsia" w:hAnsi="宋体" w:cs="宋体"/>
          <w:color w:val="auto"/>
          <w:highlight w:val="none"/>
        </w:rPr>
      </w:pPr>
    </w:p>
    <w:p w14:paraId="3E07FEF0">
      <w:pPr>
        <w:widowControl/>
        <w:ind w:firstLine="1470" w:firstLineChars="700"/>
        <w:jc w:val="left"/>
        <w:rPr>
          <w:rFonts w:hint="eastAsia" w:ascii="宋体" w:hAnsi="宋体" w:eastAsia="宋体" w:cs="宋体"/>
          <w:color w:val="auto"/>
          <w:szCs w:val="21"/>
          <w:highlight w:val="none"/>
          <w:lang w:eastAsia="zh-CN"/>
        </w:rPr>
      </w:pPr>
    </w:p>
    <w:p w14:paraId="0869008F">
      <w:pPr>
        <w:widowControl/>
        <w:ind w:firstLine="1470" w:firstLineChars="700"/>
        <w:jc w:val="left"/>
        <w:rPr>
          <w:rFonts w:hint="eastAsia" w:ascii="宋体" w:hAnsi="宋体" w:eastAsia="宋体" w:cs="宋体"/>
          <w:color w:val="auto"/>
          <w:szCs w:val="21"/>
          <w:highlight w:val="none"/>
          <w:lang w:eastAsia="zh-CN"/>
        </w:rPr>
      </w:pPr>
    </w:p>
    <w:p w14:paraId="07C1176A">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5E6BE189">
      <w:pPr>
        <w:pStyle w:val="11"/>
        <w:spacing w:line="300" w:lineRule="exact"/>
        <w:ind w:left="2940" w:leftChars="1400" w:firstLine="630" w:firstLineChars="300"/>
        <w:rPr>
          <w:rFonts w:hint="eastAsia" w:ascii="宋体" w:hAnsi="宋体" w:eastAsia="宋体" w:cs="宋体"/>
          <w:color w:val="auto"/>
          <w:highlight w:val="none"/>
        </w:rPr>
      </w:pPr>
    </w:p>
    <w:p w14:paraId="24148CA0">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1B9FBC0">
      <w:pPr>
        <w:pStyle w:val="3"/>
        <w:rPr>
          <w:rFonts w:hint="eastAsia" w:ascii="宋体" w:hAnsi="宋体" w:eastAsia="宋体" w:cs="宋体"/>
          <w:b/>
          <w:color w:val="auto"/>
          <w:sz w:val="28"/>
          <w:szCs w:val="28"/>
          <w:highlight w:val="none"/>
          <w:lang w:val="en-US" w:eastAsia="zh-CN"/>
        </w:rPr>
      </w:pPr>
    </w:p>
    <w:p w14:paraId="17CB41D4">
      <w:pPr>
        <w:rPr>
          <w:rFonts w:hint="eastAsia" w:ascii="宋体" w:hAnsi="宋体" w:eastAsia="宋体" w:cs="宋体"/>
          <w:b/>
          <w:color w:val="auto"/>
          <w:sz w:val="28"/>
          <w:szCs w:val="28"/>
          <w:highlight w:val="none"/>
          <w:lang w:val="en-US" w:eastAsia="zh-CN"/>
        </w:rPr>
      </w:pPr>
      <w:bookmarkStart w:id="222" w:name="_Toc24798"/>
      <w:bookmarkStart w:id="223" w:name="_Toc32582"/>
      <w:bookmarkStart w:id="224" w:name="_Toc21891"/>
      <w:bookmarkStart w:id="225" w:name="_Toc15900"/>
      <w:r>
        <w:rPr>
          <w:rFonts w:hint="eastAsia" w:ascii="宋体" w:hAnsi="宋体" w:eastAsia="宋体" w:cs="宋体"/>
          <w:b/>
          <w:color w:val="auto"/>
          <w:sz w:val="28"/>
          <w:szCs w:val="28"/>
          <w:highlight w:val="none"/>
          <w:lang w:val="en-US" w:eastAsia="zh-CN"/>
        </w:rPr>
        <w:br w:type="page"/>
      </w:r>
    </w:p>
    <w:p w14:paraId="00A3CF2B">
      <w:pPr>
        <w:pStyle w:val="3"/>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8.农民工工资保障金交纳与使用承诺书（必须提供）</w:t>
      </w:r>
      <w:bookmarkEnd w:id="222"/>
      <w:bookmarkEnd w:id="223"/>
      <w:r>
        <w:rPr>
          <w:rFonts w:hint="eastAsia" w:ascii="宋体" w:hAnsi="宋体" w:eastAsia="宋体" w:cs="宋体"/>
          <w:b/>
          <w:color w:val="auto"/>
          <w:sz w:val="28"/>
          <w:szCs w:val="28"/>
          <w:highlight w:val="none"/>
          <w:lang w:val="en-US" w:eastAsia="zh-CN"/>
        </w:rPr>
        <w:t>；</w:t>
      </w:r>
      <w:bookmarkEnd w:id="224"/>
      <w:bookmarkEnd w:id="225"/>
    </w:p>
    <w:p w14:paraId="00FC2634">
      <w:pPr>
        <w:spacing w:line="420" w:lineRule="exact"/>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14:paraId="2393B840">
      <w:pPr>
        <w:spacing w:line="420" w:lineRule="exact"/>
        <w:rPr>
          <w:rFonts w:hint="eastAsia" w:ascii="宋体" w:hAnsi="宋体" w:cs="宋体"/>
          <w:color w:val="auto"/>
          <w:kern w:val="0"/>
          <w:szCs w:val="21"/>
          <w:highlight w:val="none"/>
        </w:rPr>
      </w:pPr>
    </w:p>
    <w:p w14:paraId="2A8E10CE">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lang w:eastAsia="zh-CN"/>
        </w:rPr>
        <w:t>广西中承建设工程咨询有限公司</w:t>
      </w:r>
    </w:p>
    <w:p w14:paraId="1A02E592">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65C3D875">
      <w:pPr>
        <w:spacing w:line="420" w:lineRule="exact"/>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1FB679A0">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2. 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77C4D2D2">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0734C62E">
      <w:pPr>
        <w:numPr>
          <w:ilvl w:val="0"/>
          <w:numId w:val="0"/>
        </w:numPr>
        <w:ind w:leftChars="200"/>
        <w:rPr>
          <w:rFonts w:hint="eastAsia"/>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14:paraId="2FAC2050">
      <w:pPr>
        <w:pStyle w:val="11"/>
        <w:spacing w:line="340" w:lineRule="exact"/>
        <w:rPr>
          <w:rFonts w:hint="eastAsia" w:ascii="宋体" w:hAnsi="宋体" w:eastAsia="宋体" w:cs="宋体"/>
          <w:b/>
          <w:color w:val="auto"/>
          <w:sz w:val="28"/>
          <w:szCs w:val="28"/>
          <w:highlight w:val="none"/>
        </w:rPr>
      </w:pPr>
    </w:p>
    <w:p w14:paraId="51C66D3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226" w:name="_Toc9339"/>
      <w:bookmarkStart w:id="227" w:name="_Toc28672"/>
      <w:bookmarkStart w:id="228" w:name="_Toc497927084"/>
    </w:p>
    <w:p w14:paraId="5DCDA73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p>
    <w:p w14:paraId="0DC3303C">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C4D2448">
      <w:pPr>
        <w:pStyle w:val="11"/>
        <w:spacing w:line="300" w:lineRule="exact"/>
        <w:ind w:left="2940" w:leftChars="1400" w:firstLine="630" w:firstLineChars="300"/>
        <w:rPr>
          <w:rFonts w:hint="eastAsia" w:ascii="宋体" w:hAnsi="宋体" w:eastAsia="宋体" w:cs="宋体"/>
          <w:color w:val="auto"/>
          <w:highlight w:val="none"/>
        </w:rPr>
      </w:pPr>
    </w:p>
    <w:p w14:paraId="198FD09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0AC4A254">
      <w:pPr>
        <w:pStyle w:val="3"/>
        <w:numPr>
          <w:ilvl w:val="0"/>
          <w:numId w:val="0"/>
        </w:numPr>
        <w:rPr>
          <w:rFonts w:hint="eastAsia" w:ascii="宋体" w:hAnsi="宋体" w:eastAsia="宋体" w:cs="宋体"/>
          <w:b/>
          <w:color w:val="auto"/>
          <w:sz w:val="28"/>
          <w:szCs w:val="28"/>
          <w:highlight w:val="none"/>
          <w:lang w:val="en-US" w:eastAsia="zh-CN"/>
        </w:rPr>
      </w:pPr>
    </w:p>
    <w:p w14:paraId="73A9EF9D">
      <w:pPr>
        <w:rPr>
          <w:rFonts w:hint="eastAsia" w:ascii="宋体" w:hAnsi="宋体" w:eastAsia="宋体" w:cs="宋体"/>
          <w:b/>
          <w:color w:val="auto"/>
          <w:sz w:val="28"/>
          <w:szCs w:val="28"/>
          <w:highlight w:val="none"/>
          <w:lang w:val="en-US" w:eastAsia="zh-CN"/>
        </w:rPr>
      </w:pPr>
      <w:bookmarkStart w:id="229" w:name="_Toc21352"/>
      <w:bookmarkStart w:id="230" w:name="_Toc10529"/>
      <w:bookmarkStart w:id="231" w:name="_Toc25294"/>
      <w:bookmarkStart w:id="232" w:name="_Toc297"/>
      <w:r>
        <w:rPr>
          <w:rFonts w:hint="eastAsia" w:ascii="宋体" w:hAnsi="宋体" w:eastAsia="宋体" w:cs="宋体"/>
          <w:b/>
          <w:color w:val="auto"/>
          <w:sz w:val="28"/>
          <w:szCs w:val="28"/>
          <w:highlight w:val="none"/>
          <w:lang w:val="en-US" w:eastAsia="zh-CN"/>
        </w:rPr>
        <w:br w:type="page"/>
      </w:r>
    </w:p>
    <w:p w14:paraId="5E9A6D3E">
      <w:pPr>
        <w:pStyle w:val="3"/>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9.城乡清洁工程渣土清运承诺书（必须提供）。</w:t>
      </w:r>
      <w:bookmarkEnd w:id="229"/>
      <w:bookmarkEnd w:id="230"/>
      <w:bookmarkEnd w:id="231"/>
      <w:bookmarkEnd w:id="232"/>
    </w:p>
    <w:p w14:paraId="4D644F32">
      <w:pPr>
        <w:widowControl w:val="0"/>
        <w:numPr>
          <w:ilvl w:val="0"/>
          <w:numId w:val="0"/>
        </w:numPr>
        <w:jc w:val="both"/>
        <w:rPr>
          <w:rFonts w:hint="eastAsia"/>
          <w:color w:val="auto"/>
          <w:highlight w:val="none"/>
        </w:rPr>
      </w:pPr>
    </w:p>
    <w:p w14:paraId="1DD3D688">
      <w:pPr>
        <w:rPr>
          <w:rFonts w:hint="eastAsia"/>
          <w:color w:val="auto"/>
          <w:highlight w:val="none"/>
        </w:rPr>
      </w:pPr>
    </w:p>
    <w:p w14:paraId="4B7285D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8C7DD3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26"/>
      <w:bookmarkEnd w:id="227"/>
      <w:bookmarkEnd w:id="228"/>
    </w:p>
    <w:p w14:paraId="19F114AC">
      <w:pPr>
        <w:spacing w:line="360" w:lineRule="auto"/>
        <w:ind w:firstLine="420" w:firstLineChars="200"/>
        <w:rPr>
          <w:rFonts w:hint="eastAsia" w:ascii="宋体" w:hAnsi="宋体" w:cs="宋体"/>
          <w:color w:val="auto"/>
          <w:sz w:val="21"/>
          <w:szCs w:val="21"/>
          <w:highlight w:val="none"/>
          <w:lang w:val="en-US" w:eastAsia="zh-CN"/>
        </w:rPr>
      </w:pPr>
    </w:p>
    <w:p w14:paraId="72F35B8C">
      <w:pPr>
        <w:spacing w:line="360" w:lineRule="auto"/>
        <w:rPr>
          <w:rFonts w:hint="eastAsia" w:ascii="宋体" w:hAnsi="宋体" w:cs="宋体"/>
          <w:color w:val="auto"/>
          <w:sz w:val="21"/>
          <w:szCs w:val="21"/>
          <w:highlight w:val="none"/>
          <w:lang w:val="en-US" w:eastAsia="zh-CN"/>
        </w:rPr>
      </w:pPr>
    </w:p>
    <w:p w14:paraId="76A08095">
      <w:pPr>
        <w:numPr>
          <w:ilvl w:val="0"/>
          <w:numId w:val="19"/>
        </w:num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供应商</w:t>
      </w:r>
      <w:r>
        <w:rPr>
          <w:rFonts w:hint="eastAsia" w:ascii="宋体" w:hAnsi="宋体" w:cs="宋体"/>
          <w:b/>
          <w:bCs/>
          <w:iCs/>
          <w:color w:val="auto"/>
          <w:kern w:val="2"/>
          <w:sz w:val="28"/>
          <w:szCs w:val="28"/>
          <w:highlight w:val="none"/>
          <w:lang w:val="en-US" w:eastAsia="zh-CN" w:bidi="ar-SA"/>
        </w:rPr>
        <w:t>2023年1月1日</w:t>
      </w:r>
      <w:r>
        <w:rPr>
          <w:rFonts w:hint="eastAsia" w:ascii="宋体" w:hAnsi="宋体" w:eastAsia="宋体" w:cs="宋体"/>
          <w:b/>
          <w:bCs/>
          <w:iCs/>
          <w:color w:val="auto"/>
          <w:kern w:val="2"/>
          <w:sz w:val="28"/>
          <w:szCs w:val="28"/>
          <w:highlight w:val="none"/>
          <w:lang w:val="en-US" w:eastAsia="zh-CN" w:bidi="ar-SA"/>
        </w:rPr>
        <w:t>以来具有类似工程业绩（</w:t>
      </w:r>
      <w:r>
        <w:rPr>
          <w:rFonts w:hint="eastAsia" w:ascii="宋体" w:hAnsi="宋体" w:cs="宋体"/>
          <w:b/>
          <w:bCs/>
          <w:iCs/>
          <w:color w:val="auto"/>
          <w:kern w:val="2"/>
          <w:sz w:val="28"/>
          <w:szCs w:val="28"/>
          <w:highlight w:val="none"/>
          <w:lang w:val="en-US" w:eastAsia="zh-CN" w:bidi="ar-SA"/>
        </w:rPr>
        <w:t>自治区级或省级文物保护单位</w:t>
      </w:r>
      <w:r>
        <w:rPr>
          <w:rFonts w:hint="eastAsia" w:ascii="宋体" w:hAnsi="宋体" w:eastAsia="宋体" w:cs="宋体"/>
          <w:b/>
          <w:bCs/>
          <w:iCs/>
          <w:color w:val="auto"/>
          <w:kern w:val="2"/>
          <w:sz w:val="28"/>
          <w:szCs w:val="28"/>
          <w:highlight w:val="none"/>
          <w:lang w:val="en-US" w:eastAsia="zh-CN" w:bidi="ar-SA"/>
        </w:rPr>
        <w:t>的工程业绩）（无不良记录，以中标（成交）通知书、签订的合同、竣工证明文件为准，并能清晰反映项目的名称、采购内容、采购金额、采购时间）（如有）</w:t>
      </w:r>
    </w:p>
    <w:p w14:paraId="1991E227">
      <w:pPr>
        <w:numPr>
          <w:ilvl w:val="0"/>
          <w:numId w:val="0"/>
        </w:numPr>
        <w:spacing w:line="240" w:lineRule="auto"/>
        <w:rPr>
          <w:rFonts w:hint="eastAsia" w:ascii="宋体" w:hAnsi="宋体" w:eastAsia="宋体" w:cs="宋体"/>
          <w:b/>
          <w:bCs/>
          <w:iCs/>
          <w:color w:val="auto"/>
          <w:kern w:val="2"/>
          <w:sz w:val="28"/>
          <w:szCs w:val="28"/>
          <w:highlight w:val="none"/>
          <w:lang w:val="en-US" w:eastAsia="zh-CN" w:bidi="ar-SA"/>
        </w:rPr>
      </w:pPr>
    </w:p>
    <w:p w14:paraId="165415CB">
      <w:pPr>
        <w:spacing w:line="360" w:lineRule="auto"/>
        <w:ind w:firstLine="420" w:firstLineChars="200"/>
        <w:rPr>
          <w:rFonts w:hint="eastAsia" w:ascii="宋体" w:hAnsi="宋体" w:eastAsia="宋体" w:cs="宋体"/>
          <w:color w:val="auto"/>
          <w:sz w:val="21"/>
          <w:szCs w:val="21"/>
          <w:highlight w:val="none"/>
          <w:lang w:val="en-US" w:eastAsia="zh-CN"/>
        </w:rPr>
      </w:pPr>
    </w:p>
    <w:p w14:paraId="49764E2D">
      <w:pPr>
        <w:pStyle w:val="8"/>
        <w:rPr>
          <w:rFonts w:hint="eastAsia" w:ascii="宋体" w:hAnsi="宋体" w:eastAsia="宋体" w:cs="宋体"/>
          <w:color w:val="auto"/>
          <w:sz w:val="21"/>
          <w:szCs w:val="21"/>
          <w:highlight w:val="none"/>
          <w:lang w:val="en-US" w:eastAsia="zh-CN"/>
        </w:rPr>
      </w:pPr>
    </w:p>
    <w:p w14:paraId="185221AB">
      <w:pPr>
        <w:rPr>
          <w:rFonts w:hint="eastAsia" w:ascii="宋体" w:hAnsi="宋体" w:cs="宋体"/>
          <w:b/>
          <w:bCs/>
          <w:iCs/>
          <w:color w:val="auto"/>
          <w:sz w:val="28"/>
          <w:szCs w:val="28"/>
          <w:highlight w:val="none"/>
          <w:lang w:val="en-US" w:eastAsia="zh-CN"/>
        </w:rPr>
      </w:pPr>
      <w:r>
        <w:rPr>
          <w:rFonts w:hint="eastAsia" w:ascii="宋体" w:hAnsi="宋体" w:cs="宋体"/>
          <w:b/>
          <w:bCs/>
          <w:iCs/>
          <w:color w:val="auto"/>
          <w:sz w:val="28"/>
          <w:szCs w:val="28"/>
          <w:highlight w:val="none"/>
          <w:lang w:val="en-US" w:eastAsia="zh-CN"/>
        </w:rPr>
        <w:t>2.供应商</w:t>
      </w:r>
      <w:r>
        <w:rPr>
          <w:rFonts w:hint="eastAsia" w:ascii="宋体" w:hAnsi="宋体" w:cs="宋体"/>
          <w:b/>
          <w:bCs/>
          <w:iCs/>
          <w:color w:val="auto"/>
          <w:sz w:val="28"/>
          <w:szCs w:val="28"/>
          <w:highlight w:val="none"/>
          <w:lang w:eastAsia="zh-CN"/>
        </w:rPr>
        <w:t>2023年1月1日</w:t>
      </w:r>
      <w:r>
        <w:rPr>
          <w:rFonts w:hint="eastAsia" w:ascii="宋体" w:hAnsi="宋体" w:cs="宋体"/>
          <w:b/>
          <w:bCs/>
          <w:iCs/>
          <w:color w:val="auto"/>
          <w:sz w:val="28"/>
          <w:szCs w:val="28"/>
          <w:highlight w:val="none"/>
          <w:lang w:val="en-US" w:eastAsia="zh-CN"/>
        </w:rPr>
        <w:t>以来</w:t>
      </w:r>
      <w:r>
        <w:rPr>
          <w:rFonts w:hint="eastAsia" w:ascii="宋体" w:hAnsi="宋体" w:cs="宋体"/>
          <w:b/>
          <w:bCs/>
          <w:iCs/>
          <w:color w:val="auto"/>
          <w:sz w:val="28"/>
          <w:szCs w:val="28"/>
          <w:highlight w:val="none"/>
        </w:rPr>
        <w:t>获奖情况</w:t>
      </w:r>
      <w:r>
        <w:rPr>
          <w:rFonts w:hint="eastAsia" w:ascii="宋体" w:hAnsi="宋体" w:cs="宋体"/>
          <w:b/>
          <w:bCs/>
          <w:iCs/>
          <w:color w:val="auto"/>
          <w:sz w:val="28"/>
          <w:szCs w:val="28"/>
          <w:highlight w:val="none"/>
          <w:lang w:eastAsia="zh-CN"/>
        </w:rPr>
        <w:t>（</w:t>
      </w:r>
      <w:r>
        <w:rPr>
          <w:rFonts w:hint="eastAsia" w:ascii="宋体" w:hAnsi="宋体" w:cs="宋体"/>
          <w:b/>
          <w:bCs/>
          <w:iCs/>
          <w:color w:val="auto"/>
          <w:sz w:val="28"/>
          <w:szCs w:val="28"/>
          <w:highlight w:val="none"/>
          <w:lang w:val="en-US" w:eastAsia="zh-CN"/>
        </w:rPr>
        <w:t>如有</w:t>
      </w:r>
      <w:r>
        <w:rPr>
          <w:rFonts w:hint="eastAsia" w:ascii="宋体" w:hAnsi="宋体" w:cs="宋体"/>
          <w:b/>
          <w:bCs/>
          <w:iCs/>
          <w:color w:val="auto"/>
          <w:sz w:val="28"/>
          <w:szCs w:val="28"/>
          <w:highlight w:val="none"/>
          <w:lang w:eastAsia="zh-CN"/>
        </w:rPr>
        <w:t>）</w:t>
      </w:r>
    </w:p>
    <w:p w14:paraId="55C711E9">
      <w:pPr>
        <w:pStyle w:val="8"/>
        <w:rPr>
          <w:rFonts w:hint="eastAsia"/>
          <w:color w:val="auto"/>
          <w:highlight w:val="none"/>
          <w:lang w:val="en-US" w:eastAsia="zh-CN"/>
        </w:rPr>
      </w:pPr>
    </w:p>
    <w:p w14:paraId="64667222">
      <w:pPr>
        <w:spacing w:line="240" w:lineRule="auto"/>
        <w:rPr>
          <w:rFonts w:hint="default" w:ascii="宋体" w:hAnsi="宋体" w:cs="宋体"/>
          <w:b/>
          <w:bCs/>
          <w:iCs/>
          <w:color w:val="auto"/>
          <w:kern w:val="2"/>
          <w:sz w:val="28"/>
          <w:szCs w:val="28"/>
          <w:highlight w:val="none"/>
          <w:lang w:val="en-US" w:eastAsia="zh-CN" w:bidi="ar-SA"/>
        </w:rPr>
      </w:pPr>
    </w:p>
    <w:p w14:paraId="38D6EB0A">
      <w:pPr>
        <w:spacing w:line="240" w:lineRule="auto"/>
        <w:rPr>
          <w:rFonts w:hint="default" w:ascii="宋体" w:hAnsi="宋体" w:cs="宋体"/>
          <w:b/>
          <w:bCs/>
          <w:iCs/>
          <w:color w:val="auto"/>
          <w:kern w:val="2"/>
          <w:sz w:val="28"/>
          <w:szCs w:val="28"/>
          <w:highlight w:val="none"/>
          <w:lang w:val="en-US" w:eastAsia="zh-CN" w:bidi="ar-SA"/>
        </w:rPr>
      </w:pPr>
    </w:p>
    <w:p w14:paraId="6BB61D66">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3</w:t>
      </w:r>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w:t>
      </w:r>
    </w:p>
    <w:p w14:paraId="7FCF5271">
      <w:pPr>
        <w:spacing w:line="360" w:lineRule="auto"/>
        <w:ind w:firstLine="480" w:firstLineChars="200"/>
        <w:rPr>
          <w:rFonts w:hint="eastAsia" w:ascii="宋体" w:hAnsi="宋体" w:eastAsia="宋体" w:cs="宋体"/>
          <w:color w:val="auto"/>
          <w:sz w:val="24"/>
          <w:highlight w:val="none"/>
        </w:rPr>
      </w:pPr>
    </w:p>
    <w:p w14:paraId="3DBAC132">
      <w:pPr>
        <w:pStyle w:val="29"/>
        <w:rPr>
          <w:rFonts w:hint="eastAsia" w:ascii="宋体" w:hAnsi="宋体" w:eastAsia="宋体" w:cs="宋体"/>
          <w:b/>
          <w:bCs/>
          <w:color w:val="auto"/>
          <w:sz w:val="24"/>
          <w:highlight w:val="none"/>
        </w:rPr>
      </w:pPr>
    </w:p>
    <w:p w14:paraId="54BDBB09">
      <w:pPr>
        <w:rPr>
          <w:rFonts w:hint="eastAsia" w:ascii="宋体" w:hAnsi="宋体" w:cs="宋体"/>
          <w:b/>
          <w:bCs/>
          <w:iCs/>
          <w:color w:val="auto"/>
          <w:kern w:val="2"/>
          <w:sz w:val="28"/>
          <w:szCs w:val="28"/>
          <w:highlight w:val="none"/>
          <w:lang w:val="en-US" w:eastAsia="zh-CN" w:bidi="ar-SA"/>
        </w:rPr>
      </w:pPr>
    </w:p>
    <w:p w14:paraId="73D519DE">
      <w:pPr>
        <w:bidi w:val="0"/>
        <w:rPr>
          <w:rFonts w:hint="default"/>
          <w:color w:val="auto"/>
          <w:highlight w:val="none"/>
          <w:lang w:val="en-US" w:eastAsia="zh-CN"/>
        </w:rPr>
      </w:pPr>
    </w:p>
    <w:p w14:paraId="7C6E50E8">
      <w:pPr>
        <w:rPr>
          <w:rFonts w:hint="default"/>
          <w:color w:val="auto"/>
          <w:highlight w:val="none"/>
          <w:lang w:val="en-US" w:eastAsia="zh-CN"/>
        </w:rPr>
      </w:pPr>
    </w:p>
    <w:p w14:paraId="00A8F171">
      <w:pPr>
        <w:pStyle w:val="2"/>
        <w:spacing w:line="240" w:lineRule="auto"/>
        <w:jc w:val="center"/>
        <w:rPr>
          <w:rFonts w:hint="eastAsia"/>
          <w:color w:val="auto"/>
          <w:highlight w:val="none"/>
        </w:rPr>
      </w:pPr>
      <w:bookmarkStart w:id="233" w:name="_Toc16390"/>
      <w:bookmarkStart w:id="234" w:name="_Toc1637952"/>
      <w:bookmarkStart w:id="235" w:name="_Toc18780"/>
      <w:bookmarkStart w:id="236" w:name="_Toc2237"/>
      <w:bookmarkStart w:id="237" w:name="_Toc22545"/>
      <w:bookmarkStart w:id="238" w:name="_Toc6973"/>
      <w:bookmarkStart w:id="239" w:name="_Toc12385"/>
    </w:p>
    <w:bookmarkEnd w:id="233"/>
    <w:bookmarkEnd w:id="234"/>
    <w:bookmarkEnd w:id="235"/>
    <w:bookmarkEnd w:id="236"/>
    <w:bookmarkEnd w:id="237"/>
    <w:bookmarkEnd w:id="238"/>
    <w:bookmarkEnd w:id="239"/>
    <w:p w14:paraId="5596C4DA">
      <w:pPr>
        <w:jc w:val="center"/>
        <w:rPr>
          <w:rFonts w:hint="eastAsia"/>
          <w:color w:val="auto"/>
          <w:highlight w:val="none"/>
        </w:rPr>
      </w:pPr>
    </w:p>
    <w:p w14:paraId="341CD3FE">
      <w:pPr>
        <w:jc w:val="center"/>
        <w:rPr>
          <w:rFonts w:hint="eastAsia"/>
          <w:color w:val="auto"/>
          <w:highlight w:val="none"/>
        </w:rPr>
      </w:pPr>
    </w:p>
    <w:p w14:paraId="0FDF6A84">
      <w:pPr>
        <w:jc w:val="center"/>
        <w:rPr>
          <w:rFonts w:hint="eastAsia"/>
          <w:color w:val="auto"/>
          <w:highlight w:val="none"/>
        </w:rPr>
      </w:pPr>
    </w:p>
    <w:p w14:paraId="23F45B33">
      <w:pPr>
        <w:jc w:val="center"/>
        <w:rPr>
          <w:rFonts w:hint="eastAsia"/>
          <w:color w:val="auto"/>
          <w:highlight w:val="none"/>
        </w:rPr>
      </w:pPr>
    </w:p>
    <w:p w14:paraId="24D922BA">
      <w:pPr>
        <w:rPr>
          <w:rFonts w:hint="eastAsia"/>
          <w:color w:val="auto"/>
          <w:highlight w:val="none"/>
        </w:rPr>
      </w:pPr>
      <w:r>
        <w:rPr>
          <w:rFonts w:hint="eastAsia"/>
          <w:color w:val="auto"/>
          <w:highlight w:val="none"/>
        </w:rPr>
        <w:br w:type="page"/>
      </w:r>
    </w:p>
    <w:p w14:paraId="60A5689B">
      <w:pPr>
        <w:pStyle w:val="2"/>
        <w:spacing w:line="240" w:lineRule="auto"/>
        <w:jc w:val="center"/>
        <w:rPr>
          <w:rFonts w:hint="eastAsia"/>
          <w:color w:val="auto"/>
          <w:highlight w:val="none"/>
        </w:rPr>
      </w:pPr>
      <w:bookmarkStart w:id="240" w:name="_Toc26676"/>
      <w:r>
        <w:rPr>
          <w:rFonts w:hint="eastAsia"/>
          <w:color w:val="auto"/>
          <w:highlight w:val="none"/>
        </w:rPr>
        <w:t>第七章、图纸</w:t>
      </w:r>
      <w:bookmarkEnd w:id="240"/>
    </w:p>
    <w:p w14:paraId="4BD49413">
      <w:pPr>
        <w:jc w:val="center"/>
        <w:rPr>
          <w:rFonts w:hint="eastAsia"/>
          <w:color w:val="auto"/>
          <w:highlight w:val="none"/>
        </w:rPr>
      </w:pPr>
    </w:p>
    <w:p w14:paraId="381E5C8F">
      <w:pPr>
        <w:jc w:val="center"/>
        <w:rPr>
          <w:rFonts w:hint="eastAsia"/>
          <w:color w:val="auto"/>
          <w:sz w:val="24"/>
          <w:highlight w:val="none"/>
        </w:rPr>
      </w:pPr>
      <w:r>
        <w:rPr>
          <w:rFonts w:hint="eastAsia"/>
          <w:color w:val="auto"/>
          <w:sz w:val="24"/>
          <w:highlight w:val="none"/>
        </w:rPr>
        <w:t>另附</w:t>
      </w:r>
    </w:p>
    <w:p w14:paraId="55F4DC49">
      <w:pPr>
        <w:rPr>
          <w:rFonts w:hint="default"/>
          <w:color w:val="auto"/>
          <w:highlight w:val="none"/>
          <w:lang w:val="en-US" w:eastAsia="zh-CN"/>
        </w:rPr>
      </w:pPr>
    </w:p>
    <w:p w14:paraId="0EF65F3C">
      <w:pPr>
        <w:rPr>
          <w:color w:val="auto"/>
          <w:highlight w:val="none"/>
        </w:rPr>
      </w:pPr>
    </w:p>
    <w:p w14:paraId="7DDC04A9">
      <w:pPr>
        <w:rPr>
          <w:color w:val="auto"/>
          <w:highlight w:val="none"/>
        </w:rPr>
      </w:pPr>
    </w:p>
    <w:p w14:paraId="79556E1B">
      <w:pPr>
        <w:rPr>
          <w:color w:val="auto"/>
          <w:highlight w:val="none"/>
        </w:rPr>
      </w:pPr>
    </w:p>
    <w:p w14:paraId="3E4C817D">
      <w:pPr>
        <w:rPr>
          <w:highlight w:val="none"/>
        </w:rPr>
      </w:pPr>
    </w:p>
    <w:p w14:paraId="2C0F2057">
      <w:pPr>
        <w:rPr>
          <w:highlight w:val="none"/>
        </w:rPr>
      </w:pPr>
    </w:p>
    <w:p w14:paraId="1CBBA158"/>
    <w:sectPr>
      <w:headerReference r:id="rId9" w:type="default"/>
      <w:footerReference r:id="rId10"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3765">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6CE2156">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fill on="f" focussize="0,0"/>
              <v:stroke on="f"/>
              <v:imagedata o:title=""/>
              <o:lock v:ext="edit" aspectratio="f"/>
              <v:textbox inset="0mm,0mm,0mm,0mm" style="mso-fit-shape-to-text:t;">
                <w:txbxContent>
                  <w:p w14:paraId="56CE2156">
                    <w:pPr>
                      <w:pStyle w:val="1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F8952">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288CFAB">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14:paraId="3288CFAB">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C65CB">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746B0B2">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14:paraId="3746B0B2">
                    <w:pPr>
                      <w:pStyle w:val="1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96C92">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E3BC884">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14:paraId="5E3BC884">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A380">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9147C">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119147C">
                    <w:pPr>
                      <w:pStyle w:val="12"/>
                    </w:pPr>
                    <w:r>
                      <w:fldChar w:fldCharType="begin"/>
                    </w:r>
                    <w:r>
                      <w:instrText xml:space="preserve"> PAGE  \* MERGEFORMAT </w:instrText>
                    </w:r>
                    <w:r>
                      <w:fldChar w:fldCharType="separate"/>
                    </w:r>
                    <w:r>
                      <w:t>51</w:t>
                    </w:r>
                    <w:r>
                      <w:fldChar w:fldCharType="end"/>
                    </w:r>
                  </w:p>
                </w:txbxContent>
              </v:textbox>
            </v:shape>
          </w:pict>
        </mc:Fallback>
      </mc:AlternateContent>
    </w:r>
  </w:p>
  <w:p w14:paraId="600F742C">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DB135">
    <w:pPr>
      <w:pStyle w:val="8"/>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B7975">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51B7975">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BEB0">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59E868C">
                          <w:pPr>
                            <w:pStyle w:val="1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14:paraId="459E868C">
                    <w:pPr>
                      <w:pStyle w:val="12"/>
                    </w:pPr>
                    <w:r>
                      <w:fldChar w:fldCharType="begin"/>
                    </w:r>
                    <w:r>
                      <w:instrText xml:space="preserve"> PAGE  \* MERGEFORMAT </w:instrText>
                    </w:r>
                    <w:r>
                      <w:fldChar w:fldCharType="separate"/>
                    </w:r>
                    <w:r>
                      <w:t>64</w:t>
                    </w:r>
                    <w:r>
                      <w:fldChar w:fldCharType="end"/>
                    </w:r>
                  </w:p>
                </w:txbxContent>
              </v:textbox>
            </v:rect>
          </w:pict>
        </mc:Fallback>
      </mc:AlternateContent>
    </w:r>
  </w:p>
  <w:p w14:paraId="1FE0DCB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153E5">
    <w:pPr>
      <w:pStyle w:val="13"/>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1"/>
      <w:numFmt w:val="chineseCounting"/>
      <w:suff w:val="space"/>
      <w:lvlText w:val="第%1部分"/>
      <w:lvlJc w:val="left"/>
      <w:rPr>
        <w:rFonts w:hint="eastAsia"/>
      </w:rPr>
    </w:lvl>
  </w:abstractNum>
  <w:abstractNum w:abstractNumId="3">
    <w:nsid w:val="00000004"/>
    <w:multiLevelType w:val="singleLevel"/>
    <w:tmpl w:val="00000004"/>
    <w:lvl w:ilvl="0" w:tentative="0">
      <w:start w:val="4"/>
      <w:numFmt w:val="decimal"/>
      <w:suff w:val="nothing"/>
      <w:lvlText w:val="（%1）"/>
      <w:lvlJc w:val="left"/>
      <w:pPr>
        <w:ind w:left="0"/>
      </w:pPr>
    </w:lvl>
  </w:abstractNum>
  <w:abstractNum w:abstractNumId="4">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00000006"/>
    <w:multiLevelType w:val="singleLevel"/>
    <w:tmpl w:val="00000006"/>
    <w:lvl w:ilvl="0" w:tentative="0">
      <w:start w:val="1"/>
      <w:numFmt w:val="chineseCounting"/>
      <w:suff w:val="nothing"/>
      <w:lvlText w:val="（%1）"/>
      <w:lvlJc w:val="left"/>
      <w:rPr>
        <w:rFonts w:hint="eastAsia"/>
      </w:rPr>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26"/>
      <w:numFmt w:val="decimal"/>
      <w:suff w:val="space"/>
      <w:lvlText w:val="%1."/>
      <w:lvlJc w:val="left"/>
    </w:lvl>
  </w:abstractNum>
  <w:abstractNum w:abstractNumId="8">
    <w:nsid w:val="00000009"/>
    <w:multiLevelType w:val="singleLevel"/>
    <w:tmpl w:val="00000009"/>
    <w:lvl w:ilvl="0" w:tentative="0">
      <w:start w:val="4"/>
      <w:numFmt w:val="decimal"/>
      <w:suff w:val="nothing"/>
      <w:lvlText w:val="（%1）"/>
      <w:lvlJc w:val="left"/>
    </w:lvl>
  </w:abstractNum>
  <w:abstractNum w:abstractNumId="9">
    <w:nsid w:val="0000000A"/>
    <w:multiLevelType w:val="singleLevel"/>
    <w:tmpl w:val="0000000A"/>
    <w:lvl w:ilvl="0" w:tentative="0">
      <w:start w:val="2"/>
      <w:numFmt w:val="decimal"/>
      <w:suff w:val="nothing"/>
      <w:lvlText w:val="（%1）"/>
      <w:lvlJc w:val="left"/>
    </w:lvl>
  </w:abstractNum>
  <w:abstractNum w:abstractNumId="10">
    <w:nsid w:val="0000000B"/>
    <w:multiLevelType w:val="singleLevel"/>
    <w:tmpl w:val="0000000B"/>
    <w:lvl w:ilvl="0" w:tentative="0">
      <w:start w:val="8"/>
      <w:numFmt w:val="decimal"/>
      <w:suff w:val="space"/>
      <w:lvlText w:val="%1."/>
      <w:lvlJc w:val="left"/>
    </w:lvl>
  </w:abstractNum>
  <w:abstractNum w:abstractNumId="11">
    <w:nsid w:val="0000000C"/>
    <w:multiLevelType w:val="singleLevel"/>
    <w:tmpl w:val="0000000C"/>
    <w:lvl w:ilvl="0" w:tentative="0">
      <w:start w:val="6"/>
      <w:numFmt w:val="chineseCounting"/>
      <w:suff w:val="nothing"/>
      <w:lvlText w:val="%1、"/>
      <w:lvlJc w:val="left"/>
      <w:rPr>
        <w:rFonts w:hint="eastAsia"/>
      </w:rPr>
    </w:lvl>
  </w:abstractNum>
  <w:abstractNum w:abstractNumId="12">
    <w:nsid w:val="0000000D"/>
    <w:multiLevelType w:val="singleLevel"/>
    <w:tmpl w:val="0000000D"/>
    <w:lvl w:ilvl="0" w:tentative="0">
      <w:start w:val="2"/>
      <w:numFmt w:val="decimal"/>
      <w:lvlText w:val="%1."/>
      <w:lvlJc w:val="left"/>
      <w:pPr>
        <w:tabs>
          <w:tab w:val="left" w:pos="312"/>
        </w:tabs>
      </w:pPr>
    </w:lvl>
  </w:abstractNum>
  <w:abstractNum w:abstractNumId="13">
    <w:nsid w:val="0000000F"/>
    <w:multiLevelType w:val="multilevel"/>
    <w:tmpl w:val="0000000F"/>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0000010"/>
    <w:multiLevelType w:val="singleLevel"/>
    <w:tmpl w:val="00000010"/>
    <w:lvl w:ilvl="0" w:tentative="0">
      <w:start w:val="5"/>
      <w:numFmt w:val="decimal"/>
      <w:suff w:val="space"/>
      <w:lvlText w:val="%1."/>
      <w:lvlJc w:val="left"/>
    </w:lvl>
  </w:abstractNum>
  <w:abstractNum w:abstractNumId="15">
    <w:nsid w:val="175EDB75"/>
    <w:multiLevelType w:val="singleLevel"/>
    <w:tmpl w:val="175EDB75"/>
    <w:lvl w:ilvl="0" w:tentative="0">
      <w:start w:val="1"/>
      <w:numFmt w:val="decimal"/>
      <w:suff w:val="nothing"/>
      <w:lvlText w:val="（%1）"/>
      <w:lvlJc w:val="left"/>
    </w:lvl>
  </w:abstractNum>
  <w:abstractNum w:abstractNumId="16">
    <w:nsid w:val="2B3F3F89"/>
    <w:multiLevelType w:val="multilevel"/>
    <w:tmpl w:val="2B3F3F89"/>
    <w:lvl w:ilvl="0" w:tentative="0">
      <w:start w:val="1"/>
      <w:numFmt w:val="decimal"/>
      <w:lvlText w:val="%1."/>
      <w:lvlJc w:val="left"/>
      <w:pPr>
        <w:ind w:left="113" w:hanging="298"/>
      </w:pPr>
      <w:rPr>
        <w:rFonts w:hint="default" w:ascii="Times New Roman" w:hAnsi="Times New Roman" w:eastAsia="Times New Roman" w:cs="Times New Roman"/>
        <w:spacing w:val="0"/>
        <w:w w:val="99"/>
        <w:sz w:val="20"/>
        <w:szCs w:val="20"/>
        <w:lang w:val="zh-CN" w:eastAsia="zh-CN" w:bidi="zh-CN"/>
      </w:rPr>
    </w:lvl>
    <w:lvl w:ilvl="1" w:tentative="0">
      <w:start w:val="1"/>
      <w:numFmt w:val="decimal"/>
      <w:lvlText w:val="%1.%2"/>
      <w:lvlJc w:val="left"/>
      <w:pPr>
        <w:ind w:left="113"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957" w:hanging="368"/>
      </w:pPr>
      <w:rPr>
        <w:rFonts w:hint="default"/>
        <w:lang w:val="zh-CN" w:eastAsia="zh-CN" w:bidi="zh-CN"/>
      </w:rPr>
    </w:lvl>
    <w:lvl w:ilvl="3" w:tentative="0">
      <w:start w:val="0"/>
      <w:numFmt w:val="bullet"/>
      <w:lvlText w:val="•"/>
      <w:lvlJc w:val="left"/>
      <w:pPr>
        <w:ind w:left="2875" w:hanging="368"/>
      </w:pPr>
      <w:rPr>
        <w:rFonts w:hint="default"/>
        <w:lang w:val="zh-CN" w:eastAsia="zh-CN" w:bidi="zh-CN"/>
      </w:rPr>
    </w:lvl>
    <w:lvl w:ilvl="4" w:tentative="0">
      <w:start w:val="0"/>
      <w:numFmt w:val="bullet"/>
      <w:lvlText w:val="•"/>
      <w:lvlJc w:val="left"/>
      <w:pPr>
        <w:ind w:left="3794" w:hanging="368"/>
      </w:pPr>
      <w:rPr>
        <w:rFonts w:hint="default"/>
        <w:lang w:val="zh-CN" w:eastAsia="zh-CN" w:bidi="zh-CN"/>
      </w:rPr>
    </w:lvl>
    <w:lvl w:ilvl="5" w:tentative="0">
      <w:start w:val="0"/>
      <w:numFmt w:val="bullet"/>
      <w:lvlText w:val="•"/>
      <w:lvlJc w:val="left"/>
      <w:pPr>
        <w:ind w:left="4713" w:hanging="368"/>
      </w:pPr>
      <w:rPr>
        <w:rFonts w:hint="default"/>
        <w:lang w:val="zh-CN" w:eastAsia="zh-CN" w:bidi="zh-CN"/>
      </w:rPr>
    </w:lvl>
    <w:lvl w:ilvl="6" w:tentative="0">
      <w:start w:val="0"/>
      <w:numFmt w:val="bullet"/>
      <w:lvlText w:val="•"/>
      <w:lvlJc w:val="left"/>
      <w:pPr>
        <w:ind w:left="5631" w:hanging="368"/>
      </w:pPr>
      <w:rPr>
        <w:rFonts w:hint="default"/>
        <w:lang w:val="zh-CN" w:eastAsia="zh-CN" w:bidi="zh-CN"/>
      </w:rPr>
    </w:lvl>
    <w:lvl w:ilvl="7" w:tentative="0">
      <w:start w:val="0"/>
      <w:numFmt w:val="bullet"/>
      <w:lvlText w:val="•"/>
      <w:lvlJc w:val="left"/>
      <w:pPr>
        <w:ind w:left="6550" w:hanging="368"/>
      </w:pPr>
      <w:rPr>
        <w:rFonts w:hint="default"/>
        <w:lang w:val="zh-CN" w:eastAsia="zh-CN" w:bidi="zh-CN"/>
      </w:rPr>
    </w:lvl>
    <w:lvl w:ilvl="8" w:tentative="0">
      <w:start w:val="0"/>
      <w:numFmt w:val="bullet"/>
      <w:lvlText w:val="•"/>
      <w:lvlJc w:val="left"/>
      <w:pPr>
        <w:ind w:left="7468" w:hanging="368"/>
      </w:pPr>
      <w:rPr>
        <w:rFonts w:hint="default"/>
        <w:lang w:val="zh-CN" w:eastAsia="zh-CN" w:bidi="zh-CN"/>
      </w:rPr>
    </w:lvl>
  </w:abstractNum>
  <w:abstractNum w:abstractNumId="17">
    <w:nsid w:val="623989FE"/>
    <w:multiLevelType w:val="singleLevel"/>
    <w:tmpl w:val="623989FE"/>
    <w:lvl w:ilvl="0" w:tentative="0">
      <w:start w:val="4"/>
      <w:numFmt w:val="decimal"/>
      <w:suff w:val="nothing"/>
      <w:lvlText w:val="%1、"/>
      <w:lvlJc w:val="left"/>
      <w:pPr>
        <w:ind w:left="-1"/>
      </w:pPr>
    </w:lvl>
  </w:abstractNum>
  <w:abstractNum w:abstractNumId="18">
    <w:nsid w:val="6D7D6602"/>
    <w:multiLevelType w:val="singleLevel"/>
    <w:tmpl w:val="6D7D6602"/>
    <w:lvl w:ilvl="0" w:tentative="0">
      <w:start w:val="1"/>
      <w:numFmt w:val="decimal"/>
      <w:lvlText w:val="%1."/>
      <w:lvlJc w:val="left"/>
      <w:pPr>
        <w:tabs>
          <w:tab w:val="left" w:pos="312"/>
        </w:tabs>
      </w:pPr>
    </w:lvl>
  </w:abstractNum>
  <w:num w:numId="1">
    <w:abstractNumId w:val="4"/>
  </w:num>
  <w:num w:numId="2">
    <w:abstractNumId w:val="14"/>
  </w:num>
  <w:num w:numId="3">
    <w:abstractNumId w:val="3"/>
  </w:num>
  <w:num w:numId="4">
    <w:abstractNumId w:val="15"/>
  </w:num>
  <w:num w:numId="5">
    <w:abstractNumId w:val="1"/>
  </w:num>
  <w:num w:numId="6">
    <w:abstractNumId w:val="7"/>
  </w:num>
  <w:num w:numId="7">
    <w:abstractNumId w:val="17"/>
  </w:num>
  <w:num w:numId="8">
    <w:abstractNumId w:val="2"/>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0"/>
  </w:num>
  <w:num w:numId="16">
    <w:abstractNumId w:val="5"/>
  </w:num>
  <w:num w:numId="17">
    <w:abstractNumId w:val="6"/>
  </w:num>
  <w:num w:numId="18">
    <w:abstractNumId w:val="13"/>
    <w:lvlOverride w:ilvl="0">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129F4"/>
    <w:rsid w:val="2F6129F4"/>
    <w:rsid w:val="568C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31"/>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8">
    <w:name w:val="Default Paragraph Font"/>
    <w:semiHidden/>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firstLine="0"/>
    </w:pPr>
  </w:style>
  <w:style w:type="paragraph" w:styleId="7">
    <w:name w:val="annotation text"/>
    <w:basedOn w:val="1"/>
    <w:qFormat/>
    <w:uiPriority w:val="0"/>
    <w:pPr>
      <w:widowControl/>
      <w:jc w:val="left"/>
    </w:pPr>
    <w:rPr>
      <w:rFonts w:ascii="Calibri" w:hAnsi="Calibri" w:eastAsia="宋体" w:cs="Times New Roman"/>
    </w:rPr>
  </w:style>
  <w:style w:type="paragraph" w:styleId="8">
    <w:name w:val="Body Text"/>
    <w:basedOn w:val="1"/>
    <w:next w:val="1"/>
    <w:qFormat/>
    <w:uiPriority w:val="0"/>
    <w:pPr>
      <w:spacing w:after="120"/>
    </w:pPr>
  </w:style>
  <w:style w:type="paragraph" w:styleId="9">
    <w:name w:val="Body Text Indent"/>
    <w:basedOn w:val="1"/>
    <w:qFormat/>
    <w:uiPriority w:val="0"/>
    <w:pPr>
      <w:spacing w:after="120" w:line="360" w:lineRule="exact"/>
      <w:ind w:left="420" w:leftChars="200" w:firstLine="200" w:firstLineChars="200"/>
    </w:pPr>
  </w:style>
  <w:style w:type="paragraph" w:styleId="10">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1">
    <w:name w:val="Plain Text"/>
    <w:basedOn w:val="1"/>
    <w:next w:val="6"/>
    <w:qFormat/>
    <w:uiPriority w:val="0"/>
    <w:rPr>
      <w:rFonts w:ascii="宋体" w:hAnsi="Courier New" w:cs="Times New Roman"/>
      <w:szCs w:val="22"/>
    </w:rPr>
  </w:style>
  <w:style w:type="paragraph" w:styleId="12">
    <w:name w:val="footer"/>
    <w:basedOn w:val="1"/>
    <w:next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99"/>
    <w:pPr>
      <w:jc w:val="center"/>
    </w:pPr>
    <w:rPr>
      <w:rFonts w:ascii="Arial" w:hAnsi="Arial" w:eastAsia="宋体" w:cs="Arial"/>
      <w:b/>
      <w:sz w:val="32"/>
      <w:u w:val="single"/>
    </w:rPr>
  </w:style>
  <w:style w:type="paragraph" w:styleId="18">
    <w:name w:val="Body Text First Indent"/>
    <w:basedOn w:val="19"/>
    <w:next w:val="22"/>
    <w:qFormat/>
    <w:uiPriority w:val="0"/>
    <w:pPr>
      <w:spacing w:after="120"/>
      <w:ind w:firstLine="420" w:firstLineChars="100"/>
    </w:pPr>
    <w:rPr>
      <w:rFonts w:ascii="Times New Roman" w:hAnsi="Times New Roman"/>
      <w:szCs w:val="24"/>
    </w:rPr>
  </w:style>
  <w:style w:type="paragraph" w:customStyle="1" w:styleId="19">
    <w:name w:val="正文文本_0"/>
    <w:basedOn w:val="20"/>
    <w:next w:val="21"/>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0">
    <w:name w:val="正文_0"/>
    <w:next w:val="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_2_0"/>
    <w:next w:val="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缩进_0"/>
    <w:basedOn w:val="21"/>
    <w:next w:val="23"/>
    <w:qFormat/>
    <w:uiPriority w:val="99"/>
    <w:pPr>
      <w:ind w:firstLine="420"/>
    </w:pPr>
    <w:rPr>
      <w:rFonts w:ascii="Times New Roman" w:hAnsi="Times New Roman"/>
      <w:szCs w:val="20"/>
    </w:rPr>
  </w:style>
  <w:style w:type="paragraph" w:customStyle="1" w:styleId="23">
    <w:name w:val="_Style 50"/>
    <w:basedOn w:val="21"/>
    <w:next w:val="24"/>
    <w:qFormat/>
    <w:uiPriority w:val="0"/>
    <w:pPr>
      <w:widowControl/>
      <w:spacing w:before="100" w:beforeAutospacing="1" w:after="100" w:afterAutospacing="1"/>
    </w:pPr>
    <w:rPr>
      <w:rFonts w:ascii="宋体" w:hAnsi="宋体"/>
    </w:rPr>
  </w:style>
  <w:style w:type="paragraph" w:customStyle="1" w:styleId="24">
    <w:name w:val="普通(网站)_0"/>
    <w:basedOn w:val="21"/>
    <w:next w:val="2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Body Text First Indent 2"/>
    <w:basedOn w:val="9"/>
    <w:qFormat/>
    <w:uiPriority w:val="99"/>
    <w:pPr>
      <w:ind w:firstLine="420" w:firstLineChars="200"/>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
    <w:name w:val="Default"/>
    <w:basedOn w:val="17"/>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0">
    <w:name w:val="List Paragraph"/>
    <w:basedOn w:val="1"/>
    <w:qFormat/>
    <w:uiPriority w:val="0"/>
    <w:pPr>
      <w:ind w:firstLine="420" w:firstLineChars="200"/>
    </w:pPr>
  </w:style>
  <w:style w:type="character" w:customStyle="1" w:styleId="31">
    <w:name w:val="标题 3 字符"/>
    <w:link w:val="4"/>
    <w:autoRedefine/>
    <w:qFormat/>
    <w:uiPriority w:val="0"/>
    <w:rPr>
      <w:b/>
      <w:bCs/>
      <w:sz w:val="24"/>
      <w:szCs w:val="32"/>
    </w:rPr>
  </w:style>
  <w:style w:type="paragraph" w:customStyle="1" w:styleId="32">
    <w:name w:val="表格文字"/>
    <w:basedOn w:val="1"/>
    <w:autoRedefine/>
    <w:qFormat/>
    <w:uiPriority w:val="0"/>
    <w:pPr>
      <w:spacing w:before="25" w:after="25" w:line="240" w:lineRule="auto"/>
      <w:ind w:firstLine="0"/>
      <w:jc w:val="left"/>
    </w:pPr>
    <w:rPr>
      <w:bCs/>
      <w:spacing w:val="10"/>
      <w:kern w:val="0"/>
      <w:sz w:val="24"/>
    </w:rPr>
  </w:style>
  <w:style w:type="paragraph" w:customStyle="1" w:styleId="33">
    <w:name w:val="p0"/>
    <w:basedOn w:val="1"/>
    <w:autoRedefine/>
    <w:qFormat/>
    <w:uiPriority w:val="0"/>
    <w:pPr>
      <w:widowControl/>
    </w:pPr>
    <w:rPr>
      <w:rFonts w:ascii="Calibri" w:hAnsi="Calibri" w:cs="宋体"/>
      <w:kern w:val="0"/>
      <w:szCs w:val="21"/>
    </w:rPr>
  </w:style>
  <w:style w:type="paragraph" w:customStyle="1" w:styleId="34">
    <w:name w:val="首行缩进"/>
    <w:basedOn w:val="1"/>
    <w:qFormat/>
    <w:uiPriority w:val="0"/>
    <w:pPr>
      <w:spacing w:line="360" w:lineRule="auto"/>
      <w:ind w:firstLine="480" w:firstLineChars="200"/>
    </w:pPr>
    <w:rPr>
      <w:rFonts w:ascii="宋体" w:hAnsi="宋体"/>
      <w:kern w:val="0"/>
      <w:sz w:val="24"/>
    </w:rPr>
  </w:style>
  <w:style w:type="paragraph" w:customStyle="1" w:styleId="35">
    <w:name w:val="正文小标题_0"/>
    <w:basedOn w:val="36"/>
    <w:autoRedefine/>
    <w:qFormat/>
    <w:uiPriority w:val="0"/>
    <w:pPr>
      <w:spacing w:line="420" w:lineRule="exact"/>
    </w:pPr>
    <w:rPr>
      <w:rFonts w:hAnsi="宋体" w:eastAsia="宋体"/>
      <w:sz w:val="21"/>
      <w:szCs w:val="21"/>
    </w:rPr>
  </w:style>
  <w:style w:type="paragraph" w:customStyle="1" w:styleId="36">
    <w:name w:val="标题 1_0"/>
    <w:basedOn w:val="20"/>
    <w:next w:val="20"/>
    <w:autoRedefine/>
    <w:qFormat/>
    <w:uiPriority w:val="99"/>
    <w:pPr>
      <w:keepNext/>
      <w:keepLines/>
      <w:spacing w:line="360" w:lineRule="auto"/>
      <w:outlineLvl w:val="0"/>
    </w:pPr>
    <w:rPr>
      <w:rFonts w:eastAsia="黑体"/>
      <w:b/>
      <w:bCs/>
      <w:kern w:val="44"/>
      <w:sz w:val="32"/>
      <w:szCs w:val="44"/>
    </w:rPr>
  </w:style>
  <w:style w:type="paragraph" w:customStyle="1" w:styleId="3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列表段落1"/>
    <w:basedOn w:val="1"/>
    <w:qFormat/>
    <w:uiPriority w:val="1"/>
    <w:pPr>
      <w:ind w:left="435" w:firstLine="420"/>
    </w:pPr>
  </w:style>
  <w:style w:type="character" w:customStyle="1" w:styleId="39">
    <w:name w:val="NormalCharacter"/>
    <w:autoRedefine/>
    <w:qFormat/>
    <w:uiPriority w:val="0"/>
  </w:style>
  <w:style w:type="paragraph" w:customStyle="1" w:styleId="40">
    <w:name w:val="BodyText"/>
    <w:basedOn w:val="1"/>
    <w:qFormat/>
    <w:uiPriority w:val="0"/>
    <w:pPr>
      <w:spacing w:after="60" w:line="360" w:lineRule="atLeast"/>
      <w:ind w:left="72" w:leftChars="30" w:right="30" w:rightChars="30"/>
      <w:jc w:val="center"/>
    </w:pPr>
    <w:rPr>
      <w:kern w:val="0"/>
      <w:sz w:val="20"/>
      <w:szCs w:val="20"/>
    </w:rPr>
  </w:style>
  <w:style w:type="paragraph" w:customStyle="1" w:styleId="41">
    <w:name w:val="PlainText"/>
    <w:basedOn w:val="1"/>
    <w:next w:val="42"/>
    <w:autoRedefine/>
    <w:qFormat/>
    <w:uiPriority w:val="0"/>
    <w:rPr>
      <w:rFonts w:ascii="宋体" w:hAnsi="Courier New"/>
      <w:szCs w:val="20"/>
    </w:rPr>
  </w:style>
  <w:style w:type="paragraph" w:customStyle="1" w:styleId="42">
    <w:name w:val="Index8"/>
    <w:basedOn w:val="1"/>
    <w:next w:val="1"/>
    <w:autoRedefine/>
    <w:qFormat/>
    <w:uiPriority w:val="0"/>
    <w:pPr>
      <w:ind w:left="2940"/>
    </w:pPr>
  </w:style>
  <w:style w:type="paragraph" w:customStyle="1" w:styleId="43">
    <w:name w:val="style4"/>
    <w:basedOn w:val="1"/>
    <w:next w:val="44"/>
    <w:qFormat/>
    <w:uiPriority w:val="0"/>
    <w:pPr>
      <w:widowControl/>
      <w:spacing w:before="280" w:after="280"/>
    </w:pPr>
    <w:rPr>
      <w:rFonts w:ascii="宋体"/>
      <w:sz w:val="18"/>
    </w:rPr>
  </w:style>
  <w:style w:type="paragraph" w:customStyle="1" w:styleId="44">
    <w:name w:val="2"/>
    <w:basedOn w:val="4"/>
    <w:next w:val="1"/>
    <w:autoRedefine/>
    <w:qFormat/>
    <w:uiPriority w:val="0"/>
    <w:pPr>
      <w:widowControl w:val="0"/>
      <w:spacing w:before="120" w:beforeLines="50" w:after="120" w:afterLines="50" w:line="240" w:lineRule="auto"/>
      <w:jc w:val="center"/>
    </w:pPr>
    <w:rPr>
      <w:rFonts w:ascii="黑体" w:eastAsia="黑体"/>
      <w:sz w:val="4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2025-06-12T03:40:00Z</dcterms:created>
  <dc:creator>歪歪</dc:creator>
  <cp:lastModifiedBy>歪歪</cp:lastModifiedBy>
  <dcterms:modified xsi:type="dcterms:W3CDTF">2025-06-12T03:42:22Z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4248AA2024BE435AB53688F85F1F4A0E_11</vt:lpwstr>
  </property>
  <property fmtid="{D5CDD505-2E9C-101B-9397-08002B2CF9AE}" pid="4" name="KSOTemplateDocerSaveRecord">
    <vt:lpwstr>eyJoZGlkIjoiOTY5NDliODY3ZmI0ODFjY2E5ZjUzOTBiNDEwMzUwZmYiLCJ1c2VySWQiOiI1MjE2ODA1MjUifQ==</vt:lpwstr>
  </property>
</Properties>
</file>