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F8ED">
      <w:pPr>
        <w:spacing w:beforeLines="50" w:line="360" w:lineRule="auto"/>
        <w:jc w:val="center"/>
        <w:rPr>
          <w:rFonts w:hint="eastAsia" w:ascii="宋体" w:hAnsi="宋体" w:eastAsia="宋体" w:cs="宋体"/>
          <w:color w:val="auto"/>
          <w:sz w:val="52"/>
          <w:szCs w:val="52"/>
          <w:highlight w:val="none"/>
        </w:rPr>
      </w:pPr>
    </w:p>
    <w:p w14:paraId="6ED46DEF">
      <w:pPr>
        <w:spacing w:beforeLines="50" w:line="360" w:lineRule="auto"/>
        <w:jc w:val="center"/>
        <w:rPr>
          <w:rFonts w:hint="eastAsia" w:ascii="宋体" w:hAnsi="宋体" w:eastAsia="宋体" w:cs="宋体"/>
          <w:color w:val="auto"/>
          <w:sz w:val="52"/>
          <w:szCs w:val="52"/>
          <w:highlight w:val="none"/>
        </w:rPr>
      </w:pPr>
    </w:p>
    <w:p w14:paraId="2ABF74A4">
      <w:pPr>
        <w:spacing w:beforeLines="50" w:line="360" w:lineRule="auto"/>
        <w:jc w:val="center"/>
        <w:rPr>
          <w:rFonts w:hint="eastAsia" w:ascii="宋体" w:hAnsi="宋体" w:eastAsia="宋体" w:cs="宋体"/>
          <w:color w:val="auto"/>
          <w:sz w:val="52"/>
          <w:szCs w:val="52"/>
          <w:highlight w:val="none"/>
        </w:rPr>
      </w:pPr>
    </w:p>
    <w:p w14:paraId="16140FAD">
      <w:pPr>
        <w:snapToGrid w:val="0"/>
        <w:spacing w:beforeLines="50"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 标 文 件</w:t>
      </w:r>
    </w:p>
    <w:p w14:paraId="39BAB508">
      <w:pPr>
        <w:pStyle w:val="70"/>
        <w:rPr>
          <w:rFonts w:hint="eastAsia" w:ascii="宋体" w:hAnsi="宋体" w:eastAsia="宋体" w:cs="宋体"/>
          <w:color w:val="auto"/>
          <w:sz w:val="52"/>
          <w:szCs w:val="52"/>
          <w:highlight w:val="none"/>
        </w:rPr>
      </w:pPr>
    </w:p>
    <w:p w14:paraId="11BD72D5">
      <w:pPr>
        <w:pStyle w:val="70"/>
        <w:rPr>
          <w:rFonts w:hint="eastAsia" w:ascii="宋体" w:hAnsi="宋体" w:eastAsia="宋体" w:cs="宋体"/>
          <w:color w:val="auto"/>
          <w:sz w:val="52"/>
          <w:szCs w:val="52"/>
          <w:highlight w:val="none"/>
        </w:rPr>
      </w:pPr>
    </w:p>
    <w:p w14:paraId="021924EA">
      <w:pPr>
        <w:pStyle w:val="70"/>
        <w:rPr>
          <w:rFonts w:hint="eastAsia" w:ascii="宋体" w:hAnsi="宋体" w:eastAsia="宋体" w:cs="宋体"/>
          <w:color w:val="auto"/>
          <w:sz w:val="52"/>
          <w:szCs w:val="52"/>
          <w:highlight w:val="none"/>
        </w:rPr>
      </w:pPr>
    </w:p>
    <w:p w14:paraId="3ED1EEAF">
      <w:pPr>
        <w:pStyle w:val="70"/>
        <w:rPr>
          <w:rFonts w:hint="eastAsia" w:ascii="宋体" w:hAnsi="宋体" w:eastAsia="宋体" w:cs="宋体"/>
          <w:color w:val="auto"/>
          <w:sz w:val="30"/>
          <w:szCs w:val="72"/>
          <w:highlight w:val="none"/>
        </w:rPr>
      </w:pPr>
    </w:p>
    <w:p w14:paraId="20FC2D29">
      <w:pPr>
        <w:pStyle w:val="70"/>
        <w:rPr>
          <w:rFonts w:hint="eastAsia" w:ascii="宋体" w:hAnsi="宋体" w:eastAsia="宋体" w:cs="宋体"/>
          <w:color w:val="auto"/>
          <w:sz w:val="30"/>
          <w:szCs w:val="72"/>
          <w:highlight w:val="none"/>
        </w:rPr>
      </w:pPr>
    </w:p>
    <w:p w14:paraId="4526DBB9">
      <w:pPr>
        <w:pStyle w:val="70"/>
        <w:rPr>
          <w:rFonts w:hint="eastAsia" w:ascii="宋体" w:hAnsi="宋体" w:eastAsia="宋体" w:cs="宋体"/>
          <w:color w:val="auto"/>
          <w:sz w:val="30"/>
          <w:szCs w:val="72"/>
          <w:highlight w:val="none"/>
        </w:rPr>
      </w:pPr>
    </w:p>
    <w:p w14:paraId="38293132">
      <w:pPr>
        <w:rPr>
          <w:rFonts w:hint="eastAsia" w:ascii="宋体" w:hAnsi="宋体" w:eastAsia="宋体" w:cs="宋体"/>
          <w:color w:val="auto"/>
          <w:highlight w:val="none"/>
        </w:rPr>
      </w:pPr>
    </w:p>
    <w:p w14:paraId="42F5DF83">
      <w:pPr>
        <w:snapToGrid w:val="0"/>
        <w:spacing w:beforeLines="50" w:line="360" w:lineRule="auto"/>
        <w:rPr>
          <w:rFonts w:hint="eastAsia" w:ascii="宋体" w:hAnsi="宋体" w:eastAsia="宋体" w:cs="宋体"/>
          <w:color w:val="auto"/>
          <w:sz w:val="30"/>
          <w:szCs w:val="72"/>
          <w:highlight w:val="none"/>
        </w:rPr>
      </w:pPr>
    </w:p>
    <w:p w14:paraId="4B0414AB">
      <w:pPr>
        <w:pStyle w:val="25"/>
        <w:snapToGrid w:val="0"/>
        <w:spacing w:before="50" w:after="120" w:line="360" w:lineRule="auto"/>
        <w:rPr>
          <w:rFonts w:hint="eastAsia" w:ascii="宋体" w:hAnsi="宋体" w:eastAsia="宋体" w:cs="宋体"/>
          <w:b/>
          <w:bCs/>
          <w:color w:val="auto"/>
          <w:w w:val="95"/>
          <w:sz w:val="28"/>
          <w:szCs w:val="28"/>
          <w:highlight w:val="none"/>
        </w:rPr>
      </w:pPr>
    </w:p>
    <w:p w14:paraId="44125941">
      <w:pPr>
        <w:pStyle w:val="25"/>
        <w:snapToGrid w:val="0"/>
        <w:spacing w:before="50" w:after="120" w:line="360" w:lineRule="auto"/>
        <w:rPr>
          <w:rFonts w:hint="eastAsia" w:ascii="宋体" w:hAnsi="宋体" w:eastAsia="宋体" w:cs="宋体"/>
          <w:b/>
          <w:bCs/>
          <w:color w:val="auto"/>
          <w:w w:val="95"/>
          <w:sz w:val="28"/>
          <w:szCs w:val="28"/>
          <w:highlight w:val="none"/>
          <w:lang w:eastAsia="zh-CN"/>
        </w:rPr>
      </w:pPr>
      <w:r>
        <w:rPr>
          <w:rFonts w:hint="eastAsia" w:ascii="宋体" w:hAnsi="宋体" w:eastAsia="宋体" w:cs="宋体"/>
          <w:b/>
          <w:bCs/>
          <w:color w:val="auto"/>
          <w:w w:val="95"/>
          <w:sz w:val="28"/>
          <w:szCs w:val="28"/>
          <w:highlight w:val="none"/>
        </w:rPr>
        <w:t>项目名称：</w:t>
      </w:r>
      <w:r>
        <w:rPr>
          <w:rFonts w:hint="eastAsia" w:ascii="宋体" w:hAnsi="宋体" w:eastAsia="宋体" w:cs="宋体"/>
          <w:b/>
          <w:bCs/>
          <w:color w:val="auto"/>
          <w:w w:val="95"/>
          <w:sz w:val="28"/>
          <w:szCs w:val="28"/>
          <w:highlight w:val="none"/>
          <w:lang w:eastAsia="zh-CN"/>
        </w:rPr>
        <w:t>叠彩区江东片区城市设计方案编制项目</w:t>
      </w:r>
    </w:p>
    <w:p w14:paraId="7BDD976C">
      <w:pPr>
        <w:pStyle w:val="25"/>
        <w:snapToGrid w:val="0"/>
        <w:spacing w:before="50" w:after="120" w:line="360" w:lineRule="auto"/>
        <w:rPr>
          <w:rFonts w:hint="eastAsia" w:ascii="宋体" w:hAnsi="宋体" w:eastAsia="宋体" w:cs="宋体"/>
          <w:b/>
          <w:bCs/>
          <w:color w:val="auto"/>
          <w:w w:val="95"/>
          <w:sz w:val="28"/>
          <w:szCs w:val="28"/>
          <w:highlight w:val="none"/>
          <w:lang w:eastAsia="zh-CN"/>
        </w:rPr>
      </w:pPr>
      <w:r>
        <w:rPr>
          <w:rFonts w:hint="eastAsia" w:ascii="宋体" w:hAnsi="宋体" w:eastAsia="宋体" w:cs="宋体"/>
          <w:b/>
          <w:bCs/>
          <w:color w:val="auto"/>
          <w:w w:val="95"/>
          <w:sz w:val="28"/>
          <w:szCs w:val="28"/>
          <w:highlight w:val="none"/>
        </w:rPr>
        <w:t>项目编号：</w:t>
      </w:r>
      <w:r>
        <w:rPr>
          <w:rFonts w:hint="eastAsia" w:ascii="宋体" w:hAnsi="宋体" w:eastAsia="宋体" w:cs="宋体"/>
          <w:b/>
          <w:bCs/>
          <w:color w:val="auto"/>
          <w:w w:val="95"/>
          <w:sz w:val="28"/>
          <w:szCs w:val="28"/>
          <w:highlight w:val="none"/>
          <w:lang w:eastAsia="zh-CN"/>
        </w:rPr>
        <w:t xml:space="preserve">GLZC2025-G3-990384-GXDC        </w:t>
      </w:r>
    </w:p>
    <w:p w14:paraId="12FC941B">
      <w:pPr>
        <w:pStyle w:val="25"/>
        <w:snapToGrid w:val="0"/>
        <w:spacing w:before="50" w:after="120" w:line="360" w:lineRule="auto"/>
        <w:rPr>
          <w:rFonts w:hint="eastAsia" w:ascii="宋体" w:hAnsi="宋体" w:eastAsia="宋体" w:cs="宋体"/>
          <w:b/>
          <w:bCs/>
          <w:color w:val="auto"/>
          <w:w w:val="95"/>
          <w:sz w:val="28"/>
          <w:szCs w:val="28"/>
          <w:highlight w:val="none"/>
          <w:lang w:eastAsia="zh-CN"/>
        </w:rPr>
      </w:pPr>
      <w:r>
        <w:rPr>
          <w:rFonts w:hint="eastAsia" w:ascii="宋体" w:hAnsi="宋体" w:eastAsia="宋体" w:cs="宋体"/>
          <w:b/>
          <w:bCs/>
          <w:color w:val="auto"/>
          <w:w w:val="95"/>
          <w:sz w:val="28"/>
          <w:szCs w:val="28"/>
          <w:highlight w:val="none"/>
        </w:rPr>
        <w:t>采购人：</w:t>
      </w:r>
      <w:r>
        <w:rPr>
          <w:rFonts w:hint="eastAsia" w:ascii="宋体" w:hAnsi="宋体" w:eastAsia="宋体" w:cs="宋体"/>
          <w:b/>
          <w:bCs/>
          <w:color w:val="auto"/>
          <w:w w:val="95"/>
          <w:sz w:val="28"/>
          <w:szCs w:val="28"/>
          <w:highlight w:val="none"/>
          <w:lang w:eastAsia="zh-CN"/>
        </w:rPr>
        <w:t>桂林市漓江美谷医美产业技术研发有限责任公司</w:t>
      </w:r>
    </w:p>
    <w:p w14:paraId="3DB41DC3">
      <w:pPr>
        <w:pStyle w:val="25"/>
        <w:snapToGrid w:val="0"/>
        <w:spacing w:before="50" w:after="120" w:line="360" w:lineRule="auto"/>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采购代理机构：广西达成咨询有限公司</w:t>
      </w:r>
    </w:p>
    <w:p w14:paraId="613E6130">
      <w:pPr>
        <w:pStyle w:val="25"/>
        <w:snapToGrid w:val="0"/>
        <w:spacing w:before="50" w:after="120" w:line="360" w:lineRule="auto"/>
        <w:jc w:val="left"/>
        <w:rPr>
          <w:rFonts w:hint="eastAsia" w:ascii="宋体" w:hAnsi="宋体" w:eastAsia="宋体" w:cs="宋体"/>
          <w:color w:val="auto"/>
          <w:highlight w:val="none"/>
        </w:rPr>
      </w:pPr>
      <w:r>
        <w:rPr>
          <w:rFonts w:hint="eastAsia" w:ascii="宋体" w:hAnsi="宋体" w:eastAsia="宋体" w:cs="宋体"/>
          <w:b/>
          <w:bCs/>
          <w:color w:val="auto"/>
          <w:w w:val="95"/>
          <w:sz w:val="28"/>
          <w:szCs w:val="28"/>
          <w:highlight w:val="none"/>
        </w:rPr>
        <w:t>日期：</w:t>
      </w:r>
      <w:r>
        <w:rPr>
          <w:rFonts w:hint="eastAsia" w:ascii="宋体" w:hAnsi="宋体" w:eastAsia="宋体" w:cs="宋体"/>
          <w:b/>
          <w:bCs/>
          <w:color w:val="auto"/>
          <w:w w:val="95"/>
          <w:sz w:val="28"/>
          <w:szCs w:val="28"/>
          <w:highlight w:val="none"/>
          <w:lang w:val="en-US" w:eastAsia="zh-CN"/>
        </w:rPr>
        <w:t>2025</w:t>
      </w:r>
      <w:r>
        <w:rPr>
          <w:rFonts w:hint="eastAsia" w:ascii="宋体" w:hAnsi="宋体" w:eastAsia="宋体" w:cs="宋体"/>
          <w:b/>
          <w:bCs/>
          <w:color w:val="auto"/>
          <w:w w:val="95"/>
          <w:sz w:val="28"/>
          <w:szCs w:val="28"/>
          <w:highlight w:val="none"/>
        </w:rPr>
        <w:t>年</w:t>
      </w:r>
      <w:r>
        <w:rPr>
          <w:rFonts w:hint="eastAsia" w:hAnsi="宋体" w:cs="宋体"/>
          <w:b/>
          <w:bCs/>
          <w:color w:val="auto"/>
          <w:w w:val="95"/>
          <w:sz w:val="28"/>
          <w:szCs w:val="28"/>
          <w:highlight w:val="none"/>
          <w:lang w:val="en-US" w:eastAsia="zh-CN"/>
        </w:rPr>
        <w:t>8</w:t>
      </w:r>
      <w:r>
        <w:rPr>
          <w:rFonts w:hint="eastAsia" w:ascii="宋体" w:hAnsi="宋体" w:eastAsia="宋体" w:cs="宋体"/>
          <w:b/>
          <w:bCs/>
          <w:color w:val="auto"/>
          <w:w w:val="95"/>
          <w:sz w:val="28"/>
          <w:szCs w:val="28"/>
          <w:highlight w:val="none"/>
        </w:rPr>
        <w:t>月</w:t>
      </w:r>
      <w:r>
        <w:rPr>
          <w:rFonts w:hint="eastAsia" w:ascii="宋体" w:hAnsi="宋体" w:eastAsia="宋体" w:cs="宋体"/>
          <w:color w:val="auto"/>
          <w:highlight w:val="none"/>
          <w:lang w:eastAsia="zh-CN"/>
        </w:rPr>
        <w:tab/>
      </w:r>
    </w:p>
    <w:p w14:paraId="41015CF6">
      <w:pPr>
        <w:rPr>
          <w:rFonts w:hint="eastAsia" w:ascii="宋体" w:hAnsi="宋体" w:eastAsia="宋体" w:cs="宋体"/>
          <w:color w:val="auto"/>
          <w:highlight w:val="none"/>
        </w:rPr>
        <w:sectPr>
          <w:footerReference r:id="rId6" w:type="first"/>
          <w:headerReference r:id="rId3" w:type="default"/>
          <w:footerReference r:id="rId4" w:type="default"/>
          <w:footerReference r:id="rId5" w:type="even"/>
          <w:pgSz w:w="11906" w:h="16838"/>
          <w:pgMar w:top="1417" w:right="1417" w:bottom="1417" w:left="1417" w:header="851" w:footer="572" w:gutter="0"/>
          <w:pgNumType w:start="0"/>
          <w:cols w:space="720" w:num="1"/>
          <w:titlePg/>
          <w:docGrid w:linePitch="312" w:charSpace="0"/>
        </w:sectPr>
      </w:pPr>
    </w:p>
    <w:p w14:paraId="0E1ED189">
      <w:pPr>
        <w:pStyle w:val="13"/>
        <w:rPr>
          <w:rFonts w:hint="eastAsia" w:ascii="宋体" w:hAnsi="宋体" w:eastAsia="宋体" w:cs="宋体"/>
          <w:color w:val="auto"/>
          <w:highlight w:val="none"/>
        </w:rPr>
      </w:pPr>
    </w:p>
    <w:p w14:paraId="63CD12AC">
      <w:pPr>
        <w:pStyle w:val="25"/>
        <w:spacing w:before="120" w:after="120"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14:paraId="7B069414">
      <w:pPr>
        <w:pStyle w:val="41"/>
        <w:tabs>
          <w:tab w:val="right" w:leader="dot" w:pos="9072"/>
        </w:tabs>
        <w:spacing w:line="480" w:lineRule="auto"/>
        <w:ind w:left="0" w:left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 TOC \o "1-2" \h \z \u </w:instrText>
      </w:r>
      <w:r>
        <w:rPr>
          <w:rFonts w:hint="eastAsia" w:ascii="宋体" w:hAnsi="宋体" w:eastAsia="宋体" w:cs="宋体"/>
          <w:b/>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第一章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招标公告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_Toc7190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4447A537">
      <w:pPr>
        <w:pStyle w:val="41"/>
        <w:tabs>
          <w:tab w:val="right" w:leader="dot" w:pos="9072"/>
        </w:tabs>
        <w:spacing w:line="480" w:lineRule="auto"/>
        <w:ind w:left="0" w:leftChars="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第二章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_Toc19890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2EF16119">
      <w:pPr>
        <w:pStyle w:val="41"/>
        <w:tabs>
          <w:tab w:val="right" w:leader="dot" w:pos="9072"/>
        </w:tabs>
        <w:spacing w:line="480" w:lineRule="auto"/>
        <w:ind w:left="0" w:leftChars="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第三章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_Toc7458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1BC2F135">
      <w:pPr>
        <w:pStyle w:val="41"/>
        <w:tabs>
          <w:tab w:val="right" w:leader="dot" w:pos="9072"/>
        </w:tabs>
        <w:spacing w:line="480" w:lineRule="auto"/>
        <w:ind w:left="0" w:leftChars="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"_Toc30709"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第四章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评标方法及评标标准</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_Toc30709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26770C7E">
      <w:pPr>
        <w:pStyle w:val="41"/>
        <w:tabs>
          <w:tab w:val="right" w:leader="dot" w:pos="9072"/>
        </w:tabs>
        <w:spacing w:line="480" w:lineRule="auto"/>
        <w:ind w:left="0" w:leftChars="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"_Toc27205"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第五章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拟签订的合同文本</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_Toc27205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45</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2068647F">
      <w:pPr>
        <w:pStyle w:val="41"/>
        <w:tabs>
          <w:tab w:val="right" w:leader="dot" w:pos="9072"/>
        </w:tabs>
        <w:spacing w:line="480" w:lineRule="auto"/>
        <w:ind w:left="0" w:leftChars="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第六章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_Toc12390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87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8F708D1">
      <w:pPr>
        <w:spacing w:beforeLines="50" w:line="48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fldChar w:fldCharType="end"/>
      </w:r>
    </w:p>
    <w:p w14:paraId="1DD754CA">
      <w:pPr>
        <w:spacing w:beforeLines="50" w:line="480" w:lineRule="exact"/>
        <w:rPr>
          <w:rFonts w:hint="eastAsia" w:ascii="宋体" w:hAnsi="宋体" w:eastAsia="宋体" w:cs="宋体"/>
          <w:color w:val="auto"/>
          <w:sz w:val="30"/>
          <w:highlight w:val="none"/>
        </w:rPr>
      </w:pPr>
    </w:p>
    <w:p w14:paraId="4FA8B73E">
      <w:pPr>
        <w:rPr>
          <w:rFonts w:hint="eastAsia" w:ascii="宋体" w:hAnsi="宋体" w:eastAsia="宋体" w:cs="宋体"/>
          <w:color w:val="auto"/>
          <w:highlight w:val="none"/>
        </w:rPr>
      </w:pPr>
    </w:p>
    <w:p w14:paraId="0529AC33">
      <w:pPr>
        <w:spacing w:beforeLines="50" w:line="480" w:lineRule="exact"/>
        <w:rPr>
          <w:rFonts w:hint="eastAsia" w:ascii="宋体" w:hAnsi="宋体" w:eastAsia="宋体" w:cs="宋体"/>
          <w:color w:val="auto"/>
          <w:sz w:val="30"/>
          <w:highlight w:val="none"/>
        </w:rPr>
      </w:pPr>
    </w:p>
    <w:p w14:paraId="03A870F7">
      <w:pPr>
        <w:spacing w:beforeLines="50" w:line="480" w:lineRule="exact"/>
        <w:rPr>
          <w:rFonts w:hint="eastAsia" w:ascii="宋体" w:hAnsi="宋体" w:eastAsia="宋体" w:cs="宋体"/>
          <w:color w:val="auto"/>
          <w:sz w:val="30"/>
          <w:highlight w:val="none"/>
        </w:rPr>
      </w:pPr>
    </w:p>
    <w:p w14:paraId="01231D66">
      <w:pPr>
        <w:pStyle w:val="16"/>
        <w:rPr>
          <w:rFonts w:hint="eastAsia" w:ascii="宋体" w:hAnsi="宋体" w:eastAsia="宋体" w:cs="宋体"/>
          <w:b/>
          <w:bCs/>
          <w:color w:val="auto"/>
          <w:highlight w:val="none"/>
        </w:rPr>
      </w:pPr>
      <w:bookmarkStart w:id="0" w:name="_Toc254970489"/>
      <w:bookmarkStart w:id="1" w:name="_Toc254970630"/>
    </w:p>
    <w:p w14:paraId="6800C6F1">
      <w:pPr>
        <w:pStyle w:val="3"/>
        <w:tabs>
          <w:tab w:val="left" w:pos="0"/>
          <w:tab w:val="left" w:pos="3165"/>
          <w:tab w:val="center" w:pos="4153"/>
        </w:tabs>
        <w:spacing w:before="0" w:after="0"/>
        <w:jc w:val="center"/>
        <w:rPr>
          <w:rFonts w:hint="eastAsia" w:ascii="宋体" w:hAnsi="宋体" w:eastAsia="宋体" w:cs="宋体"/>
          <w:b w:val="0"/>
          <w:bCs w:val="0"/>
          <w:color w:val="auto"/>
          <w:highlight w:val="none"/>
        </w:rPr>
        <w:sectPr>
          <w:footerReference r:id="rId8" w:type="first"/>
          <w:footerReference r:id="rId7" w:type="default"/>
          <w:pgSz w:w="11906" w:h="16838"/>
          <w:pgMar w:top="1417" w:right="1417" w:bottom="1417" w:left="1417" w:header="851" w:footer="572" w:gutter="0"/>
          <w:pgNumType w:start="1"/>
          <w:cols w:space="720" w:num="1"/>
          <w:titlePg/>
          <w:docGrid w:linePitch="312" w:charSpace="0"/>
        </w:sectPr>
      </w:pPr>
      <w:bookmarkStart w:id="2" w:name="_Toc19686829"/>
      <w:bookmarkStart w:id="3" w:name="_Toc32301"/>
    </w:p>
    <w:p w14:paraId="7B6F1EF4">
      <w:pPr>
        <w:pStyle w:val="2"/>
        <w:spacing w:before="0" w:after="0" w:line="360" w:lineRule="auto"/>
        <w:jc w:val="center"/>
        <w:rPr>
          <w:rFonts w:hint="eastAsia" w:ascii="宋体" w:hAnsi="宋体" w:eastAsia="宋体" w:cs="宋体"/>
          <w:color w:val="auto"/>
          <w:sz w:val="32"/>
          <w:szCs w:val="32"/>
          <w:highlight w:val="none"/>
        </w:rPr>
      </w:pPr>
      <w:bookmarkStart w:id="4" w:name="_Toc7190"/>
      <w:bookmarkStart w:id="5" w:name="_Toc21656"/>
      <w:r>
        <w:rPr>
          <w:rFonts w:hint="eastAsia" w:ascii="宋体" w:hAnsi="宋体" w:eastAsia="宋体" w:cs="宋体"/>
          <w:color w:val="auto"/>
          <w:sz w:val="32"/>
          <w:szCs w:val="32"/>
          <w:highlight w:val="none"/>
        </w:rPr>
        <w:t>第一章</w:t>
      </w:r>
      <w:bookmarkEnd w:id="0"/>
      <w:bookmarkEnd w:id="1"/>
      <w:bookmarkEnd w:id="2"/>
      <w:bookmarkStart w:id="6" w:name="_Toc35393789"/>
      <w:bookmarkStart w:id="7" w:name="_Toc28359001"/>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招标公告</w:t>
      </w:r>
      <w:bookmarkEnd w:id="3"/>
      <w:bookmarkEnd w:id="4"/>
      <w:bookmarkEnd w:id="5"/>
      <w:bookmarkEnd w:id="6"/>
      <w:bookmarkEnd w:id="7"/>
    </w:p>
    <w:p w14:paraId="0F89DA0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701BA4B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叠彩区江东片区城市设计方案编制项目</w:t>
      </w:r>
      <w:r>
        <w:rPr>
          <w:rFonts w:hint="eastAsia" w:ascii="宋体" w:hAnsi="宋体" w:eastAsia="宋体" w:cs="宋体"/>
          <w:color w:val="auto"/>
          <w:szCs w:val="21"/>
          <w:highlight w:val="none"/>
        </w:rPr>
        <w:t>的潜在投标人应在广西政府采购云平台（网址：https://www.gcy.zfcg.gxzf.gov.cn/）获取招标文件，并于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28</w:t>
      </w:r>
      <w:r>
        <w:rPr>
          <w:rFonts w:hint="eastAsia" w:ascii="宋体" w:hAnsi="宋体" w:eastAsia="宋体" w:cs="宋体"/>
          <w:bCs/>
          <w:color w:val="auto"/>
          <w:szCs w:val="21"/>
          <w:highlight w:val="none"/>
          <w:u w:val="single"/>
        </w:rPr>
        <w:t>日 09:30（</w:t>
      </w:r>
      <w:r>
        <w:rPr>
          <w:rFonts w:hint="eastAsia" w:ascii="宋体" w:hAnsi="宋体" w:eastAsia="宋体" w:cs="宋体"/>
          <w:bCs/>
          <w:color w:val="auto"/>
          <w:szCs w:val="21"/>
          <w:highlight w:val="none"/>
        </w:rPr>
        <w:t>北京时间）前递交投标文件</w:t>
      </w:r>
      <w:r>
        <w:rPr>
          <w:rFonts w:hint="eastAsia" w:ascii="宋体" w:hAnsi="宋体" w:eastAsia="宋体" w:cs="宋体"/>
          <w:color w:val="auto"/>
          <w:szCs w:val="21"/>
          <w:highlight w:val="none"/>
        </w:rPr>
        <w:t>。</w:t>
      </w:r>
    </w:p>
    <w:p w14:paraId="0D14ABEE">
      <w:pPr>
        <w:spacing w:line="360" w:lineRule="auto"/>
        <w:rPr>
          <w:rFonts w:hint="eastAsia" w:ascii="宋体" w:hAnsi="宋体" w:eastAsia="宋体" w:cs="宋体"/>
          <w:b/>
          <w:bCs/>
          <w:color w:val="auto"/>
          <w:szCs w:val="21"/>
          <w:highlight w:val="none"/>
        </w:rPr>
      </w:pPr>
      <w:bookmarkStart w:id="8" w:name="_Toc35393790"/>
      <w:bookmarkStart w:id="9" w:name="_Toc35393621"/>
      <w:bookmarkStart w:id="10" w:name="_Toc28359002"/>
      <w:bookmarkStart w:id="11" w:name="_Toc28359079"/>
      <w:bookmarkStart w:id="12" w:name="_Hlk24379207"/>
      <w:r>
        <w:rPr>
          <w:rFonts w:hint="eastAsia" w:ascii="宋体" w:hAnsi="宋体" w:eastAsia="宋体" w:cs="宋体"/>
          <w:b/>
          <w:bCs/>
          <w:color w:val="auto"/>
          <w:szCs w:val="21"/>
          <w:highlight w:val="none"/>
        </w:rPr>
        <w:t>一、项目基本情况</w:t>
      </w:r>
      <w:bookmarkEnd w:id="8"/>
      <w:bookmarkEnd w:id="9"/>
      <w:bookmarkEnd w:id="10"/>
      <w:bookmarkEnd w:id="11"/>
    </w:p>
    <w:p w14:paraId="0DADCFC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GLZC2025-G3-990384-GXDC</w:t>
      </w:r>
    </w:p>
    <w:p w14:paraId="4790DA9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bookmarkEnd w:id="12"/>
      <w:r>
        <w:rPr>
          <w:rFonts w:hint="eastAsia" w:ascii="宋体" w:hAnsi="宋体" w:eastAsia="宋体" w:cs="宋体"/>
          <w:color w:val="auto"/>
          <w:szCs w:val="21"/>
          <w:highlight w:val="none"/>
          <w:lang w:eastAsia="zh-CN"/>
        </w:rPr>
        <w:t>叠彩区江东片区城市设计方案编制项目</w:t>
      </w:r>
    </w:p>
    <w:p w14:paraId="7BC767A3">
      <w:pPr>
        <w:spacing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预算总金额（元）：</w:t>
      </w:r>
      <w:r>
        <w:rPr>
          <w:rFonts w:hint="eastAsia" w:ascii="宋体" w:hAnsi="宋体" w:eastAsia="宋体" w:cs="宋体"/>
          <w:color w:val="auto"/>
          <w:szCs w:val="24"/>
          <w:highlight w:val="none"/>
          <w:lang w:eastAsia="zh-CN"/>
        </w:rPr>
        <w:t>2610000.00</w:t>
      </w:r>
    </w:p>
    <w:p w14:paraId="507F347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采购需求： </w:t>
      </w:r>
    </w:p>
    <w:p w14:paraId="1D457E9C">
      <w:pPr>
        <w:spacing w:line="360" w:lineRule="auto"/>
        <w:ind w:firstLine="420" w:firstLineChars="200"/>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rPr>
        <w:t>标项名称：</w:t>
      </w:r>
      <w:r>
        <w:rPr>
          <w:rFonts w:hint="eastAsia" w:ascii="宋体" w:hAnsi="宋体" w:eastAsia="宋体" w:cs="宋体"/>
          <w:color w:val="auto"/>
          <w:szCs w:val="24"/>
          <w:highlight w:val="none"/>
          <w:lang w:eastAsia="zh-CN"/>
        </w:rPr>
        <w:t>叠彩区江东片区城市设计方案编制项目</w:t>
      </w:r>
    </w:p>
    <w:p w14:paraId="66A55F4F">
      <w:pPr>
        <w:spacing w:line="360" w:lineRule="auto"/>
        <w:ind w:firstLine="420" w:firstLineChars="200"/>
        <w:rPr>
          <w:rFonts w:hint="eastAsia" w:ascii="宋体" w:hAnsi="宋体" w:eastAsia="宋体" w:cs="宋体"/>
          <w:color w:val="auto"/>
          <w:kern w:val="2"/>
          <w:sz w:val="21"/>
          <w:szCs w:val="24"/>
          <w:highlight w:val="none"/>
          <w:lang w:eastAsia="zh-CN"/>
        </w:rPr>
      </w:pPr>
      <w:r>
        <w:rPr>
          <w:rFonts w:hint="eastAsia" w:ascii="宋体" w:hAnsi="宋体" w:eastAsia="宋体" w:cs="宋体"/>
          <w:color w:val="auto"/>
          <w:kern w:val="2"/>
          <w:sz w:val="21"/>
          <w:szCs w:val="24"/>
          <w:highlight w:val="none"/>
        </w:rPr>
        <w:t>数量：</w:t>
      </w:r>
      <w:r>
        <w:rPr>
          <w:rFonts w:hint="eastAsia" w:ascii="宋体" w:hAnsi="宋体" w:eastAsia="宋体" w:cs="宋体"/>
          <w:color w:val="auto"/>
          <w:kern w:val="2"/>
          <w:sz w:val="21"/>
          <w:szCs w:val="24"/>
          <w:highlight w:val="none"/>
          <w:lang w:val="en-US" w:eastAsia="zh-CN"/>
        </w:rPr>
        <w:t>1</w:t>
      </w:r>
    </w:p>
    <w:p w14:paraId="69BE335A">
      <w:pPr>
        <w:spacing w:line="360" w:lineRule="auto"/>
        <w:ind w:firstLine="420" w:firstLineChars="200"/>
        <w:rPr>
          <w:rFonts w:hint="eastAsia" w:ascii="宋体" w:hAnsi="宋体" w:eastAsia="宋体" w:cs="宋体"/>
          <w:i w:val="0"/>
          <w:iCs w:val="0"/>
          <w:color w:val="auto"/>
          <w:kern w:val="2"/>
          <w:sz w:val="21"/>
          <w:szCs w:val="24"/>
          <w:highlight w:val="none"/>
          <w:u w:val="none"/>
          <w:lang w:val="en-US" w:eastAsia="zh-CN"/>
        </w:rPr>
      </w:pPr>
      <w:r>
        <w:rPr>
          <w:rFonts w:hint="eastAsia" w:ascii="宋体" w:hAnsi="宋体" w:eastAsia="宋体" w:cs="宋体"/>
          <w:color w:val="auto"/>
          <w:kern w:val="2"/>
          <w:sz w:val="21"/>
          <w:szCs w:val="24"/>
          <w:highlight w:val="none"/>
        </w:rPr>
        <w:t>预算金额（元）</w:t>
      </w:r>
      <w:r>
        <w:rPr>
          <w:rFonts w:hint="eastAsia" w:ascii="宋体" w:hAnsi="宋体" w:eastAsia="宋体" w:cs="宋体"/>
          <w:color w:val="auto"/>
          <w:kern w:val="2"/>
          <w:sz w:val="21"/>
          <w:szCs w:val="24"/>
          <w:highlight w:val="none"/>
          <w:lang w:val="en-US" w:eastAsia="zh-CN"/>
        </w:rPr>
        <w:t>：</w:t>
      </w:r>
      <w:r>
        <w:rPr>
          <w:rFonts w:hint="eastAsia" w:ascii="宋体" w:hAnsi="宋体" w:eastAsia="宋体" w:cs="宋体"/>
          <w:color w:val="auto"/>
          <w:szCs w:val="24"/>
          <w:highlight w:val="none"/>
          <w:lang w:eastAsia="zh-CN"/>
        </w:rPr>
        <w:t>2610000.00</w:t>
      </w:r>
    </w:p>
    <w:p w14:paraId="4571E0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i w:val="0"/>
          <w:iCs w:val="0"/>
          <w:color w:val="auto"/>
          <w:kern w:val="2"/>
          <w:sz w:val="21"/>
          <w:szCs w:val="24"/>
          <w:highlight w:val="none"/>
          <w:u w:val="none"/>
          <w:lang w:val="en-US" w:eastAsia="zh-CN"/>
        </w:rPr>
        <w:t>简要规格描述或项目基本概况介绍、用</w:t>
      </w:r>
      <w:r>
        <w:rPr>
          <w:rFonts w:hint="eastAsia" w:ascii="宋体" w:hAnsi="宋体" w:eastAsia="宋体" w:cs="宋体"/>
          <w:color w:val="auto"/>
          <w:szCs w:val="24"/>
          <w:highlight w:val="none"/>
          <w:lang w:val="en-US" w:eastAsia="zh-CN"/>
        </w:rPr>
        <w:t>途：叠彩区江东片区城市设计方案编制项目1项，具体采购内容详见招标文件</w:t>
      </w:r>
      <w:r>
        <w:rPr>
          <w:rFonts w:hint="eastAsia" w:ascii="宋体" w:hAnsi="宋体" w:eastAsia="宋体" w:cs="宋体"/>
          <w:color w:val="auto"/>
          <w:highlight w:val="none"/>
        </w:rPr>
        <w:t>。</w:t>
      </w:r>
    </w:p>
    <w:p w14:paraId="4CEDB5DE">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最高限价：</w:t>
      </w:r>
      <w:r>
        <w:rPr>
          <w:rFonts w:hint="eastAsia" w:ascii="宋体" w:hAnsi="宋体" w:eastAsia="宋体" w:cs="宋体"/>
          <w:color w:val="auto"/>
          <w:szCs w:val="24"/>
          <w:highlight w:val="none"/>
          <w:lang w:eastAsia="zh-CN"/>
        </w:rPr>
        <w:t>2610000.00</w:t>
      </w:r>
    </w:p>
    <w:p w14:paraId="2658321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rPr>
        <w:t>合同履行期限：</w:t>
      </w:r>
      <w:r>
        <w:rPr>
          <w:rFonts w:hint="eastAsia" w:ascii="宋体" w:hAnsi="宋体" w:eastAsia="宋体" w:cs="宋体"/>
          <w:b w:val="0"/>
          <w:bCs w:val="0"/>
          <w:i w:val="0"/>
          <w:iCs w:val="0"/>
          <w:color w:val="auto"/>
          <w:sz w:val="21"/>
          <w:szCs w:val="21"/>
          <w:highlight w:val="none"/>
          <w:lang w:val="en-US" w:eastAsia="zh-CN"/>
        </w:rPr>
        <w:t>详见</w:t>
      </w:r>
      <w:r>
        <w:rPr>
          <w:rFonts w:hint="eastAsia" w:ascii="宋体" w:hAnsi="宋体" w:cs="宋体"/>
          <w:b w:val="0"/>
          <w:bCs w:val="0"/>
          <w:i w:val="0"/>
          <w:iCs w:val="0"/>
          <w:color w:val="auto"/>
          <w:sz w:val="21"/>
          <w:szCs w:val="21"/>
          <w:highlight w:val="none"/>
          <w:lang w:val="en-US" w:eastAsia="zh-CN"/>
        </w:rPr>
        <w:t>公开招标</w:t>
      </w:r>
      <w:bookmarkStart w:id="423" w:name="_GoBack"/>
      <w:bookmarkEnd w:id="423"/>
      <w:r>
        <w:rPr>
          <w:rFonts w:hint="eastAsia" w:ascii="宋体" w:hAnsi="宋体" w:eastAsia="宋体" w:cs="宋体"/>
          <w:b w:val="0"/>
          <w:bCs w:val="0"/>
          <w:i w:val="0"/>
          <w:iCs w:val="0"/>
          <w:color w:val="auto"/>
          <w:sz w:val="21"/>
          <w:szCs w:val="21"/>
          <w:highlight w:val="none"/>
          <w:lang w:val="en-US" w:eastAsia="zh-CN"/>
        </w:rPr>
        <w:t>文件。</w:t>
      </w:r>
    </w:p>
    <w:p w14:paraId="05F3122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本标项（否）接受联合体投标</w:t>
      </w:r>
      <w:r>
        <w:rPr>
          <w:rFonts w:hint="eastAsia" w:ascii="宋体" w:hAnsi="宋体" w:eastAsia="宋体" w:cs="宋体"/>
          <w:color w:val="auto"/>
          <w:szCs w:val="21"/>
          <w:highlight w:val="none"/>
          <w:lang w:eastAsia="zh-CN"/>
        </w:rPr>
        <w:t>。</w:t>
      </w:r>
    </w:p>
    <w:p w14:paraId="5F5D37C3">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color w:val="auto"/>
          <w:kern w:val="2"/>
          <w:sz w:val="21"/>
          <w:szCs w:val="21"/>
          <w:highlight w:val="none"/>
          <w:lang w:val="en-US" w:eastAsia="zh-CN" w:bidi="ar-SA"/>
        </w:rPr>
        <w:t>备注：/。</w:t>
      </w:r>
      <w:bookmarkStart w:id="13" w:name="_Toc35393622"/>
      <w:bookmarkStart w:id="14" w:name="_Toc28359003"/>
      <w:bookmarkStart w:id="15" w:name="_Toc28359080"/>
      <w:bookmarkStart w:id="16" w:name="_Toc35393791"/>
    </w:p>
    <w:p w14:paraId="28013E2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二、投标人的资格要求：</w:t>
      </w:r>
      <w:bookmarkEnd w:id="13"/>
      <w:bookmarkEnd w:id="14"/>
      <w:bookmarkEnd w:id="15"/>
      <w:bookmarkEnd w:id="16"/>
    </w:p>
    <w:p w14:paraId="2E6C4EED">
      <w:pPr>
        <w:spacing w:line="360" w:lineRule="auto"/>
        <w:ind w:firstLine="420" w:firstLineChars="200"/>
        <w:rPr>
          <w:rFonts w:hint="eastAsia" w:ascii="宋体" w:hAnsi="宋体" w:eastAsia="宋体" w:cs="宋体"/>
          <w:color w:val="auto"/>
          <w:szCs w:val="21"/>
          <w:highlight w:val="none"/>
          <w:lang w:eastAsia="zh-CN"/>
        </w:rPr>
      </w:pPr>
      <w:bookmarkStart w:id="17" w:name="_Hlk51746371"/>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64D8CC53">
      <w:pPr>
        <w:spacing w:line="360" w:lineRule="auto"/>
        <w:ind w:firstLine="420" w:firstLineChars="200"/>
        <w:rPr>
          <w:rFonts w:hint="eastAsia" w:ascii="宋体" w:hAnsi="宋体" w:eastAsia="宋体" w:cs="宋体"/>
          <w:color w:val="auto"/>
          <w:szCs w:val="21"/>
          <w:highlight w:val="none"/>
        </w:rPr>
      </w:pPr>
      <w:bookmarkStart w:id="18" w:name="_Toc28359004"/>
      <w:bookmarkStart w:id="19" w:name="_Toc28359081"/>
      <w:r>
        <w:rPr>
          <w:rFonts w:hint="eastAsia" w:ascii="宋体" w:hAnsi="宋体" w:eastAsia="宋体" w:cs="宋体"/>
          <w:color w:val="auto"/>
          <w:szCs w:val="21"/>
          <w:highlight w:val="none"/>
        </w:rPr>
        <w:t>2.落实政府采购政策需满足的资格要求：无。</w:t>
      </w:r>
    </w:p>
    <w:p w14:paraId="1F602CAB">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eastAsia="zh-CN"/>
        </w:rPr>
        <w:t>：</w:t>
      </w:r>
    </w:p>
    <w:p w14:paraId="4CCA7C16">
      <w:pPr>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须</w:t>
      </w:r>
      <w:r>
        <w:rPr>
          <w:rFonts w:hint="eastAsia" w:ascii="宋体" w:hAnsi="宋体" w:eastAsia="宋体" w:cs="宋体"/>
          <w:color w:val="auto"/>
          <w:szCs w:val="21"/>
          <w:highlight w:val="none"/>
          <w:lang w:val="zh-CN"/>
        </w:rPr>
        <w:t>具备</w:t>
      </w:r>
      <w:r>
        <w:rPr>
          <w:rFonts w:hint="eastAsia" w:ascii="宋体" w:hAnsi="宋体" w:eastAsia="宋体" w:cs="宋体"/>
          <w:color w:val="auto"/>
          <w:szCs w:val="21"/>
          <w:highlight w:val="none"/>
          <w:lang w:val="zh-CN" w:eastAsia="zh-CN"/>
        </w:rPr>
        <w:t>城乡规划编制</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lang w:val="zh-CN"/>
        </w:rPr>
        <w:t>级及以上资质；</w:t>
      </w:r>
    </w:p>
    <w:p w14:paraId="4E51569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3.2拟派项目负责人要求：须具备注册城乡规划师资格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或一级</w:t>
      </w:r>
      <w:r>
        <w:rPr>
          <w:rFonts w:hint="eastAsia" w:ascii="宋体" w:hAnsi="宋体" w:eastAsia="宋体" w:cs="宋体"/>
          <w:color w:val="auto"/>
          <w:szCs w:val="21"/>
          <w:highlight w:val="none"/>
          <w:lang w:val="en-US" w:eastAsia="zh-CN"/>
        </w:rPr>
        <w:t>注册</w:t>
      </w:r>
      <w:r>
        <w:rPr>
          <w:rFonts w:hint="eastAsia" w:ascii="宋体" w:hAnsi="宋体" w:eastAsia="宋体" w:cs="宋体"/>
          <w:color w:val="auto"/>
          <w:szCs w:val="21"/>
          <w:highlight w:val="none"/>
        </w:rPr>
        <w:t>建筑师资格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，且具有高级职称</w:t>
      </w:r>
      <w:r>
        <w:rPr>
          <w:rFonts w:hint="eastAsia" w:ascii="宋体" w:hAnsi="宋体" w:eastAsia="宋体" w:cs="宋体"/>
          <w:color w:val="auto"/>
          <w:szCs w:val="22"/>
          <w:highlight w:val="none"/>
        </w:rPr>
        <w:t>。</w:t>
      </w:r>
    </w:p>
    <w:bookmarkEnd w:id="17"/>
    <w:p w14:paraId="34646A91">
      <w:pPr>
        <w:spacing w:line="360" w:lineRule="auto"/>
        <w:rPr>
          <w:rFonts w:hint="eastAsia" w:ascii="宋体" w:hAnsi="宋体" w:eastAsia="宋体" w:cs="宋体"/>
          <w:b/>
          <w:bCs/>
          <w:color w:val="auto"/>
          <w:szCs w:val="21"/>
          <w:highlight w:val="none"/>
        </w:rPr>
      </w:pPr>
      <w:bookmarkStart w:id="20" w:name="_Toc35393792"/>
      <w:bookmarkStart w:id="21" w:name="_Toc35393623"/>
      <w:r>
        <w:rPr>
          <w:rFonts w:hint="eastAsia" w:ascii="宋体" w:hAnsi="宋体" w:eastAsia="宋体" w:cs="宋体"/>
          <w:b/>
          <w:bCs/>
          <w:color w:val="auto"/>
          <w:szCs w:val="21"/>
          <w:highlight w:val="none"/>
        </w:rPr>
        <w:t>三、获取招标文件</w:t>
      </w:r>
      <w:bookmarkEnd w:id="18"/>
      <w:bookmarkEnd w:id="19"/>
      <w:bookmarkEnd w:id="20"/>
      <w:bookmarkEnd w:id="21"/>
    </w:p>
    <w:p w14:paraId="5BCD6983">
      <w:pPr>
        <w:spacing w:line="360" w:lineRule="auto"/>
        <w:ind w:firstLine="54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u w:val="none"/>
        </w:rPr>
        <w:t>20</w:t>
      </w:r>
      <w:r>
        <w:rPr>
          <w:rFonts w:hint="eastAsia" w:ascii="宋体" w:hAnsi="宋体" w:eastAsia="宋体" w:cs="宋体"/>
          <w:bCs/>
          <w:color w:val="auto"/>
          <w:kern w:val="0"/>
          <w:szCs w:val="21"/>
          <w:highlight w:val="none"/>
          <w:u w:val="none"/>
          <w:lang w:val="en-US" w:eastAsia="zh-CN"/>
        </w:rPr>
        <w:t>25</w:t>
      </w:r>
      <w:r>
        <w:rPr>
          <w:rFonts w:hint="eastAsia" w:ascii="宋体" w:hAnsi="宋体" w:eastAsia="宋体" w:cs="宋体"/>
          <w:bCs/>
          <w:color w:val="auto"/>
          <w:kern w:val="0"/>
          <w:szCs w:val="21"/>
          <w:highlight w:val="none"/>
          <w:u w:val="none"/>
        </w:rPr>
        <w:t>年</w:t>
      </w:r>
      <w:r>
        <w:rPr>
          <w:rFonts w:hint="eastAsia" w:ascii="宋体" w:hAnsi="宋体" w:cs="宋体"/>
          <w:bCs/>
          <w:color w:val="auto"/>
          <w:kern w:val="0"/>
          <w:szCs w:val="21"/>
          <w:highlight w:val="none"/>
          <w:u w:val="none"/>
          <w:lang w:val="en-US" w:eastAsia="zh-CN"/>
        </w:rPr>
        <w:t>8</w:t>
      </w:r>
      <w:r>
        <w:rPr>
          <w:rFonts w:hint="eastAsia" w:ascii="宋体" w:hAnsi="宋体" w:eastAsia="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7</w:t>
      </w:r>
      <w:r>
        <w:rPr>
          <w:rFonts w:hint="eastAsia" w:ascii="宋体" w:hAnsi="宋体" w:eastAsia="宋体" w:cs="宋体"/>
          <w:bCs/>
          <w:color w:val="auto"/>
          <w:kern w:val="0"/>
          <w:szCs w:val="21"/>
          <w:highlight w:val="none"/>
          <w:u w:val="none"/>
        </w:rPr>
        <w:t>日</w:t>
      </w:r>
      <w:r>
        <w:rPr>
          <w:rFonts w:hint="eastAsia" w:ascii="宋体" w:hAnsi="宋体" w:eastAsia="宋体" w:cs="宋体"/>
          <w:bCs/>
          <w:color w:val="auto"/>
          <w:kern w:val="0"/>
          <w:szCs w:val="21"/>
          <w:highlight w:val="none"/>
          <w:u w:val="none"/>
          <w:lang w:val="en-US" w:eastAsia="zh-CN"/>
        </w:rPr>
        <w:t>至</w:t>
      </w:r>
      <w:r>
        <w:rPr>
          <w:rFonts w:hint="eastAsia" w:ascii="宋体" w:hAnsi="宋体" w:eastAsia="宋体" w:cs="宋体"/>
          <w:bCs/>
          <w:color w:val="auto"/>
          <w:kern w:val="0"/>
          <w:szCs w:val="21"/>
          <w:highlight w:val="none"/>
          <w:u w:val="none"/>
        </w:rPr>
        <w:t>202</w:t>
      </w:r>
      <w:r>
        <w:rPr>
          <w:rFonts w:hint="eastAsia" w:ascii="宋体" w:hAnsi="宋体" w:eastAsia="宋体" w:cs="宋体"/>
          <w:bCs/>
          <w:color w:val="auto"/>
          <w:kern w:val="0"/>
          <w:szCs w:val="21"/>
          <w:highlight w:val="none"/>
          <w:u w:val="none"/>
          <w:lang w:val="en-US" w:eastAsia="zh-CN"/>
        </w:rPr>
        <w:t>5</w:t>
      </w:r>
      <w:r>
        <w:rPr>
          <w:rFonts w:hint="eastAsia" w:ascii="宋体" w:hAnsi="宋体" w:eastAsia="宋体" w:cs="宋体"/>
          <w:bCs/>
          <w:color w:val="auto"/>
          <w:kern w:val="0"/>
          <w:szCs w:val="21"/>
          <w:highlight w:val="none"/>
          <w:u w:val="none"/>
        </w:rPr>
        <w:t>年</w:t>
      </w:r>
      <w:r>
        <w:rPr>
          <w:rFonts w:hint="eastAsia" w:ascii="宋体" w:hAnsi="宋体" w:cs="宋体"/>
          <w:bCs/>
          <w:color w:val="auto"/>
          <w:kern w:val="0"/>
          <w:szCs w:val="21"/>
          <w:highlight w:val="none"/>
          <w:u w:val="none"/>
          <w:lang w:val="en-US" w:eastAsia="zh-CN"/>
        </w:rPr>
        <w:t>8</w:t>
      </w:r>
      <w:r>
        <w:rPr>
          <w:rFonts w:hint="eastAsia" w:ascii="宋体" w:hAnsi="宋体" w:eastAsia="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27</w:t>
      </w:r>
      <w:r>
        <w:rPr>
          <w:rFonts w:hint="eastAsia" w:ascii="宋体" w:hAnsi="宋体" w:eastAsia="宋体" w:cs="宋体"/>
          <w:bCs/>
          <w:color w:val="auto"/>
          <w:kern w:val="0"/>
          <w:szCs w:val="21"/>
          <w:highlight w:val="none"/>
          <w:u w:val="none"/>
        </w:rPr>
        <w:t>日</w:t>
      </w:r>
      <w:r>
        <w:rPr>
          <w:rFonts w:hint="eastAsia" w:ascii="宋体" w:hAnsi="宋体" w:eastAsia="宋体" w:cs="宋体"/>
          <w:bCs/>
          <w:color w:val="auto"/>
          <w:kern w:val="0"/>
          <w:szCs w:val="21"/>
          <w:highlight w:val="none"/>
          <w:u w:val="none"/>
          <w:lang w:eastAsia="zh-CN"/>
        </w:rPr>
        <w:t>，</w:t>
      </w:r>
      <w:r>
        <w:rPr>
          <w:rFonts w:hint="eastAsia" w:ascii="宋体" w:hAnsi="宋体" w:eastAsia="宋体" w:cs="宋体"/>
          <w:bCs/>
          <w:color w:val="auto"/>
          <w:kern w:val="0"/>
          <w:szCs w:val="21"/>
          <w:highlight w:val="none"/>
          <w:u w:val="none"/>
        </w:rPr>
        <w:t>每天上午00:00至11:59，下午12:00至23:59（北京时间，法定节假日除外）</w:t>
      </w:r>
      <w:r>
        <w:rPr>
          <w:rFonts w:hint="eastAsia" w:ascii="宋体" w:hAnsi="宋体" w:eastAsia="宋体" w:cs="宋体"/>
          <w:bCs/>
          <w:color w:val="auto"/>
          <w:kern w:val="0"/>
          <w:szCs w:val="21"/>
          <w:highlight w:val="none"/>
          <w:lang w:eastAsia="zh-CN"/>
        </w:rPr>
        <w:t>。</w:t>
      </w:r>
    </w:p>
    <w:p w14:paraId="18AF9348">
      <w:pPr>
        <w:spacing w:line="360" w:lineRule="auto"/>
        <w:ind w:firstLine="540"/>
        <w:rPr>
          <w:rFonts w:hint="eastAsia" w:ascii="宋体" w:hAnsi="宋体" w:eastAsia="宋体" w:cs="宋体"/>
          <w:color w:val="auto"/>
          <w:highlight w:val="none"/>
          <w:u w:val="single"/>
        </w:rPr>
      </w:pPr>
      <w:r>
        <w:rPr>
          <w:rFonts w:hint="eastAsia" w:ascii="宋体" w:hAnsi="宋体" w:eastAsia="宋体" w:cs="宋体"/>
          <w:bCs/>
          <w:color w:val="auto"/>
          <w:kern w:val="0"/>
          <w:szCs w:val="21"/>
          <w:highlight w:val="none"/>
        </w:rPr>
        <w:t>地点：</w:t>
      </w:r>
      <w:r>
        <w:rPr>
          <w:rFonts w:hint="eastAsia" w:ascii="宋体" w:hAnsi="宋体" w:eastAsia="宋体" w:cs="宋体"/>
          <w:color w:val="auto"/>
          <w:szCs w:val="21"/>
          <w:highlight w:val="none"/>
        </w:rPr>
        <w:t>广西政府采购云平台（https://www.gcy.zfcg.gxzf.gov.cn/）</w:t>
      </w:r>
      <w:r>
        <w:rPr>
          <w:rFonts w:hint="eastAsia" w:ascii="宋体" w:hAnsi="宋体" w:eastAsia="宋体" w:cs="宋体"/>
          <w:bCs/>
          <w:color w:val="auto"/>
          <w:kern w:val="0"/>
          <w:szCs w:val="21"/>
          <w:highlight w:val="none"/>
        </w:rPr>
        <w:t>。</w:t>
      </w:r>
    </w:p>
    <w:p w14:paraId="7A63E468">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2D0F5AC0">
      <w:pPr>
        <w:spacing w:line="360" w:lineRule="auto"/>
        <w:ind w:firstLine="54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售价：</w:t>
      </w:r>
      <w:r>
        <w:rPr>
          <w:rFonts w:hint="eastAsia" w:ascii="宋体" w:hAnsi="宋体" w:eastAsia="宋体" w:cs="宋体"/>
          <w:color w:val="auto"/>
          <w:highlight w:val="none"/>
        </w:rPr>
        <w:t>0。</w:t>
      </w:r>
    </w:p>
    <w:p w14:paraId="56D7576A">
      <w:pPr>
        <w:spacing w:line="360" w:lineRule="auto"/>
        <w:rPr>
          <w:rFonts w:hint="eastAsia" w:ascii="宋体" w:hAnsi="宋体" w:eastAsia="宋体" w:cs="宋体"/>
          <w:b/>
          <w:bCs/>
          <w:color w:val="auto"/>
          <w:szCs w:val="21"/>
          <w:highlight w:val="none"/>
        </w:rPr>
      </w:pPr>
      <w:bookmarkStart w:id="22" w:name="_Toc28359082"/>
      <w:bookmarkStart w:id="23" w:name="_Toc28359005"/>
      <w:bookmarkStart w:id="24" w:name="_Toc35393624"/>
      <w:bookmarkStart w:id="25" w:name="_Toc35393793"/>
      <w:r>
        <w:rPr>
          <w:rFonts w:hint="eastAsia" w:ascii="宋体" w:hAnsi="宋体" w:eastAsia="宋体" w:cs="宋体"/>
          <w:b/>
          <w:bCs/>
          <w:color w:val="auto"/>
          <w:szCs w:val="21"/>
          <w:highlight w:val="none"/>
        </w:rPr>
        <w:t>四、提交投标文件</w:t>
      </w:r>
      <w:bookmarkEnd w:id="22"/>
      <w:bookmarkEnd w:id="23"/>
      <w:r>
        <w:rPr>
          <w:rFonts w:hint="eastAsia" w:ascii="宋体" w:hAnsi="宋体" w:eastAsia="宋体" w:cs="宋体"/>
          <w:b/>
          <w:bCs/>
          <w:color w:val="auto"/>
          <w:szCs w:val="21"/>
          <w:highlight w:val="none"/>
        </w:rPr>
        <w:t>截止时间、开标时间和地点</w:t>
      </w:r>
      <w:bookmarkEnd w:id="24"/>
      <w:bookmarkEnd w:id="25"/>
    </w:p>
    <w:p w14:paraId="14CFD3CF">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提交投标文件截止时间：</w:t>
      </w:r>
      <w:r>
        <w:rPr>
          <w:rFonts w:hint="eastAsia" w:ascii="宋体" w:hAnsi="宋体" w:eastAsia="宋体" w:cs="宋体"/>
          <w:bCs/>
          <w:color w:val="auto"/>
          <w:kern w:val="0"/>
          <w:szCs w:val="21"/>
          <w:highlight w:val="none"/>
          <w:lang w:eastAsia="zh-CN"/>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lang w:eastAsia="zh-CN"/>
        </w:rPr>
        <w:t>年</w:t>
      </w:r>
      <w:r>
        <w:rPr>
          <w:rFonts w:hint="eastAsia" w:ascii="宋体" w:hAnsi="宋体" w:cs="宋体"/>
          <w:bCs/>
          <w:color w:val="auto"/>
          <w:kern w:val="0"/>
          <w:szCs w:val="21"/>
          <w:highlight w:val="none"/>
          <w:u w:val="none"/>
          <w:lang w:val="en-US" w:eastAsia="zh-CN"/>
        </w:rPr>
        <w:t>8</w:t>
      </w:r>
      <w:r>
        <w:rPr>
          <w:rFonts w:hint="eastAsia" w:ascii="宋体" w:hAnsi="宋体" w:eastAsia="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28</w:t>
      </w:r>
      <w:r>
        <w:rPr>
          <w:rFonts w:hint="eastAsia" w:ascii="宋体" w:hAnsi="宋体" w:eastAsia="宋体" w:cs="宋体"/>
          <w:bCs/>
          <w:color w:val="auto"/>
          <w:kern w:val="0"/>
          <w:szCs w:val="21"/>
          <w:highlight w:val="none"/>
          <w:u w:val="none"/>
        </w:rPr>
        <w:t>日</w:t>
      </w:r>
      <w:r>
        <w:rPr>
          <w:rFonts w:hint="eastAsia" w:ascii="宋体" w:hAnsi="宋体" w:eastAsia="宋体" w:cs="宋体"/>
          <w:bCs/>
          <w:color w:val="auto"/>
          <w:kern w:val="0"/>
          <w:szCs w:val="21"/>
          <w:highlight w:val="none"/>
          <w:lang w:eastAsia="zh-CN"/>
        </w:rPr>
        <w:t xml:space="preserve"> 09:30</w:t>
      </w:r>
      <w:r>
        <w:rPr>
          <w:rFonts w:hint="eastAsia" w:ascii="宋体" w:hAnsi="宋体" w:eastAsia="宋体" w:cs="宋体"/>
          <w:bCs/>
          <w:color w:val="auto"/>
          <w:kern w:val="0"/>
          <w:szCs w:val="21"/>
          <w:highlight w:val="none"/>
        </w:rPr>
        <w:t>（北京时间）</w:t>
      </w:r>
    </w:p>
    <w:p w14:paraId="7174A6B3">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投标地点（网址）：本项目为全流程电子化政府采购项目，通过广西政府采购云平台（https://www.gcy.zfcg.gxzf.gov.cn/）实行在线电子投标</w:t>
      </w:r>
      <w:r>
        <w:rPr>
          <w:rFonts w:hint="eastAsia" w:ascii="宋体" w:hAnsi="宋体" w:eastAsia="宋体" w:cs="宋体"/>
          <w:color w:val="auto"/>
          <w:highlight w:val="none"/>
        </w:rPr>
        <w:t>。</w:t>
      </w:r>
    </w:p>
    <w:p w14:paraId="488FC05C">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开标时间：</w:t>
      </w:r>
      <w:r>
        <w:rPr>
          <w:rFonts w:hint="eastAsia" w:ascii="宋体" w:hAnsi="宋体" w:eastAsia="宋体" w:cs="宋体"/>
          <w:bCs/>
          <w:color w:val="auto"/>
          <w:kern w:val="0"/>
          <w:szCs w:val="21"/>
          <w:highlight w:val="none"/>
          <w:lang w:eastAsia="zh-CN"/>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lang w:eastAsia="zh-CN"/>
        </w:rPr>
        <w:t>年</w:t>
      </w:r>
      <w:r>
        <w:rPr>
          <w:rFonts w:hint="eastAsia" w:ascii="宋体" w:hAnsi="宋体" w:cs="宋体"/>
          <w:bCs/>
          <w:color w:val="auto"/>
          <w:kern w:val="0"/>
          <w:szCs w:val="21"/>
          <w:highlight w:val="none"/>
          <w:u w:val="none"/>
          <w:lang w:val="en-US" w:eastAsia="zh-CN"/>
        </w:rPr>
        <w:t>8</w:t>
      </w:r>
      <w:r>
        <w:rPr>
          <w:rFonts w:hint="eastAsia" w:ascii="宋体" w:hAnsi="宋体" w:eastAsia="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28</w:t>
      </w:r>
      <w:r>
        <w:rPr>
          <w:rFonts w:hint="eastAsia" w:ascii="宋体" w:hAnsi="宋体" w:eastAsia="宋体" w:cs="宋体"/>
          <w:bCs/>
          <w:color w:val="auto"/>
          <w:kern w:val="0"/>
          <w:szCs w:val="21"/>
          <w:highlight w:val="none"/>
          <w:u w:val="none"/>
        </w:rPr>
        <w:t>日</w:t>
      </w:r>
      <w:r>
        <w:rPr>
          <w:rFonts w:hint="eastAsia" w:ascii="宋体" w:hAnsi="宋体" w:eastAsia="宋体" w:cs="宋体"/>
          <w:bCs/>
          <w:color w:val="auto"/>
          <w:kern w:val="0"/>
          <w:szCs w:val="21"/>
          <w:highlight w:val="none"/>
          <w:lang w:eastAsia="zh-CN"/>
        </w:rPr>
        <w:t>09:30</w:t>
      </w:r>
      <w:r>
        <w:rPr>
          <w:rFonts w:hint="eastAsia" w:ascii="宋体" w:hAnsi="宋体" w:eastAsia="宋体" w:cs="宋体"/>
          <w:bCs/>
          <w:color w:val="auto"/>
          <w:kern w:val="0"/>
          <w:szCs w:val="21"/>
          <w:highlight w:val="none"/>
        </w:rPr>
        <w:t>（北京时间）</w:t>
      </w:r>
    </w:p>
    <w:p w14:paraId="06D0694D">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开标地点：本项目将在广西政府采购云平台电子开标大厅解密、开标</w:t>
      </w:r>
      <w:r>
        <w:rPr>
          <w:rFonts w:hint="eastAsia" w:ascii="宋体" w:hAnsi="宋体" w:eastAsia="宋体" w:cs="宋体"/>
          <w:color w:val="auto"/>
          <w:highlight w:val="none"/>
        </w:rPr>
        <w:t>。</w:t>
      </w:r>
    </w:p>
    <w:p w14:paraId="26227C58">
      <w:pPr>
        <w:spacing w:line="360" w:lineRule="auto"/>
        <w:rPr>
          <w:rFonts w:hint="eastAsia" w:ascii="宋体" w:hAnsi="宋体" w:eastAsia="宋体" w:cs="宋体"/>
          <w:b/>
          <w:bCs/>
          <w:color w:val="auto"/>
          <w:szCs w:val="21"/>
          <w:highlight w:val="none"/>
        </w:rPr>
      </w:pPr>
      <w:bookmarkStart w:id="26" w:name="_Toc35393794"/>
      <w:bookmarkStart w:id="27" w:name="_Toc35393625"/>
      <w:bookmarkStart w:id="28" w:name="_Toc28359007"/>
      <w:bookmarkStart w:id="29" w:name="_Toc28359084"/>
      <w:r>
        <w:rPr>
          <w:rFonts w:hint="eastAsia" w:ascii="宋体" w:hAnsi="宋体" w:eastAsia="宋体" w:cs="宋体"/>
          <w:b/>
          <w:bCs/>
          <w:color w:val="auto"/>
          <w:szCs w:val="21"/>
          <w:highlight w:val="none"/>
        </w:rPr>
        <w:t>五、公告期限</w:t>
      </w:r>
      <w:bookmarkEnd w:id="26"/>
      <w:bookmarkEnd w:id="27"/>
      <w:bookmarkEnd w:id="28"/>
      <w:bookmarkEnd w:id="29"/>
    </w:p>
    <w:p w14:paraId="6E642C6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1903F30">
      <w:pPr>
        <w:spacing w:line="360" w:lineRule="auto"/>
        <w:rPr>
          <w:rFonts w:hint="eastAsia" w:ascii="宋体" w:hAnsi="宋体" w:eastAsia="宋体" w:cs="宋体"/>
          <w:b/>
          <w:bCs/>
          <w:color w:val="auto"/>
          <w:szCs w:val="21"/>
          <w:highlight w:val="none"/>
        </w:rPr>
      </w:pPr>
      <w:bookmarkStart w:id="30" w:name="_Toc35393795"/>
      <w:bookmarkStart w:id="31" w:name="_Toc35393626"/>
      <w:r>
        <w:rPr>
          <w:rFonts w:hint="eastAsia" w:ascii="宋体" w:hAnsi="宋体" w:eastAsia="宋体" w:cs="宋体"/>
          <w:b/>
          <w:bCs/>
          <w:color w:val="auto"/>
          <w:szCs w:val="21"/>
          <w:highlight w:val="none"/>
        </w:rPr>
        <w:t>六、其他补充事宜</w:t>
      </w:r>
      <w:bookmarkEnd w:id="30"/>
      <w:bookmarkEnd w:id="31"/>
    </w:p>
    <w:p w14:paraId="6DCAF083">
      <w:pPr>
        <w:spacing w:line="360" w:lineRule="auto"/>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1.</w:t>
      </w:r>
      <w:r>
        <w:rPr>
          <w:rFonts w:hint="eastAsia" w:ascii="宋体" w:hAnsi="宋体" w:eastAsia="宋体" w:cs="宋体"/>
          <w:b w:val="0"/>
          <w:bCs w:val="0"/>
          <w:i w:val="0"/>
          <w:caps w:val="0"/>
          <w:color w:val="auto"/>
          <w:spacing w:val="0"/>
          <w:w w:val="100"/>
          <w:kern w:val="0"/>
          <w:sz w:val="21"/>
          <w:szCs w:val="21"/>
          <w:highlight w:val="none"/>
          <w:lang w:val="en-US" w:eastAsia="zh-CN" w:bidi="ar-SA"/>
        </w:rPr>
        <w:t>投标人的资格要求的补充：</w:t>
      </w:r>
    </w:p>
    <w:p w14:paraId="22484F3E">
      <w:pPr>
        <w:spacing w:line="360" w:lineRule="auto"/>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bidi="ar-SA"/>
        </w:rPr>
        <w:t>（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7DCF41B8">
      <w:pPr>
        <w:spacing w:line="360" w:lineRule="auto"/>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bidi="ar-SA"/>
        </w:rPr>
        <w:t>（2）对在“信用中国”网站(www.creditchina.gov.cn)、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52358EA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6EE781DD">
      <w:pPr>
        <w:pStyle w:val="96"/>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本项目不需要缴纳投标保证金。</w:t>
      </w:r>
    </w:p>
    <w:p w14:paraId="1F77509D">
      <w:pPr>
        <w:spacing w:line="360" w:lineRule="auto"/>
        <w:ind w:firstLine="420" w:firstLineChars="200"/>
        <w:rPr>
          <w:rFonts w:hint="eastAsia" w:ascii="宋体" w:hAnsi="宋体" w:eastAsia="宋体" w:cs="宋体"/>
          <w:color w:val="auto"/>
          <w:kern w:val="0"/>
          <w:szCs w:val="21"/>
          <w:highlight w:val="none"/>
        </w:rPr>
      </w:pPr>
      <w:bookmarkStart w:id="32" w:name="_Hlk37429585"/>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bookmarkStart w:id="33" w:name="_Hlk37429595"/>
      <w:r>
        <w:rPr>
          <w:rFonts w:hint="eastAsia" w:ascii="宋体" w:hAnsi="宋体" w:eastAsia="宋体" w:cs="宋体"/>
          <w:color w:val="auto"/>
          <w:kern w:val="0"/>
          <w:szCs w:val="21"/>
          <w:highlight w:val="none"/>
        </w:rPr>
        <w:t>网上查询地址</w:t>
      </w:r>
    </w:p>
    <w:p w14:paraId="77723F51">
      <w:pPr>
        <w:pStyle w:val="96"/>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www.ccgp.gov.cn（中国政府采购网）、zfcg.gxzf.gov.cn（广西壮族自治区政府采购网）、</w:t>
      </w:r>
      <w:r>
        <w:rPr>
          <w:rFonts w:hint="eastAsia" w:ascii="宋体" w:hAnsi="宋体" w:eastAsia="宋体" w:cs="宋体"/>
          <w:color w:val="auto"/>
          <w:highlight w:val="none"/>
        </w:rPr>
        <w:t>http://zfcg.czj.guilin.gov.cn/（</w:t>
      </w:r>
      <w:r>
        <w:rPr>
          <w:rFonts w:hint="eastAsia" w:ascii="宋体" w:hAnsi="宋体" w:eastAsia="宋体" w:cs="宋体"/>
          <w:color w:val="auto"/>
          <w:highlight w:val="none"/>
          <w:lang w:val="zh-CN"/>
        </w:rPr>
        <w:t>桂林政府采购网</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bookmarkEnd w:id="32"/>
    <w:bookmarkEnd w:id="33"/>
    <w:p w14:paraId="60F71541">
      <w:pPr>
        <w:spacing w:line="360" w:lineRule="auto"/>
        <w:ind w:firstLine="420" w:firstLineChars="200"/>
        <w:rPr>
          <w:rFonts w:hint="eastAsia" w:ascii="宋体" w:hAnsi="宋体" w:eastAsia="宋体" w:cs="宋体"/>
          <w:color w:val="auto"/>
          <w:kern w:val="0"/>
          <w:szCs w:val="21"/>
          <w:highlight w:val="none"/>
        </w:rPr>
      </w:pPr>
      <w:bookmarkStart w:id="34" w:name="_Hlk37429674"/>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p w14:paraId="311825B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16EA44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1A3E248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4D87515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08BC8FA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bookmarkEnd w:id="34"/>
    </w:p>
    <w:p w14:paraId="1F805A76">
      <w:pPr>
        <w:pStyle w:val="7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（6）政府采购扶持不发达地区和少数民族地区政策。</w:t>
      </w:r>
    </w:p>
    <w:p w14:paraId="2D809375">
      <w:pPr>
        <w:pStyle w:val="7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（7）其他政府采购规定的政策。</w:t>
      </w:r>
    </w:p>
    <w:p w14:paraId="6447ABDF">
      <w:pPr>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5.在线投标响应（电子投标）说明</w:t>
      </w:r>
    </w:p>
    <w:p w14:paraId="6FD6E35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（1）本项目通过</w:t>
      </w:r>
      <w:r>
        <w:rPr>
          <w:rFonts w:hint="eastAsia" w:ascii="宋体" w:hAnsi="宋体" w:eastAsia="宋体" w:cs="宋体"/>
          <w:color w:val="auto"/>
          <w:szCs w:val="21"/>
          <w:highlight w:val="none"/>
        </w:rPr>
        <w:t>广西政府采购云平台（https://www.gcy.zfcg.gxzf.gov.cn/）</w:t>
      </w:r>
      <w:r>
        <w:rPr>
          <w:rFonts w:hint="eastAsia" w:ascii="宋体" w:hAnsi="宋体" w:eastAsia="宋体" w:cs="宋体"/>
          <w:color w:val="auto"/>
          <w:kern w:val="0"/>
          <w:szCs w:val="21"/>
          <w:highlight w:val="none"/>
        </w:rPr>
        <w:t>实行在线投标响应（电子投标），投标人需要先安装“</w:t>
      </w:r>
      <w:r>
        <w:rPr>
          <w:rFonts w:hint="eastAsia" w:ascii="宋体" w:hAnsi="宋体" w:eastAsia="宋体" w:cs="宋体"/>
          <w:color w:val="auto"/>
          <w:szCs w:val="21"/>
          <w:highlight w:val="none"/>
        </w:rPr>
        <w:t>广西政府采购云平台电子交易客户端</w:t>
      </w:r>
      <w:r>
        <w:rPr>
          <w:rFonts w:hint="eastAsia" w:ascii="宋体" w:hAnsi="宋体" w:eastAsia="宋体" w:cs="宋体"/>
          <w:color w:val="auto"/>
          <w:kern w:val="0"/>
          <w:szCs w:val="21"/>
          <w:highlight w:val="none"/>
        </w:rPr>
        <w:t>”，并按照本招标文件和</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的要求，通过“</w:t>
      </w:r>
      <w:r>
        <w:rPr>
          <w:rFonts w:hint="eastAsia" w:ascii="宋体" w:hAnsi="宋体" w:eastAsia="宋体" w:cs="宋体"/>
          <w:color w:val="auto"/>
          <w:szCs w:val="21"/>
          <w:highlight w:val="none"/>
        </w:rPr>
        <w:t>广西政府采购云平台电子交易客户端</w:t>
      </w:r>
      <w:r>
        <w:rPr>
          <w:rFonts w:hint="eastAsia" w:ascii="宋体" w:hAnsi="宋体" w:eastAsia="宋体" w:cs="宋体"/>
          <w:color w:val="auto"/>
          <w:kern w:val="0"/>
          <w:szCs w:val="21"/>
          <w:highlight w:val="none"/>
        </w:rPr>
        <w:t>”编制并加密电子投标文件。投标人未按规定编制并加密的电子投标文件，</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将予以拒收。</w:t>
      </w:r>
    </w:p>
    <w:p w14:paraId="596A45A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广西政府采购云平台电子交易客户端</w:t>
      </w:r>
      <w:r>
        <w:rPr>
          <w:rFonts w:hint="eastAsia" w:ascii="宋体" w:hAnsi="宋体" w:eastAsia="宋体" w:cs="宋体"/>
          <w:color w:val="auto"/>
          <w:kern w:val="0"/>
          <w:szCs w:val="21"/>
          <w:highlight w:val="none"/>
        </w:rPr>
        <w:t>”请自行前往广西政府采购网下载并安装（http://zfcg.gxzf.gov.cn/OfficeService/DownloadArea/2455918.html?utm=sites_group_front.b8b6c91.0.0.c51f9820a48111eabb9bcbdf01af125e）；电子投标具体操作流程参考《政府采购项目电子交易管理操作指南-投标人》；在使用</w:t>
      </w:r>
      <w:r>
        <w:rPr>
          <w:rFonts w:hint="eastAsia" w:ascii="宋体" w:hAnsi="宋体" w:eastAsia="宋体" w:cs="宋体"/>
          <w:color w:val="auto"/>
          <w:szCs w:val="21"/>
          <w:highlight w:val="none"/>
        </w:rPr>
        <w:t>广西政府采购云平台电子交易客户端</w:t>
      </w:r>
      <w:r>
        <w:rPr>
          <w:rFonts w:hint="eastAsia" w:ascii="宋体" w:hAnsi="宋体" w:eastAsia="宋体" w:cs="宋体"/>
          <w:color w:val="auto"/>
          <w:kern w:val="0"/>
          <w:szCs w:val="21"/>
          <w:highlight w:val="none"/>
        </w:rPr>
        <w:t>时，建议使用WIN7及以上操作系统,通过</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参与在线投标时如遇平台技术问题详询95763。</w:t>
      </w:r>
    </w:p>
    <w:p w14:paraId="61385416">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（2）为确保网上操作合法、有效和安全，投标人应当在投标文件递交截止时间前完成在“</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”的身份认证，确保在电子投标过程中能够对相关数据电文进行加密和使用电子签章。使用“</w:t>
      </w:r>
      <w:r>
        <w:rPr>
          <w:rFonts w:hint="eastAsia" w:ascii="宋体" w:hAnsi="宋体" w:eastAsia="宋体" w:cs="宋体"/>
          <w:color w:val="auto"/>
          <w:szCs w:val="21"/>
          <w:highlight w:val="none"/>
        </w:rPr>
        <w:t>广西政府采购云平台电子交易客户端</w:t>
      </w:r>
      <w:r>
        <w:rPr>
          <w:rFonts w:hint="eastAsia" w:ascii="宋体" w:hAnsi="宋体" w:eastAsia="宋体" w:cs="宋体"/>
          <w:color w:val="auto"/>
          <w:kern w:val="0"/>
          <w:szCs w:val="21"/>
          <w:highlight w:val="none"/>
        </w:rPr>
        <w:t>”需要提前申领CA数字证书，申领流程请自行前往相关网站进行查阅。（各投标人在截标前应确保成为</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正式注册入库投标人，并完成CA数字证书申领。如因未注册入库、未办理CA数字证书等原因造成无法投标或投标失败等后果由投标人自行承担。）</w:t>
      </w:r>
    </w:p>
    <w:p w14:paraId="731BA82E">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投标人应当在投标文件递交截止时间前，将生成的“电子投标文件”上传递交至</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投标文件递交截止时间前可以补充、修改或者撤回电子投标文件。补充或者修改电子投标文件的，应当先行撤回原文件，补充、修改后重新传输递交，投标文件递交截止时间前未完成传输的，视为撤回电子投标文件。</w:t>
      </w:r>
    </w:p>
    <w:p w14:paraId="47BE913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解密时间：截标时间后30分钟内投标人需凭制作投标文件时用来加密的有效数字证书（CA认证）登录“广西政府采购云平台”电子开标大厅现场按规定时间对加密的投标文件进行解密，否则后果自负。</w:t>
      </w:r>
    </w:p>
    <w:p w14:paraId="0C10F823">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7B4C2E3">
      <w:pPr>
        <w:pStyle w:val="96"/>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本项目为广西政府采购云平台全流程电子化操作，参与投标的投标人需自备计算机和网络设备（设备需可视频通话和读取广西政府采购云平台CA数字证书），确保投标过程顺利进行；因投标人自身设备或网络原因造成的一切后果，由投标人自行承担。</w:t>
      </w:r>
    </w:p>
    <w:p w14:paraId="661FDFB5">
      <w:pPr>
        <w:spacing w:line="360" w:lineRule="auto"/>
        <w:rPr>
          <w:rFonts w:hint="eastAsia" w:ascii="宋体" w:hAnsi="宋体" w:eastAsia="宋体" w:cs="宋体"/>
          <w:b/>
          <w:bCs/>
          <w:color w:val="auto"/>
          <w:szCs w:val="21"/>
          <w:highlight w:val="none"/>
        </w:rPr>
      </w:pPr>
      <w:bookmarkStart w:id="35" w:name="_Toc35393627"/>
      <w:bookmarkStart w:id="36" w:name="_Toc35393796"/>
      <w:bookmarkStart w:id="37" w:name="_Toc28359008"/>
      <w:bookmarkStart w:id="38" w:name="_Toc28359085"/>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、对本次招标提出询问，请按以下方式联系。</w:t>
      </w:r>
      <w:bookmarkEnd w:id="35"/>
      <w:bookmarkEnd w:id="36"/>
      <w:bookmarkEnd w:id="37"/>
      <w:bookmarkEnd w:id="38"/>
    </w:p>
    <w:p w14:paraId="3029A2C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1D8EEA41">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桂林市漓江美谷医美产业技术研发有限责任公司</w:t>
      </w:r>
    </w:p>
    <w:p w14:paraId="074112B1">
      <w:pPr>
        <w:spacing w:line="360" w:lineRule="auto"/>
        <w:ind w:firstLine="42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iCs/>
          <w:color w:val="auto"/>
          <w:szCs w:val="21"/>
          <w:highlight w:val="none"/>
          <w:lang w:eastAsia="zh-CN"/>
        </w:rPr>
        <w:t>桂林市叠彩区中山北路147号</w:t>
      </w:r>
    </w:p>
    <w:p w14:paraId="03F9E714">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陶工</w:t>
      </w:r>
      <w:r>
        <w:rPr>
          <w:rFonts w:hint="eastAsia" w:ascii="宋体" w:hAnsi="宋体" w:eastAsia="宋体" w:cs="宋体"/>
          <w:color w:val="auto"/>
          <w:highlight w:val="none"/>
          <w:lang w:val="en-US" w:eastAsia="zh-CN"/>
        </w:rPr>
        <w:t xml:space="preserve">   </w:t>
      </w:r>
    </w:p>
    <w:p w14:paraId="6ADB32B5">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bookmarkStart w:id="39" w:name="_Toc28359009"/>
      <w:bookmarkStart w:id="40" w:name="_Toc28359086"/>
      <w:r>
        <w:rPr>
          <w:rFonts w:hint="eastAsia" w:ascii="宋体" w:hAnsi="宋体" w:eastAsia="宋体" w:cs="宋体"/>
          <w:color w:val="auto"/>
          <w:szCs w:val="21"/>
          <w:highlight w:val="none"/>
        </w:rPr>
        <w:t>07738985170</w:t>
      </w:r>
      <w:r>
        <w:rPr>
          <w:rFonts w:hint="eastAsia" w:ascii="宋体" w:hAnsi="宋体" w:eastAsia="宋体" w:cs="宋体"/>
          <w:color w:val="auto"/>
          <w:szCs w:val="21"/>
          <w:highlight w:val="none"/>
          <w:lang w:val="en-US" w:eastAsia="zh-CN"/>
        </w:rPr>
        <w:t xml:space="preserve">   </w:t>
      </w:r>
    </w:p>
    <w:p w14:paraId="153EC25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bookmarkEnd w:id="39"/>
      <w:bookmarkEnd w:id="40"/>
    </w:p>
    <w:p w14:paraId="7CB0843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称：广西达成咨询有限公司</w:t>
      </w:r>
    </w:p>
    <w:p w14:paraId="2BE99A0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地址：桂林市滨江路18号滨江大厦5楼</w:t>
      </w:r>
    </w:p>
    <w:p w14:paraId="178D9E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bookmarkStart w:id="41" w:name="_Toc28359010"/>
      <w:bookmarkStart w:id="42" w:name="_Toc28359087"/>
      <w:r>
        <w:rPr>
          <w:rFonts w:hint="eastAsia" w:ascii="宋体" w:hAnsi="宋体" w:eastAsia="宋体" w:cs="宋体"/>
          <w:color w:val="auto"/>
          <w:szCs w:val="21"/>
          <w:highlight w:val="none"/>
        </w:rPr>
        <w:t>0773-3569998</w:t>
      </w:r>
    </w:p>
    <w:p w14:paraId="247C5F9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bookmarkEnd w:id="41"/>
      <w:bookmarkEnd w:id="42"/>
    </w:p>
    <w:p w14:paraId="6BDAEA7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项目联系人：李鹏字、毛崇文、梁碧云、方莹、肖禾、彭冬梅、杨红东</w:t>
      </w:r>
    </w:p>
    <w:p w14:paraId="06CA1FF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电话：0773-3569998</w:t>
      </w:r>
    </w:p>
    <w:p w14:paraId="47E7F833">
      <w:pPr>
        <w:pStyle w:val="71"/>
        <w:spacing w:line="360" w:lineRule="auto"/>
        <w:rPr>
          <w:rFonts w:hint="eastAsia" w:ascii="宋体" w:hAnsi="宋体" w:eastAsia="宋体" w:cs="宋体"/>
          <w:color w:val="auto"/>
          <w:sz w:val="21"/>
          <w:szCs w:val="21"/>
          <w:highlight w:val="none"/>
        </w:rPr>
      </w:pPr>
    </w:p>
    <w:p w14:paraId="5E802770">
      <w:pPr>
        <w:pStyle w:val="71"/>
        <w:spacing w:line="360" w:lineRule="auto"/>
        <w:rPr>
          <w:rFonts w:hint="eastAsia" w:ascii="宋体" w:hAnsi="宋体" w:eastAsia="宋体" w:cs="宋体"/>
          <w:color w:val="auto"/>
          <w:sz w:val="21"/>
          <w:szCs w:val="21"/>
          <w:highlight w:val="none"/>
        </w:rPr>
      </w:pPr>
    </w:p>
    <w:p w14:paraId="55A999FD">
      <w:pPr>
        <w:pStyle w:val="71"/>
        <w:spacing w:line="360" w:lineRule="auto"/>
        <w:rPr>
          <w:rFonts w:hint="eastAsia" w:ascii="宋体" w:hAnsi="宋体" w:eastAsia="宋体" w:cs="宋体"/>
          <w:color w:val="auto"/>
          <w:sz w:val="21"/>
          <w:szCs w:val="21"/>
          <w:highlight w:val="none"/>
        </w:rPr>
      </w:pPr>
    </w:p>
    <w:p w14:paraId="5939FBC3">
      <w:pPr>
        <w:pStyle w:val="71"/>
        <w:spacing w:line="360" w:lineRule="auto"/>
        <w:rPr>
          <w:rFonts w:hint="eastAsia" w:ascii="宋体" w:hAnsi="宋体" w:eastAsia="宋体" w:cs="宋体"/>
          <w:color w:val="auto"/>
          <w:sz w:val="21"/>
          <w:szCs w:val="21"/>
          <w:highlight w:val="none"/>
        </w:rPr>
      </w:pPr>
    </w:p>
    <w:p w14:paraId="2D675584">
      <w:pPr>
        <w:pStyle w:val="71"/>
        <w:spacing w:line="360" w:lineRule="auto"/>
        <w:rPr>
          <w:rFonts w:hint="eastAsia" w:ascii="宋体" w:hAnsi="宋体" w:eastAsia="宋体" w:cs="宋体"/>
          <w:color w:val="auto"/>
          <w:sz w:val="21"/>
          <w:szCs w:val="21"/>
          <w:highlight w:val="none"/>
        </w:rPr>
      </w:pPr>
    </w:p>
    <w:p w14:paraId="248A47C5">
      <w:pPr>
        <w:pStyle w:val="71"/>
        <w:spacing w:line="360" w:lineRule="auto"/>
        <w:rPr>
          <w:rFonts w:hint="eastAsia" w:ascii="宋体" w:hAnsi="宋体" w:eastAsia="宋体" w:cs="宋体"/>
          <w:color w:val="auto"/>
          <w:sz w:val="21"/>
          <w:szCs w:val="21"/>
          <w:highlight w:val="none"/>
        </w:rPr>
      </w:pPr>
    </w:p>
    <w:p w14:paraId="10A6F80D">
      <w:pPr>
        <w:spacing w:line="360" w:lineRule="auto"/>
        <w:ind w:firstLine="210" w:firstLineChars="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广西达成咨询有限公司</w:t>
      </w:r>
    </w:p>
    <w:p w14:paraId="74842EB5">
      <w:pPr>
        <w:spacing w:line="360" w:lineRule="auto"/>
        <w:ind w:firstLine="210" w:firstLineChars="100"/>
        <w:jc w:val="right"/>
        <w:rPr>
          <w:rFonts w:hint="eastAsia" w:ascii="宋体" w:hAnsi="宋体" w:eastAsia="宋体" w:cs="宋体"/>
          <w:color w:val="auto"/>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日</w:t>
      </w:r>
    </w:p>
    <w:p w14:paraId="2754FCC2">
      <w:pPr>
        <w:pStyle w:val="2"/>
        <w:keepNext w:val="0"/>
        <w:keepLines w:val="0"/>
        <w:spacing w:line="360" w:lineRule="auto"/>
        <w:jc w:val="center"/>
        <w:rPr>
          <w:rStyle w:val="66"/>
          <w:rFonts w:hint="eastAsia" w:ascii="宋体" w:hAnsi="宋体" w:eastAsia="宋体" w:cs="宋体"/>
          <w:b/>
          <w:bCs/>
          <w:color w:val="auto"/>
          <w:sz w:val="30"/>
          <w:szCs w:val="30"/>
          <w:highlight w:val="none"/>
        </w:rPr>
      </w:pPr>
      <w:r>
        <w:rPr>
          <w:rFonts w:hint="eastAsia" w:ascii="宋体" w:hAnsi="宋体" w:eastAsia="宋体" w:cs="宋体"/>
          <w:color w:val="auto"/>
          <w:sz w:val="24"/>
          <w:szCs w:val="20"/>
          <w:highlight w:val="none"/>
        </w:rPr>
        <w:br w:type="page"/>
      </w:r>
      <w:bookmarkStart w:id="43" w:name="_Toc22427"/>
      <w:bookmarkStart w:id="44" w:name="_Toc13994"/>
      <w:bookmarkStart w:id="45" w:name="_Toc19890"/>
      <w:bookmarkStart w:id="46" w:name="_Toc19686830"/>
      <w:r>
        <w:rPr>
          <w:rStyle w:val="66"/>
          <w:rFonts w:hint="eastAsia" w:ascii="宋体" w:hAnsi="宋体" w:eastAsia="宋体" w:cs="宋体"/>
          <w:b/>
          <w:bCs/>
          <w:color w:val="auto"/>
          <w:highlight w:val="none"/>
        </w:rPr>
        <w:t>第二章</w:t>
      </w:r>
      <w:r>
        <w:rPr>
          <w:rStyle w:val="66"/>
          <w:rFonts w:hint="eastAsia" w:ascii="宋体" w:hAnsi="宋体" w:eastAsia="宋体" w:cs="宋体"/>
          <w:b/>
          <w:bCs/>
          <w:color w:val="auto"/>
          <w:highlight w:val="none"/>
          <w:lang w:val="en-US" w:eastAsia="zh-CN"/>
        </w:rPr>
        <w:t>、</w:t>
      </w:r>
      <w:r>
        <w:rPr>
          <w:rStyle w:val="66"/>
          <w:rFonts w:hint="eastAsia" w:ascii="宋体" w:hAnsi="宋体" w:eastAsia="宋体" w:cs="宋体"/>
          <w:b/>
          <w:bCs/>
          <w:color w:val="auto"/>
          <w:highlight w:val="none"/>
        </w:rPr>
        <w:t>采购需求</w:t>
      </w:r>
    </w:p>
    <w:p w14:paraId="26A1CF5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731FFF37">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1.“实质性要求”是指招标文件中已经指明不满足则投标无效的条款，或者不能负偏离的条款，或者采购需求中带“▲”的条款。</w:t>
      </w:r>
    </w:p>
    <w:p w14:paraId="4CEFC85B">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.投标人应根据自身实际情况如实响应招标文件，</w:t>
      </w:r>
      <w:r>
        <w:rPr>
          <w:rFonts w:hint="eastAsia" w:ascii="宋体" w:hAnsi="宋体" w:eastAsia="宋体" w:cs="宋体"/>
          <w:b/>
          <w:color w:val="auto"/>
          <w:sz w:val="21"/>
          <w:szCs w:val="21"/>
          <w:highlight w:val="none"/>
        </w:rPr>
        <w:t>对招标文件提出的要求和条件作出明确响应，</w:t>
      </w:r>
      <w:r>
        <w:rPr>
          <w:rFonts w:hint="eastAsia" w:ascii="宋体" w:hAnsi="宋体" w:eastAsia="宋体" w:cs="宋体"/>
          <w:b/>
          <w:bCs w:val="0"/>
          <w:color w:val="auto"/>
          <w:szCs w:val="21"/>
          <w:highlight w:val="none"/>
        </w:rPr>
        <w:t>否则将作无效响应处理</w:t>
      </w:r>
      <w:r>
        <w:rPr>
          <w:rFonts w:hint="eastAsia" w:ascii="宋体" w:hAnsi="宋体" w:eastAsia="宋体" w:cs="宋体"/>
          <w:b/>
          <w:color w:val="auto"/>
          <w:szCs w:val="21"/>
          <w:highlight w:val="none"/>
        </w:rPr>
        <w:t>。对于重要技术条款或技术参数应当在投标文件中提供技术支持资料，技术支持资料以招标文件中规定的形式为准，</w:t>
      </w:r>
      <w:r>
        <w:rPr>
          <w:rFonts w:hint="eastAsia" w:ascii="宋体" w:hAnsi="宋体" w:eastAsia="宋体" w:cs="宋体"/>
          <w:b/>
          <w:bCs w:val="0"/>
          <w:color w:val="auto"/>
          <w:szCs w:val="21"/>
          <w:highlight w:val="none"/>
        </w:rPr>
        <w:t>否则将视为无效技术支持资料</w:t>
      </w:r>
      <w:r>
        <w:rPr>
          <w:rFonts w:hint="eastAsia" w:ascii="宋体" w:hAnsi="宋体" w:eastAsia="宋体" w:cs="宋体"/>
          <w:b/>
          <w:color w:val="auto"/>
          <w:szCs w:val="21"/>
          <w:highlight w:val="none"/>
        </w:rPr>
        <w:t>。</w:t>
      </w:r>
    </w:p>
    <w:p w14:paraId="2FF9DCB4">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.投标人必须自行为其投标产品侵犯他人的知识产权或者专利成果的行为承担相应法律责任。</w:t>
      </w:r>
    </w:p>
    <w:p w14:paraId="3966183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color w:val="auto"/>
          <w:spacing w:val="0"/>
          <w:kern w:val="2"/>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所属行业依照《中小企业划型标准规定》（工信部联企业〔2011〕300号）及《国民经济行业分类》（GB/T4754-2017）的有关规定执行。本项目采购标的所属行业：</w:t>
      </w:r>
      <w:r>
        <w:rPr>
          <w:rFonts w:hint="eastAsia" w:ascii="宋体" w:hAnsi="宋体" w:eastAsia="宋体" w:cs="宋体"/>
          <w:b/>
          <w:bCs/>
          <w:color w:val="auto"/>
          <w:kern w:val="2"/>
          <w:sz w:val="21"/>
          <w:szCs w:val="21"/>
          <w:highlight w:val="none"/>
          <w:lang w:val="en-US" w:eastAsia="zh-CN" w:bidi="ar-SA"/>
        </w:rPr>
        <w:t>其他未列明行业</w:t>
      </w:r>
      <w:r>
        <w:rPr>
          <w:rFonts w:hint="eastAsia" w:ascii="宋体" w:hAnsi="宋体" w:eastAsia="宋体" w:cs="宋体"/>
          <w:b/>
          <w:color w:val="auto"/>
          <w:spacing w:val="0"/>
          <w:kern w:val="2"/>
          <w:sz w:val="21"/>
          <w:szCs w:val="21"/>
          <w:highlight w:val="none"/>
          <w:lang w:eastAsia="zh-CN"/>
        </w:rPr>
        <w:t>。</w:t>
      </w:r>
    </w:p>
    <w:tbl>
      <w:tblPr>
        <w:tblStyle w:val="49"/>
        <w:tblW w:w="978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79"/>
        <w:gridCol w:w="180"/>
        <w:gridCol w:w="719"/>
        <w:gridCol w:w="7089"/>
      </w:tblGrid>
      <w:tr w14:paraId="39B7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788" w:type="dxa"/>
            <w:gridSpan w:val="5"/>
            <w:tcBorders>
              <w:top w:val="single" w:color="auto" w:sz="4" w:space="0"/>
              <w:left w:val="single" w:color="auto" w:sz="4" w:space="0"/>
              <w:bottom w:val="single" w:color="auto" w:sz="4" w:space="0"/>
              <w:right w:val="single" w:color="auto" w:sz="4" w:space="0"/>
            </w:tcBorders>
            <w:noWrap w:val="0"/>
            <w:vAlign w:val="center"/>
          </w:tcPr>
          <w:p w14:paraId="39AB284C">
            <w:pPr>
              <w:widowControl/>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一、项目</w:t>
            </w:r>
            <w:r>
              <w:rPr>
                <w:rFonts w:hint="eastAsia" w:ascii="宋体" w:hAnsi="宋体" w:eastAsia="宋体" w:cs="宋体"/>
                <w:b/>
                <w:color w:val="auto"/>
                <w:szCs w:val="21"/>
                <w:highlight w:val="none"/>
                <w:lang w:val="en-US" w:eastAsia="zh-CN"/>
              </w:rPr>
              <w:t>采购</w:t>
            </w:r>
            <w:r>
              <w:rPr>
                <w:rFonts w:hint="eastAsia" w:ascii="宋体" w:hAnsi="宋体" w:eastAsia="宋体" w:cs="宋体"/>
                <w:b/>
                <w:color w:val="auto"/>
                <w:szCs w:val="21"/>
                <w:highlight w:val="none"/>
              </w:rPr>
              <w:t>需求</w:t>
            </w:r>
          </w:p>
        </w:tc>
      </w:tr>
      <w:tr w14:paraId="77AF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797E6C7">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项号</w:t>
            </w: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14:paraId="1C202D84">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服务名称</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2797F54">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2ED3B506">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服务要求</w:t>
            </w:r>
          </w:p>
        </w:tc>
      </w:tr>
      <w:tr w14:paraId="5D05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7ECAB093">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14:paraId="30701F43">
            <w:pPr>
              <w:wordWrap w:val="0"/>
              <w:overflowPunct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叠彩区江东片区城市设计方案编制项目</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EA81AE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w:t>
            </w:r>
          </w:p>
        </w:tc>
        <w:tc>
          <w:tcPr>
            <w:tcW w:w="7089" w:type="dxa"/>
            <w:tcBorders>
              <w:top w:val="single" w:color="auto" w:sz="4" w:space="0"/>
              <w:left w:val="single" w:color="auto" w:sz="4" w:space="0"/>
              <w:bottom w:val="single" w:color="auto" w:sz="4" w:space="0"/>
              <w:right w:val="single" w:color="auto" w:sz="4" w:space="0"/>
            </w:tcBorders>
            <w:noWrap w:val="0"/>
            <w:vAlign w:val="top"/>
          </w:tcPr>
          <w:p w14:paraId="66F3D46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（一）项目概况</w:t>
            </w:r>
          </w:p>
          <w:p w14:paraId="1AC390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建设单位：桂林市漓江美谷医美产业技术研发有限责任公司</w:t>
            </w:r>
          </w:p>
          <w:p w14:paraId="6F23C55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建设地点：</w:t>
            </w:r>
            <w:r>
              <w:rPr>
                <w:rFonts w:hint="eastAsia" w:ascii="宋体" w:hAnsi="宋体" w:eastAsia="宋体" w:cs="宋体"/>
                <w:color w:val="auto"/>
                <w:szCs w:val="21"/>
                <w:highlight w:val="none"/>
                <w:lang w:eastAsia="zh-CN"/>
              </w:rPr>
              <w:t>桂林市叠彩区</w:t>
            </w:r>
          </w:p>
          <w:p w14:paraId="4CE4DA42">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背景：《桂林世界级旅游城市建设发展规划》获批，其中明确支持桂林打造国际医美中心，叠彩区正积极落实市委、市政府关于保护漓江、打造世界级旅游城市、建设国际医美中心的部署要求。2023年1月，市自然资源局公示《桂林市叠彩区漓江东岸片区控制性详细规划》（方案），规划明确要将该片区打造成集居住、商业、休闲、教育等功能于一体的世界级旅游城市医旅美融合发展示范区。目前叠彩区已在江东片区积极推进相关项目建设，为了进一步推动叠彩区江东片区“医旅美”融合发展由蓝图逐步转化为生动实景，需要编制科学合理的城市设计和城市设计导则，以满足后续城市规划管理、土地出让指导和空间管控的需求。</w:t>
            </w:r>
          </w:p>
          <w:p w14:paraId="0A83468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项目范围及规模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规划项目用地位于桂林市叠彩区漓江东岸片区，东二环路两侧。控规范围西至漓江东岸绿地，北至站前路过江延长线，南至市人民警察训练学校，东至规划东三环路并以道路红线为界。项目总用地面积约 532公顷。</w:t>
            </w:r>
          </w:p>
          <w:p w14:paraId="09462C3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（二）采购范围</w:t>
            </w:r>
          </w:p>
          <w:p w14:paraId="70ED86B1">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包括城市设计方案编制、城市设计导则编制。</w:t>
            </w:r>
          </w:p>
          <w:p w14:paraId="19FA21CD">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（三）服务期限</w:t>
            </w:r>
          </w:p>
          <w:p w14:paraId="7D76A24E">
            <w:pPr>
              <w:pStyle w:val="143"/>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设计周期</w:t>
            </w:r>
            <w:r>
              <w:rPr>
                <w:rFonts w:hint="eastAsia" w:ascii="宋体" w:hAnsi="宋体" w:eastAsia="宋体" w:cs="宋体"/>
                <w:color w:val="auto"/>
                <w:highlight w:val="none"/>
                <w:lang w:val="en-US" w:eastAsia="zh-CN"/>
              </w:rPr>
              <w:t>：共计180日历天</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其中：</w:t>
            </w:r>
          </w:p>
          <w:p w14:paraId="31310CE2">
            <w:pPr>
              <w:pStyle w:val="1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1、通过现状踏勘、收集资料和相关座谈等，形成项目定位、功能策划、空间结构的初步思路汇报。设计周期30</w:t>
            </w:r>
            <w:r>
              <w:rPr>
                <w:rFonts w:hint="eastAsia" w:ascii="宋体" w:hAnsi="宋体" w:eastAsia="宋体" w:cs="宋体"/>
                <w:color w:val="auto"/>
                <w:highlight w:val="none"/>
                <w:lang w:val="en-US" w:eastAsia="zh-CN"/>
              </w:rPr>
              <w:t>日历</w:t>
            </w:r>
            <w:r>
              <w:rPr>
                <w:rFonts w:hint="eastAsia" w:ascii="宋体" w:hAnsi="宋体" w:eastAsia="宋体" w:cs="宋体"/>
                <w:color w:val="auto"/>
                <w:highlight w:val="none"/>
              </w:rPr>
              <w:t>天。</w:t>
            </w:r>
          </w:p>
          <w:p w14:paraId="3B858DF9">
            <w:pPr>
              <w:pStyle w:val="1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2、根据初步沟通意见修改，项目功能产品策划基本定型，形成主要三维空间形态和公共空间体系示意，提交中期成果汇报。设计周期30</w:t>
            </w:r>
            <w:r>
              <w:rPr>
                <w:rFonts w:hint="eastAsia" w:ascii="宋体" w:hAnsi="宋体" w:eastAsia="宋体" w:cs="宋体"/>
                <w:color w:val="auto"/>
                <w:highlight w:val="none"/>
                <w:lang w:val="en-US" w:eastAsia="zh-CN"/>
              </w:rPr>
              <w:t>日历</w:t>
            </w:r>
            <w:r>
              <w:rPr>
                <w:rFonts w:hint="eastAsia" w:ascii="宋体" w:hAnsi="宋体" w:eastAsia="宋体" w:cs="宋体"/>
                <w:color w:val="auto"/>
                <w:highlight w:val="none"/>
              </w:rPr>
              <w:t>天。</w:t>
            </w:r>
          </w:p>
          <w:p w14:paraId="16A48A8F">
            <w:pPr>
              <w:pStyle w:val="1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3、完成关键节点详细形态设计，对接法定规划，落实指标控制和设计要求，提交专家评审会成果。设计周期60</w:t>
            </w:r>
            <w:r>
              <w:rPr>
                <w:rFonts w:hint="eastAsia" w:ascii="宋体" w:hAnsi="宋体" w:eastAsia="宋体" w:cs="宋体"/>
                <w:color w:val="auto"/>
                <w:highlight w:val="none"/>
                <w:lang w:val="en-US" w:eastAsia="zh-CN"/>
              </w:rPr>
              <w:t>日历</w:t>
            </w:r>
            <w:r>
              <w:rPr>
                <w:rFonts w:hint="eastAsia" w:ascii="宋体" w:hAnsi="宋体" w:eastAsia="宋体" w:cs="宋体"/>
                <w:color w:val="auto"/>
                <w:highlight w:val="none"/>
              </w:rPr>
              <w:t>天。</w:t>
            </w:r>
          </w:p>
          <w:p w14:paraId="2DBBE058">
            <w:pPr>
              <w:pStyle w:val="1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4、落实专家意见，修改完善成果。设计周期30</w:t>
            </w:r>
            <w:r>
              <w:rPr>
                <w:rFonts w:hint="eastAsia" w:ascii="宋体" w:hAnsi="宋体" w:eastAsia="宋体" w:cs="宋体"/>
                <w:color w:val="auto"/>
                <w:highlight w:val="none"/>
                <w:lang w:val="en-US" w:eastAsia="zh-CN"/>
              </w:rPr>
              <w:t>日历</w:t>
            </w:r>
            <w:r>
              <w:rPr>
                <w:rFonts w:hint="eastAsia" w:ascii="宋体" w:hAnsi="宋体" w:eastAsia="宋体" w:cs="宋体"/>
                <w:color w:val="auto"/>
                <w:highlight w:val="none"/>
              </w:rPr>
              <w:t>天。</w:t>
            </w:r>
          </w:p>
          <w:p w14:paraId="764A2E8C">
            <w:pPr>
              <w:pStyle w:val="1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5、报规划主管部门审查并修改完善形成最终成果。设计周期30</w:t>
            </w:r>
            <w:r>
              <w:rPr>
                <w:rFonts w:hint="eastAsia" w:ascii="宋体" w:hAnsi="宋体" w:eastAsia="宋体" w:cs="宋体"/>
                <w:color w:val="auto"/>
                <w:highlight w:val="none"/>
                <w:lang w:val="en-US" w:eastAsia="zh-CN"/>
              </w:rPr>
              <w:t>日历</w:t>
            </w:r>
            <w:r>
              <w:rPr>
                <w:rFonts w:hint="eastAsia" w:ascii="宋体" w:hAnsi="宋体" w:eastAsia="宋体" w:cs="宋体"/>
                <w:color w:val="auto"/>
                <w:highlight w:val="none"/>
              </w:rPr>
              <w:t>天。</w:t>
            </w:r>
          </w:p>
          <w:p w14:paraId="13F48818">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（四）适用规范标准</w:t>
            </w:r>
          </w:p>
          <w:p w14:paraId="1A5C4B2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《中华人民共和国城乡规划法》（2019年修正）；</w:t>
            </w:r>
          </w:p>
          <w:p w14:paraId="7DC97F2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《中华人民共和国土地管理法》（2019年修正）；</w:t>
            </w:r>
          </w:p>
          <w:p w14:paraId="363FB72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《国土空间调查、规划、用途管制用地用海分类指南》（2023年）；</w:t>
            </w:r>
          </w:p>
          <w:p w14:paraId="62754F25">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《建筑设计防火规范》GB 50016-2014（2018 年版）；</w:t>
            </w:r>
          </w:p>
          <w:p w14:paraId="7E87285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《公共建筑节能设计标准》（GB50189-2015）；</w:t>
            </w:r>
          </w:p>
          <w:p w14:paraId="1EB8C33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《民用建筑通用规范》（GB 55031-2022）；</w:t>
            </w:r>
          </w:p>
          <w:p w14:paraId="5FF8CBCC">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《城市居住区规划设计标准》（GB50180-2018）；</w:t>
            </w:r>
          </w:p>
          <w:p w14:paraId="04057A3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《公园设计规范》（GB51192-2016）；</w:t>
            </w:r>
          </w:p>
          <w:p w14:paraId="2DF50F0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《桂林市城市规划管理技术规定》（2019年版）；</w:t>
            </w:r>
          </w:p>
          <w:p w14:paraId="435F068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《桂林市城市规划管理技术规定的补充规定》（2024年版）；</w:t>
            </w:r>
          </w:p>
          <w:p w14:paraId="0E847D4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《桂林市国土空间总体规划（2021—2035年）》；</w:t>
            </w:r>
          </w:p>
          <w:p w14:paraId="2CAFD22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《桂林市中心城区漓东北片区大河单元及猫儿山、观音山、金鸡岭局部单元控制性详细规划》</w:t>
            </w:r>
          </w:p>
          <w:p w14:paraId="40073228">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国家、自治区、市、县其他相关的法律、法规和规划文件。</w:t>
            </w:r>
          </w:p>
          <w:p w14:paraId="573A7006">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）设计深度及内容</w:t>
            </w:r>
          </w:p>
          <w:p w14:paraId="5C114F2F">
            <w:pPr>
              <w:widowControl/>
              <w:spacing w:line="360" w:lineRule="auto"/>
              <w:ind w:firstLine="420" w:firstLineChars="200"/>
              <w:jc w:val="left"/>
              <w:rPr>
                <w:rFonts w:hint="eastAsia" w:ascii="宋体" w:hAnsi="宋体" w:eastAsia="宋体" w:cs="宋体"/>
                <w:color w:val="auto"/>
                <w:szCs w:val="21"/>
                <w:highlight w:val="none"/>
                <w:lang w:val="en-GB"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GB" w:eastAsia="zh-CN"/>
              </w:rPr>
              <w:t>总体要求</w:t>
            </w:r>
          </w:p>
          <w:p w14:paraId="6E247C16">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(1)符合国家、省、市有关设计规范和技术规定，及上位规划要求。</w:t>
            </w:r>
          </w:p>
          <w:p w14:paraId="06E616F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(2)紧扣叠彩区发展主线，以江东片区医美、漓江美谷为主题、立意明确、构思巧妙、表达规范，鼓励具有创造性、现代感与文化文创结合的思维与方法。</w:t>
            </w:r>
          </w:p>
          <w:p w14:paraId="53D0387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(3)符合上位规划要求，规划设计总平面布局合理，功能区块分区明确，结构清晰、流线顺畅、联系便捷。</w:t>
            </w:r>
          </w:p>
          <w:p w14:paraId="167B1C1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(4)充分考虑周边主干道的整体风貌效应；</w:t>
            </w:r>
          </w:p>
          <w:p w14:paraId="1DB449C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(5)城市设计考虑整体城市的风貌设计，依托桂林山水环境，及周边的营造完整的能够体现地方建筑文脉与城市发展的城市空间；</w:t>
            </w:r>
          </w:p>
          <w:p w14:paraId="3E59AF3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(6)合理考虑整个规划区域的建筑高度、建筑空间形象；</w:t>
            </w:r>
          </w:p>
          <w:p w14:paraId="7CD26F1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(7)形成连续的统一性的场地景观，营建完善的室外空间、绿化休息系统；</w:t>
            </w:r>
          </w:p>
          <w:p w14:paraId="710029DA">
            <w:pPr>
              <w:widowControl/>
              <w:spacing w:line="360" w:lineRule="auto"/>
              <w:ind w:firstLine="420" w:firstLineChars="200"/>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（2）设计成果要求</w:t>
            </w:r>
          </w:p>
          <w:p w14:paraId="24ACDB7F">
            <w:pPr>
              <w:widowControl/>
              <w:spacing w:line="360" w:lineRule="auto"/>
              <w:ind w:firstLine="420" w:firstLineChars="200"/>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val="en-GB"/>
              </w:rPr>
              <w:t>成果文件的组成：</w:t>
            </w:r>
          </w:p>
          <w:p w14:paraId="71EDC46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1）背景解读。</w:t>
            </w:r>
          </w:p>
          <w:p w14:paraId="61355FE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2）定位愿景。</w:t>
            </w:r>
          </w:p>
          <w:p w14:paraId="60C38533">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3）设计构思和设计理念。</w:t>
            </w:r>
          </w:p>
          <w:p w14:paraId="18E66C6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4）方案设计。</w:t>
            </w:r>
          </w:p>
          <w:p w14:paraId="0D14251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5）设计策略。</w:t>
            </w:r>
          </w:p>
          <w:p w14:paraId="33BD381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支撑体系</w:t>
            </w:r>
            <w:r>
              <w:rPr>
                <w:rFonts w:hint="eastAsia" w:ascii="宋体" w:hAnsi="宋体" w:eastAsia="宋体" w:cs="宋体"/>
                <w:color w:val="auto"/>
                <w:szCs w:val="21"/>
                <w:highlight w:val="none"/>
              </w:rPr>
              <w:t>。</w:t>
            </w:r>
          </w:p>
          <w:p w14:paraId="6780A606">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szCs w:val="21"/>
                <w:highlight w:val="none"/>
              </w:rPr>
              <w:t>7）区块设计导引。</w:t>
            </w:r>
          </w:p>
          <w:p w14:paraId="2BCC52FD">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szCs w:val="21"/>
                <w:highlight w:val="none"/>
                <w:lang w:bidi="ar"/>
              </w:rPr>
              <w:t>②</w:t>
            </w:r>
            <w:r>
              <w:rPr>
                <w:rFonts w:hint="eastAsia" w:ascii="宋体" w:hAnsi="宋体" w:eastAsia="宋体" w:cs="宋体"/>
                <w:color w:val="auto"/>
                <w:szCs w:val="21"/>
                <w:highlight w:val="none"/>
                <w:lang w:val="en-GB" w:bidi="ar"/>
              </w:rPr>
              <w:t>成果文件的深度：</w:t>
            </w:r>
          </w:p>
          <w:p w14:paraId="33B2316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（1）城市设计成果内容须符合设计任务书的有关要求和国家有关标准。</w:t>
            </w:r>
          </w:p>
          <w:p w14:paraId="1038D54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（2）国土空间规划中的城市设计成果内容需满足相应国土空间规划的成果要求，其他内容可根据现实条件及工作需求，灵活采用多种形式，以更好地展示城市设计成果，便于规划建设管理人员使用和公众监督。</w:t>
            </w:r>
          </w:p>
          <w:p w14:paraId="74F1DC3D">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szCs w:val="21"/>
                <w:highlight w:val="none"/>
                <w:lang w:val="en-GB" w:bidi="ar"/>
              </w:rPr>
              <w:t>（</w:t>
            </w:r>
            <w:r>
              <w:rPr>
                <w:rFonts w:hint="eastAsia" w:ascii="宋体" w:hAnsi="宋体" w:eastAsia="宋体" w:cs="宋体"/>
                <w:color w:val="auto"/>
                <w:szCs w:val="21"/>
                <w:highlight w:val="none"/>
                <w:lang w:bidi="ar"/>
              </w:rPr>
              <w:t>3</w:t>
            </w:r>
            <w:r>
              <w:rPr>
                <w:rFonts w:hint="eastAsia" w:ascii="宋体" w:hAnsi="宋体" w:eastAsia="宋体" w:cs="宋体"/>
                <w:color w:val="auto"/>
                <w:szCs w:val="21"/>
                <w:highlight w:val="none"/>
                <w:lang w:val="en-GB" w:bidi="ar"/>
              </w:rPr>
              <w:t>）成果文件的格式要求：</w:t>
            </w:r>
          </w:p>
          <w:p w14:paraId="60A630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lang w:val="en-GB"/>
              </w:rPr>
              <w:t>①</w:t>
            </w:r>
            <w:r>
              <w:rPr>
                <w:rFonts w:hint="eastAsia" w:ascii="宋体" w:hAnsi="宋体" w:eastAsia="宋体" w:cs="宋体"/>
                <w:color w:val="auto"/>
                <w:szCs w:val="21"/>
                <w:highlight w:val="none"/>
              </w:rPr>
              <w:t>纸质版的要求：</w:t>
            </w:r>
            <w:r>
              <w:rPr>
                <w:rFonts w:hint="eastAsia" w:ascii="宋体" w:hAnsi="宋体" w:eastAsia="宋体" w:cs="宋体"/>
                <w:color w:val="auto"/>
                <w:szCs w:val="21"/>
                <w:highlight w:val="none"/>
                <w:lang w:eastAsia="zh-CN"/>
              </w:rPr>
              <w:t>城市设计方案</w:t>
            </w:r>
            <w:r>
              <w:rPr>
                <w:rFonts w:hint="eastAsia" w:ascii="宋体" w:hAnsi="宋体" w:eastAsia="宋体" w:cs="宋体"/>
                <w:color w:val="auto"/>
                <w:szCs w:val="21"/>
                <w:highlight w:val="none"/>
              </w:rPr>
              <w:t>文本（含图件）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A3规格</w:t>
            </w:r>
            <w:r>
              <w:rPr>
                <w:rFonts w:hint="eastAsia" w:ascii="宋体" w:hAnsi="宋体" w:eastAsia="宋体" w:cs="宋体"/>
                <w:color w:val="auto"/>
                <w:szCs w:val="21"/>
                <w:highlight w:val="none"/>
              </w:rPr>
              <w:t>。</w:t>
            </w:r>
          </w:p>
          <w:p w14:paraId="09E791D2">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lang w:val="en-GB"/>
              </w:rPr>
              <w:t>②</w:t>
            </w:r>
            <w:r>
              <w:rPr>
                <w:rFonts w:hint="eastAsia" w:ascii="宋体" w:hAnsi="宋体" w:eastAsia="宋体" w:cs="宋体"/>
                <w:color w:val="auto"/>
                <w:szCs w:val="21"/>
                <w:highlight w:val="none"/>
              </w:rPr>
              <w:t>电子版的要求：</w:t>
            </w:r>
            <w:r>
              <w:rPr>
                <w:rFonts w:hint="eastAsia" w:ascii="宋体" w:hAnsi="宋体" w:eastAsia="宋体" w:cs="宋体"/>
                <w:color w:val="auto"/>
                <w:szCs w:val="21"/>
                <w:highlight w:val="none"/>
                <w:lang w:eastAsia="zh-CN"/>
              </w:rPr>
              <w:t>电子文本采用</w:t>
            </w:r>
            <w:r>
              <w:rPr>
                <w:rFonts w:hint="eastAsia" w:ascii="宋体" w:hAnsi="宋体" w:eastAsia="宋体" w:cs="宋体"/>
                <w:color w:val="auto"/>
                <w:szCs w:val="21"/>
                <w:highlight w:val="none"/>
                <w:lang w:val="en-US" w:eastAsia="zh-CN"/>
              </w:rPr>
              <w:t>CAD或</w:t>
            </w:r>
            <w:r>
              <w:rPr>
                <w:rFonts w:hint="eastAsia" w:ascii="宋体" w:hAnsi="宋体" w:eastAsia="宋体" w:cs="宋体"/>
                <w:color w:val="auto"/>
                <w:szCs w:val="21"/>
                <w:highlight w:val="none"/>
              </w:rPr>
              <w:t>PPT或pdf格式文件。</w:t>
            </w:r>
          </w:p>
          <w:p w14:paraId="4345794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GB"/>
              </w:rPr>
              <w:t>（</w:t>
            </w:r>
            <w:r>
              <w:rPr>
                <w:rFonts w:hint="eastAsia" w:ascii="宋体" w:hAnsi="宋体" w:eastAsia="宋体" w:cs="宋体"/>
                <w:color w:val="auto"/>
                <w:highlight w:val="none"/>
              </w:rPr>
              <w:t>4</w:t>
            </w:r>
            <w:r>
              <w:rPr>
                <w:rFonts w:hint="eastAsia" w:ascii="宋体" w:hAnsi="宋体" w:eastAsia="宋体" w:cs="宋体"/>
                <w:color w:val="auto"/>
                <w:highlight w:val="none"/>
                <w:lang w:val="en-GB"/>
              </w:rPr>
              <w:t>）</w:t>
            </w:r>
            <w:r>
              <w:rPr>
                <w:rFonts w:hint="eastAsia" w:ascii="宋体" w:hAnsi="宋体" w:eastAsia="宋体" w:cs="宋体"/>
                <w:color w:val="auto"/>
                <w:highlight w:val="none"/>
              </w:rPr>
              <w:t>成果文件的份数要求：纸质</w:t>
            </w:r>
            <w:r>
              <w:rPr>
                <w:rFonts w:hint="eastAsia" w:ascii="宋体" w:hAnsi="宋体" w:eastAsia="宋体" w:cs="宋体"/>
                <w:color w:val="auto"/>
                <w:highlight w:val="none"/>
                <w:lang w:eastAsia="zh-CN"/>
              </w:rPr>
              <w:t>陆</w:t>
            </w:r>
            <w:r>
              <w:rPr>
                <w:rFonts w:hint="eastAsia" w:ascii="宋体" w:hAnsi="宋体" w:eastAsia="宋体" w:cs="宋体"/>
                <w:color w:val="auto"/>
                <w:highlight w:val="none"/>
                <w:lang w:val="en-GB"/>
              </w:rPr>
              <w:t>套、</w:t>
            </w:r>
            <w:r>
              <w:rPr>
                <w:rFonts w:hint="eastAsia" w:ascii="宋体" w:hAnsi="宋体" w:eastAsia="宋体" w:cs="宋体"/>
                <w:color w:val="auto"/>
                <w:highlight w:val="none"/>
              </w:rPr>
              <w:t>电子版壹套。</w:t>
            </w:r>
          </w:p>
          <w:p w14:paraId="5B47C86C">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）成果交付方式要求</w:t>
            </w:r>
            <w:r>
              <w:rPr>
                <w:rFonts w:hint="eastAsia" w:ascii="宋体" w:hAnsi="宋体" w:eastAsia="宋体" w:cs="宋体"/>
                <w:color w:val="auto"/>
                <w:szCs w:val="21"/>
                <w:highlight w:val="none"/>
                <w:lang w:val="en-GB" w:bidi="ar"/>
              </w:rPr>
              <w:t>：</w:t>
            </w:r>
          </w:p>
          <w:p w14:paraId="1CDCB5E0">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highlight w:val="none"/>
                <w:lang w:val="en-GB"/>
              </w:rPr>
              <w:t>①</w:t>
            </w:r>
            <w:r>
              <w:rPr>
                <w:rFonts w:hint="eastAsia" w:ascii="宋体" w:hAnsi="宋体" w:eastAsia="宋体" w:cs="宋体"/>
                <w:color w:val="auto"/>
                <w:szCs w:val="21"/>
                <w:highlight w:val="none"/>
                <w:lang w:val="en-GB" w:bidi="ar"/>
              </w:rPr>
              <w:t>根据项目进度要求及时提供相关文件。</w:t>
            </w:r>
          </w:p>
          <w:p w14:paraId="2B974DBB">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szCs w:val="21"/>
                <w:highlight w:val="none"/>
                <w:lang w:bidi="ar"/>
              </w:rPr>
              <w:t>②</w:t>
            </w:r>
            <w:r>
              <w:rPr>
                <w:rFonts w:hint="eastAsia" w:ascii="宋体" w:hAnsi="宋体" w:eastAsia="宋体" w:cs="宋体"/>
                <w:color w:val="auto"/>
                <w:szCs w:val="21"/>
                <w:highlight w:val="none"/>
                <w:lang w:val="en-GB" w:bidi="ar"/>
              </w:rPr>
              <w:t>在</w:t>
            </w:r>
            <w:r>
              <w:rPr>
                <w:rFonts w:hint="eastAsia" w:ascii="宋体" w:hAnsi="宋体" w:eastAsia="宋体" w:cs="宋体"/>
                <w:color w:val="auto"/>
                <w:szCs w:val="21"/>
                <w:highlight w:val="none"/>
                <w:lang w:bidi="ar"/>
              </w:rPr>
              <w:t>采购人</w:t>
            </w:r>
            <w:r>
              <w:rPr>
                <w:rFonts w:hint="eastAsia" w:ascii="宋体" w:hAnsi="宋体" w:eastAsia="宋体" w:cs="宋体"/>
                <w:color w:val="auto"/>
                <w:szCs w:val="21"/>
                <w:highlight w:val="none"/>
                <w:lang w:val="en-GB" w:bidi="ar"/>
              </w:rPr>
              <w:t>所提供的设计资料（含设计确认单、</w:t>
            </w:r>
            <w:r>
              <w:rPr>
                <w:rFonts w:hint="eastAsia" w:ascii="宋体" w:hAnsi="宋体" w:eastAsia="宋体" w:cs="宋体"/>
                <w:color w:val="auto"/>
                <w:szCs w:val="21"/>
                <w:highlight w:val="none"/>
                <w:lang w:val="en-US" w:eastAsia="zh-CN" w:bidi="ar"/>
              </w:rPr>
              <w:t>各类</w:t>
            </w:r>
            <w:r>
              <w:rPr>
                <w:rFonts w:hint="eastAsia" w:ascii="宋体" w:hAnsi="宋体" w:eastAsia="宋体" w:cs="宋体"/>
                <w:color w:val="auto"/>
                <w:szCs w:val="21"/>
                <w:highlight w:val="none"/>
                <w:lang w:val="en-GB" w:bidi="ar"/>
              </w:rPr>
              <w:t>批文等）能满足</w:t>
            </w:r>
            <w:r>
              <w:rPr>
                <w:rFonts w:hint="eastAsia" w:ascii="宋体" w:hAnsi="宋体" w:eastAsia="宋体" w:cs="宋体"/>
                <w:color w:val="auto"/>
                <w:szCs w:val="21"/>
                <w:highlight w:val="none"/>
                <w:lang w:val="en-GB" w:eastAsia="zh-CN" w:bidi="ar"/>
              </w:rPr>
              <w:t>供应商</w:t>
            </w:r>
            <w:r>
              <w:rPr>
                <w:rFonts w:hint="eastAsia" w:ascii="宋体" w:hAnsi="宋体" w:eastAsia="宋体" w:cs="宋体"/>
                <w:color w:val="auto"/>
                <w:szCs w:val="21"/>
                <w:highlight w:val="none"/>
                <w:lang w:val="en-GB" w:bidi="ar"/>
              </w:rPr>
              <w:t>进行</w:t>
            </w:r>
            <w:r>
              <w:rPr>
                <w:rFonts w:hint="eastAsia" w:ascii="宋体" w:hAnsi="宋体" w:eastAsia="宋体" w:cs="宋体"/>
                <w:color w:val="auto"/>
                <w:szCs w:val="21"/>
                <w:highlight w:val="none"/>
                <w:lang w:bidi="ar"/>
              </w:rPr>
              <w:t>设计</w:t>
            </w:r>
            <w:r>
              <w:rPr>
                <w:rFonts w:hint="eastAsia" w:ascii="宋体" w:hAnsi="宋体" w:eastAsia="宋体" w:cs="宋体"/>
                <w:color w:val="auto"/>
                <w:szCs w:val="21"/>
                <w:highlight w:val="none"/>
                <w:lang w:val="en-GB" w:bidi="ar"/>
              </w:rPr>
              <w:t>阶段的前提下开始计算设计时间。</w:t>
            </w:r>
          </w:p>
          <w:p w14:paraId="7F42EF79">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szCs w:val="21"/>
                <w:highlight w:val="none"/>
                <w:lang w:bidi="ar"/>
              </w:rPr>
              <w:t>④</w:t>
            </w:r>
            <w:r>
              <w:rPr>
                <w:rFonts w:hint="eastAsia" w:ascii="宋体" w:hAnsi="宋体" w:eastAsia="宋体" w:cs="宋体"/>
                <w:color w:val="auto"/>
                <w:szCs w:val="21"/>
                <w:highlight w:val="none"/>
                <w:lang w:val="en-GB" w:bidi="ar"/>
              </w:rPr>
              <w:t>图纸交付地点：</w:t>
            </w:r>
            <w:r>
              <w:rPr>
                <w:rFonts w:hint="eastAsia" w:ascii="宋体" w:hAnsi="宋体" w:eastAsia="宋体" w:cs="宋体"/>
                <w:color w:val="auto"/>
                <w:szCs w:val="21"/>
                <w:highlight w:val="none"/>
                <w:lang w:bidi="ar"/>
              </w:rPr>
              <w:t>采购人</w:t>
            </w:r>
            <w:r>
              <w:rPr>
                <w:rFonts w:hint="eastAsia" w:ascii="宋体" w:hAnsi="宋体" w:eastAsia="宋体" w:cs="宋体"/>
                <w:color w:val="auto"/>
                <w:szCs w:val="21"/>
                <w:highlight w:val="none"/>
                <w:lang w:val="en-GB" w:bidi="ar"/>
              </w:rPr>
              <w:t>指定</w:t>
            </w:r>
            <w:r>
              <w:rPr>
                <w:rFonts w:hint="eastAsia" w:ascii="宋体" w:hAnsi="宋体" w:eastAsia="宋体" w:cs="宋体"/>
                <w:color w:val="auto"/>
                <w:szCs w:val="21"/>
                <w:highlight w:val="none"/>
                <w:lang w:bidi="ar"/>
              </w:rPr>
              <w:t>地点</w:t>
            </w:r>
            <w:r>
              <w:rPr>
                <w:rFonts w:hint="eastAsia" w:ascii="宋体" w:hAnsi="宋体" w:eastAsia="宋体" w:cs="宋体"/>
                <w:color w:val="auto"/>
                <w:szCs w:val="21"/>
                <w:highlight w:val="none"/>
                <w:lang w:val="en-GB" w:bidi="ar"/>
              </w:rPr>
              <w:t>；</w:t>
            </w:r>
            <w:r>
              <w:rPr>
                <w:rFonts w:hint="eastAsia" w:ascii="宋体" w:hAnsi="宋体" w:eastAsia="宋体" w:cs="宋体"/>
                <w:color w:val="auto"/>
                <w:szCs w:val="21"/>
                <w:highlight w:val="none"/>
                <w:lang w:bidi="ar"/>
              </w:rPr>
              <w:t>采购人</w:t>
            </w:r>
            <w:r>
              <w:rPr>
                <w:rFonts w:hint="eastAsia" w:ascii="宋体" w:hAnsi="宋体" w:eastAsia="宋体" w:cs="宋体"/>
                <w:color w:val="auto"/>
                <w:szCs w:val="21"/>
                <w:highlight w:val="none"/>
                <w:lang w:val="en-GB" w:bidi="ar"/>
              </w:rPr>
              <w:t>要求</w:t>
            </w:r>
            <w:r>
              <w:rPr>
                <w:rFonts w:hint="eastAsia" w:ascii="宋体" w:hAnsi="宋体" w:eastAsia="宋体" w:cs="宋体"/>
                <w:color w:val="auto"/>
                <w:szCs w:val="21"/>
                <w:highlight w:val="none"/>
                <w:lang w:val="en-GB" w:eastAsia="zh-CN" w:bidi="ar"/>
              </w:rPr>
              <w:t>供应商</w:t>
            </w:r>
            <w:r>
              <w:rPr>
                <w:rFonts w:hint="eastAsia" w:ascii="宋体" w:hAnsi="宋体" w:eastAsia="宋体" w:cs="宋体"/>
                <w:color w:val="auto"/>
                <w:szCs w:val="21"/>
                <w:highlight w:val="none"/>
                <w:lang w:val="en-GB" w:bidi="ar"/>
              </w:rPr>
              <w:t>提供电子版文件时，</w:t>
            </w:r>
            <w:r>
              <w:rPr>
                <w:rFonts w:hint="eastAsia" w:ascii="宋体" w:hAnsi="宋体" w:eastAsia="宋体" w:cs="宋体"/>
                <w:color w:val="auto"/>
                <w:szCs w:val="21"/>
                <w:highlight w:val="none"/>
                <w:lang w:val="en-GB" w:eastAsia="zh-CN" w:bidi="ar"/>
              </w:rPr>
              <w:t>供应商</w:t>
            </w:r>
            <w:r>
              <w:rPr>
                <w:rFonts w:hint="eastAsia" w:ascii="宋体" w:hAnsi="宋体" w:eastAsia="宋体" w:cs="宋体"/>
                <w:color w:val="auto"/>
                <w:szCs w:val="21"/>
                <w:highlight w:val="none"/>
                <w:lang w:val="en-GB" w:bidi="ar"/>
              </w:rPr>
              <w:t>有权对电子版设计文件采取加密、设置访问权限、限期使用等保护措施。</w:t>
            </w:r>
          </w:p>
          <w:p w14:paraId="0193AADF">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szCs w:val="21"/>
                <w:highlight w:val="none"/>
                <w:lang w:bidi="ar"/>
              </w:rPr>
              <w:t>⑤</w:t>
            </w:r>
            <w:r>
              <w:rPr>
                <w:rFonts w:hint="eastAsia" w:ascii="宋体" w:hAnsi="宋体" w:eastAsia="宋体" w:cs="宋体"/>
                <w:color w:val="auto"/>
                <w:szCs w:val="21"/>
                <w:highlight w:val="none"/>
                <w:lang w:val="en-GB" w:bidi="ar"/>
              </w:rPr>
              <w:t>如</w:t>
            </w:r>
            <w:r>
              <w:rPr>
                <w:rFonts w:hint="eastAsia" w:ascii="宋体" w:hAnsi="宋体" w:eastAsia="宋体" w:cs="宋体"/>
                <w:color w:val="auto"/>
                <w:szCs w:val="21"/>
                <w:highlight w:val="none"/>
                <w:lang w:bidi="ar"/>
              </w:rPr>
              <w:t>采购人</w:t>
            </w:r>
            <w:r>
              <w:rPr>
                <w:rFonts w:hint="eastAsia" w:ascii="宋体" w:hAnsi="宋体" w:eastAsia="宋体" w:cs="宋体"/>
                <w:color w:val="auto"/>
                <w:szCs w:val="21"/>
                <w:highlight w:val="none"/>
                <w:lang w:val="en-GB" w:bidi="ar"/>
              </w:rPr>
              <w:t>要求提供超过合同约定份数的工程设计文件，则</w:t>
            </w:r>
            <w:r>
              <w:rPr>
                <w:rFonts w:hint="eastAsia" w:ascii="宋体" w:hAnsi="宋体" w:eastAsia="宋体" w:cs="宋体"/>
                <w:color w:val="auto"/>
                <w:szCs w:val="21"/>
                <w:highlight w:val="none"/>
                <w:lang w:val="en-GB" w:eastAsia="zh-CN" w:bidi="ar"/>
              </w:rPr>
              <w:t>供应商</w:t>
            </w:r>
            <w:r>
              <w:rPr>
                <w:rFonts w:hint="eastAsia" w:ascii="宋体" w:hAnsi="宋体" w:eastAsia="宋体" w:cs="宋体"/>
                <w:color w:val="auto"/>
                <w:szCs w:val="21"/>
                <w:highlight w:val="none"/>
                <w:lang w:val="en-GB" w:bidi="ar"/>
              </w:rPr>
              <w:t>仍应按</w:t>
            </w:r>
            <w:r>
              <w:rPr>
                <w:rFonts w:hint="eastAsia" w:ascii="宋体" w:hAnsi="宋体" w:eastAsia="宋体" w:cs="宋体"/>
                <w:color w:val="auto"/>
                <w:szCs w:val="21"/>
                <w:highlight w:val="none"/>
                <w:lang w:bidi="ar"/>
              </w:rPr>
              <w:t>采购人</w:t>
            </w:r>
            <w:r>
              <w:rPr>
                <w:rFonts w:hint="eastAsia" w:ascii="宋体" w:hAnsi="宋体" w:eastAsia="宋体" w:cs="宋体"/>
                <w:color w:val="auto"/>
                <w:szCs w:val="21"/>
                <w:highlight w:val="none"/>
                <w:lang w:val="en-GB" w:bidi="ar"/>
              </w:rPr>
              <w:t>的要求提供，</w:t>
            </w:r>
            <w:r>
              <w:rPr>
                <w:rFonts w:hint="eastAsia" w:ascii="宋体" w:hAnsi="宋体" w:eastAsia="宋体" w:cs="宋体"/>
                <w:color w:val="auto"/>
                <w:szCs w:val="21"/>
                <w:highlight w:val="none"/>
                <w:lang w:val="en-US" w:eastAsia="zh-CN" w:bidi="ar"/>
              </w:rPr>
              <w:t>增加的图纸</w:t>
            </w:r>
            <w:r>
              <w:rPr>
                <w:rFonts w:hint="eastAsia" w:ascii="宋体" w:hAnsi="宋体" w:eastAsia="宋体" w:cs="宋体"/>
                <w:color w:val="auto"/>
                <w:szCs w:val="21"/>
                <w:highlight w:val="none"/>
                <w:lang w:val="en-GB" w:bidi="ar"/>
              </w:rPr>
              <w:t>工本费</w:t>
            </w:r>
            <w:r>
              <w:rPr>
                <w:rFonts w:hint="eastAsia" w:ascii="宋体" w:hAnsi="宋体" w:eastAsia="宋体" w:cs="宋体"/>
                <w:color w:val="auto"/>
                <w:szCs w:val="21"/>
                <w:highlight w:val="none"/>
                <w:lang w:val="en-US" w:eastAsia="zh-CN" w:bidi="ar"/>
              </w:rPr>
              <w:t>由双方另行协商</w:t>
            </w:r>
            <w:r>
              <w:rPr>
                <w:rFonts w:hint="eastAsia" w:ascii="宋体" w:hAnsi="宋体" w:eastAsia="宋体" w:cs="宋体"/>
                <w:color w:val="auto"/>
                <w:szCs w:val="21"/>
                <w:highlight w:val="none"/>
                <w:lang w:val="en-GB" w:bidi="ar"/>
              </w:rPr>
              <w:t>。</w:t>
            </w:r>
          </w:p>
          <w:p w14:paraId="098D9F62">
            <w:pPr>
              <w:widowControl/>
              <w:spacing w:line="360" w:lineRule="auto"/>
              <w:ind w:firstLine="420" w:firstLineChars="200"/>
              <w:jc w:val="left"/>
              <w:rPr>
                <w:rFonts w:hint="eastAsia" w:ascii="宋体" w:hAnsi="宋体" w:eastAsia="宋体" w:cs="宋体"/>
                <w:color w:val="auto"/>
                <w:szCs w:val="21"/>
                <w:highlight w:val="none"/>
                <w:lang w:val="en-GB" w:bidi="ar"/>
              </w:rPr>
            </w:pPr>
            <w:r>
              <w:rPr>
                <w:rFonts w:hint="eastAsia" w:ascii="宋体" w:hAnsi="宋体" w:eastAsia="宋体" w:cs="宋体"/>
                <w:color w:val="auto"/>
                <w:szCs w:val="21"/>
                <w:highlight w:val="none"/>
                <w:lang w:bidi="ar"/>
              </w:rPr>
              <w:t>⑥</w:t>
            </w:r>
            <w:r>
              <w:rPr>
                <w:rFonts w:hint="eastAsia" w:ascii="宋体" w:hAnsi="宋体" w:eastAsia="宋体" w:cs="宋体"/>
                <w:color w:val="auto"/>
                <w:szCs w:val="21"/>
                <w:highlight w:val="none"/>
                <w:lang w:val="en-GB" w:bidi="ar"/>
              </w:rPr>
              <w:t>成果文件的其他要求：无。</w:t>
            </w:r>
          </w:p>
          <w:p w14:paraId="1D602FC7">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val="en-US" w:eastAsia="zh-CN" w:bidi="ar"/>
              </w:rPr>
              <w:t>八</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eastAsia="zh-CN" w:bidi="ar"/>
              </w:rPr>
              <w:t>供应商</w:t>
            </w:r>
            <w:r>
              <w:rPr>
                <w:rFonts w:hint="eastAsia" w:ascii="宋体" w:hAnsi="宋体" w:eastAsia="宋体" w:cs="宋体"/>
                <w:b/>
                <w:bCs/>
                <w:color w:val="auto"/>
                <w:kern w:val="0"/>
                <w:szCs w:val="21"/>
                <w:highlight w:val="none"/>
                <w:lang w:bidi="ar"/>
              </w:rPr>
              <w:t>需要自备的工作条件</w:t>
            </w:r>
          </w:p>
          <w:p w14:paraId="07E0CDB1">
            <w:pPr>
              <w:widowControl/>
              <w:spacing w:line="360" w:lineRule="auto"/>
              <w:ind w:firstLine="420" w:firstLineChars="200"/>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自备的工作手册：如本项目必备的规范标准、图集等</w:t>
            </w:r>
            <w:r>
              <w:rPr>
                <w:rFonts w:hint="eastAsia" w:ascii="宋体" w:hAnsi="宋体" w:eastAsia="宋体" w:cs="宋体"/>
                <w:color w:val="auto"/>
                <w:szCs w:val="21"/>
                <w:highlight w:val="none"/>
              </w:rPr>
              <w:t>。</w:t>
            </w:r>
          </w:p>
          <w:p w14:paraId="4A818F93">
            <w:pPr>
              <w:widowControl/>
              <w:spacing w:line="360" w:lineRule="auto"/>
              <w:ind w:firstLine="420" w:firstLineChars="200"/>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自备的办公设备：如电脑、软件、投影、打印机、复印机、照相机等。</w:t>
            </w:r>
          </w:p>
          <w:p w14:paraId="78B7A2BD">
            <w:pPr>
              <w:widowControl/>
              <w:spacing w:line="360" w:lineRule="auto"/>
              <w:ind w:firstLine="420" w:firstLineChars="200"/>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自备的交通工具：如出行车辆等。</w:t>
            </w:r>
          </w:p>
          <w:p w14:paraId="58C9FF29">
            <w:pPr>
              <w:widowControl/>
              <w:spacing w:line="360" w:lineRule="auto"/>
              <w:ind w:firstLine="420" w:firstLineChars="200"/>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自备的现场办公设施：如办公桌椅、文件柜等。</w:t>
            </w:r>
          </w:p>
          <w:p w14:paraId="4AA0D496">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自备的安全设施：如安全帽、安全鞋、手电筒等。</w:t>
            </w:r>
          </w:p>
          <w:p w14:paraId="15D115E7">
            <w:pPr>
              <w:pStyle w:val="40"/>
              <w:spacing w:line="360" w:lineRule="auto"/>
              <w:ind w:leftChars="0" w:firstLine="0" w:firstLineChars="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）质量要求</w:t>
            </w:r>
            <w:r>
              <w:rPr>
                <w:rFonts w:hint="eastAsia" w:ascii="宋体" w:hAnsi="宋体" w:eastAsia="宋体" w:cs="宋体"/>
                <w:color w:val="auto"/>
                <w:szCs w:val="21"/>
                <w:highlight w:val="none"/>
              </w:rPr>
              <w:t xml:space="preserve">   </w:t>
            </w:r>
          </w:p>
          <w:p w14:paraId="6C6D26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设计深度应符合国家、地方现行相关设计规范、标准，并确保顺利通过相关主管部门审查。</w:t>
            </w:r>
          </w:p>
          <w:p w14:paraId="2D2A7F0A">
            <w:pPr>
              <w:pStyle w:val="40"/>
              <w:spacing w:line="360" w:lineRule="auto"/>
              <w:ind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十</w:t>
            </w:r>
            <w:r>
              <w:rPr>
                <w:rFonts w:hint="eastAsia" w:ascii="宋体" w:hAnsi="宋体" w:eastAsia="宋体" w:cs="宋体"/>
                <w:b/>
                <w:bCs/>
                <w:color w:val="auto"/>
                <w:szCs w:val="21"/>
                <w:highlight w:val="none"/>
              </w:rPr>
              <w:t>）拟投入本项目</w:t>
            </w:r>
            <w:r>
              <w:rPr>
                <w:rFonts w:hint="eastAsia" w:ascii="宋体" w:hAnsi="宋体" w:eastAsia="宋体" w:cs="宋体"/>
                <w:b/>
                <w:bCs/>
                <w:color w:val="auto"/>
                <w:szCs w:val="21"/>
                <w:highlight w:val="none"/>
                <w:lang w:eastAsia="zh-CN"/>
              </w:rPr>
              <w:t>项目负责人</w:t>
            </w:r>
            <w:r>
              <w:rPr>
                <w:rFonts w:hint="eastAsia" w:ascii="宋体" w:hAnsi="宋体" w:eastAsia="宋体" w:cs="宋体"/>
                <w:b/>
                <w:bCs/>
                <w:color w:val="auto"/>
                <w:szCs w:val="21"/>
                <w:highlight w:val="none"/>
              </w:rPr>
              <w:t>配备最低要求</w:t>
            </w:r>
          </w:p>
          <w:p w14:paraId="2EF2061A">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项目负责人须具备注册城乡规划师资格</w:t>
            </w:r>
            <w:r>
              <w:rPr>
                <w:rFonts w:hint="eastAsia" w:ascii="宋体" w:hAnsi="宋体" w:eastAsia="宋体" w:cs="宋体"/>
                <w:color w:val="auto"/>
                <w:szCs w:val="21"/>
                <w:highlight w:val="none"/>
                <w:lang w:eastAsia="zh-CN"/>
              </w:rPr>
              <w:t>（或一级</w:t>
            </w:r>
            <w:r>
              <w:rPr>
                <w:rFonts w:hint="eastAsia" w:ascii="宋体" w:hAnsi="宋体" w:eastAsia="宋体" w:cs="宋体"/>
                <w:color w:val="auto"/>
                <w:szCs w:val="21"/>
                <w:highlight w:val="none"/>
                <w:lang w:val="en-US" w:eastAsia="zh-CN"/>
              </w:rPr>
              <w:t>注册</w:t>
            </w:r>
            <w:r>
              <w:rPr>
                <w:rFonts w:hint="eastAsia" w:ascii="宋体" w:hAnsi="宋体" w:eastAsia="宋体" w:cs="宋体"/>
                <w:color w:val="auto"/>
                <w:szCs w:val="21"/>
                <w:highlight w:val="none"/>
                <w:lang w:eastAsia="zh-CN"/>
              </w:rPr>
              <w:t>建筑师资格）</w:t>
            </w:r>
            <w:r>
              <w:rPr>
                <w:rFonts w:hint="eastAsia" w:ascii="宋体" w:hAnsi="宋体" w:eastAsia="宋体" w:cs="宋体"/>
                <w:color w:val="auto"/>
                <w:szCs w:val="21"/>
                <w:highlight w:val="none"/>
              </w:rPr>
              <w:t>，且具有高级</w:t>
            </w:r>
            <w:r>
              <w:rPr>
                <w:rFonts w:hint="eastAsia" w:ascii="宋体" w:hAnsi="宋体" w:eastAsia="宋体" w:cs="宋体"/>
                <w:color w:val="auto"/>
                <w:szCs w:val="21"/>
                <w:highlight w:val="none"/>
                <w:lang w:val="en-US" w:eastAsia="zh-CN"/>
              </w:rPr>
              <w:t>职称。</w:t>
            </w:r>
          </w:p>
        </w:tc>
      </w:tr>
      <w:tr w14:paraId="0AFA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788" w:type="dxa"/>
            <w:gridSpan w:val="5"/>
            <w:tcBorders>
              <w:top w:val="single" w:color="auto" w:sz="4" w:space="0"/>
              <w:left w:val="single" w:color="auto" w:sz="4" w:space="0"/>
              <w:bottom w:val="single" w:color="auto" w:sz="4" w:space="0"/>
              <w:right w:val="single" w:color="auto" w:sz="4" w:space="0"/>
            </w:tcBorders>
            <w:noWrap w:val="0"/>
            <w:vAlign w:val="center"/>
          </w:tcPr>
          <w:p w14:paraId="7C5014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二、商务要求</w:t>
            </w:r>
          </w:p>
        </w:tc>
      </w:tr>
      <w:tr w14:paraId="432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646879B5">
            <w:pPr>
              <w:widowControl/>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服务期限</w:t>
            </w:r>
          </w:p>
        </w:tc>
        <w:tc>
          <w:tcPr>
            <w:tcW w:w="7808" w:type="dxa"/>
            <w:gridSpan w:val="2"/>
            <w:tcBorders>
              <w:top w:val="single" w:color="auto" w:sz="4" w:space="0"/>
              <w:left w:val="single" w:color="auto" w:sz="4" w:space="0"/>
              <w:bottom w:val="single" w:color="auto" w:sz="4" w:space="0"/>
              <w:right w:val="single" w:color="auto" w:sz="4" w:space="0"/>
            </w:tcBorders>
            <w:noWrap w:val="0"/>
            <w:vAlign w:val="center"/>
          </w:tcPr>
          <w:p w14:paraId="11146343">
            <w:pPr>
              <w:numPr>
                <w:ilvl w:val="0"/>
                <w:numId w:val="0"/>
              </w:num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总设计工期：共计1</w:t>
            </w:r>
            <w:r>
              <w:rPr>
                <w:rFonts w:hint="eastAsia" w:ascii="宋体" w:hAnsi="宋体" w:eastAsia="宋体" w:cs="宋体"/>
                <w:color w:val="auto"/>
                <w:highlight w:val="none"/>
                <w:lang w:val="en-US" w:eastAsia="zh-CN"/>
              </w:rPr>
              <w:t>80日历天。其中：</w:t>
            </w:r>
          </w:p>
          <w:p w14:paraId="3772D9BF">
            <w:pPr>
              <w:numPr>
                <w:ilvl w:val="0"/>
                <w:numId w:val="0"/>
              </w:numPr>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szCs w:val="21"/>
                <w:highlight w:val="none"/>
              </w:rPr>
              <w:t>通过现状踏勘、收集资料和相关座谈等，形成项目定位、功能策划、空间结构的初步思路汇报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设计周期30</w:t>
            </w:r>
            <w:r>
              <w:rPr>
                <w:rFonts w:hint="eastAsia" w:ascii="宋体" w:hAnsi="宋体" w:eastAsia="宋体" w:cs="宋体"/>
                <w:color w:val="auto"/>
                <w:highlight w:val="none"/>
                <w:lang w:val="en-US" w:eastAsia="zh-CN"/>
              </w:rPr>
              <w:t>日历天</w:t>
            </w:r>
            <w:r>
              <w:rPr>
                <w:rFonts w:hint="eastAsia" w:ascii="宋体" w:hAnsi="宋体" w:eastAsia="宋体" w:cs="宋体"/>
                <w:color w:val="auto"/>
                <w:szCs w:val="21"/>
                <w:highlight w:val="none"/>
                <w:lang w:eastAsia="zh-CN"/>
              </w:rPr>
              <w:t>；</w:t>
            </w:r>
          </w:p>
          <w:p w14:paraId="3CB1086B">
            <w:pPr>
              <w:numPr>
                <w:ilvl w:val="0"/>
                <w:numId w:val="0"/>
              </w:numPr>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②</w:t>
            </w:r>
            <w:r>
              <w:rPr>
                <w:rFonts w:hint="eastAsia" w:ascii="宋体" w:hAnsi="宋体" w:eastAsia="宋体" w:cs="宋体"/>
                <w:color w:val="auto"/>
                <w:szCs w:val="21"/>
                <w:highlight w:val="none"/>
              </w:rPr>
              <w:t>根据初步沟通意见修改，项目功能产品策划基本定型，形成主要三维空间形态和公共空间体系示意，提交中期成果汇报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设计周期30</w:t>
            </w:r>
            <w:r>
              <w:rPr>
                <w:rFonts w:hint="eastAsia" w:ascii="宋体" w:hAnsi="宋体" w:eastAsia="宋体" w:cs="宋体"/>
                <w:color w:val="auto"/>
                <w:highlight w:val="none"/>
                <w:lang w:val="en-US" w:eastAsia="zh-CN"/>
              </w:rPr>
              <w:t>日历天</w:t>
            </w:r>
            <w:r>
              <w:rPr>
                <w:rFonts w:hint="eastAsia" w:ascii="宋体" w:hAnsi="宋体" w:eastAsia="宋体" w:cs="宋体"/>
                <w:color w:val="auto"/>
                <w:szCs w:val="21"/>
                <w:highlight w:val="none"/>
                <w:lang w:eastAsia="zh-CN"/>
              </w:rPr>
              <w:t>；</w:t>
            </w:r>
          </w:p>
          <w:p w14:paraId="4F97F5A5">
            <w:pPr>
              <w:numPr>
                <w:ilvl w:val="0"/>
                <w:numId w:val="0"/>
              </w:numPr>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③</w:t>
            </w:r>
            <w:r>
              <w:rPr>
                <w:rFonts w:hint="eastAsia" w:ascii="宋体" w:hAnsi="宋体" w:eastAsia="宋体" w:cs="宋体"/>
                <w:color w:val="auto"/>
                <w:szCs w:val="21"/>
                <w:highlight w:val="none"/>
              </w:rPr>
              <w:t>完成关键节点详细形态设计，对接法定规划，落实指标控制和设计要求，提交专家评审会成果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设计周期</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highlight w:val="none"/>
                <w:lang w:val="en-US" w:eastAsia="zh-CN"/>
              </w:rPr>
              <w:t>日历天</w:t>
            </w:r>
            <w:r>
              <w:rPr>
                <w:rFonts w:hint="eastAsia" w:ascii="宋体" w:hAnsi="宋体" w:eastAsia="宋体" w:cs="宋体"/>
                <w:color w:val="auto"/>
                <w:szCs w:val="21"/>
                <w:highlight w:val="none"/>
                <w:lang w:eastAsia="zh-CN"/>
              </w:rPr>
              <w:t>；</w:t>
            </w:r>
          </w:p>
          <w:p w14:paraId="3568754D">
            <w:pPr>
              <w:numPr>
                <w:ilvl w:val="0"/>
                <w:numId w:val="0"/>
              </w:numPr>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④</w:t>
            </w:r>
            <w:r>
              <w:rPr>
                <w:rFonts w:hint="eastAsia" w:ascii="宋体" w:hAnsi="宋体" w:eastAsia="宋体" w:cs="宋体"/>
                <w:color w:val="auto"/>
                <w:szCs w:val="21"/>
                <w:highlight w:val="none"/>
              </w:rPr>
              <w:t>落实专家意见，修改完善成果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设计周期30</w:t>
            </w:r>
            <w:r>
              <w:rPr>
                <w:rFonts w:hint="eastAsia" w:ascii="宋体" w:hAnsi="宋体" w:eastAsia="宋体" w:cs="宋体"/>
                <w:color w:val="auto"/>
                <w:highlight w:val="none"/>
                <w:lang w:val="en-US" w:eastAsia="zh-CN"/>
              </w:rPr>
              <w:t>日历天</w:t>
            </w:r>
            <w:r>
              <w:rPr>
                <w:rFonts w:hint="eastAsia" w:ascii="宋体" w:hAnsi="宋体" w:eastAsia="宋体" w:cs="宋体"/>
                <w:color w:val="auto"/>
                <w:szCs w:val="21"/>
                <w:highlight w:val="none"/>
                <w:lang w:eastAsia="zh-CN"/>
              </w:rPr>
              <w:t>；</w:t>
            </w:r>
          </w:p>
          <w:p w14:paraId="564EA08B">
            <w:pPr>
              <w:numPr>
                <w:ilvl w:val="0"/>
                <w:numId w:val="0"/>
              </w:numPr>
              <w:spacing w:line="360" w:lineRule="auto"/>
              <w:ind w:left="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⑤</w:t>
            </w:r>
            <w:r>
              <w:rPr>
                <w:rFonts w:hint="eastAsia" w:ascii="宋体" w:hAnsi="宋体" w:eastAsia="宋体" w:cs="宋体"/>
                <w:color w:val="auto"/>
                <w:szCs w:val="21"/>
                <w:highlight w:val="none"/>
              </w:rPr>
              <w:t>报规划主管部门审查并修改完善形成最终成果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设计周期30</w:t>
            </w:r>
            <w:r>
              <w:rPr>
                <w:rFonts w:hint="eastAsia" w:ascii="宋体" w:hAnsi="宋体" w:eastAsia="宋体" w:cs="宋体"/>
                <w:color w:val="auto"/>
                <w:highlight w:val="none"/>
                <w:lang w:val="en-US" w:eastAsia="zh-CN"/>
              </w:rPr>
              <w:t>日历天</w:t>
            </w:r>
            <w:r>
              <w:rPr>
                <w:rFonts w:hint="eastAsia" w:ascii="宋体" w:hAnsi="宋体" w:eastAsia="宋体" w:cs="宋体"/>
                <w:color w:val="auto"/>
                <w:szCs w:val="21"/>
                <w:highlight w:val="none"/>
                <w:lang w:eastAsia="zh-CN"/>
              </w:rPr>
              <w:t>。</w:t>
            </w:r>
          </w:p>
        </w:tc>
      </w:tr>
      <w:tr w14:paraId="2A44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300321BB">
            <w:pPr>
              <w:widowControl/>
              <w:snapToGrid w:val="0"/>
              <w:spacing w:line="36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服务地点</w:t>
            </w:r>
          </w:p>
        </w:tc>
        <w:tc>
          <w:tcPr>
            <w:tcW w:w="7808" w:type="dxa"/>
            <w:gridSpan w:val="2"/>
            <w:tcBorders>
              <w:top w:val="single" w:color="auto" w:sz="4" w:space="0"/>
              <w:left w:val="single" w:color="auto" w:sz="4" w:space="0"/>
              <w:bottom w:val="single" w:color="auto" w:sz="4" w:space="0"/>
              <w:right w:val="single" w:color="auto" w:sz="4" w:space="0"/>
            </w:tcBorders>
            <w:noWrap w:val="0"/>
            <w:vAlign w:val="center"/>
          </w:tcPr>
          <w:p w14:paraId="25423B35">
            <w:pPr>
              <w:numPr>
                <w:ilvl w:val="0"/>
                <w:numId w:val="0"/>
              </w:numPr>
              <w:spacing w:line="360" w:lineRule="auto"/>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桂林市叠彩区</w:t>
            </w:r>
          </w:p>
        </w:tc>
      </w:tr>
      <w:tr w14:paraId="4BDF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620A397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lang w:val="en-US" w:eastAsia="zh-CN"/>
              </w:rPr>
              <w:t>质量要求</w:t>
            </w:r>
          </w:p>
        </w:tc>
        <w:tc>
          <w:tcPr>
            <w:tcW w:w="7808" w:type="dxa"/>
            <w:gridSpan w:val="2"/>
            <w:tcBorders>
              <w:top w:val="single" w:color="auto" w:sz="4" w:space="0"/>
              <w:left w:val="single" w:color="auto" w:sz="4" w:space="0"/>
              <w:bottom w:val="single" w:color="auto" w:sz="4" w:space="0"/>
              <w:right w:val="single" w:color="auto" w:sz="4" w:space="0"/>
            </w:tcBorders>
            <w:noWrap w:val="0"/>
            <w:vAlign w:val="center"/>
          </w:tcPr>
          <w:p w14:paraId="07842F13">
            <w:pPr>
              <w:widowControl/>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设计深度应符合国家、地方现行相关设计规范、标准，并确保顺利通过相关主管部门审查。</w:t>
            </w:r>
          </w:p>
        </w:tc>
      </w:tr>
      <w:tr w14:paraId="40A9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5C5D85AF">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技术标准规范</w:t>
            </w:r>
          </w:p>
        </w:tc>
        <w:tc>
          <w:tcPr>
            <w:tcW w:w="7808" w:type="dxa"/>
            <w:gridSpan w:val="2"/>
            <w:tcBorders>
              <w:top w:val="single" w:color="auto" w:sz="4" w:space="0"/>
              <w:left w:val="single" w:color="auto" w:sz="4" w:space="0"/>
              <w:bottom w:val="single" w:color="auto" w:sz="4" w:space="0"/>
              <w:right w:val="single" w:color="auto" w:sz="4" w:space="0"/>
            </w:tcBorders>
            <w:noWrap w:val="0"/>
            <w:vAlign w:val="center"/>
          </w:tcPr>
          <w:p w14:paraId="17A63DBF">
            <w:pPr>
              <w:widowControl/>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国家、地方现行相关设计规范、标准。</w:t>
            </w:r>
          </w:p>
        </w:tc>
      </w:tr>
      <w:tr w14:paraId="268E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74FD5B9E">
            <w:pPr>
              <w:snapToGrid w:val="0"/>
              <w:spacing w:line="36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 w:val="21"/>
                <w:szCs w:val="21"/>
                <w:highlight w:val="none"/>
              </w:rPr>
              <w:t>付款方式</w:t>
            </w:r>
          </w:p>
        </w:tc>
        <w:tc>
          <w:tcPr>
            <w:tcW w:w="7808" w:type="dxa"/>
            <w:gridSpan w:val="2"/>
            <w:tcBorders>
              <w:top w:val="single" w:color="auto" w:sz="4" w:space="0"/>
              <w:left w:val="single" w:color="auto" w:sz="4" w:space="0"/>
              <w:bottom w:val="single" w:color="auto" w:sz="4" w:space="0"/>
              <w:right w:val="single" w:color="auto" w:sz="4" w:space="0"/>
            </w:tcBorders>
            <w:noWrap w:val="0"/>
            <w:vAlign w:val="center"/>
          </w:tcPr>
          <w:p w14:paraId="14F9C8EF">
            <w:pPr>
              <w:pStyle w:val="147"/>
              <w:spacing w:line="360" w:lineRule="auto"/>
              <w:ind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（1）自签订合同之日起15个工作日内支付合同金额的5%；</w:t>
            </w:r>
          </w:p>
          <w:p w14:paraId="2293371F">
            <w:pPr>
              <w:pStyle w:val="147"/>
              <w:spacing w:line="360" w:lineRule="auto"/>
              <w:ind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（2）城市设计初稿提交，并通过发包人及城区政府同意，开始上报市规划主管部门时的15个工作日内支付同总金额的35%；</w:t>
            </w:r>
          </w:p>
          <w:p w14:paraId="5999C104">
            <w:pPr>
              <w:pStyle w:val="147"/>
              <w:spacing w:line="360" w:lineRule="auto"/>
              <w:ind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（3）城市设计成果通过市相关规划部门初步审查，并出具初步审查意见后15个工作日内支付同总金额的30%；</w:t>
            </w:r>
          </w:p>
          <w:p w14:paraId="3358981B">
            <w:pPr>
              <w:pStyle w:val="147"/>
              <w:spacing w:line="360" w:lineRule="auto"/>
              <w:ind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（4）城市设计成果修改完善，相关规划部门审查合格并提交最终成果后15个工作日内支付合同金额的30%；</w:t>
            </w:r>
          </w:p>
          <w:p w14:paraId="3F38D483">
            <w:pPr>
              <w:pStyle w:val="147"/>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设计人每次申请款项时，应向发包人开具同等金额的增值税发票。</w:t>
            </w:r>
          </w:p>
        </w:tc>
      </w:tr>
      <w:tr w14:paraId="7A23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6EFDCBF8">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保密要求</w:t>
            </w:r>
          </w:p>
        </w:tc>
        <w:tc>
          <w:tcPr>
            <w:tcW w:w="7808" w:type="dxa"/>
            <w:gridSpan w:val="2"/>
            <w:tcBorders>
              <w:top w:val="single" w:color="auto" w:sz="4" w:space="0"/>
              <w:left w:val="single" w:color="auto" w:sz="4" w:space="0"/>
              <w:bottom w:val="single" w:color="auto" w:sz="4" w:space="0"/>
              <w:right w:val="single" w:color="auto" w:sz="4" w:space="0"/>
            </w:tcBorders>
            <w:noWrap w:val="0"/>
            <w:vAlign w:val="center"/>
          </w:tcPr>
          <w:p w14:paraId="1E2AC8D5">
            <w:pPr>
              <w:numPr>
                <w:ilvl w:val="0"/>
                <w:numId w:val="0"/>
              </w:num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必须如约承担合同履行时所应该尽的一切保密义务。</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与采购人双方签署保密协议，</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需对项目实施过程中的资料、数据进行保密，未经采购人书面同意不得泄露给第三方，否则采购人保留追究供应商法律责任的权利，一切保密责任不因合同的终止或解除而失效。</w:t>
            </w:r>
          </w:p>
        </w:tc>
      </w:tr>
      <w:tr w14:paraId="55B0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324C126D">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验收方法及标准</w:t>
            </w:r>
          </w:p>
        </w:tc>
        <w:tc>
          <w:tcPr>
            <w:tcW w:w="7808" w:type="dxa"/>
            <w:gridSpan w:val="2"/>
            <w:tcBorders>
              <w:top w:val="single" w:color="auto" w:sz="4" w:space="0"/>
              <w:left w:val="single" w:color="auto" w:sz="4" w:space="0"/>
              <w:bottom w:val="single" w:color="auto" w:sz="4" w:space="0"/>
              <w:right w:val="single" w:color="auto" w:sz="4" w:space="0"/>
            </w:tcBorders>
            <w:noWrap w:val="0"/>
            <w:vAlign w:val="center"/>
          </w:tcPr>
          <w:p w14:paraId="0C1329D0">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依据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文件承诺、强制执行的国家、行业、地方标准履行合同；</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提供的服务成果达不到验收标准的，采购人不予验收，造成的一切不利后果由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自行承担。</w:t>
            </w:r>
          </w:p>
        </w:tc>
      </w:tr>
      <w:tr w14:paraId="4CE5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88" w:type="dxa"/>
            <w:gridSpan w:val="5"/>
            <w:tcBorders>
              <w:top w:val="single" w:color="auto" w:sz="4" w:space="0"/>
              <w:left w:val="single" w:color="auto" w:sz="4" w:space="0"/>
              <w:bottom w:val="single" w:color="auto" w:sz="4" w:space="0"/>
              <w:right w:val="single" w:color="auto" w:sz="4" w:space="0"/>
            </w:tcBorders>
            <w:noWrap w:val="0"/>
            <w:vAlign w:val="center"/>
          </w:tcPr>
          <w:p w14:paraId="6CD6806F">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的资信要求表</w:t>
            </w:r>
          </w:p>
        </w:tc>
      </w:tr>
      <w:tr w14:paraId="73F0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88" w:type="dxa"/>
            <w:gridSpan w:val="5"/>
            <w:tcBorders>
              <w:top w:val="single" w:color="auto" w:sz="4" w:space="0"/>
              <w:left w:val="single" w:color="auto" w:sz="4" w:space="0"/>
              <w:bottom w:val="single" w:color="auto" w:sz="4" w:space="0"/>
              <w:right w:val="single" w:color="auto" w:sz="4" w:space="0"/>
            </w:tcBorders>
            <w:noWrap w:val="0"/>
            <w:vAlign w:val="center"/>
          </w:tcPr>
          <w:p w14:paraId="555C43DB">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质量管理、企业信用要求</w:t>
            </w:r>
          </w:p>
        </w:tc>
      </w:tr>
      <w:tr w14:paraId="29C7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14:paraId="4AB1DA6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能力或业绩要求</w:t>
            </w:r>
          </w:p>
        </w:tc>
        <w:tc>
          <w:tcPr>
            <w:tcW w:w="7988" w:type="dxa"/>
            <w:gridSpan w:val="3"/>
            <w:tcBorders>
              <w:top w:val="single" w:color="auto" w:sz="4" w:space="0"/>
              <w:left w:val="single" w:color="auto" w:sz="4" w:space="0"/>
              <w:bottom w:val="single" w:color="auto" w:sz="4" w:space="0"/>
              <w:right w:val="single" w:color="auto" w:sz="4" w:space="0"/>
            </w:tcBorders>
            <w:noWrap w:val="0"/>
            <w:vAlign w:val="center"/>
          </w:tcPr>
          <w:p w14:paraId="23DCAF40">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1.投标人在人员组成结构等方面应能满足本项目设计的要求。</w:t>
            </w:r>
          </w:p>
          <w:p w14:paraId="5B323D96">
            <w:pPr>
              <w:spacing w:line="360" w:lineRule="auto"/>
              <w:rPr>
                <w:rFonts w:hint="eastAsia" w:ascii="宋体" w:hAnsi="宋体" w:eastAsia="宋体" w:cs="宋体"/>
                <w:bCs/>
                <w:iCs/>
                <w:color w:val="auto"/>
                <w:highlight w:val="none"/>
                <w:lang w:val="en-US" w:eastAsia="zh-CN"/>
              </w:rPr>
            </w:pPr>
            <w:r>
              <w:rPr>
                <w:rFonts w:hint="eastAsia" w:ascii="宋体" w:hAnsi="宋体" w:eastAsia="宋体" w:cs="宋体"/>
                <w:color w:val="auto"/>
                <w:highlight w:val="none"/>
                <w:lang w:val="en-US" w:eastAsia="zh-CN"/>
              </w:rPr>
              <w:t>2.如投标人处于被责令停业，财产被接管、冻结、破产状态；或在以往的招投标活动中有不良行为和记录，在最近三年内有骗取中标和严重违约及重大质量、安全问题，一经发现则其投标无效。</w:t>
            </w:r>
          </w:p>
        </w:tc>
      </w:tr>
      <w:tr w14:paraId="79B7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788" w:type="dxa"/>
            <w:gridSpan w:val="5"/>
            <w:tcBorders>
              <w:top w:val="single" w:color="auto" w:sz="4" w:space="0"/>
              <w:left w:val="single" w:color="auto" w:sz="4" w:space="0"/>
              <w:bottom w:val="single" w:color="auto" w:sz="4" w:space="0"/>
              <w:right w:val="single" w:color="auto" w:sz="4" w:space="0"/>
            </w:tcBorders>
            <w:noWrap w:val="0"/>
            <w:vAlign w:val="center"/>
          </w:tcPr>
          <w:p w14:paraId="672D4210">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四、其他要求</w:t>
            </w:r>
          </w:p>
        </w:tc>
      </w:tr>
      <w:tr w14:paraId="2FF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788" w:type="dxa"/>
            <w:gridSpan w:val="5"/>
            <w:tcBorders>
              <w:top w:val="single" w:color="auto" w:sz="4" w:space="0"/>
              <w:left w:val="single" w:color="auto" w:sz="4" w:space="0"/>
              <w:bottom w:val="single" w:color="auto" w:sz="4" w:space="0"/>
              <w:right w:val="single" w:color="auto" w:sz="4" w:space="0"/>
            </w:tcBorders>
            <w:noWrap w:val="0"/>
            <w:vAlign w:val="center"/>
          </w:tcPr>
          <w:p w14:paraId="4445545A">
            <w:pPr>
              <w:spacing w:line="360" w:lineRule="auto"/>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1、知识产权归属：设计方案及其版权、专利权等全部知识产权归采购人所有。</w:t>
            </w:r>
          </w:p>
          <w:p w14:paraId="4871999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应包括实施和完成采购需求的所有服务工作所涉及的一切费用，包含但不限于设计费、劳务费、管</w:t>
            </w:r>
            <w:r>
              <w:rPr>
                <w:rFonts w:hint="eastAsia" w:ascii="宋体" w:hAnsi="宋体" w:eastAsia="宋体" w:cs="宋体"/>
                <w:b w:val="0"/>
                <w:bCs w:val="0"/>
                <w:color w:val="auto"/>
                <w:sz w:val="21"/>
                <w:szCs w:val="21"/>
                <w:highlight w:val="none"/>
                <w:lang w:val="en-US" w:eastAsia="zh-CN"/>
              </w:rPr>
              <w:t>理服务费、技术服务费、交通、通讯、保险、税费、利润、</w:t>
            </w:r>
            <w:r>
              <w:rPr>
                <w:rFonts w:hint="eastAsia" w:ascii="宋体" w:hAnsi="宋体" w:eastAsia="宋体" w:cs="宋体"/>
                <w:color w:val="auto"/>
                <w:sz w:val="21"/>
                <w:szCs w:val="24"/>
                <w:highlight w:val="none"/>
                <w:u w:val="none"/>
                <w:shd w:val="clear" w:color="auto" w:fill="auto"/>
                <w:lang w:eastAsia="zh-CN"/>
              </w:rPr>
              <w:t>管理政策性规定费用等一切费用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所填报的价格在合同实施期间不因市场价格变化等因素而变动，</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在报价时应考虑各种风险因素和承受能力。</w:t>
            </w:r>
          </w:p>
          <w:p w14:paraId="7628F3D3">
            <w:pPr>
              <w:spacing w:line="360" w:lineRule="auto"/>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本项目政府采购预算金额为（人民币）：</w:t>
            </w:r>
            <w:r>
              <w:rPr>
                <w:rFonts w:hint="eastAsia" w:ascii="宋体" w:hAnsi="宋体" w:eastAsia="宋体" w:cs="宋体"/>
                <w:b/>
                <w:bCs/>
                <w:color w:val="auto"/>
                <w:kern w:val="0"/>
                <w:sz w:val="21"/>
                <w:szCs w:val="21"/>
                <w:highlight w:val="none"/>
                <w:lang w:val="en-US" w:eastAsia="zh-CN"/>
              </w:rPr>
              <w:t>贰佰陆拾壹万元整（￥</w:t>
            </w:r>
            <w:r>
              <w:rPr>
                <w:rFonts w:hint="eastAsia" w:ascii="宋体" w:hAnsi="宋体" w:eastAsia="宋体" w:cs="宋体"/>
                <w:b/>
                <w:bCs/>
                <w:color w:val="auto"/>
                <w:szCs w:val="21"/>
                <w:highlight w:val="none"/>
                <w:lang w:val="en-US" w:eastAsia="zh-CN"/>
              </w:rPr>
              <w:t>2610000.00</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超出政府采购预算金额的报价将被视为无效</w:t>
            </w:r>
            <w:r>
              <w:rPr>
                <w:rFonts w:hint="eastAsia" w:ascii="宋体" w:hAnsi="宋体" w:eastAsia="宋体" w:cs="宋体"/>
                <w:b/>
                <w:bCs/>
                <w:color w:val="auto"/>
                <w:kern w:val="0"/>
                <w:sz w:val="21"/>
                <w:szCs w:val="21"/>
                <w:highlight w:val="none"/>
                <w:lang w:val="en-US" w:eastAsia="zh-CN"/>
              </w:rPr>
              <w:t>报价，则响应文件按无效处理</w:t>
            </w:r>
            <w:r>
              <w:rPr>
                <w:rFonts w:hint="eastAsia" w:ascii="宋体" w:hAnsi="宋体" w:eastAsia="宋体" w:cs="宋体"/>
                <w:b/>
                <w:bCs/>
                <w:color w:val="auto"/>
                <w:kern w:val="0"/>
                <w:sz w:val="21"/>
                <w:szCs w:val="21"/>
                <w:highlight w:val="none"/>
              </w:rPr>
              <w:t>。</w:t>
            </w:r>
          </w:p>
        </w:tc>
      </w:tr>
    </w:tbl>
    <w:p w14:paraId="0A87903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color w:val="auto"/>
          <w:spacing w:val="0"/>
          <w:kern w:val="2"/>
          <w:sz w:val="21"/>
          <w:szCs w:val="21"/>
          <w:highlight w:val="none"/>
          <w:lang w:val="en-US" w:eastAsia="zh-CN"/>
        </w:rPr>
      </w:pPr>
    </w:p>
    <w:p w14:paraId="6D1D9FAD">
      <w:pPr>
        <w:widowControl/>
        <w:spacing w:line="240" w:lineRule="auto"/>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br w:type="page"/>
      </w:r>
    </w:p>
    <w:p w14:paraId="0DDBC757">
      <w:pPr>
        <w:widowControl/>
        <w:spacing w:line="240" w:lineRule="auto"/>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附表</w:t>
      </w:r>
    </w:p>
    <w:p w14:paraId="0D2D4F63">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统计上大中小微型企业划分标准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3CC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387724D6">
            <w:pPr>
              <w:widowControl/>
              <w:spacing w:line="24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vAlign w:val="center"/>
          </w:tcPr>
          <w:p w14:paraId="0D26306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vAlign w:val="center"/>
          </w:tcPr>
          <w:p w14:paraId="0EE4D1B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14:paraId="2F24C2B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vAlign w:val="center"/>
          </w:tcPr>
          <w:p w14:paraId="12338A7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vAlign w:val="center"/>
          </w:tcPr>
          <w:p w14:paraId="060ED2A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vAlign w:val="center"/>
          </w:tcPr>
          <w:p w14:paraId="47D38C6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vAlign w:val="center"/>
          </w:tcPr>
          <w:p w14:paraId="2A0D0B6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4FDD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60E6E3C">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14:paraId="66B42D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46C099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30215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388854D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1426" w:type="dxa"/>
            <w:vAlign w:val="center"/>
          </w:tcPr>
          <w:p w14:paraId="053898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50≤Y＜500</w:t>
            </w:r>
          </w:p>
        </w:tc>
        <w:tc>
          <w:tcPr>
            <w:tcW w:w="992" w:type="dxa"/>
            <w:vAlign w:val="center"/>
          </w:tcPr>
          <w:p w14:paraId="06322A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779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ACD0BB4">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14:paraId="30D3CD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308036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C7651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0376DB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2DA5F2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vAlign w:val="center"/>
          </w:tcPr>
          <w:p w14:paraId="43E3A6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51D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EA801B">
            <w:pPr>
              <w:widowControl/>
              <w:jc w:val="left"/>
              <w:rPr>
                <w:rFonts w:hint="eastAsia" w:ascii="宋体" w:hAnsi="宋体" w:eastAsia="宋体" w:cs="宋体"/>
                <w:color w:val="auto"/>
                <w:kern w:val="0"/>
                <w:sz w:val="18"/>
                <w:szCs w:val="18"/>
                <w:highlight w:val="none"/>
              </w:rPr>
            </w:pPr>
          </w:p>
        </w:tc>
        <w:tc>
          <w:tcPr>
            <w:tcW w:w="1369" w:type="dxa"/>
            <w:vAlign w:val="center"/>
          </w:tcPr>
          <w:p w14:paraId="13684299">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07D11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766287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52EE6ED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14:paraId="6FB309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300≤Y＜2000</w:t>
            </w:r>
          </w:p>
        </w:tc>
        <w:tc>
          <w:tcPr>
            <w:tcW w:w="992" w:type="dxa"/>
            <w:vAlign w:val="center"/>
          </w:tcPr>
          <w:p w14:paraId="01C9F59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EFF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5E524BF">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14:paraId="6DE6C4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AE590A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C1545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14:paraId="1E28502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14:paraId="06E136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300≤Y＜6000</w:t>
            </w:r>
          </w:p>
        </w:tc>
        <w:tc>
          <w:tcPr>
            <w:tcW w:w="992" w:type="dxa"/>
            <w:vAlign w:val="center"/>
          </w:tcPr>
          <w:p w14:paraId="03ED079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1FE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2E5B0C">
            <w:pPr>
              <w:widowControl/>
              <w:jc w:val="left"/>
              <w:rPr>
                <w:rFonts w:hint="eastAsia" w:ascii="宋体" w:hAnsi="宋体" w:eastAsia="宋体" w:cs="宋体"/>
                <w:color w:val="auto"/>
                <w:kern w:val="0"/>
                <w:sz w:val="18"/>
                <w:szCs w:val="18"/>
                <w:highlight w:val="none"/>
              </w:rPr>
            </w:pPr>
          </w:p>
        </w:tc>
        <w:tc>
          <w:tcPr>
            <w:tcW w:w="1369" w:type="dxa"/>
            <w:vAlign w:val="center"/>
          </w:tcPr>
          <w:p w14:paraId="43FFB0B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013630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BE307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14:paraId="58F9B2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14:paraId="033DA8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300≤Z＜5000</w:t>
            </w:r>
          </w:p>
        </w:tc>
        <w:tc>
          <w:tcPr>
            <w:tcW w:w="992" w:type="dxa"/>
            <w:vAlign w:val="center"/>
          </w:tcPr>
          <w:p w14:paraId="5DADB80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303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E5D67A7">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14:paraId="15E8E8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236D8D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72E3F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646A18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14:paraId="7CF479B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5≤X＜20</w:t>
            </w:r>
          </w:p>
        </w:tc>
        <w:tc>
          <w:tcPr>
            <w:tcW w:w="992" w:type="dxa"/>
            <w:vAlign w:val="center"/>
          </w:tcPr>
          <w:p w14:paraId="747539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26C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640CE16">
            <w:pPr>
              <w:widowControl/>
              <w:jc w:val="left"/>
              <w:rPr>
                <w:rFonts w:hint="eastAsia" w:ascii="宋体" w:hAnsi="宋体" w:eastAsia="宋体" w:cs="宋体"/>
                <w:color w:val="auto"/>
                <w:kern w:val="0"/>
                <w:sz w:val="18"/>
                <w:szCs w:val="18"/>
                <w:highlight w:val="none"/>
              </w:rPr>
            </w:pPr>
          </w:p>
        </w:tc>
        <w:tc>
          <w:tcPr>
            <w:tcW w:w="1369" w:type="dxa"/>
            <w:vAlign w:val="center"/>
          </w:tcPr>
          <w:p w14:paraId="74E8A18D">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1431FD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7360E5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0066DD3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14:paraId="42C0E3A5">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14:paraId="20F571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72B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DC78065">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14:paraId="47BEEDE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320E53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7E4BC9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F66BD8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14:paraId="09695F15">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14:paraId="1E3404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B4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BAAF5A">
            <w:pPr>
              <w:widowControl/>
              <w:jc w:val="left"/>
              <w:rPr>
                <w:rFonts w:hint="eastAsia" w:ascii="宋体" w:hAnsi="宋体" w:eastAsia="宋体" w:cs="宋体"/>
                <w:color w:val="auto"/>
                <w:kern w:val="0"/>
                <w:sz w:val="18"/>
                <w:szCs w:val="18"/>
                <w:highlight w:val="none"/>
              </w:rPr>
            </w:pPr>
          </w:p>
        </w:tc>
        <w:tc>
          <w:tcPr>
            <w:tcW w:w="1369" w:type="dxa"/>
            <w:vAlign w:val="center"/>
          </w:tcPr>
          <w:p w14:paraId="088EDD25">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A35B7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F683FC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33CE92D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1426" w:type="dxa"/>
            <w:vAlign w:val="center"/>
          </w:tcPr>
          <w:p w14:paraId="68AEF691">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100≤Y＜500 </w:t>
            </w:r>
          </w:p>
        </w:tc>
        <w:tc>
          <w:tcPr>
            <w:tcW w:w="992" w:type="dxa"/>
            <w:vAlign w:val="center"/>
          </w:tcPr>
          <w:p w14:paraId="031417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895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32C732">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14:paraId="5E8385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73AB61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6A11C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2DC092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77D057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vAlign w:val="center"/>
          </w:tcPr>
          <w:p w14:paraId="61EDC4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D55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10B25D6">
            <w:pPr>
              <w:widowControl/>
              <w:jc w:val="left"/>
              <w:rPr>
                <w:rFonts w:hint="eastAsia" w:ascii="宋体" w:hAnsi="宋体" w:eastAsia="宋体" w:cs="宋体"/>
                <w:color w:val="auto"/>
                <w:kern w:val="0"/>
                <w:sz w:val="18"/>
                <w:szCs w:val="18"/>
                <w:highlight w:val="none"/>
              </w:rPr>
            </w:pPr>
          </w:p>
        </w:tc>
        <w:tc>
          <w:tcPr>
            <w:tcW w:w="1369" w:type="dxa"/>
            <w:vAlign w:val="center"/>
          </w:tcPr>
          <w:p w14:paraId="00AB1F66">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3421A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AD37C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5FD8F77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14:paraId="07EBCC3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200≤Y＜3000</w:t>
            </w:r>
          </w:p>
        </w:tc>
        <w:tc>
          <w:tcPr>
            <w:tcW w:w="992" w:type="dxa"/>
            <w:vAlign w:val="center"/>
          </w:tcPr>
          <w:p w14:paraId="3F1606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49C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98B678">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14:paraId="0B3E205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FE4ED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3A1E8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5EB7BFD1">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14:paraId="4F98D59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20≤X＜100</w:t>
            </w:r>
          </w:p>
        </w:tc>
        <w:tc>
          <w:tcPr>
            <w:tcW w:w="992" w:type="dxa"/>
            <w:vAlign w:val="center"/>
          </w:tcPr>
          <w:p w14:paraId="27E8BC3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D8D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4D42178">
            <w:pPr>
              <w:widowControl/>
              <w:jc w:val="left"/>
              <w:rPr>
                <w:rFonts w:hint="eastAsia" w:ascii="宋体" w:hAnsi="宋体" w:eastAsia="宋体" w:cs="宋体"/>
                <w:color w:val="auto"/>
                <w:kern w:val="0"/>
                <w:sz w:val="18"/>
                <w:szCs w:val="18"/>
                <w:highlight w:val="none"/>
              </w:rPr>
            </w:pPr>
          </w:p>
        </w:tc>
        <w:tc>
          <w:tcPr>
            <w:tcW w:w="1369" w:type="dxa"/>
            <w:vAlign w:val="center"/>
          </w:tcPr>
          <w:p w14:paraId="512CEA0C">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1538B0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7C7D8F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59DBD04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14:paraId="66829F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vAlign w:val="center"/>
          </w:tcPr>
          <w:p w14:paraId="297F0A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16E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BD5B7C">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14:paraId="47D354B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547501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7E351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0E12C6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7BDDC3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vAlign w:val="center"/>
          </w:tcPr>
          <w:p w14:paraId="3F44638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21A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45414C">
            <w:pPr>
              <w:widowControl/>
              <w:jc w:val="left"/>
              <w:rPr>
                <w:rFonts w:hint="eastAsia" w:ascii="宋体" w:hAnsi="宋体" w:eastAsia="宋体" w:cs="宋体"/>
                <w:color w:val="auto"/>
                <w:kern w:val="0"/>
                <w:sz w:val="18"/>
                <w:szCs w:val="18"/>
                <w:highlight w:val="none"/>
              </w:rPr>
            </w:pPr>
          </w:p>
        </w:tc>
        <w:tc>
          <w:tcPr>
            <w:tcW w:w="1369" w:type="dxa"/>
            <w:vAlign w:val="center"/>
          </w:tcPr>
          <w:p w14:paraId="1B9A858E">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7648C9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2D7EC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5A9D62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14:paraId="441EB0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vAlign w:val="center"/>
          </w:tcPr>
          <w:p w14:paraId="36CDF2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4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D084127">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14:paraId="639B1A1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3747F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62A79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9DECD3A">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1536082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4AC64F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523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C32D77">
            <w:pPr>
              <w:widowControl/>
              <w:jc w:val="left"/>
              <w:rPr>
                <w:rFonts w:hint="eastAsia" w:ascii="宋体" w:hAnsi="宋体" w:eastAsia="宋体" w:cs="宋体"/>
                <w:color w:val="auto"/>
                <w:kern w:val="0"/>
                <w:sz w:val="18"/>
                <w:szCs w:val="18"/>
                <w:highlight w:val="none"/>
              </w:rPr>
            </w:pPr>
          </w:p>
        </w:tc>
        <w:tc>
          <w:tcPr>
            <w:tcW w:w="1369" w:type="dxa"/>
            <w:vAlign w:val="center"/>
          </w:tcPr>
          <w:p w14:paraId="3096DCC3">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D6164F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8CA4D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23DC8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7E1C6E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vAlign w:val="center"/>
          </w:tcPr>
          <w:p w14:paraId="12A29E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FDC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2B517B7">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14:paraId="099FEC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8D67EC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27D074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D2E62A2">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5EC497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0643A7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9B4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56B3238">
            <w:pPr>
              <w:widowControl/>
              <w:jc w:val="left"/>
              <w:rPr>
                <w:rFonts w:hint="eastAsia" w:ascii="宋体" w:hAnsi="宋体" w:eastAsia="宋体" w:cs="宋体"/>
                <w:color w:val="auto"/>
                <w:kern w:val="0"/>
                <w:sz w:val="18"/>
                <w:szCs w:val="18"/>
                <w:highlight w:val="none"/>
              </w:rPr>
            </w:pPr>
          </w:p>
        </w:tc>
        <w:tc>
          <w:tcPr>
            <w:tcW w:w="1369" w:type="dxa"/>
            <w:vAlign w:val="center"/>
          </w:tcPr>
          <w:p w14:paraId="4ADD67D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2A1D3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58F034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32E669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5979C4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vAlign w:val="center"/>
          </w:tcPr>
          <w:p w14:paraId="16E13C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FE6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F466953">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14:paraId="14AAFC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A7B888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5612A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14:paraId="20F902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14:paraId="4E4BDAD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16C6EE5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41D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1419A7">
            <w:pPr>
              <w:widowControl/>
              <w:jc w:val="left"/>
              <w:rPr>
                <w:rFonts w:hint="eastAsia" w:ascii="宋体" w:hAnsi="宋体" w:eastAsia="宋体" w:cs="宋体"/>
                <w:color w:val="auto"/>
                <w:kern w:val="0"/>
                <w:sz w:val="18"/>
                <w:szCs w:val="18"/>
                <w:highlight w:val="none"/>
              </w:rPr>
            </w:pPr>
          </w:p>
        </w:tc>
        <w:tc>
          <w:tcPr>
            <w:tcW w:w="1369" w:type="dxa"/>
            <w:vAlign w:val="center"/>
          </w:tcPr>
          <w:p w14:paraId="3D1198A9">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E69040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0F25E4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14:paraId="6A967F5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1000≤Y＜100000</w:t>
            </w:r>
          </w:p>
        </w:tc>
        <w:tc>
          <w:tcPr>
            <w:tcW w:w="1426" w:type="dxa"/>
            <w:vAlign w:val="center"/>
          </w:tcPr>
          <w:p w14:paraId="54368A0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vAlign w:val="center"/>
          </w:tcPr>
          <w:p w14:paraId="50AF57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B69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DB5BCC0">
            <w:pPr>
              <w:widowControl/>
              <w:spacing w:line="24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14:paraId="66B790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FE28B2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244E64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28C155A3">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4F158C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627BCC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9F1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8D87651">
            <w:pPr>
              <w:widowControl/>
              <w:jc w:val="left"/>
              <w:rPr>
                <w:rFonts w:hint="eastAsia" w:ascii="宋体" w:hAnsi="宋体" w:eastAsia="宋体" w:cs="宋体"/>
                <w:color w:val="auto"/>
                <w:spacing w:val="-12"/>
                <w:kern w:val="0"/>
                <w:sz w:val="18"/>
                <w:szCs w:val="18"/>
                <w:highlight w:val="none"/>
              </w:rPr>
            </w:pPr>
          </w:p>
        </w:tc>
        <w:tc>
          <w:tcPr>
            <w:tcW w:w="1369" w:type="dxa"/>
            <w:vAlign w:val="center"/>
          </w:tcPr>
          <w:p w14:paraId="014BF8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A5139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B8334F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8B3F5F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14:paraId="217A0F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50≤Y＜1000</w:t>
            </w:r>
          </w:p>
        </w:tc>
        <w:tc>
          <w:tcPr>
            <w:tcW w:w="992" w:type="dxa"/>
            <w:vAlign w:val="center"/>
          </w:tcPr>
          <w:p w14:paraId="169CD3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44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03AFB35">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14:paraId="7DF2B4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BF8899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16050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14:paraId="699AC9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1000≤Y＜200000</w:t>
            </w:r>
          </w:p>
        </w:tc>
        <w:tc>
          <w:tcPr>
            <w:tcW w:w="1426" w:type="dxa"/>
            <w:vAlign w:val="center"/>
          </w:tcPr>
          <w:p w14:paraId="039FDF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vAlign w:val="center"/>
          </w:tcPr>
          <w:p w14:paraId="20C054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394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238E4D">
            <w:pPr>
              <w:widowControl/>
              <w:jc w:val="left"/>
              <w:rPr>
                <w:rFonts w:hint="eastAsia" w:ascii="宋体" w:hAnsi="宋体" w:eastAsia="宋体" w:cs="宋体"/>
                <w:color w:val="auto"/>
                <w:kern w:val="0"/>
                <w:sz w:val="18"/>
                <w:szCs w:val="18"/>
                <w:highlight w:val="none"/>
              </w:rPr>
            </w:pPr>
          </w:p>
        </w:tc>
        <w:tc>
          <w:tcPr>
            <w:tcW w:w="1369" w:type="dxa"/>
            <w:vAlign w:val="center"/>
          </w:tcPr>
          <w:p w14:paraId="37AB80FE">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49B37E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4749E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14:paraId="4AEE211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14:paraId="4D5F3D0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2000≤Z＜5000   </w:t>
            </w:r>
          </w:p>
        </w:tc>
        <w:tc>
          <w:tcPr>
            <w:tcW w:w="992" w:type="dxa"/>
            <w:vAlign w:val="center"/>
          </w:tcPr>
          <w:p w14:paraId="31E8BF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0CBC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3AA15D3">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14:paraId="7894AC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BA1E69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BCF061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29007B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4A0AED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992" w:type="dxa"/>
            <w:vAlign w:val="center"/>
          </w:tcPr>
          <w:p w14:paraId="1142D9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DA9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269AA12">
            <w:pPr>
              <w:widowControl/>
              <w:jc w:val="left"/>
              <w:rPr>
                <w:rFonts w:hint="eastAsia" w:ascii="宋体" w:hAnsi="宋体" w:eastAsia="宋体" w:cs="宋体"/>
                <w:color w:val="auto"/>
                <w:kern w:val="0"/>
                <w:sz w:val="18"/>
                <w:szCs w:val="18"/>
                <w:highlight w:val="none"/>
              </w:rPr>
            </w:pPr>
          </w:p>
        </w:tc>
        <w:tc>
          <w:tcPr>
            <w:tcW w:w="1369" w:type="dxa"/>
            <w:vAlign w:val="center"/>
          </w:tcPr>
          <w:p w14:paraId="2FBDEF66">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8CFBE4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A79262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14:paraId="53296CBD">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1000≤Y＜5000 </w:t>
            </w:r>
          </w:p>
        </w:tc>
        <w:tc>
          <w:tcPr>
            <w:tcW w:w="1426" w:type="dxa"/>
            <w:vAlign w:val="center"/>
          </w:tcPr>
          <w:p w14:paraId="3E6607D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500≤Y＜1000</w:t>
            </w:r>
          </w:p>
        </w:tc>
        <w:tc>
          <w:tcPr>
            <w:tcW w:w="992" w:type="dxa"/>
            <w:vAlign w:val="center"/>
          </w:tcPr>
          <w:p w14:paraId="2E3495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218D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693DC4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14:paraId="69EA024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3839E1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CC6A05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206F1261">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741204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0E4FEE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B5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C860978">
            <w:pPr>
              <w:widowControl/>
              <w:jc w:val="left"/>
              <w:rPr>
                <w:rFonts w:hint="eastAsia" w:ascii="宋体" w:hAnsi="宋体" w:eastAsia="宋体" w:cs="宋体"/>
                <w:color w:val="auto"/>
                <w:kern w:val="0"/>
                <w:sz w:val="18"/>
                <w:szCs w:val="18"/>
                <w:highlight w:val="none"/>
              </w:rPr>
            </w:pPr>
          </w:p>
        </w:tc>
        <w:tc>
          <w:tcPr>
            <w:tcW w:w="1369" w:type="dxa"/>
            <w:vAlign w:val="center"/>
          </w:tcPr>
          <w:p w14:paraId="2342CD6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789178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36607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14:paraId="5DB09E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8000≤Z＜120000</w:t>
            </w:r>
          </w:p>
        </w:tc>
        <w:tc>
          <w:tcPr>
            <w:tcW w:w="1426" w:type="dxa"/>
            <w:vAlign w:val="center"/>
          </w:tcPr>
          <w:p w14:paraId="79469D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100≤Z＜8000</w:t>
            </w:r>
          </w:p>
        </w:tc>
        <w:tc>
          <w:tcPr>
            <w:tcW w:w="992" w:type="dxa"/>
            <w:vAlign w:val="center"/>
          </w:tcPr>
          <w:p w14:paraId="2B7B0E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5A50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4633901">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14:paraId="571177B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353E28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1E425C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15C889F8">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1C775B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4478D3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5260D8E">
      <w:pPr>
        <w:widowControl/>
        <w:spacing w:line="540" w:lineRule="exac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14:paraId="0E08AD05">
      <w:pPr>
        <w:spacing w:line="540" w:lineRule="exac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1.大型、中型和小型企业须同时满足所列指标的下限，否则下划一档；微型企业只须满足所列指标中的一项即可。</w:t>
      </w:r>
    </w:p>
    <w:p w14:paraId="714084BC">
      <w:pPr>
        <w:spacing w:line="540" w:lineRule="exac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5A36DE5">
      <w:pPr>
        <w:spacing w:line="540" w:lineRule="exact"/>
        <w:rPr>
          <w:rFonts w:hint="eastAsia" w:ascii="宋体" w:hAnsi="宋体" w:eastAsia="宋体" w:cs="宋体"/>
          <w:color w:val="auto"/>
          <w:szCs w:val="21"/>
          <w:highlight w:val="none"/>
        </w:rPr>
      </w:pPr>
      <w:r>
        <w:rPr>
          <w:rFonts w:hint="eastAsia" w:ascii="宋体" w:hAnsi="宋体" w:eastAsia="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A5081B0">
      <w:pPr>
        <w:spacing w:line="360" w:lineRule="auto"/>
        <w:ind w:firstLine="426" w:firstLineChars="202"/>
        <w:jc w:val="left"/>
        <w:rPr>
          <w:rFonts w:hint="eastAsia" w:ascii="宋体" w:hAnsi="宋体" w:eastAsia="宋体" w:cs="宋体"/>
          <w:b/>
          <w:color w:val="auto"/>
          <w:szCs w:val="21"/>
          <w:highlight w:val="none"/>
        </w:rPr>
      </w:pPr>
    </w:p>
    <w:p w14:paraId="4E56E3DB">
      <w:pPr>
        <w:rPr>
          <w:rFonts w:hint="eastAsia" w:ascii="宋体" w:hAnsi="宋体" w:eastAsia="宋体" w:cs="宋体"/>
          <w:color w:val="auto"/>
          <w:highlight w:val="none"/>
        </w:rPr>
      </w:pPr>
    </w:p>
    <w:p w14:paraId="7F9CB8DC">
      <w:pPr>
        <w:pStyle w:val="2"/>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page"/>
      </w:r>
      <w:bookmarkEnd w:id="43"/>
      <w:bookmarkEnd w:id="44"/>
      <w:bookmarkEnd w:id="45"/>
      <w:bookmarkEnd w:id="46"/>
      <w:bookmarkStart w:id="47" w:name="_Toc5336"/>
      <w:bookmarkStart w:id="48" w:name="_Toc25504"/>
      <w:bookmarkStart w:id="49" w:name="_Toc19686831"/>
      <w:bookmarkStart w:id="50" w:name="_Toc7458"/>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投标人须知</w:t>
      </w:r>
      <w:bookmarkEnd w:id="47"/>
      <w:bookmarkEnd w:id="48"/>
      <w:bookmarkEnd w:id="49"/>
      <w:bookmarkEnd w:id="50"/>
    </w:p>
    <w:p w14:paraId="481811E9">
      <w:pPr>
        <w:pStyle w:val="3"/>
        <w:spacing w:line="240" w:lineRule="auto"/>
        <w:jc w:val="center"/>
        <w:rPr>
          <w:rFonts w:hint="eastAsia" w:ascii="宋体" w:hAnsi="宋体" w:eastAsia="宋体" w:cs="宋体"/>
          <w:color w:val="auto"/>
          <w:highlight w:val="none"/>
        </w:rPr>
      </w:pPr>
      <w:bookmarkStart w:id="51" w:name="_Toc254970526"/>
      <w:bookmarkStart w:id="52" w:name="_Toc254970667"/>
      <w:r>
        <w:rPr>
          <w:rFonts w:hint="eastAsia" w:ascii="宋体" w:hAnsi="宋体" w:eastAsia="宋体" w:cs="宋体"/>
          <w:color w:val="auto"/>
          <w:highlight w:val="none"/>
        </w:rPr>
        <w:t>投标人须知前附表</w:t>
      </w:r>
      <w:bookmarkEnd w:id="51"/>
      <w:bookmarkEnd w:id="52"/>
    </w:p>
    <w:tbl>
      <w:tblPr>
        <w:tblStyle w:val="49"/>
        <w:tblW w:w="8832" w:type="dxa"/>
        <w:tblInd w:w="2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7969"/>
      </w:tblGrid>
      <w:tr w14:paraId="1D78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63" w:type="dxa"/>
            <w:tcBorders>
              <w:top w:val="single" w:color="auto" w:sz="4" w:space="0"/>
              <w:left w:val="single" w:color="auto" w:sz="4" w:space="0"/>
              <w:bottom w:val="single" w:color="auto" w:sz="4" w:space="0"/>
              <w:right w:val="single" w:color="auto" w:sz="4" w:space="0"/>
            </w:tcBorders>
            <w:vAlign w:val="center"/>
          </w:tcPr>
          <w:p w14:paraId="4FC86D2B">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7969" w:type="dxa"/>
            <w:tcBorders>
              <w:top w:val="single" w:color="auto" w:sz="4" w:space="0"/>
              <w:left w:val="single" w:color="auto" w:sz="4" w:space="0"/>
              <w:bottom w:val="single" w:color="auto" w:sz="4" w:space="0"/>
              <w:right w:val="single" w:color="auto" w:sz="4" w:space="0"/>
            </w:tcBorders>
            <w:vAlign w:val="center"/>
          </w:tcPr>
          <w:p w14:paraId="149FC557">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5B4BF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1C014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69" w:type="dxa"/>
            <w:tcBorders>
              <w:top w:val="single" w:color="auto" w:sz="4" w:space="0"/>
              <w:left w:val="single" w:color="auto" w:sz="4" w:space="0"/>
              <w:bottom w:val="single" w:color="auto" w:sz="4" w:space="0"/>
              <w:right w:val="single" w:color="auto" w:sz="4" w:space="0"/>
            </w:tcBorders>
            <w:vAlign w:val="center"/>
          </w:tcPr>
          <w:p w14:paraId="73A6AE6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tc>
      </w:tr>
      <w:tr w14:paraId="76B9E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99124D9">
            <w:pPr>
              <w:spacing w:line="360" w:lineRule="auto"/>
              <w:rPr>
                <w:rFonts w:hint="eastAsia" w:ascii="宋体" w:hAnsi="宋体" w:eastAsia="宋体" w:cs="宋体"/>
                <w:color w:val="auto"/>
                <w:szCs w:val="21"/>
                <w:highlight w:val="none"/>
              </w:rPr>
            </w:pPr>
            <w:bookmarkStart w:id="53" w:name="_5"/>
            <w:bookmarkEnd w:id="53"/>
            <w:bookmarkStart w:id="54" w:name="_8.1"/>
            <w:bookmarkEnd w:id="54"/>
            <w:bookmarkStart w:id="55" w:name="_9.2"/>
            <w:bookmarkEnd w:id="55"/>
            <w:r>
              <w:rPr>
                <w:rFonts w:hint="eastAsia" w:ascii="宋体" w:hAnsi="宋体" w:eastAsia="宋体" w:cs="宋体"/>
                <w:color w:val="auto"/>
                <w:szCs w:val="21"/>
                <w:highlight w:val="none"/>
              </w:rPr>
              <w:t>6.1</w:t>
            </w:r>
          </w:p>
        </w:tc>
        <w:tc>
          <w:tcPr>
            <w:tcW w:w="7969" w:type="dxa"/>
            <w:tcBorders>
              <w:top w:val="single" w:color="auto" w:sz="4" w:space="0"/>
              <w:left w:val="single" w:color="auto" w:sz="4" w:space="0"/>
              <w:bottom w:val="single" w:color="auto" w:sz="4" w:space="0"/>
              <w:right w:val="single" w:color="auto" w:sz="4" w:space="0"/>
            </w:tcBorders>
            <w:vAlign w:val="center"/>
          </w:tcPr>
          <w:p w14:paraId="12B88709">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本项目是否接受联合体投标：详见招标公告。</w:t>
            </w:r>
          </w:p>
        </w:tc>
      </w:tr>
      <w:tr w14:paraId="07725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256D93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69" w:type="dxa"/>
            <w:tcBorders>
              <w:top w:val="single" w:color="auto" w:sz="4" w:space="0"/>
              <w:left w:val="single" w:color="auto" w:sz="4" w:space="0"/>
              <w:bottom w:val="single" w:color="auto" w:sz="4" w:space="0"/>
              <w:right w:val="single" w:color="auto" w:sz="4" w:space="0"/>
            </w:tcBorders>
            <w:vAlign w:val="center"/>
          </w:tcPr>
          <w:p w14:paraId="66D51764">
            <w:pPr>
              <w:pStyle w:val="16"/>
              <w:spacing w:line="360" w:lineRule="auto"/>
              <w:rPr>
                <w:rFonts w:hint="eastAsia" w:ascii="宋体" w:hAnsi="宋体" w:eastAsia="宋体" w:cs="宋体"/>
                <w:color w:val="auto"/>
                <w:szCs w:val="21"/>
                <w:highlight w:val="none"/>
              </w:rPr>
            </w:pPr>
            <w:bookmarkStart w:id="56" w:name="_Hlk54105293"/>
            <w:r>
              <w:rPr>
                <w:rFonts w:hint="eastAsia" w:ascii="宋体" w:hAnsi="宋体" w:eastAsia="宋体" w:cs="宋体"/>
                <w:color w:val="auto"/>
                <w:szCs w:val="21"/>
                <w:highlight w:val="none"/>
              </w:rPr>
              <w:t>如接受联合体投标，</w:t>
            </w:r>
            <w:bookmarkEnd w:id="56"/>
            <w:r>
              <w:rPr>
                <w:rFonts w:hint="eastAsia" w:ascii="宋体" w:hAnsi="宋体" w:eastAsia="宋体" w:cs="宋体"/>
                <w:color w:val="auto"/>
                <w:szCs w:val="21"/>
                <w:highlight w:val="none"/>
              </w:rPr>
              <w:t>联合体投标要求如下：无。</w:t>
            </w:r>
          </w:p>
        </w:tc>
      </w:tr>
      <w:tr w14:paraId="79C16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8EA1B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7969" w:type="dxa"/>
            <w:tcBorders>
              <w:top w:val="single" w:color="auto" w:sz="4" w:space="0"/>
              <w:left w:val="single" w:color="auto" w:sz="4" w:space="0"/>
              <w:bottom w:val="single" w:color="auto" w:sz="4" w:space="0"/>
              <w:right w:val="single" w:color="auto" w:sz="4" w:space="0"/>
            </w:tcBorders>
            <w:vAlign w:val="center"/>
          </w:tcPr>
          <w:p w14:paraId="0C6049A0">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☑不允许分包</w:t>
            </w:r>
          </w:p>
          <w:p w14:paraId="1E1CEDA1">
            <w:pPr>
              <w:pStyle w:val="1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4A4DFD48">
            <w:pPr>
              <w:pStyle w:val="16"/>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1D418E01">
            <w:pPr>
              <w:pStyle w:val="16"/>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tc>
      </w:tr>
      <w:tr w14:paraId="37E56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B5D3A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7969" w:type="dxa"/>
            <w:tcBorders>
              <w:top w:val="single" w:color="auto" w:sz="4" w:space="0"/>
              <w:left w:val="single" w:color="auto" w:sz="4" w:space="0"/>
              <w:bottom w:val="single" w:color="auto" w:sz="4" w:space="0"/>
              <w:right w:val="single" w:color="auto" w:sz="4" w:space="0"/>
            </w:tcBorders>
            <w:vAlign w:val="center"/>
          </w:tcPr>
          <w:p w14:paraId="223AC01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☑不组织现场考察</w:t>
            </w:r>
          </w:p>
          <w:p w14:paraId="3FE35DB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□组织现场考察：</w:t>
            </w:r>
          </w:p>
          <w:p w14:paraId="71DF246B">
            <w:pPr>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集中时间：</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，逾期后果自负。集中地点：</w:t>
            </w:r>
            <w:r>
              <w:rPr>
                <w:rFonts w:hint="eastAsia" w:ascii="宋体" w:hAnsi="宋体" w:eastAsia="宋体" w:cs="宋体"/>
                <w:color w:val="auto"/>
                <w:szCs w:val="21"/>
                <w:highlight w:val="none"/>
                <w:u w:val="single"/>
                <w:lang w:val="en-US" w:eastAsia="zh-CN"/>
              </w:rPr>
              <w:t>/</w:t>
            </w:r>
          </w:p>
          <w:p w14:paraId="1ED1B059">
            <w:pPr>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w:t>
            </w:r>
          </w:p>
          <w:p w14:paraId="3BA97C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☑不组织召开开标前答疑会</w:t>
            </w:r>
          </w:p>
          <w:p w14:paraId="7E3E673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6B3F6ED2">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lang w:val="en-US" w:eastAsia="zh-CN"/>
              </w:rPr>
              <w:t>/</w:t>
            </w:r>
          </w:p>
        </w:tc>
      </w:tr>
      <w:tr w14:paraId="7138D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restart"/>
            <w:tcBorders>
              <w:top w:val="single" w:color="auto" w:sz="4" w:space="0"/>
              <w:left w:val="single" w:color="auto" w:sz="4" w:space="0"/>
              <w:right w:val="single" w:color="auto" w:sz="4" w:space="0"/>
            </w:tcBorders>
            <w:vAlign w:val="center"/>
          </w:tcPr>
          <w:p w14:paraId="17642969">
            <w:pPr>
              <w:spacing w:line="360" w:lineRule="auto"/>
              <w:rPr>
                <w:rFonts w:hint="eastAsia" w:ascii="宋体" w:hAnsi="宋体" w:eastAsia="宋体" w:cs="宋体"/>
                <w:color w:val="auto"/>
                <w:szCs w:val="21"/>
                <w:highlight w:val="none"/>
              </w:rPr>
            </w:pPr>
            <w:bookmarkStart w:id="57" w:name="_13.1"/>
            <w:bookmarkEnd w:id="57"/>
            <w:r>
              <w:rPr>
                <w:rFonts w:hint="eastAsia" w:ascii="宋体" w:hAnsi="宋体" w:eastAsia="宋体" w:cs="宋体"/>
                <w:color w:val="auto"/>
                <w:szCs w:val="21"/>
                <w:highlight w:val="none"/>
              </w:rPr>
              <w:t>13.</w:t>
            </w:r>
            <w:bookmarkStart w:id="58" w:name="_Hlt19632543"/>
            <w:r>
              <w:rPr>
                <w:rFonts w:hint="eastAsia" w:ascii="宋体" w:hAnsi="宋体" w:eastAsia="宋体" w:cs="宋体"/>
                <w:color w:val="auto"/>
                <w:szCs w:val="21"/>
                <w:highlight w:val="none"/>
              </w:rPr>
              <w:t>1</w:t>
            </w:r>
            <w:bookmarkEnd w:id="58"/>
          </w:p>
        </w:tc>
        <w:tc>
          <w:tcPr>
            <w:tcW w:w="7969" w:type="dxa"/>
            <w:tcBorders>
              <w:top w:val="single" w:color="auto" w:sz="4" w:space="0"/>
              <w:left w:val="single" w:color="auto" w:sz="4" w:space="0"/>
              <w:bottom w:val="single" w:color="auto" w:sz="4" w:space="0"/>
              <w:right w:val="single" w:color="auto" w:sz="4" w:space="0"/>
            </w:tcBorders>
            <w:vAlign w:val="center"/>
          </w:tcPr>
          <w:p w14:paraId="26140163">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5385807C">
            <w:pPr>
              <w:numPr>
                <w:ilvl w:val="0"/>
                <w:numId w:val="0"/>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1.投标函（格式后附）；</w:t>
            </w:r>
            <w:r>
              <w:rPr>
                <w:rFonts w:hint="eastAsia" w:ascii="宋体" w:hAnsi="宋体" w:eastAsia="宋体" w:cs="宋体"/>
                <w:b/>
                <w:color w:val="auto"/>
                <w:szCs w:val="21"/>
                <w:highlight w:val="none"/>
              </w:rPr>
              <w:t>（必须提供，否则作无效投标处理）</w:t>
            </w:r>
          </w:p>
          <w:p w14:paraId="3E9A5F78">
            <w:pPr>
              <w:numPr>
                <w:ilvl w:val="0"/>
                <w:numId w:val="0"/>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EF4CE43">
            <w:pPr>
              <w:numPr>
                <w:ilvl w:val="0"/>
                <w:numId w:val="0"/>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3.投标人针对报价需要说明的其他文件和说明（格式自拟）。</w:t>
            </w:r>
          </w:p>
          <w:p w14:paraId="35253633">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注：投标函、开标一览表必须逐页盖投标人公章，否则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22DB3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3C9B7EED">
            <w:pPr>
              <w:spacing w:line="360" w:lineRule="auto"/>
              <w:rPr>
                <w:rFonts w:hint="eastAsia" w:ascii="宋体" w:hAnsi="宋体" w:eastAsia="宋体" w:cs="宋体"/>
                <w:color w:val="auto"/>
                <w:szCs w:val="21"/>
                <w:highlight w:val="none"/>
              </w:rPr>
            </w:pPr>
            <w:bookmarkStart w:id="59" w:name="_13.2"/>
            <w:bookmarkEnd w:id="59"/>
          </w:p>
        </w:tc>
        <w:tc>
          <w:tcPr>
            <w:tcW w:w="7969" w:type="dxa"/>
            <w:tcBorders>
              <w:top w:val="single" w:color="auto" w:sz="4" w:space="0"/>
              <w:left w:val="single" w:color="auto" w:sz="4" w:space="0"/>
              <w:bottom w:val="single" w:color="auto" w:sz="4" w:space="0"/>
              <w:right w:val="single" w:color="auto" w:sz="4" w:space="0"/>
            </w:tcBorders>
            <w:vAlign w:val="center"/>
          </w:tcPr>
          <w:p w14:paraId="7658BB9D">
            <w:pPr>
              <w:numPr>
                <w:ilvl w:val="0"/>
                <w:numId w:val="0"/>
              </w:numPr>
              <w:snapToGrid w:val="0"/>
              <w:spacing w:line="360" w:lineRule="auto"/>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资格证明文件</w:t>
            </w:r>
            <w:r>
              <w:rPr>
                <w:rFonts w:hint="eastAsia" w:ascii="宋体" w:hAnsi="宋体" w:eastAsia="宋体" w:cs="宋体"/>
                <w:b/>
                <w:color w:val="auto"/>
                <w:szCs w:val="21"/>
                <w:highlight w:val="none"/>
                <w:lang w:eastAsia="zh-CN"/>
              </w:rPr>
              <w:t>：</w:t>
            </w:r>
          </w:p>
          <w:p w14:paraId="1A6EA697">
            <w:pPr>
              <w:numPr>
                <w:ilvl w:val="0"/>
                <w:numId w:val="0"/>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Style w:val="99"/>
                <w:rFonts w:hint="eastAsia" w:ascii="宋体" w:hAnsi="宋体" w:eastAsia="宋体" w:cs="宋体"/>
                <w:color w:val="auto"/>
                <w:sz w:val="21"/>
                <w:szCs w:val="21"/>
                <w:highlight w:val="none"/>
              </w:rPr>
              <w:t>执业许可证</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投标人为自然人的，提供身份证；（</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77F1027">
            <w:pPr>
              <w:numPr>
                <w:ilvl w:val="0"/>
                <w:numId w:val="0"/>
              </w:num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2.投标人</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资质证书</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613AAF6">
            <w:pPr>
              <w:numPr>
                <w:ilvl w:val="0"/>
                <w:numId w:val="0"/>
              </w:num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3.拟派项目负责人具备的有效的资格证书证明材料；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65FB931">
            <w:pPr>
              <w:numPr>
                <w:ilvl w:val="0"/>
                <w:numId w:val="0"/>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提交投标文件截止时间</w:t>
            </w:r>
            <w:r>
              <w:rPr>
                <w:rFonts w:hint="eastAsia" w:ascii="宋体" w:hAnsi="宋体" w:eastAsia="宋体" w:cs="宋体"/>
                <w:color w:val="auto"/>
                <w:highlight w:val="none"/>
                <w:lang w:eastAsia="zh-CN"/>
              </w:rPr>
              <w:t>前</w:t>
            </w:r>
            <w:r>
              <w:rPr>
                <w:rFonts w:hint="eastAsia" w:ascii="宋体" w:hAnsi="宋体" w:eastAsia="宋体" w:cs="宋体"/>
                <w:color w:val="auto"/>
                <w:szCs w:val="21"/>
                <w:highlight w:val="none"/>
                <w:u w:val="single"/>
              </w:rPr>
              <w:t>半年</w:t>
            </w:r>
            <w:r>
              <w:rPr>
                <w:rFonts w:hint="eastAsia" w:ascii="宋体" w:hAnsi="宋体" w:eastAsia="宋体" w:cs="宋体"/>
                <w:color w:val="auto"/>
                <w:szCs w:val="21"/>
                <w:highlight w:val="none"/>
              </w:rPr>
              <w:t>内</w:t>
            </w:r>
            <w:r>
              <w:rPr>
                <w:rFonts w:hint="eastAsia" w:ascii="宋体" w:hAnsi="宋体" w:eastAsia="宋体" w:cs="宋体"/>
                <w:color w:val="auto"/>
                <w:szCs w:val="21"/>
                <w:highlight w:val="none"/>
                <w:lang w:val="en-US" w:eastAsia="zh-CN"/>
              </w:rPr>
              <w:t>任意一</w:t>
            </w:r>
            <w:r>
              <w:rPr>
                <w:rFonts w:hint="eastAsia" w:ascii="宋体" w:hAnsi="宋体" w:eastAsia="宋体" w:cs="宋体"/>
                <w:color w:val="auto"/>
                <w:szCs w:val="21"/>
                <w:highlight w:val="none"/>
              </w:rPr>
              <w:t>个月的依法缴纳税收的凭据；依法免税的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提供依法缴纳</w:t>
            </w:r>
            <w:r>
              <w:rPr>
                <w:rFonts w:hint="eastAsia" w:ascii="宋体" w:hAnsi="宋体" w:eastAsia="宋体" w:cs="宋体"/>
                <w:color w:val="auto"/>
                <w:szCs w:val="21"/>
                <w:highlight w:val="none"/>
              </w:rPr>
              <w:t>税</w:t>
            </w:r>
            <w:r>
              <w:rPr>
                <w:rFonts w:hint="eastAsia" w:ascii="宋体" w:hAnsi="宋体" w:eastAsia="宋体" w:cs="宋体"/>
                <w:bCs/>
                <w:color w:val="auto"/>
                <w:szCs w:val="21"/>
                <w:highlight w:val="none"/>
              </w:rPr>
              <w:t>的承诺函（格式自拟）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A41FF24">
            <w:pPr>
              <w:numPr>
                <w:ilvl w:val="0"/>
                <w:numId w:val="0"/>
              </w:num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提交投标文件截止时间</w:t>
            </w:r>
            <w:r>
              <w:rPr>
                <w:rFonts w:hint="eastAsia" w:ascii="宋体" w:hAnsi="宋体" w:eastAsia="宋体" w:cs="宋体"/>
                <w:color w:val="auto"/>
                <w:highlight w:val="none"/>
                <w:lang w:eastAsia="zh-CN"/>
              </w:rPr>
              <w:t>前</w:t>
            </w:r>
            <w:r>
              <w:rPr>
                <w:rFonts w:hint="eastAsia" w:ascii="宋体" w:hAnsi="宋体" w:eastAsia="宋体" w:cs="宋体"/>
                <w:color w:val="auto"/>
                <w:szCs w:val="21"/>
                <w:highlight w:val="none"/>
                <w:u w:val="single"/>
              </w:rPr>
              <w:t>半年</w:t>
            </w:r>
            <w:r>
              <w:rPr>
                <w:rFonts w:hint="eastAsia" w:ascii="宋体" w:hAnsi="宋体" w:eastAsia="宋体" w:cs="宋体"/>
                <w:color w:val="auto"/>
                <w:szCs w:val="21"/>
                <w:highlight w:val="none"/>
              </w:rPr>
              <w:t>内</w:t>
            </w:r>
            <w:r>
              <w:rPr>
                <w:rFonts w:hint="eastAsia" w:ascii="宋体" w:hAnsi="宋体" w:eastAsia="宋体" w:cs="宋体"/>
                <w:color w:val="auto"/>
                <w:szCs w:val="21"/>
                <w:highlight w:val="none"/>
                <w:lang w:val="en-US" w:eastAsia="zh-CN"/>
              </w:rPr>
              <w:t>任意一</w:t>
            </w:r>
            <w:r>
              <w:rPr>
                <w:rFonts w:hint="eastAsia" w:ascii="宋体" w:hAnsi="宋体" w:eastAsia="宋体" w:cs="宋体"/>
                <w:color w:val="auto"/>
                <w:szCs w:val="21"/>
                <w:highlight w:val="none"/>
              </w:rPr>
              <w:t>个月的依法缴纳社会保障资金的缴费凭证；依法不需要缴纳社会保障资金的供应商，必须提供相应文件证明不需要缴纳社会保障资金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从取得营业执照时间起到投标文件提交截止时间为止不足要求月数的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只需提供从取得营业执照起的依法缴纳社会保障资金的相应证明文件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w:t>
            </w:r>
            <w:r>
              <w:rPr>
                <w:rFonts w:hint="eastAsia" w:ascii="宋体" w:hAnsi="宋体" w:eastAsia="宋体" w:cs="宋体"/>
                <w:bCs/>
                <w:color w:val="auto"/>
                <w:szCs w:val="22"/>
                <w:highlight w:val="none"/>
              </w:rPr>
              <w:t>提供依法缴纳社会保险费的承诺函（格式自拟）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0571DFE">
            <w:pPr>
              <w:numPr>
                <w:ilvl w:val="0"/>
                <w:numId w:val="0"/>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.投标人财务状况报告</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应提供</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rPr>
              <w:t>度经审计的财务报告或者其基本开户银行出具的资信证明</w:t>
            </w:r>
            <w:r>
              <w:rPr>
                <w:rFonts w:hint="eastAsia" w:ascii="宋体" w:hAnsi="宋体" w:eastAsia="宋体" w:cs="宋体"/>
                <w:color w:val="auto"/>
                <w:szCs w:val="21"/>
                <w:highlight w:val="none"/>
                <w:lang w:val="en-US" w:eastAsia="zh-CN"/>
              </w:rPr>
              <w:t>；投标截止日当年成立</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，只需提供从取得营业执照起的</w:t>
            </w:r>
            <w:r>
              <w:rPr>
                <w:rFonts w:hint="eastAsia" w:ascii="宋体" w:hAnsi="宋体" w:eastAsia="宋体" w:cs="宋体"/>
                <w:color w:val="auto"/>
                <w:szCs w:val="21"/>
                <w:highlight w:val="none"/>
                <w:lang w:val="en-US" w:eastAsia="zh-CN"/>
              </w:rPr>
              <w:t>财务状况报告</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lang w:val="en-US" w:eastAsia="zh-CN"/>
              </w:rPr>
              <w:t>或</w:t>
            </w:r>
            <w:r>
              <w:rPr>
                <w:rFonts w:hint="eastAsia" w:ascii="宋体" w:hAnsi="宋体" w:eastAsia="宋体" w:cs="宋体"/>
                <w:color w:val="auto"/>
                <w:szCs w:val="21"/>
                <w:highlight w:val="none"/>
              </w:rPr>
              <w:t>提供财务状况</w:t>
            </w:r>
            <w:r>
              <w:rPr>
                <w:rFonts w:hint="eastAsia" w:ascii="宋体" w:hAnsi="宋体" w:eastAsia="宋体" w:cs="宋体"/>
                <w:color w:val="auto"/>
                <w:szCs w:val="21"/>
                <w:highlight w:val="none"/>
                <w:lang w:val="en-US" w:eastAsia="zh-CN"/>
              </w:rPr>
              <w:t>正常</w:t>
            </w:r>
            <w:r>
              <w:rPr>
                <w:rFonts w:hint="eastAsia" w:ascii="宋体" w:hAnsi="宋体" w:eastAsia="宋体" w:cs="宋体"/>
                <w:color w:val="auto"/>
                <w:szCs w:val="21"/>
                <w:highlight w:val="none"/>
              </w:rPr>
              <w:t>的承诺函（格式自拟）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DC92C0A">
            <w:pPr>
              <w:numPr>
                <w:ilvl w:val="0"/>
                <w:numId w:val="0"/>
              </w:num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.投标人直接控股、管理关系信息表（格式后附）；（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6F8E90C">
            <w:pPr>
              <w:numPr>
                <w:ilvl w:val="0"/>
                <w:numId w:val="0"/>
              </w:num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.投标声明（格式后附）；（</w:t>
            </w:r>
            <w:r>
              <w:rPr>
                <w:rFonts w:hint="eastAsia" w:ascii="宋体" w:hAnsi="宋体" w:eastAsia="宋体" w:cs="宋体"/>
                <w:b/>
                <w:bCs/>
                <w:color w:val="auto"/>
                <w:szCs w:val="21"/>
                <w:highlight w:val="none"/>
              </w:rPr>
              <w:t>必须提供，否则作无效投标处理</w:t>
            </w:r>
            <w:r>
              <w:rPr>
                <w:rFonts w:hint="eastAsia" w:ascii="宋体" w:hAnsi="宋体" w:eastAsia="宋体" w:cs="宋体"/>
                <w:color w:val="auto"/>
                <w:szCs w:val="21"/>
                <w:highlight w:val="none"/>
              </w:rPr>
              <w:t>）</w:t>
            </w:r>
          </w:p>
          <w:p w14:paraId="1829814B">
            <w:pPr>
              <w:numPr>
                <w:ilvl w:val="0"/>
                <w:numId w:val="0"/>
              </w:num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w:t>
            </w:r>
            <w:r>
              <w:rPr>
                <w:rFonts w:hint="eastAsia" w:ascii="宋体" w:hAnsi="宋体" w:eastAsia="宋体" w:cs="宋体"/>
                <w:b/>
                <w:bCs/>
                <w:color w:val="auto"/>
                <w:szCs w:val="21"/>
                <w:highlight w:val="none"/>
              </w:rPr>
              <w:t>本项目如为专门面向中小企业（或者小型、微型企业）采购时必须提供，否则作无效投标处理</w:t>
            </w:r>
            <w:r>
              <w:rPr>
                <w:rFonts w:hint="eastAsia" w:ascii="宋体" w:hAnsi="宋体" w:eastAsia="宋体" w:cs="宋体"/>
                <w:color w:val="auto"/>
                <w:szCs w:val="21"/>
                <w:highlight w:val="none"/>
              </w:rPr>
              <w:t>】</w:t>
            </w:r>
          </w:p>
          <w:p w14:paraId="032BBEEA">
            <w:pPr>
              <w:numPr>
                <w:ilvl w:val="0"/>
                <w:numId w:val="0"/>
              </w:num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除招标文件规定必须提供以外，投标人认为需要提供的其他证明材料。</w:t>
            </w:r>
          </w:p>
          <w:p w14:paraId="05E7E5F7">
            <w:pPr>
              <w:numPr>
                <w:ilvl w:val="0"/>
                <w:numId w:val="0"/>
              </w:numPr>
              <w:snapToGrid w:val="0"/>
              <w:spacing w:line="360" w:lineRule="auto"/>
              <w:ind w:firstLine="422" w:firstLineChars="200"/>
              <w:jc w:val="left"/>
              <w:rPr>
                <w:rFonts w:hint="eastAsia" w:ascii="宋体" w:hAnsi="宋体" w:eastAsia="宋体" w:cs="宋体"/>
                <w:color w:val="auto"/>
                <w:highlight w:val="none"/>
                <w:lang w:val="en-US" w:eastAsia="zh-CN"/>
              </w:rPr>
            </w:pPr>
            <w:r>
              <w:rPr>
                <w:rFonts w:hint="eastAsia" w:ascii="宋体" w:hAnsi="宋体" w:eastAsia="宋体" w:cs="宋体"/>
                <w:b/>
                <w:bCs/>
                <w:color w:val="auto"/>
                <w:szCs w:val="21"/>
                <w:highlight w:val="none"/>
              </w:rPr>
              <w:t>注：以上标明“必须提供”的材料须加盖投标人公章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或CA签章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，否则按无效投标</w:t>
            </w:r>
            <w:r>
              <w:rPr>
                <w:rFonts w:hint="eastAsia" w:ascii="宋体" w:hAnsi="宋体" w:eastAsia="宋体" w:cs="宋体"/>
                <w:b/>
                <w:color w:val="auto"/>
                <w:szCs w:val="21"/>
                <w:highlight w:val="none"/>
              </w:rPr>
              <w:t>处理。</w:t>
            </w:r>
          </w:p>
        </w:tc>
      </w:tr>
      <w:tr w14:paraId="1EB74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7C21CF2D">
            <w:pPr>
              <w:spacing w:line="360" w:lineRule="auto"/>
              <w:rPr>
                <w:rFonts w:hint="eastAsia" w:ascii="宋体" w:hAnsi="宋体" w:eastAsia="宋体" w:cs="宋体"/>
                <w:color w:val="auto"/>
                <w:szCs w:val="21"/>
                <w:highlight w:val="none"/>
              </w:rPr>
            </w:pPr>
            <w:bookmarkStart w:id="60" w:name="_13.3"/>
            <w:bookmarkEnd w:id="60"/>
          </w:p>
        </w:tc>
        <w:tc>
          <w:tcPr>
            <w:tcW w:w="7969" w:type="dxa"/>
            <w:tcBorders>
              <w:top w:val="single" w:color="auto" w:sz="4" w:space="0"/>
              <w:left w:val="single" w:color="auto" w:sz="4" w:space="0"/>
              <w:bottom w:val="single" w:color="auto" w:sz="4" w:space="0"/>
              <w:right w:val="single" w:color="auto" w:sz="4" w:space="0"/>
            </w:tcBorders>
            <w:vAlign w:val="center"/>
          </w:tcPr>
          <w:p w14:paraId="3BB6E207">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商务文件：</w:t>
            </w:r>
          </w:p>
          <w:p w14:paraId="67CE37F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1.投标人参加本项目无围标串标行为的承诺（格式后附）；（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6B899D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2.法定代表人（负责人）身份证明及法定代表人（负责人）有效身份证正反面（格式后附）；（</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4C9EB7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3.法定代表人（负责人）授权委托书及委托代理人有效身份证正反面（格式后附）；（</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14:paraId="3DD1E4B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D87FD6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5.服务承诺（格式自拟）；（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7106736">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投标人类似的业绩证明</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29CCD3B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03B38517">
            <w:pPr>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注：1.法定代表人（负责人）授权委托书必须由法定代表人（负责人），并</w:t>
            </w:r>
            <w:r>
              <w:rPr>
                <w:rFonts w:hint="eastAsia" w:ascii="宋体" w:hAnsi="宋体" w:eastAsia="宋体" w:cs="宋体"/>
                <w:b/>
                <w:bCs/>
                <w:color w:val="auto"/>
                <w:szCs w:val="21"/>
                <w:highlight w:val="none"/>
                <w:lang w:eastAsia="zh-CN"/>
              </w:rPr>
              <w:t>加盖投标人公章（或CA签章）</w:t>
            </w:r>
            <w:r>
              <w:rPr>
                <w:rFonts w:hint="eastAsia" w:ascii="宋体" w:hAnsi="宋体" w:eastAsia="宋体" w:cs="宋体"/>
                <w:b/>
                <w:bCs/>
                <w:color w:val="auto"/>
                <w:szCs w:val="21"/>
                <w:highlight w:val="none"/>
              </w:rPr>
              <w:t>，否则作无效投标处理。</w:t>
            </w:r>
          </w:p>
          <w:p w14:paraId="4CC6D931">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2.以上标明“必须提供”的材料须</w:t>
            </w:r>
            <w:r>
              <w:rPr>
                <w:rFonts w:hint="eastAsia" w:ascii="宋体" w:hAnsi="宋体" w:eastAsia="宋体" w:cs="宋体"/>
                <w:b/>
                <w:bCs/>
                <w:color w:val="auto"/>
                <w:szCs w:val="21"/>
                <w:highlight w:val="none"/>
                <w:lang w:eastAsia="zh-CN"/>
              </w:rPr>
              <w:t>加盖投标人公章（或CA签章）</w:t>
            </w:r>
            <w:r>
              <w:rPr>
                <w:rFonts w:hint="eastAsia" w:ascii="宋体" w:hAnsi="宋体" w:eastAsia="宋体" w:cs="宋体"/>
                <w:b/>
                <w:bCs/>
                <w:color w:val="auto"/>
                <w:szCs w:val="21"/>
                <w:highlight w:val="none"/>
              </w:rPr>
              <w:t>，否则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3E303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bottom w:val="single" w:color="auto" w:sz="4" w:space="0"/>
              <w:right w:val="single" w:color="auto" w:sz="4" w:space="0"/>
            </w:tcBorders>
            <w:vAlign w:val="center"/>
          </w:tcPr>
          <w:p w14:paraId="6252F516">
            <w:pPr>
              <w:spacing w:line="360" w:lineRule="auto"/>
              <w:rPr>
                <w:rFonts w:hint="eastAsia" w:ascii="宋体" w:hAnsi="宋体" w:eastAsia="宋体" w:cs="宋体"/>
                <w:color w:val="auto"/>
                <w:szCs w:val="21"/>
                <w:highlight w:val="none"/>
              </w:rPr>
            </w:pPr>
            <w:bookmarkStart w:id="61" w:name="_13.4"/>
            <w:bookmarkEnd w:id="61"/>
          </w:p>
        </w:tc>
        <w:tc>
          <w:tcPr>
            <w:tcW w:w="7969" w:type="dxa"/>
            <w:tcBorders>
              <w:top w:val="single" w:color="auto" w:sz="4" w:space="0"/>
              <w:left w:val="single" w:color="auto" w:sz="4" w:space="0"/>
              <w:bottom w:val="single" w:color="auto" w:sz="4" w:space="0"/>
              <w:right w:val="single" w:color="auto" w:sz="4" w:space="0"/>
            </w:tcBorders>
            <w:vAlign w:val="center"/>
          </w:tcPr>
          <w:p w14:paraId="5A6DC56F">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w:t>
            </w:r>
          </w:p>
          <w:p w14:paraId="6AAD97C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采购需求</w:t>
            </w:r>
            <w:r>
              <w:rPr>
                <w:rFonts w:hint="eastAsia" w:ascii="宋体" w:hAnsi="宋体" w:eastAsia="宋体" w:cs="宋体"/>
                <w:color w:val="auto"/>
                <w:szCs w:val="21"/>
                <w:highlight w:val="none"/>
              </w:rPr>
              <w:t>偏离表（格式后附）；（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7F4087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highlight w:val="none"/>
                <w:lang w:val="en-US" w:eastAsia="zh-CN"/>
              </w:rPr>
              <w:t>设计技术</w:t>
            </w:r>
            <w:r>
              <w:rPr>
                <w:rFonts w:hint="eastAsia" w:ascii="宋体" w:hAnsi="宋体" w:eastAsia="宋体" w:cs="宋体"/>
                <w:color w:val="auto"/>
                <w:highlight w:val="none"/>
              </w:rPr>
              <w:t>方案</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C850036">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b w:val="0"/>
                <w:color w:val="auto"/>
                <w:szCs w:val="21"/>
                <w:highlight w:val="none"/>
              </w:rPr>
              <w:t>质量保障措施</w:t>
            </w:r>
            <w:r>
              <w:rPr>
                <w:rFonts w:hint="eastAsia" w:ascii="宋体" w:hAnsi="宋体" w:eastAsia="宋体" w:cs="宋体"/>
                <w:b w:val="0"/>
                <w:color w:val="auto"/>
                <w:szCs w:val="21"/>
                <w:highlight w:val="none"/>
                <w:lang w:val="en-US" w:eastAsia="zh-CN"/>
              </w:rPr>
              <w:t>方案</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547018B">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b w:val="0"/>
                <w:bCs w:val="0"/>
                <w:color w:val="auto"/>
                <w:szCs w:val="21"/>
                <w:highlight w:val="none"/>
              </w:rPr>
              <w:t>服务</w:t>
            </w:r>
            <w:r>
              <w:rPr>
                <w:rFonts w:hint="eastAsia" w:ascii="宋体" w:hAnsi="宋体" w:eastAsia="宋体" w:cs="宋体"/>
                <w:b w:val="0"/>
                <w:bCs w:val="0"/>
                <w:color w:val="auto"/>
                <w:szCs w:val="21"/>
                <w:highlight w:val="none"/>
                <w:lang w:val="en-US" w:eastAsia="zh-CN"/>
              </w:rPr>
              <w:t>保障措施</w:t>
            </w:r>
            <w:r>
              <w:rPr>
                <w:rFonts w:hint="eastAsia" w:ascii="宋体" w:hAnsi="宋体" w:eastAsia="宋体" w:cs="宋体"/>
                <w:b w:val="0"/>
                <w:bCs w:val="0"/>
                <w:color w:val="auto"/>
                <w:szCs w:val="21"/>
                <w:highlight w:val="none"/>
              </w:rPr>
              <w:t>方案</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117BA0A">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项目实施人员一览表（格式自拟）</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06FEC3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65A7887F">
            <w:pPr>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注：以上标明“必须提供”的材料须</w:t>
            </w:r>
            <w:r>
              <w:rPr>
                <w:rFonts w:hint="eastAsia" w:ascii="宋体" w:hAnsi="宋体" w:eastAsia="宋体" w:cs="宋体"/>
                <w:b/>
                <w:bCs/>
                <w:color w:val="auto"/>
                <w:szCs w:val="21"/>
                <w:highlight w:val="none"/>
                <w:lang w:eastAsia="zh-CN"/>
              </w:rPr>
              <w:t>加盖投标人公章（或CA签章）</w:t>
            </w:r>
            <w:r>
              <w:rPr>
                <w:rFonts w:hint="eastAsia" w:ascii="宋体" w:hAnsi="宋体" w:eastAsia="宋体" w:cs="宋体"/>
                <w:b/>
                <w:bCs/>
                <w:color w:val="auto"/>
                <w:szCs w:val="21"/>
                <w:highlight w:val="none"/>
              </w:rPr>
              <w:t>，否则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391B7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E81FF38">
            <w:pPr>
              <w:spacing w:line="360" w:lineRule="auto"/>
              <w:rPr>
                <w:rFonts w:hint="eastAsia" w:ascii="宋体" w:hAnsi="宋体" w:eastAsia="宋体" w:cs="宋体"/>
                <w:color w:val="auto"/>
                <w:szCs w:val="21"/>
                <w:highlight w:val="none"/>
              </w:rPr>
            </w:pPr>
            <w:bookmarkStart w:id="62" w:name="_13.5"/>
            <w:bookmarkEnd w:id="62"/>
            <w:r>
              <w:rPr>
                <w:rFonts w:hint="eastAsia" w:ascii="宋体" w:hAnsi="宋体" w:eastAsia="宋体" w:cs="宋体"/>
                <w:color w:val="auto"/>
                <w:szCs w:val="21"/>
                <w:highlight w:val="none"/>
              </w:rPr>
              <w:t>13.2</w:t>
            </w:r>
          </w:p>
        </w:tc>
        <w:tc>
          <w:tcPr>
            <w:tcW w:w="7969" w:type="dxa"/>
            <w:tcBorders>
              <w:top w:val="single" w:color="auto" w:sz="4" w:space="0"/>
              <w:left w:val="single" w:color="auto" w:sz="4" w:space="0"/>
              <w:bottom w:val="single" w:color="auto" w:sz="4" w:space="0"/>
              <w:right w:val="single" w:color="auto" w:sz="4" w:space="0"/>
            </w:tcBorders>
            <w:vAlign w:val="center"/>
          </w:tcPr>
          <w:p w14:paraId="0583E47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投标文件的制作</w:t>
            </w:r>
          </w:p>
          <w:p w14:paraId="5D8162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电子投标文件中须加盖投标人公章部分均采用CA签章，并根据“政府采购项目电子交易管理操作指南-供应商”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漏读，或者在按招标文件规定的部位查找不到相关内容的，由投标人自行承担。</w:t>
            </w:r>
          </w:p>
          <w:p w14:paraId="109891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投标人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 </w:t>
            </w:r>
          </w:p>
          <w:p w14:paraId="55D388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投标文件不得涂改，若有修改错漏处，须法定代表人（负责人）或授权委托人签字（或个人CA签章）。投标文件因字迹潦草或表达不清所引起的后果由投标人负责。</w:t>
            </w:r>
          </w:p>
          <w:p w14:paraId="57B618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4评审前准备 </w:t>
            </w:r>
          </w:p>
          <w:p w14:paraId="6E9F6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4.1本项目实行网上评审，采用电子投标文件；若投标人参与投标，自行承担投标一切费用。 </w:t>
            </w:r>
          </w:p>
          <w:p w14:paraId="074C764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4.2各投标人在截标前应确保成为广西政府采购云平台正式注册入库供应商，并完成 CA 数字证书申领。因未注册入库、未办理 CA 数字证书等原因造成无法投标或投标失败等后果由投标人自行承担。 </w:t>
            </w:r>
          </w:p>
          <w:p w14:paraId="4C5277D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4.3投标人将广西政府采购云平台电子交易客户端下载、安装完成后，可通过账号密码或 CA 登录客户端进行投标文件制作。客户端请至网站下载专区查看，如有问题可拨打广西政府采购云平台客户服务热线 95763 进行咨询。</w:t>
            </w:r>
          </w:p>
        </w:tc>
      </w:tr>
      <w:tr w14:paraId="65863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D500C66">
            <w:pPr>
              <w:spacing w:line="360" w:lineRule="auto"/>
              <w:rPr>
                <w:rFonts w:hint="eastAsia" w:ascii="宋体" w:hAnsi="宋体" w:eastAsia="宋体" w:cs="宋体"/>
                <w:color w:val="auto"/>
                <w:szCs w:val="21"/>
                <w:highlight w:val="none"/>
              </w:rPr>
            </w:pPr>
            <w:bookmarkStart w:id="63" w:name="_16.2"/>
            <w:bookmarkEnd w:id="63"/>
            <w:r>
              <w:rPr>
                <w:rFonts w:hint="eastAsia" w:ascii="宋体" w:hAnsi="宋体" w:eastAsia="宋体" w:cs="宋体"/>
                <w:color w:val="auto"/>
                <w:szCs w:val="21"/>
                <w:highlight w:val="none"/>
              </w:rPr>
              <w:t>16</w:t>
            </w:r>
            <w:bookmarkStart w:id="64" w:name="_Hlt19194066"/>
            <w:bookmarkStart w:id="65" w:name="_Hlt19693759"/>
            <w:bookmarkStart w:id="66" w:name="_Hlt19194067"/>
            <w:bookmarkStart w:id="67" w:name="_Hlt19693758"/>
            <w:r>
              <w:rPr>
                <w:rFonts w:hint="eastAsia" w:ascii="宋体" w:hAnsi="宋体" w:eastAsia="宋体" w:cs="宋体"/>
                <w:color w:val="auto"/>
                <w:szCs w:val="21"/>
                <w:highlight w:val="none"/>
              </w:rPr>
              <w:t>.</w:t>
            </w:r>
            <w:bookmarkEnd w:id="64"/>
            <w:bookmarkEnd w:id="65"/>
            <w:bookmarkEnd w:id="66"/>
            <w:bookmarkEnd w:id="67"/>
            <w:r>
              <w:rPr>
                <w:rFonts w:hint="eastAsia" w:ascii="宋体" w:hAnsi="宋体" w:eastAsia="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14:paraId="6C9097B5">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sz w:val="21"/>
                <w:szCs w:val="21"/>
                <w:highlight w:val="none"/>
                <w:lang w:val="en-US" w:eastAsia="zh-CN"/>
              </w:rPr>
              <w:t>应包括实施和完成采购需求的所有服务工作所涉及的一切费用，包含但不限于设计费、劳务费、管</w:t>
            </w:r>
            <w:r>
              <w:rPr>
                <w:rFonts w:hint="eastAsia" w:ascii="宋体" w:hAnsi="宋体" w:eastAsia="宋体" w:cs="宋体"/>
                <w:b w:val="0"/>
                <w:bCs w:val="0"/>
                <w:color w:val="auto"/>
                <w:sz w:val="21"/>
                <w:szCs w:val="21"/>
                <w:highlight w:val="none"/>
                <w:lang w:val="en-US" w:eastAsia="zh-CN"/>
              </w:rPr>
              <w:t>理服务费、技术服务费、交通、通讯、保险、税费、利润、</w:t>
            </w:r>
            <w:r>
              <w:rPr>
                <w:rFonts w:hint="eastAsia" w:ascii="宋体" w:hAnsi="宋体" w:eastAsia="宋体" w:cs="宋体"/>
                <w:color w:val="auto"/>
                <w:sz w:val="21"/>
                <w:szCs w:val="24"/>
                <w:highlight w:val="none"/>
                <w:u w:val="none"/>
                <w:shd w:val="clear" w:color="auto" w:fill="auto"/>
                <w:lang w:eastAsia="zh-CN"/>
              </w:rPr>
              <w:t>管理政策性规定费用等一切费用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所填报的价格在合同实施期间不因市场价格变化等因素而变动，</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在报价时应考虑各种风险因素和承受能力。</w:t>
            </w:r>
          </w:p>
          <w:p w14:paraId="2DCB4AA4">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☑投标报价包含验收费用</w:t>
            </w:r>
          </w:p>
          <w:p w14:paraId="5239B252">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□投标报价不包含验收费用</w:t>
            </w:r>
          </w:p>
        </w:tc>
      </w:tr>
      <w:tr w14:paraId="06868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B3B9E96">
            <w:pPr>
              <w:spacing w:line="360" w:lineRule="auto"/>
              <w:rPr>
                <w:rFonts w:hint="eastAsia" w:ascii="宋体" w:hAnsi="宋体" w:eastAsia="宋体" w:cs="宋体"/>
                <w:color w:val="auto"/>
                <w:szCs w:val="21"/>
                <w:highlight w:val="none"/>
              </w:rPr>
            </w:pPr>
            <w:bookmarkStart w:id="68" w:name="_17.1"/>
            <w:bookmarkEnd w:id="68"/>
            <w:r>
              <w:rPr>
                <w:rFonts w:hint="eastAsia" w:ascii="宋体" w:hAnsi="宋体" w:eastAsia="宋体" w:cs="宋体"/>
                <w:color w:val="auto"/>
                <w:szCs w:val="21"/>
                <w:highlight w:val="none"/>
              </w:rPr>
              <w:t>17.2</w:t>
            </w:r>
          </w:p>
        </w:tc>
        <w:tc>
          <w:tcPr>
            <w:tcW w:w="7969" w:type="dxa"/>
            <w:tcBorders>
              <w:top w:val="single" w:color="auto" w:sz="4" w:space="0"/>
              <w:left w:val="single" w:color="auto" w:sz="4" w:space="0"/>
              <w:bottom w:val="single" w:color="auto" w:sz="4" w:space="0"/>
              <w:right w:val="single" w:color="auto" w:sz="4" w:space="0"/>
            </w:tcBorders>
            <w:vAlign w:val="center"/>
          </w:tcPr>
          <w:p w14:paraId="083860A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投标有效期：自投标截止之日起</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日。</w:t>
            </w:r>
          </w:p>
        </w:tc>
      </w:tr>
      <w:tr w14:paraId="0220B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93D77FB">
            <w:pPr>
              <w:spacing w:line="360" w:lineRule="auto"/>
              <w:rPr>
                <w:rFonts w:hint="eastAsia" w:ascii="宋体" w:hAnsi="宋体" w:eastAsia="宋体" w:cs="宋体"/>
                <w:color w:val="auto"/>
                <w:szCs w:val="21"/>
                <w:highlight w:val="none"/>
              </w:rPr>
            </w:pPr>
            <w:bookmarkStart w:id="69" w:name="_18"/>
            <w:bookmarkEnd w:id="69"/>
            <w:r>
              <w:rPr>
                <w:rFonts w:hint="eastAsia" w:ascii="宋体" w:hAnsi="宋体" w:eastAsia="宋体" w:cs="宋体"/>
                <w:color w:val="auto"/>
                <w:szCs w:val="21"/>
                <w:highlight w:val="none"/>
              </w:rPr>
              <w:t>18.1</w:t>
            </w:r>
          </w:p>
        </w:tc>
        <w:tc>
          <w:tcPr>
            <w:tcW w:w="7969" w:type="dxa"/>
            <w:tcBorders>
              <w:top w:val="single" w:color="auto" w:sz="4" w:space="0"/>
              <w:left w:val="single" w:color="auto" w:sz="4" w:space="0"/>
              <w:bottom w:val="single" w:color="auto" w:sz="4" w:space="0"/>
              <w:right w:val="single" w:color="auto" w:sz="4" w:space="0"/>
            </w:tcBorders>
            <w:vAlign w:val="center"/>
          </w:tcPr>
          <w:p w14:paraId="5E424EFE">
            <w:pPr>
              <w:autoSpaceDE w:val="0"/>
              <w:autoSpaceDN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☑本项目不收取投标保证金。</w:t>
            </w:r>
          </w:p>
        </w:tc>
      </w:tr>
      <w:tr w14:paraId="226F3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FD47E2D">
            <w:pPr>
              <w:spacing w:line="360" w:lineRule="auto"/>
              <w:rPr>
                <w:rFonts w:hint="eastAsia" w:ascii="宋体" w:hAnsi="宋体" w:eastAsia="宋体" w:cs="宋体"/>
                <w:color w:val="auto"/>
                <w:szCs w:val="21"/>
                <w:highlight w:val="none"/>
              </w:rPr>
            </w:pPr>
            <w:bookmarkStart w:id="70" w:name="_19.2"/>
            <w:bookmarkEnd w:id="70"/>
            <w:r>
              <w:rPr>
                <w:rFonts w:hint="eastAsia" w:ascii="宋体" w:hAnsi="宋体" w:eastAsia="宋体" w:cs="宋体"/>
                <w:color w:val="auto"/>
                <w:szCs w:val="21"/>
                <w:highlight w:val="none"/>
              </w:rPr>
              <w:t>19.2</w:t>
            </w:r>
          </w:p>
        </w:tc>
        <w:tc>
          <w:tcPr>
            <w:tcW w:w="7969" w:type="dxa"/>
            <w:tcBorders>
              <w:top w:val="single" w:color="auto" w:sz="4" w:space="0"/>
              <w:left w:val="single" w:color="auto" w:sz="4" w:space="0"/>
              <w:bottom w:val="single" w:color="auto" w:sz="4" w:space="0"/>
              <w:right w:val="single" w:color="auto" w:sz="4" w:space="0"/>
            </w:tcBorders>
            <w:vAlign w:val="center"/>
          </w:tcPr>
          <w:p w14:paraId="6FC3CCFD">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tc>
      </w:tr>
      <w:tr w14:paraId="609B3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1D992177">
            <w:pPr>
              <w:spacing w:line="360" w:lineRule="auto"/>
              <w:rPr>
                <w:rFonts w:hint="eastAsia" w:ascii="宋体" w:hAnsi="宋体" w:eastAsia="宋体" w:cs="宋体"/>
                <w:color w:val="auto"/>
                <w:szCs w:val="21"/>
                <w:highlight w:val="none"/>
              </w:rPr>
            </w:pPr>
            <w:bookmarkStart w:id="71" w:name="_21.1"/>
            <w:bookmarkEnd w:id="71"/>
            <w:r>
              <w:rPr>
                <w:rFonts w:hint="eastAsia" w:ascii="宋体" w:hAnsi="宋体" w:eastAsia="宋体" w:cs="宋体"/>
                <w:color w:val="auto"/>
                <w:szCs w:val="21"/>
                <w:highlight w:val="none"/>
              </w:rPr>
              <w:t>21.1</w:t>
            </w:r>
          </w:p>
        </w:tc>
        <w:tc>
          <w:tcPr>
            <w:tcW w:w="7969" w:type="dxa"/>
            <w:tcBorders>
              <w:top w:val="single" w:color="auto" w:sz="4" w:space="0"/>
              <w:left w:val="single" w:color="auto" w:sz="4" w:space="0"/>
              <w:bottom w:val="single" w:color="auto" w:sz="4" w:space="0"/>
              <w:right w:val="single" w:color="auto" w:sz="4" w:space="0"/>
            </w:tcBorders>
            <w:vAlign w:val="center"/>
          </w:tcPr>
          <w:p w14:paraId="1C0A950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w:t>
            </w:r>
          </w:p>
          <w:p w14:paraId="545CC0D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投标文件递交截止时间：于投标文件递交截止时间之前将电子投标文件上传到广西政府采购云平台。应按照本项目招标文件和广西政府采购云平台的要求编制、加密传输投标文件。供应商在使用系统进行投标的过程中遇到涉及平台使用的任何问题，可致电政广西政府采购云平台客户服务热线 95763 进行咨询。</w:t>
            </w:r>
          </w:p>
        </w:tc>
      </w:tr>
      <w:tr w14:paraId="4BB69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42172A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7969" w:type="dxa"/>
            <w:tcBorders>
              <w:top w:val="single" w:color="auto" w:sz="4" w:space="0"/>
              <w:left w:val="single" w:color="auto" w:sz="4" w:space="0"/>
              <w:bottom w:val="single" w:color="auto" w:sz="4" w:space="0"/>
              <w:right w:val="single" w:color="auto" w:sz="4" w:space="0"/>
            </w:tcBorders>
            <w:vAlign w:val="center"/>
          </w:tcPr>
          <w:p w14:paraId="7452DD69">
            <w:pPr>
              <w:widowControl/>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投标文件解密</w:t>
            </w:r>
          </w:p>
          <w:p w14:paraId="341BBDE9">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21.2</w:t>
            </w:r>
            <w:r>
              <w:rPr>
                <w:rFonts w:hint="eastAsia" w:ascii="宋体" w:hAnsi="宋体" w:eastAsia="宋体" w:cs="宋体"/>
                <w:color w:val="auto"/>
                <w:highlight w:val="none"/>
              </w:rPr>
              <w:t>投标文件解密时间：截标时间后</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分钟内投标人可以登录广西政府采购云平台，</w:t>
            </w:r>
            <w:r>
              <w:rPr>
                <w:rFonts w:hint="eastAsia" w:ascii="宋体" w:hAnsi="宋体" w:eastAsia="宋体" w:cs="宋体"/>
                <w:color w:val="auto"/>
                <w:kern w:val="0"/>
                <w:szCs w:val="21"/>
                <w:highlight w:val="none"/>
              </w:rPr>
              <w:t>投标人投标时，需凭制作投标文件时用来加密的有效数字证书（CA认证）登录广西政府采购云平台电子开标大厅现场按规定时间对加密的投标文件进行解密，否则后果自负。</w:t>
            </w:r>
          </w:p>
          <w:p w14:paraId="5105EA2D">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w:t>
            </w:r>
          </w:p>
          <w:p w14:paraId="71EA02BF">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tc>
      </w:tr>
      <w:tr w14:paraId="0E137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539E760">
            <w:pPr>
              <w:spacing w:line="360" w:lineRule="auto"/>
              <w:rPr>
                <w:rFonts w:hint="eastAsia" w:ascii="宋体" w:hAnsi="宋体" w:eastAsia="宋体" w:cs="宋体"/>
                <w:color w:val="auto"/>
                <w:szCs w:val="21"/>
                <w:highlight w:val="none"/>
              </w:rPr>
            </w:pPr>
            <w:bookmarkStart w:id="72" w:name="_23"/>
            <w:bookmarkEnd w:id="72"/>
            <w:r>
              <w:rPr>
                <w:rFonts w:hint="eastAsia" w:ascii="宋体" w:hAnsi="宋体" w:eastAsia="宋体" w:cs="宋体"/>
                <w:color w:val="auto"/>
                <w:szCs w:val="21"/>
                <w:highlight w:val="none"/>
              </w:rPr>
              <w:t>23</w:t>
            </w:r>
          </w:p>
        </w:tc>
        <w:tc>
          <w:tcPr>
            <w:tcW w:w="7969" w:type="dxa"/>
            <w:tcBorders>
              <w:top w:val="single" w:color="auto" w:sz="4" w:space="0"/>
              <w:left w:val="single" w:color="auto" w:sz="4" w:space="0"/>
              <w:bottom w:val="single" w:color="auto" w:sz="4" w:space="0"/>
              <w:right w:val="single" w:color="auto" w:sz="4" w:space="0"/>
            </w:tcBorders>
            <w:vAlign w:val="center"/>
          </w:tcPr>
          <w:p w14:paraId="7CC3139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1.开标时间：详见招标公告</w:t>
            </w:r>
          </w:p>
          <w:p w14:paraId="083F1E4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2.开标地点：详见招标公告</w:t>
            </w:r>
          </w:p>
        </w:tc>
      </w:tr>
      <w:tr w14:paraId="71C7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F7009D7">
            <w:pPr>
              <w:spacing w:line="360" w:lineRule="auto"/>
              <w:rPr>
                <w:rFonts w:hint="eastAsia" w:ascii="宋体" w:hAnsi="宋体" w:eastAsia="宋体" w:cs="宋体"/>
                <w:color w:val="auto"/>
                <w:szCs w:val="21"/>
                <w:highlight w:val="none"/>
              </w:rPr>
            </w:pPr>
            <w:bookmarkStart w:id="73" w:name="_25.3"/>
            <w:bookmarkEnd w:id="73"/>
            <w:r>
              <w:rPr>
                <w:rFonts w:hint="eastAsia" w:ascii="宋体" w:hAnsi="宋体" w:eastAsia="宋体" w:cs="宋体"/>
                <w:color w:val="auto"/>
                <w:szCs w:val="21"/>
                <w:highlight w:val="none"/>
              </w:rPr>
              <w:t>25.3（2）</w:t>
            </w:r>
          </w:p>
        </w:tc>
        <w:tc>
          <w:tcPr>
            <w:tcW w:w="7969" w:type="dxa"/>
            <w:tcBorders>
              <w:top w:val="single" w:color="auto" w:sz="4" w:space="0"/>
              <w:left w:val="single" w:color="auto" w:sz="4" w:space="0"/>
              <w:bottom w:val="single" w:color="auto" w:sz="4" w:space="0"/>
              <w:right w:val="single" w:color="auto" w:sz="4" w:space="0"/>
            </w:tcBorders>
            <w:vAlign w:val="center"/>
          </w:tcPr>
          <w:p w14:paraId="1E0F89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广西政府采购云平台已与“信用中国”平台做接口，资格评审专家可直接在线查询。</w:t>
            </w:r>
          </w:p>
          <w:p w14:paraId="5F98F89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t>
            </w:r>
            <w:r>
              <w:rPr>
                <w:rFonts w:hint="eastAsia" w:ascii="宋体" w:hAnsi="宋体" w:eastAsia="宋体" w:cs="宋体"/>
                <w:color w:val="auto"/>
                <w:szCs w:val="21"/>
                <w:highlight w:val="none"/>
                <w:lang w:eastAsia="zh-CN"/>
              </w:rPr>
              <w:t>http://www.ccgp.gov.cn</w:t>
            </w:r>
            <w:r>
              <w:rPr>
                <w:rFonts w:hint="eastAsia" w:ascii="宋体" w:hAnsi="宋体" w:eastAsia="宋体" w:cs="宋体"/>
                <w:color w:val="auto"/>
                <w:szCs w:val="21"/>
                <w:highlight w:val="none"/>
              </w:rPr>
              <w:t>)》。</w:t>
            </w:r>
          </w:p>
          <w:p w14:paraId="1683F0D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信用查询截止时点：资格审查结束前</w:t>
            </w:r>
          </w:p>
          <w:p w14:paraId="5144CC8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3A7EDC1F">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信用信息使用规则：对在“信用中国”网站(www.creditchina.gov.cn)、中国政府采购网(</w:t>
            </w:r>
            <w:r>
              <w:rPr>
                <w:rFonts w:hint="eastAsia" w:ascii="宋体" w:hAnsi="宋体" w:eastAsia="宋体" w:cs="宋体"/>
                <w:color w:val="auto"/>
                <w:szCs w:val="21"/>
                <w:highlight w:val="none"/>
                <w:lang w:eastAsia="zh-CN"/>
              </w:rPr>
              <w:t>http://www.ccgp.gov.cn</w:t>
            </w:r>
            <w:r>
              <w:rPr>
                <w:rFonts w:hint="eastAsia" w:ascii="宋体" w:hAnsi="宋体" w:eastAsia="宋体" w:cs="宋体"/>
                <w:color w:val="auto"/>
                <w:szCs w:val="21"/>
                <w:highlight w:val="none"/>
              </w:rPr>
              <w:t>)被列入失信被执行人、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，采购人或者采购代理机构应当拒绝其参与政府采购活动。两个以上的自然人、法人或者其他组织组成一个联合体，以一个</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的身份共同参加政府采购活动的，应当对所有联合体成员进行信用记录查询，联合体成员存在不良信用记录的，视同联合体存在不良信用记录。</w:t>
            </w:r>
          </w:p>
        </w:tc>
      </w:tr>
      <w:tr w14:paraId="6A915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FA83D0F">
            <w:pPr>
              <w:spacing w:line="360" w:lineRule="auto"/>
              <w:rPr>
                <w:rFonts w:hint="eastAsia" w:ascii="宋体" w:hAnsi="宋体" w:eastAsia="宋体" w:cs="宋体"/>
                <w:color w:val="auto"/>
                <w:szCs w:val="21"/>
                <w:highlight w:val="none"/>
              </w:rPr>
            </w:pPr>
            <w:bookmarkStart w:id="74" w:name="_26"/>
            <w:bookmarkEnd w:id="74"/>
            <w:r>
              <w:rPr>
                <w:rFonts w:hint="eastAsia" w:ascii="宋体" w:hAnsi="宋体" w:eastAsia="宋体" w:cs="宋体"/>
                <w:color w:val="auto"/>
                <w:szCs w:val="21"/>
                <w:highlight w:val="none"/>
              </w:rPr>
              <w:t>26</w:t>
            </w:r>
          </w:p>
        </w:tc>
        <w:tc>
          <w:tcPr>
            <w:tcW w:w="7969" w:type="dxa"/>
            <w:tcBorders>
              <w:top w:val="single" w:color="auto" w:sz="4" w:space="0"/>
              <w:left w:val="single" w:color="auto" w:sz="4" w:space="0"/>
              <w:bottom w:val="single" w:color="auto" w:sz="4" w:space="0"/>
              <w:right w:val="single" w:color="auto" w:sz="4" w:space="0"/>
            </w:tcBorders>
            <w:vAlign w:val="center"/>
          </w:tcPr>
          <w:p w14:paraId="48B51C9E">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评标委员会的人数：</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人。</w:t>
            </w:r>
          </w:p>
          <w:p w14:paraId="50FB1FAF">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专家确定方式：评审前从广西政府采购云平台中广西壮族自治区政府采购评审系统设立的专家库中通过电脑随机抽取。</w:t>
            </w:r>
          </w:p>
        </w:tc>
      </w:tr>
      <w:tr w14:paraId="06C0D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4CDB2C9">
            <w:pPr>
              <w:spacing w:line="360" w:lineRule="auto"/>
              <w:rPr>
                <w:rFonts w:hint="eastAsia" w:ascii="宋体" w:hAnsi="宋体" w:eastAsia="宋体" w:cs="宋体"/>
                <w:color w:val="auto"/>
                <w:szCs w:val="21"/>
                <w:highlight w:val="none"/>
              </w:rPr>
            </w:pPr>
            <w:bookmarkStart w:id="75" w:name="_28.3"/>
            <w:bookmarkEnd w:id="75"/>
            <w:r>
              <w:rPr>
                <w:rFonts w:hint="eastAsia" w:ascii="宋体" w:hAnsi="宋体" w:eastAsia="宋体" w:cs="宋体"/>
                <w:color w:val="auto"/>
                <w:szCs w:val="21"/>
                <w:highlight w:val="none"/>
              </w:rPr>
              <w:t>29.1</w:t>
            </w:r>
          </w:p>
        </w:tc>
        <w:tc>
          <w:tcPr>
            <w:tcW w:w="7969" w:type="dxa"/>
            <w:tcBorders>
              <w:top w:val="single" w:color="auto" w:sz="4" w:space="0"/>
              <w:left w:val="single" w:color="auto" w:sz="4" w:space="0"/>
              <w:bottom w:val="single" w:color="auto" w:sz="4" w:space="0"/>
              <w:right w:val="single" w:color="auto" w:sz="4" w:space="0"/>
            </w:tcBorders>
            <w:vAlign w:val="center"/>
          </w:tcPr>
          <w:p w14:paraId="30683782">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p w14:paraId="360D84E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p w14:paraId="5BBD15A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67874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3" w:type="dxa"/>
            <w:tcBorders>
              <w:top w:val="single" w:color="auto" w:sz="4" w:space="0"/>
              <w:left w:val="single" w:color="auto" w:sz="4" w:space="0"/>
              <w:right w:val="single" w:color="auto" w:sz="4" w:space="0"/>
            </w:tcBorders>
            <w:vAlign w:val="center"/>
          </w:tcPr>
          <w:p w14:paraId="73830BC5">
            <w:pPr>
              <w:spacing w:line="360" w:lineRule="auto"/>
              <w:rPr>
                <w:rFonts w:hint="eastAsia" w:ascii="宋体" w:hAnsi="宋体" w:eastAsia="宋体" w:cs="宋体"/>
                <w:color w:val="auto"/>
                <w:szCs w:val="21"/>
                <w:highlight w:val="none"/>
              </w:rPr>
            </w:pPr>
            <w:bookmarkStart w:id="76" w:name="_29.2.2（2）"/>
            <w:bookmarkEnd w:id="76"/>
            <w:r>
              <w:rPr>
                <w:rFonts w:hint="eastAsia" w:ascii="宋体" w:hAnsi="宋体" w:eastAsia="宋体" w:cs="宋体"/>
                <w:color w:val="auto"/>
                <w:szCs w:val="21"/>
                <w:highlight w:val="none"/>
              </w:rPr>
              <w:t>29.2</w:t>
            </w:r>
          </w:p>
        </w:tc>
        <w:tc>
          <w:tcPr>
            <w:tcW w:w="7969" w:type="dxa"/>
            <w:tcBorders>
              <w:top w:val="single" w:color="auto" w:sz="4" w:space="0"/>
              <w:left w:val="single" w:color="auto" w:sz="4" w:space="0"/>
              <w:right w:val="single" w:color="auto" w:sz="4" w:space="0"/>
            </w:tcBorders>
            <w:vAlign w:val="center"/>
          </w:tcPr>
          <w:p w14:paraId="5C32938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采购需求</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14:paraId="79B63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13838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7969" w:type="dxa"/>
            <w:tcBorders>
              <w:top w:val="single" w:color="auto" w:sz="4" w:space="0"/>
              <w:left w:val="single" w:color="auto" w:sz="4" w:space="0"/>
              <w:bottom w:val="single" w:color="auto" w:sz="4" w:space="0"/>
              <w:right w:val="single" w:color="auto" w:sz="4" w:space="0"/>
            </w:tcBorders>
            <w:vAlign w:val="center"/>
          </w:tcPr>
          <w:p w14:paraId="732A173C">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采购人确定中标人时，出现中标候选人并列的情形，采购人按以下的方式确定中标人：</w:t>
            </w:r>
          </w:p>
          <w:p w14:paraId="385189E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☑按照评审因素的量化指标评审得分最高的优先、</w:t>
            </w:r>
            <w:r>
              <w:rPr>
                <w:rFonts w:hint="eastAsia" w:ascii="宋体" w:hAnsi="宋体" w:eastAsia="宋体" w:cs="宋体"/>
                <w:color w:val="auto"/>
                <w:szCs w:val="21"/>
                <w:highlight w:val="none"/>
                <w:lang w:val="en-US" w:eastAsia="zh-CN"/>
              </w:rPr>
              <w:t>服务期限短</w:t>
            </w:r>
            <w:r>
              <w:rPr>
                <w:rFonts w:hint="eastAsia" w:ascii="宋体" w:hAnsi="宋体" w:eastAsia="宋体" w:cs="宋体"/>
                <w:color w:val="auto"/>
                <w:szCs w:val="21"/>
                <w:highlight w:val="none"/>
              </w:rPr>
              <w:t>优先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、响应时间短优先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的顺序；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注：第四章评标方法及标准中另有约定的，则按第四章中约定内容执行。</w:t>
            </w:r>
            <w:r>
              <w:rPr>
                <w:rFonts w:hint="eastAsia" w:ascii="宋体" w:hAnsi="宋体" w:eastAsia="宋体" w:cs="宋体"/>
                <w:color w:val="auto"/>
                <w:szCs w:val="21"/>
                <w:highlight w:val="none"/>
                <w:lang w:eastAsia="zh-CN"/>
              </w:rPr>
              <w:t>）</w:t>
            </w:r>
          </w:p>
          <w:p w14:paraId="630FE17B">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□随机抽取</w:t>
            </w:r>
          </w:p>
        </w:tc>
      </w:tr>
      <w:tr w14:paraId="34248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63" w:type="dxa"/>
            <w:tcBorders>
              <w:top w:val="single" w:color="auto" w:sz="4" w:space="0"/>
              <w:left w:val="single" w:color="auto" w:sz="4" w:space="0"/>
              <w:bottom w:val="single" w:color="auto" w:sz="4" w:space="0"/>
              <w:right w:val="single" w:color="auto" w:sz="4" w:space="0"/>
            </w:tcBorders>
            <w:vAlign w:val="center"/>
          </w:tcPr>
          <w:p w14:paraId="3A9EA2B8">
            <w:pPr>
              <w:spacing w:line="360" w:lineRule="auto"/>
              <w:rPr>
                <w:rFonts w:hint="eastAsia" w:ascii="宋体" w:hAnsi="宋体" w:eastAsia="宋体" w:cs="宋体"/>
                <w:color w:val="auto"/>
                <w:szCs w:val="21"/>
                <w:highlight w:val="none"/>
              </w:rPr>
            </w:pPr>
            <w:bookmarkStart w:id="77" w:name="_39.1"/>
            <w:bookmarkEnd w:id="77"/>
            <w:r>
              <w:rPr>
                <w:rFonts w:hint="eastAsia" w:ascii="宋体" w:hAnsi="宋体" w:eastAsia="宋体" w:cs="宋体"/>
                <w:color w:val="auto"/>
                <w:szCs w:val="21"/>
                <w:highlight w:val="none"/>
              </w:rPr>
              <w:t>35.1</w:t>
            </w:r>
          </w:p>
        </w:tc>
        <w:tc>
          <w:tcPr>
            <w:tcW w:w="7969" w:type="dxa"/>
            <w:tcBorders>
              <w:top w:val="single" w:color="auto" w:sz="4" w:space="0"/>
              <w:left w:val="single" w:color="auto" w:sz="4" w:space="0"/>
              <w:bottom w:val="single" w:color="auto" w:sz="4" w:space="0"/>
              <w:right w:val="single" w:color="auto" w:sz="4" w:space="0"/>
            </w:tcBorders>
            <w:vAlign w:val="center"/>
          </w:tcPr>
          <w:p w14:paraId="09DA110E">
            <w:pPr>
              <w:snapToGrid w:val="0"/>
              <w:spacing w:line="36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履约保证金：</w:t>
            </w:r>
            <w:r>
              <w:rPr>
                <w:rFonts w:hint="eastAsia" w:ascii="宋体" w:hAnsi="宋体" w:eastAsia="宋体" w:cs="宋体"/>
                <w:color w:val="auto"/>
                <w:sz w:val="21"/>
                <w:szCs w:val="21"/>
                <w:highlight w:val="none"/>
                <w:lang w:val="en-US" w:eastAsia="zh-CN"/>
              </w:rPr>
              <w:t>本项目无需缴纳履约保证金</w:t>
            </w:r>
          </w:p>
        </w:tc>
      </w:tr>
      <w:tr w14:paraId="118C8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69DFB89">
            <w:pPr>
              <w:spacing w:line="360" w:lineRule="auto"/>
              <w:rPr>
                <w:rFonts w:hint="eastAsia" w:ascii="宋体" w:hAnsi="宋体" w:eastAsia="宋体" w:cs="宋体"/>
                <w:color w:val="auto"/>
                <w:szCs w:val="21"/>
                <w:highlight w:val="none"/>
              </w:rPr>
            </w:pPr>
            <w:bookmarkStart w:id="78" w:name="_40.1"/>
            <w:bookmarkEnd w:id="78"/>
            <w:r>
              <w:rPr>
                <w:rFonts w:hint="eastAsia" w:ascii="宋体" w:hAnsi="宋体" w:eastAsia="宋体" w:cs="宋体"/>
                <w:color w:val="auto"/>
                <w:szCs w:val="21"/>
                <w:highlight w:val="none"/>
              </w:rPr>
              <w:t>36.1</w:t>
            </w:r>
          </w:p>
        </w:tc>
        <w:tc>
          <w:tcPr>
            <w:tcW w:w="7969" w:type="dxa"/>
            <w:tcBorders>
              <w:top w:val="single" w:color="auto" w:sz="4" w:space="0"/>
              <w:left w:val="single" w:color="auto" w:sz="4" w:space="0"/>
              <w:bottom w:val="single" w:color="auto" w:sz="4" w:space="0"/>
              <w:right w:val="single" w:color="auto" w:sz="4" w:space="0"/>
            </w:tcBorders>
            <w:vAlign w:val="center"/>
          </w:tcPr>
          <w:p w14:paraId="5F4F28CC">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签订合同携带的证明材料：</w:t>
            </w:r>
          </w:p>
          <w:p w14:paraId="2BEDAD3D">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14:paraId="4BA97F8D">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3DF0D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3D067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w:t>
            </w:r>
          </w:p>
        </w:tc>
        <w:tc>
          <w:tcPr>
            <w:tcW w:w="7969" w:type="dxa"/>
            <w:tcBorders>
              <w:top w:val="single" w:color="auto" w:sz="4" w:space="0"/>
              <w:left w:val="single" w:color="auto" w:sz="4" w:space="0"/>
              <w:bottom w:val="single" w:color="auto" w:sz="4" w:space="0"/>
              <w:right w:val="single" w:color="auto" w:sz="4" w:space="0"/>
            </w:tcBorders>
            <w:vAlign w:val="center"/>
          </w:tcPr>
          <w:p w14:paraId="08A75EF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66EF8DE7">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质疑联系部门及联系方式：广西达成咨询有限公司，联系电话：0773-3569998，通讯地址：桂林市秀峰区滨江路18号滨江大厦5楼</w:t>
            </w:r>
            <w:r>
              <w:rPr>
                <w:rFonts w:hint="eastAsia" w:ascii="宋体" w:hAnsi="宋体" w:eastAsia="宋体" w:cs="宋体"/>
                <w:color w:val="auto"/>
                <w:szCs w:val="21"/>
                <w:highlight w:val="none"/>
                <w:lang w:val="en-US" w:eastAsia="zh-CN"/>
              </w:rPr>
              <w:t xml:space="preserve">  </w:t>
            </w:r>
          </w:p>
          <w:p w14:paraId="5618F70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现场提交质疑办理业务时间：每天8时00分到12时00分，15时00分到18时00分，业务时间以外、双休日和法定节假日不办理业务。</w:t>
            </w:r>
          </w:p>
        </w:tc>
      </w:tr>
      <w:tr w14:paraId="2416A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F24A6D3">
            <w:pPr>
              <w:spacing w:line="360" w:lineRule="auto"/>
              <w:rPr>
                <w:rFonts w:hint="eastAsia" w:ascii="宋体" w:hAnsi="宋体" w:eastAsia="宋体" w:cs="宋体"/>
                <w:color w:val="auto"/>
                <w:szCs w:val="21"/>
                <w:highlight w:val="none"/>
              </w:rPr>
            </w:pPr>
            <w:bookmarkStart w:id="79" w:name="_41"/>
            <w:bookmarkEnd w:id="79"/>
            <w:bookmarkStart w:id="80" w:name="_42"/>
            <w:bookmarkEnd w:id="80"/>
            <w:bookmarkStart w:id="81" w:name="_Hlt17709148"/>
            <w:r>
              <w:rPr>
                <w:rFonts w:hint="eastAsia" w:ascii="宋体" w:hAnsi="宋体" w:eastAsia="宋体" w:cs="宋体"/>
                <w:color w:val="auto"/>
                <w:szCs w:val="21"/>
                <w:highlight w:val="none"/>
              </w:rPr>
              <w:t>3</w:t>
            </w:r>
            <w:bookmarkEnd w:id="81"/>
            <w:r>
              <w:rPr>
                <w:rFonts w:hint="eastAsia" w:ascii="宋体" w:hAnsi="宋体" w:eastAsia="宋体" w:cs="宋体"/>
                <w:color w:val="auto"/>
                <w:szCs w:val="21"/>
                <w:highlight w:val="none"/>
              </w:rPr>
              <w:t>9.1</w:t>
            </w:r>
          </w:p>
        </w:tc>
        <w:tc>
          <w:tcPr>
            <w:tcW w:w="7969" w:type="dxa"/>
            <w:tcBorders>
              <w:top w:val="single" w:color="auto" w:sz="4" w:space="0"/>
              <w:left w:val="single" w:color="auto" w:sz="4" w:space="0"/>
              <w:bottom w:val="single" w:color="auto" w:sz="4" w:space="0"/>
              <w:right w:val="single" w:color="auto" w:sz="4" w:space="0"/>
            </w:tcBorders>
            <w:vAlign w:val="center"/>
          </w:tcPr>
          <w:p w14:paraId="41A5BF58">
            <w:pPr>
              <w:pStyle w:val="25"/>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1.采购代理费支付方式：</w:t>
            </w:r>
          </w:p>
          <w:p w14:paraId="158FF127">
            <w:pPr>
              <w:autoSpaceDE w:val="0"/>
              <w:autoSpaceDN w:val="0"/>
              <w:snapToGrid w:val="0"/>
              <w:spacing w:line="360" w:lineRule="auto"/>
              <w:ind w:firstLine="420" w:firstLineChars="200"/>
              <w:textAlignment w:val="bottom"/>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☑本项目代理服务费由</w:t>
            </w:r>
            <w:r>
              <w:rPr>
                <w:rFonts w:hint="eastAsia" w:ascii="宋体" w:hAnsi="宋体" w:eastAsia="宋体" w:cs="宋体"/>
                <w:color w:val="auto"/>
                <w:sz w:val="21"/>
                <w:highlight w:val="none"/>
                <w:u w:val="single"/>
              </w:rPr>
              <w:t>中标人</w:t>
            </w:r>
            <w:r>
              <w:rPr>
                <w:rFonts w:hint="eastAsia" w:ascii="宋体" w:hAnsi="宋体" w:eastAsia="宋体" w:cs="宋体"/>
                <w:color w:val="auto"/>
                <w:sz w:val="21"/>
                <w:highlight w:val="none"/>
              </w:rPr>
              <w:t>在领取中标通知书前，一次性向采购代理机构支付。</w:t>
            </w:r>
          </w:p>
          <w:p w14:paraId="1D6B6243">
            <w:pPr>
              <w:autoSpaceDE w:val="0"/>
              <w:autoSpaceDN w:val="0"/>
              <w:snapToGrid w:val="0"/>
              <w:spacing w:line="360" w:lineRule="auto"/>
              <w:ind w:firstLine="420" w:firstLineChars="200"/>
              <w:textAlignment w:val="bottom"/>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□采购人支付。</w:t>
            </w:r>
          </w:p>
          <w:p w14:paraId="77C3403B">
            <w:pPr>
              <w:autoSpaceDE w:val="0"/>
              <w:autoSpaceDN w:val="0"/>
              <w:snapToGrid w:val="0"/>
              <w:spacing w:line="360" w:lineRule="auto"/>
              <w:textAlignment w:val="bottom"/>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w:t>
            </w:r>
            <w:r>
              <w:rPr>
                <w:rFonts w:hint="eastAsia" w:ascii="宋体" w:hAnsi="宋体" w:eastAsia="宋体" w:cs="宋体"/>
                <w:color w:val="auto"/>
                <w:szCs w:val="21"/>
                <w:highlight w:val="none"/>
              </w:rPr>
              <w:t>代理费</w:t>
            </w:r>
            <w:r>
              <w:rPr>
                <w:rFonts w:hint="eastAsia" w:ascii="宋体" w:hAnsi="宋体" w:eastAsia="宋体" w:cs="宋体"/>
                <w:color w:val="auto"/>
                <w:sz w:val="21"/>
                <w:highlight w:val="none"/>
              </w:rPr>
              <w:t>收取标准：</w:t>
            </w:r>
          </w:p>
          <w:p w14:paraId="40C10155">
            <w:pPr>
              <w:autoSpaceDE w:val="0"/>
              <w:autoSpaceDN w:val="0"/>
              <w:snapToGrid w:val="0"/>
              <w:spacing w:line="360" w:lineRule="auto"/>
              <w:ind w:firstLine="420" w:firstLineChars="200"/>
              <w:textAlignment w:val="bottom"/>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按照计价格[2002]1980号《招标代理服务收费管理暂行办法》收费标准向中标人收取。</w:t>
            </w:r>
          </w:p>
          <w:p w14:paraId="7BDA721E">
            <w:pPr>
              <w:autoSpaceDE w:val="0"/>
              <w:autoSpaceDN w:val="0"/>
              <w:snapToGrid w:val="0"/>
              <w:spacing w:line="360" w:lineRule="auto"/>
              <w:ind w:firstLine="420" w:firstLineChars="200"/>
              <w:textAlignment w:val="bottom"/>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□固定采购代理收费</w:t>
            </w:r>
            <w:r>
              <w:rPr>
                <w:rFonts w:hint="eastAsia" w:ascii="宋体" w:hAnsi="宋体" w:eastAsia="宋体" w:cs="宋体"/>
                <w:color w:val="auto"/>
                <w:sz w:val="21"/>
                <w:highlight w:val="none"/>
                <w:u w:val="single"/>
              </w:rPr>
              <w:t xml:space="preserve">       /       。</w:t>
            </w:r>
          </w:p>
          <w:p w14:paraId="334697EA">
            <w:pPr>
              <w:pStyle w:val="25"/>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3.账户名称： </w:t>
            </w:r>
          </w:p>
          <w:p w14:paraId="22173B8E">
            <w:pPr>
              <w:pStyle w:val="25"/>
              <w:snapToGrid w:val="0"/>
              <w:spacing w:line="360" w:lineRule="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开户名称：广西达成咨询有限公司第十一分公司</w:t>
            </w:r>
          </w:p>
          <w:p w14:paraId="47ECA9E8">
            <w:pPr>
              <w:pStyle w:val="25"/>
              <w:snapToGrid w:val="0"/>
              <w:spacing w:line="360" w:lineRule="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开户银行：桂林银行秀峰支行</w:t>
            </w:r>
          </w:p>
          <w:p w14:paraId="19C504DC">
            <w:pPr>
              <w:pStyle w:val="25"/>
              <w:snapToGrid w:val="0"/>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银行账号：660000022460000016</w:t>
            </w:r>
          </w:p>
        </w:tc>
      </w:tr>
      <w:tr w14:paraId="614E7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A235B2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w:t>
            </w:r>
          </w:p>
        </w:tc>
        <w:tc>
          <w:tcPr>
            <w:tcW w:w="7969" w:type="dxa"/>
            <w:tcBorders>
              <w:top w:val="single" w:color="auto" w:sz="4" w:space="0"/>
              <w:left w:val="single" w:color="auto" w:sz="4" w:space="0"/>
              <w:bottom w:val="single" w:color="auto" w:sz="4" w:space="0"/>
              <w:right w:val="single" w:color="auto" w:sz="4" w:space="0"/>
            </w:tcBorders>
            <w:vAlign w:val="center"/>
          </w:tcPr>
          <w:p w14:paraId="3A0D243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2534E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90012A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2A3BE5C4">
            <w:pPr>
              <w:snapToGrid w:val="0"/>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w:t>
            </w:r>
            <w:r>
              <w:rPr>
                <w:rFonts w:hint="eastAsia" w:ascii="宋体" w:hAnsi="宋体" w:eastAsia="宋体" w:cs="宋体"/>
                <w:b/>
                <w:bCs/>
                <w:color w:val="auto"/>
                <w:highlight w:val="none"/>
              </w:rPr>
              <w:t>公章</w:t>
            </w:r>
            <w:r>
              <w:rPr>
                <w:rFonts w:hint="eastAsia" w:ascii="宋体" w:hAnsi="宋体" w:eastAsia="宋体" w:cs="宋体"/>
                <w:b/>
                <w:color w:val="auto"/>
                <w:highlight w:val="none"/>
              </w:rPr>
              <w:t>（或CA签章）</w:t>
            </w:r>
            <w:r>
              <w:rPr>
                <w:rFonts w:hint="eastAsia" w:ascii="宋体" w:hAnsi="宋体" w:eastAsia="宋体" w:cs="宋体"/>
                <w:b/>
                <w:color w:val="auto"/>
                <w:highlight w:val="none"/>
                <w:lang w:eastAsia="zh-CN"/>
              </w:rPr>
              <w:t>。</w:t>
            </w:r>
          </w:p>
          <w:p w14:paraId="1E653F40">
            <w:pPr>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D0AEBA3">
            <w:pPr>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3.自然人投标的，招标文件规定盖公章处由自然人摁手指指印。</w:t>
            </w:r>
          </w:p>
          <w:p w14:paraId="108AB512">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4.本招标文件所称的“以上”“以下”“以内”“届满”，包括本数；所称的“不满”“超过”“以外”，不包括本数。</w:t>
            </w:r>
          </w:p>
        </w:tc>
      </w:tr>
      <w:tr w14:paraId="10889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3A923B9">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6D5605C7">
            <w:pPr>
              <w:spacing w:line="36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监督部门：桂林市叠彩区政府采购管理办公室</w:t>
            </w:r>
          </w:p>
          <w:p w14:paraId="4F337CA1">
            <w:pPr>
              <w:spacing w:line="360" w:lineRule="auto"/>
              <w:ind w:firstLine="0" w:firstLineChars="0"/>
              <w:jc w:val="left"/>
              <w:rPr>
                <w:rFonts w:hint="eastAsia" w:ascii="宋体" w:hAnsi="宋体" w:eastAsia="宋体" w:cs="宋体"/>
                <w:b/>
                <w:bCs/>
                <w:color w:val="auto"/>
                <w:szCs w:val="21"/>
                <w:highlight w:val="none"/>
              </w:rPr>
            </w:pPr>
            <w:r>
              <w:rPr>
                <w:rFonts w:hint="eastAsia" w:ascii="宋体" w:hAnsi="宋体" w:eastAsia="宋体" w:cs="宋体"/>
                <w:color w:val="auto"/>
                <w:highlight w:val="none"/>
                <w:lang w:val="en-US" w:eastAsia="zh-CN"/>
              </w:rPr>
              <w:t>监督</w:t>
            </w:r>
            <w:r>
              <w:rPr>
                <w:rFonts w:hint="eastAsia" w:ascii="宋体" w:hAnsi="宋体" w:eastAsia="宋体" w:cs="宋体"/>
                <w:color w:val="auto"/>
                <w:highlight w:val="none"/>
              </w:rPr>
              <w:t>联系电话：</w:t>
            </w:r>
            <w:r>
              <w:rPr>
                <w:rFonts w:hint="eastAsia" w:ascii="宋体" w:hAnsi="宋体" w:eastAsia="宋体" w:cs="宋体"/>
                <w:i w:val="0"/>
                <w:iCs w:val="0"/>
                <w:caps w:val="0"/>
                <w:color w:val="auto"/>
                <w:spacing w:val="0"/>
                <w:sz w:val="21"/>
                <w:szCs w:val="21"/>
                <w:highlight w:val="none"/>
                <w:lang w:eastAsia="zh-CN"/>
              </w:rPr>
              <w:t>0773-8983695</w:t>
            </w:r>
          </w:p>
        </w:tc>
      </w:tr>
    </w:tbl>
    <w:p w14:paraId="4E53686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93B384">
      <w:pPr>
        <w:pStyle w:val="3"/>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投标人须知正文</w:t>
      </w:r>
    </w:p>
    <w:p w14:paraId="1CC674D4">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一、总则</w:t>
      </w:r>
    </w:p>
    <w:p w14:paraId="5171CFFE">
      <w:pPr>
        <w:pStyle w:val="5"/>
        <w:keepNext w:val="0"/>
        <w:keepLines w:val="0"/>
        <w:spacing w:before="0" w:after="0" w:line="360" w:lineRule="auto"/>
        <w:rPr>
          <w:rFonts w:hint="eastAsia" w:ascii="宋体" w:hAnsi="宋体" w:eastAsia="宋体" w:cs="宋体"/>
          <w:color w:val="auto"/>
          <w:sz w:val="21"/>
          <w:szCs w:val="21"/>
          <w:highlight w:val="none"/>
        </w:rPr>
      </w:pPr>
      <w:bookmarkStart w:id="82" w:name="_Toc254970527"/>
      <w:bookmarkStart w:id="83" w:name="_Toc254970668"/>
      <w:r>
        <w:rPr>
          <w:rFonts w:hint="eastAsia" w:ascii="宋体" w:hAnsi="宋体" w:eastAsia="宋体" w:cs="宋体"/>
          <w:color w:val="auto"/>
          <w:sz w:val="21"/>
          <w:szCs w:val="21"/>
          <w:highlight w:val="none"/>
        </w:rPr>
        <w:t>1.适用范围</w:t>
      </w:r>
      <w:bookmarkEnd w:id="82"/>
      <w:bookmarkEnd w:id="83"/>
    </w:p>
    <w:p w14:paraId="349EDD9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5EB2CD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0050770F">
      <w:pPr>
        <w:pStyle w:val="5"/>
        <w:keepNext w:val="0"/>
        <w:keepLines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2.定义</w:t>
      </w:r>
    </w:p>
    <w:p w14:paraId="7F6087D7">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475ECF1D">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2.2“采购代理机构”是指政府采购代理机构（以下简称采购代理机构）是指集中采购机构以外、受采购人委托从事政府采购代理业务的社会中介机构。</w:t>
      </w:r>
    </w:p>
    <w:p w14:paraId="03F86B48">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7D48FF9C">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2.4“投标人”是指响应招标、参加投标竞争的法人、非法人组织或者自然人。</w:t>
      </w:r>
    </w:p>
    <w:p w14:paraId="7D518741">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2.5“服务”是指除货物和工程以外的其他政府采购对象。</w:t>
      </w:r>
    </w:p>
    <w:p w14:paraId="2BCBC4BA">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14:paraId="4BC9204A">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2.7“书面形式”是指合同书、信件和数据电文（包括电报、电传、传真、电子数据交换和电子邮件）等可以有形地表现所载内容的形式。</w:t>
      </w:r>
    </w:p>
    <w:p w14:paraId="458C7127">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2.8“实质性要求”是指招标文件中已经指明不满足则投标无效的条款，或者不能负偏离的条款。</w:t>
      </w:r>
    </w:p>
    <w:p w14:paraId="6D3312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2.9“正偏离”，是指投标文件对招标文件“采购需求”中有关条款作出的响应优于条款要求并有利于采购人的情形。</w:t>
      </w:r>
    </w:p>
    <w:p w14:paraId="57236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2.10“负偏离”，是指投标文件对招标文件“采购需求”中有关条款作出的响应不满足条款要求，导致采购人要求不能得到满足的情形。</w:t>
      </w:r>
    </w:p>
    <w:p w14:paraId="1A6D5A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bookmarkStart w:id="84" w:name="_Toc254970670"/>
      <w:bookmarkStart w:id="85" w:name="_Toc254970529"/>
    </w:p>
    <w:p w14:paraId="6334FA3D">
      <w:pPr>
        <w:pStyle w:val="5"/>
        <w:keepNext w:val="0"/>
        <w:keepLines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84"/>
      <w:bookmarkEnd w:id="85"/>
      <w:r>
        <w:rPr>
          <w:rFonts w:hint="eastAsia" w:ascii="宋体" w:hAnsi="宋体" w:eastAsia="宋体" w:cs="宋体"/>
          <w:color w:val="auto"/>
          <w:sz w:val="21"/>
          <w:szCs w:val="21"/>
          <w:highlight w:val="none"/>
        </w:rPr>
        <w:t>投标人的资格要求</w:t>
      </w:r>
    </w:p>
    <w:p w14:paraId="6C51A9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14:paraId="06D5377A">
      <w:pPr>
        <w:pStyle w:val="5"/>
        <w:keepNext w:val="0"/>
        <w:keepLines w:val="0"/>
        <w:spacing w:before="0" w:after="0" w:line="360" w:lineRule="auto"/>
        <w:rPr>
          <w:rFonts w:hint="eastAsia" w:ascii="宋体" w:hAnsi="宋体" w:eastAsia="宋体" w:cs="宋体"/>
          <w:color w:val="auto"/>
          <w:sz w:val="21"/>
          <w:szCs w:val="21"/>
          <w:highlight w:val="none"/>
        </w:rPr>
      </w:pPr>
      <w:bookmarkStart w:id="86" w:name="_Toc254970671"/>
      <w:bookmarkStart w:id="87" w:name="_Toc254970530"/>
      <w:r>
        <w:rPr>
          <w:rFonts w:hint="eastAsia" w:ascii="宋体" w:hAnsi="宋体" w:eastAsia="宋体" w:cs="宋体"/>
          <w:color w:val="auto"/>
          <w:sz w:val="21"/>
          <w:szCs w:val="21"/>
          <w:highlight w:val="none"/>
        </w:rPr>
        <w:t>4.投标委托</w:t>
      </w:r>
      <w:bookmarkEnd w:id="86"/>
      <w:bookmarkEnd w:id="87"/>
    </w:p>
    <w:p w14:paraId="2397B32C">
      <w:pPr>
        <w:spacing w:line="360" w:lineRule="auto"/>
        <w:ind w:firstLine="420" w:firstLineChars="200"/>
        <w:rPr>
          <w:rFonts w:hint="eastAsia" w:ascii="宋体" w:hAnsi="宋体" w:eastAsia="宋体" w:cs="宋体"/>
          <w:color w:val="auto"/>
          <w:szCs w:val="21"/>
          <w:highlight w:val="none"/>
        </w:rPr>
      </w:pPr>
      <w:bookmarkStart w:id="88" w:name="_5.投标费用"/>
      <w:bookmarkEnd w:id="88"/>
      <w:bookmarkStart w:id="89" w:name="_Toc254970672"/>
      <w:bookmarkStart w:id="90" w:name="_Toc254970531"/>
      <w:r>
        <w:rPr>
          <w:rFonts w:hint="eastAsia" w:ascii="宋体" w:hAnsi="宋体" w:eastAsia="宋体" w:cs="宋体"/>
          <w:color w:val="auto"/>
          <w:szCs w:val="21"/>
          <w:highlight w:val="none"/>
        </w:rPr>
        <w:t>投标人代表参加投标活动过程中必须</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个人有效身份证件。如投标人代表不是法定代表人，须持有法定代表人授权委托书（按第六章要求格式填写）。</w:t>
      </w:r>
    </w:p>
    <w:p w14:paraId="6AF76EEB">
      <w:pPr>
        <w:pStyle w:val="5"/>
        <w:keepNext w:val="0"/>
        <w:keepLines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5.投标费用</w:t>
      </w:r>
      <w:bookmarkEnd w:id="89"/>
      <w:bookmarkEnd w:id="90"/>
    </w:p>
    <w:p w14:paraId="02CF47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8FE19A2">
      <w:pPr>
        <w:pStyle w:val="5"/>
        <w:keepNext w:val="0"/>
        <w:keepLines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w:t>
      </w:r>
    </w:p>
    <w:p w14:paraId="3830DF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1899B023">
      <w:pPr>
        <w:spacing w:line="360" w:lineRule="auto"/>
        <w:ind w:firstLine="420" w:firstLineChars="200"/>
        <w:rPr>
          <w:rFonts w:hint="eastAsia" w:ascii="宋体" w:hAnsi="宋体" w:eastAsia="宋体" w:cs="宋体"/>
          <w:bCs w:val="0"/>
          <w:color w:val="auto"/>
          <w:szCs w:val="24"/>
          <w:highlight w:val="none"/>
        </w:rPr>
      </w:pPr>
      <w:r>
        <w:rPr>
          <w:rFonts w:hint="eastAsia" w:ascii="宋体" w:hAnsi="宋体" w:eastAsia="宋体" w:cs="宋体"/>
          <w:bCs w:val="0"/>
          <w:color w:val="auto"/>
          <w:szCs w:val="24"/>
          <w:highlight w:val="none"/>
        </w:rPr>
        <w:t>6.2如接受联合体投标，联合体投标要求详见“投标人须知前附表”。</w:t>
      </w:r>
    </w:p>
    <w:p w14:paraId="605AA4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val="0"/>
          <w:color w:val="auto"/>
          <w:szCs w:val="24"/>
          <w:highlight w:val="none"/>
        </w:rPr>
        <w:t>6.3</w:t>
      </w:r>
      <w:r>
        <w:rPr>
          <w:rFonts w:hint="eastAsia" w:ascii="宋体" w:hAnsi="宋体" w:eastAsia="宋体" w:cs="宋体"/>
          <w:color w:val="auto"/>
          <w:highlight w:val="none"/>
        </w:rPr>
        <w:t>根据《政府采购促进中小企业发展管理办法》（财库〔2020〕46号）及《广西壮族自治区财政厅关于持续优化政府采购营商环境推动高质量发展的通知》（桂财采〔2024〕55号）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-6%的价格扣除。联合体各方均为中小企业的，联合体视同中小企业。其中，联合体各方均为小微企业的，联合体视同小微企业。组成联合体的</w:t>
      </w:r>
      <w:r>
        <w:rPr>
          <w:rFonts w:hint="eastAsia" w:ascii="宋体" w:hAnsi="宋体" w:eastAsia="宋体" w:cs="宋体"/>
          <w:bCs/>
          <w:color w:val="auto"/>
          <w:szCs w:val="21"/>
          <w:highlight w:val="none"/>
        </w:rPr>
        <w:t>大中型企业和其他自然人、法人或者其他组织，与小型、微型企业之间不得存在投资关系。”</w:t>
      </w:r>
    </w:p>
    <w:p w14:paraId="58CD9DF1">
      <w:pPr>
        <w:pStyle w:val="5"/>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7.转包与分包</w:t>
      </w:r>
    </w:p>
    <w:p w14:paraId="3D8D110E">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2F28D535">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02497EF">
      <w:pPr>
        <w:pStyle w:val="5"/>
        <w:keepNext w:val="0"/>
        <w:keepLines w:val="0"/>
        <w:spacing w:before="0" w:after="0" w:line="360" w:lineRule="auto"/>
        <w:rPr>
          <w:rFonts w:hint="eastAsia" w:ascii="宋体" w:hAnsi="宋体" w:eastAsia="宋体" w:cs="宋体"/>
          <w:color w:val="auto"/>
          <w:sz w:val="21"/>
          <w:szCs w:val="21"/>
          <w:highlight w:val="none"/>
        </w:rPr>
      </w:pPr>
      <w:bookmarkStart w:id="91" w:name="_Toc254970673"/>
      <w:bookmarkStart w:id="92" w:name="_Toc254970532"/>
      <w:r>
        <w:rPr>
          <w:rFonts w:hint="eastAsia" w:ascii="宋体" w:hAnsi="宋体" w:eastAsia="宋体" w:cs="宋体"/>
          <w:color w:val="auto"/>
          <w:sz w:val="21"/>
          <w:szCs w:val="21"/>
          <w:highlight w:val="none"/>
        </w:rPr>
        <w:t>8.特别说明：</w:t>
      </w:r>
      <w:bookmarkEnd w:id="91"/>
      <w:bookmarkEnd w:id="92"/>
    </w:p>
    <w:p w14:paraId="454FB9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"_8.1"</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8.1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lang w:val="en-US" w:eastAsia="zh-CN"/>
        </w:rPr>
        <w:t>如是货物采购的：①</w:t>
      </w:r>
      <w:r>
        <w:rPr>
          <w:rFonts w:hint="eastAsia" w:ascii="宋体" w:hAnsi="宋体" w:eastAsia="宋体" w:cs="宋体"/>
          <w:b w:val="0"/>
          <w:color w:val="auto"/>
          <w:sz w:val="21"/>
          <w:szCs w:val="21"/>
          <w:highlight w:val="none"/>
        </w:rPr>
        <w:t>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Cs w:val="21"/>
          <w:highlight w:val="none"/>
        </w:rPr>
        <w:t>若评标报价相同的，</w:t>
      </w:r>
      <w:r>
        <w:rPr>
          <w:rFonts w:hint="eastAsia" w:ascii="宋体" w:hAnsi="宋体" w:eastAsia="宋体" w:cs="宋体"/>
          <w:color w:val="auto"/>
          <w:szCs w:val="21"/>
          <w:highlight w:val="none"/>
          <w:lang w:val="en-US" w:eastAsia="zh-CN"/>
        </w:rPr>
        <w:t>按投标报价低的确定，</w:t>
      </w:r>
      <w:r>
        <w:rPr>
          <w:rFonts w:hint="eastAsia" w:ascii="宋体" w:hAnsi="宋体" w:eastAsia="宋体" w:cs="宋体"/>
          <w:color w:val="auto"/>
          <w:szCs w:val="21"/>
          <w:highlight w:val="none"/>
        </w:rPr>
        <w:t>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也</w:t>
      </w:r>
      <w:r>
        <w:rPr>
          <w:rFonts w:hint="eastAsia" w:ascii="宋体" w:hAnsi="宋体" w:eastAsia="宋体" w:cs="宋体"/>
          <w:color w:val="auto"/>
          <w:szCs w:val="21"/>
          <w:highlight w:val="none"/>
        </w:rPr>
        <w:t>相同的，由采购人或者采购人委托评标委员会采取随机抽取的方式确定一个投标人获得中标人推荐资格，其他同品牌投标人</w:t>
      </w:r>
      <w:r>
        <w:rPr>
          <w:rFonts w:hint="eastAsia" w:ascii="宋体" w:hAnsi="宋体" w:eastAsia="宋体" w:cs="宋体"/>
          <w:color w:val="auto"/>
          <w:sz w:val="21"/>
          <w:szCs w:val="21"/>
          <w:highlight w:val="none"/>
        </w:rPr>
        <w:t>投标无效。</w:t>
      </w:r>
      <w:r>
        <w:rPr>
          <w:rFonts w:hint="eastAsia" w:ascii="宋体" w:hAnsi="宋体" w:eastAsia="宋体" w:cs="宋体"/>
          <w:color w:val="auto"/>
          <w:szCs w:val="21"/>
          <w:highlight w:val="none"/>
          <w:lang w:val="en-US" w:eastAsia="zh-CN"/>
        </w:rPr>
        <w:t>②</w:t>
      </w:r>
      <w:r>
        <w:rPr>
          <w:rFonts w:hint="eastAsia" w:ascii="宋体" w:hAnsi="宋体" w:eastAsia="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Cs w:val="21"/>
          <w:highlight w:val="none"/>
        </w:rPr>
        <w:t>若</w:t>
      </w:r>
      <w:r>
        <w:rPr>
          <w:rFonts w:hint="eastAsia" w:ascii="宋体" w:hAnsi="宋体" w:eastAsia="宋体" w:cs="宋体"/>
          <w:b w:val="0"/>
          <w:color w:val="auto"/>
          <w:sz w:val="21"/>
          <w:szCs w:val="21"/>
          <w:highlight w:val="none"/>
        </w:rPr>
        <w:t>评审得分相同的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按投标报价低的确定，</w:t>
      </w:r>
      <w:r>
        <w:rPr>
          <w:rFonts w:hint="eastAsia" w:ascii="宋体" w:hAnsi="宋体" w:eastAsia="宋体" w:cs="宋体"/>
          <w:color w:val="auto"/>
          <w:szCs w:val="21"/>
          <w:highlight w:val="none"/>
        </w:rPr>
        <w:t>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报价相同的，由采购人或者采购人委托评标委员会采取随机抽取的方式确定一个投标人获得中标人推荐资格</w:t>
      </w:r>
      <w:r>
        <w:rPr>
          <w:rFonts w:hint="eastAsia" w:ascii="宋体" w:hAnsi="宋体" w:eastAsia="宋体" w:cs="宋体"/>
          <w:b w:val="0"/>
          <w:color w:val="auto"/>
          <w:sz w:val="21"/>
          <w:szCs w:val="21"/>
          <w:highlight w:val="none"/>
        </w:rPr>
        <w:t>，其他同品牌投标人不作为中标候选人</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注：评标办法中另有约定的</w:t>
      </w:r>
      <w:r>
        <w:rPr>
          <w:rFonts w:hint="eastAsia" w:ascii="宋体" w:hAnsi="宋体" w:eastAsia="宋体" w:cs="宋体"/>
          <w:b w:val="0"/>
          <w:color w:val="auto"/>
          <w:sz w:val="21"/>
          <w:szCs w:val="21"/>
          <w:highlight w:val="none"/>
        </w:rPr>
        <w:t>中标人推荐</w:t>
      </w:r>
      <w:r>
        <w:rPr>
          <w:rFonts w:hint="eastAsia" w:ascii="宋体" w:hAnsi="宋体" w:eastAsia="宋体" w:cs="宋体"/>
          <w:b w:val="0"/>
          <w:color w:val="auto"/>
          <w:sz w:val="21"/>
          <w:szCs w:val="21"/>
          <w:highlight w:val="none"/>
          <w:lang w:val="en-US" w:eastAsia="zh-CN"/>
        </w:rPr>
        <w:t>方式，则按评标办法约定执行</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w:t>
      </w:r>
      <w:r>
        <w:rPr>
          <w:rFonts w:hint="eastAsia" w:ascii="宋体" w:hAnsi="宋体" w:eastAsia="宋体" w:cs="宋体"/>
          <w:color w:val="auto"/>
          <w:szCs w:val="21"/>
          <w:highlight w:val="none"/>
          <w:lang w:val="en-US" w:eastAsia="zh-CN"/>
        </w:rPr>
        <w:t>③</w:t>
      </w:r>
      <w:r>
        <w:rPr>
          <w:rFonts w:hint="eastAsia" w:ascii="宋体" w:hAnsi="宋体" w:eastAsia="宋体" w:cs="宋体"/>
          <w:color w:val="auto"/>
          <w:szCs w:val="21"/>
          <w:highlight w:val="none"/>
        </w:rPr>
        <w:t>非单一产品采购项目，多家投标人提供的核心产品品牌相同的，按前</w:t>
      </w:r>
      <w:r>
        <w:rPr>
          <w:rFonts w:hint="eastAsia" w:ascii="宋体" w:hAnsi="宋体" w:eastAsia="宋体" w:cs="宋体"/>
          <w:color w:val="auto"/>
          <w:szCs w:val="21"/>
          <w:highlight w:val="none"/>
          <w:lang w:val="en-US" w:eastAsia="zh-CN"/>
        </w:rPr>
        <w:t>①及②</w:t>
      </w:r>
      <w:r>
        <w:rPr>
          <w:rFonts w:hint="eastAsia" w:ascii="宋体" w:hAnsi="宋体" w:eastAsia="宋体" w:cs="宋体"/>
          <w:color w:val="auto"/>
          <w:szCs w:val="21"/>
          <w:highlight w:val="none"/>
        </w:rPr>
        <w:t>款规定处理。</w:t>
      </w:r>
      <w:r>
        <w:rPr>
          <w:rFonts w:hint="eastAsia" w:ascii="宋体" w:hAnsi="宋体" w:eastAsia="宋体" w:cs="宋体"/>
          <w:color w:val="auto"/>
          <w:szCs w:val="21"/>
          <w:highlight w:val="none"/>
          <w:lang w:eastAsia="zh-CN"/>
        </w:rPr>
        <w:t>④</w:t>
      </w:r>
      <w:r>
        <w:rPr>
          <w:rFonts w:hint="eastAsia" w:ascii="宋体" w:hAnsi="宋体" w:eastAsia="宋体" w:cs="宋体"/>
          <w:color w:val="auto"/>
          <w:szCs w:val="21"/>
          <w:highlight w:val="none"/>
        </w:rPr>
        <w:t>若项目为服务类项目，则无需按上述要求执行。</w:t>
      </w:r>
    </w:p>
    <w:p w14:paraId="57382658">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8.2如果本招标文件要求投标人提供资格、信誉、荣誉、业绩与企业认证等材料的，则投标人所提供的以上材料必须为投标人所拥有（评标办法中有其他要求的，则按评标办法要求）。</w:t>
      </w:r>
    </w:p>
    <w:p w14:paraId="4F9B97CC">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8.3投标人应仔细阅读招标文件的所有内容，按照招标文件的要求提交投标文件，并对所提供的全部资料的真实性承担法律责任。</w:t>
      </w:r>
    </w:p>
    <w:p w14:paraId="1106E1CB">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8.4投标人在投标活动中提供任何虚假材料，将报监管部门查处；中标后发现的，中标人须依</w:t>
      </w:r>
      <w:r>
        <w:rPr>
          <w:rFonts w:hint="eastAsia" w:ascii="宋体" w:hAnsi="宋体" w:eastAsia="宋体" w:cs="宋体"/>
          <w:b w:val="0"/>
          <w:color w:val="auto"/>
          <w:sz w:val="21"/>
          <w:szCs w:val="21"/>
          <w:highlight w:val="none"/>
          <w:lang w:val="en-US" w:eastAsia="zh-CN"/>
        </w:rPr>
        <w:t>法</w:t>
      </w:r>
      <w:r>
        <w:rPr>
          <w:rFonts w:hint="eastAsia" w:ascii="宋体" w:hAnsi="宋体" w:eastAsia="宋体" w:cs="宋体"/>
          <w:b w:val="0"/>
          <w:color w:val="auto"/>
          <w:sz w:val="21"/>
          <w:szCs w:val="21"/>
          <w:highlight w:val="none"/>
        </w:rPr>
        <w:t>赔偿采购人，且民事赔偿并不免除违法投标人的行政与刑事责任。</w:t>
      </w:r>
    </w:p>
    <w:p w14:paraId="2EB2BF9A">
      <w:pPr>
        <w:pStyle w:val="5"/>
        <w:keepNext w:val="0"/>
        <w:keepLines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9.回避与串通投标</w:t>
      </w:r>
    </w:p>
    <w:p w14:paraId="292D3C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9.1在政府采购活动中，采购人员及相关人员与</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有下列利害关系之一的，应当回避：</w:t>
      </w:r>
    </w:p>
    <w:p w14:paraId="4DC5BC50">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（1）参加采购活动前3年内与</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存在劳动关系；</w:t>
      </w:r>
    </w:p>
    <w:p w14:paraId="7CAFA627">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（2）参加采购活动前3年内担任</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的董事、监事；</w:t>
      </w:r>
    </w:p>
    <w:p w14:paraId="78326429">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（3）参加采购活动前3年内是</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的控股股东或者实际控制人；</w:t>
      </w:r>
    </w:p>
    <w:p w14:paraId="76376570">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（4）与</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的法定代表人或者负责人有夫妻、直系血亲、三代以内旁系血亲或者近姻亲关系；</w:t>
      </w:r>
    </w:p>
    <w:p w14:paraId="2B860623">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（5）与</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有其他可能影响政府采购活动公平、公正进行的关系。</w:t>
      </w:r>
    </w:p>
    <w:p w14:paraId="01E9C0F3">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认为采购人员及相关人员与其他</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1C331C19">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9.2有下列情形之一的视为投标人相互串通投标，投标文件将被视为无效：</w:t>
      </w:r>
    </w:p>
    <w:p w14:paraId="780683CE">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（1）不同投标人的投标文件由同一单位或者个人编制；或者不同投标人报名的IP地址一致的；</w:t>
      </w:r>
    </w:p>
    <w:p w14:paraId="25529035">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（2）不同投标人委托同一单位或者个人办理投标事宜；</w:t>
      </w:r>
    </w:p>
    <w:p w14:paraId="401AEBBB">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（3）不同的投标人的投标文件载明的项目管理员为同一个人；</w:t>
      </w:r>
    </w:p>
    <w:p w14:paraId="0BC6513F">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（4）不同投标人的投标文件异常一致或者投标报价呈规律性差异；</w:t>
      </w:r>
    </w:p>
    <w:p w14:paraId="202A17CC">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（5）不同投标人的投标文件相互混装；</w:t>
      </w:r>
    </w:p>
    <w:p w14:paraId="3DD8D284">
      <w:pPr>
        <w:pStyle w:val="25"/>
        <w:snapToGrid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kern w:val="2"/>
          <w:sz w:val="21"/>
          <w:highlight w:val="none"/>
        </w:rPr>
        <w:t>（6）不同投标人的投标保证金从同一单位或者个人账户转出。</w:t>
      </w:r>
    </w:p>
    <w:p w14:paraId="3B08893D">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szCs w:val="21"/>
          <w:highlight w:val="none"/>
        </w:rPr>
        <w:t>（7）投标人之间协商投标报价等投标文件的实质性内容；</w:t>
      </w:r>
    </w:p>
    <w:p w14:paraId="23B18E64">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szCs w:val="21"/>
          <w:highlight w:val="none"/>
        </w:rPr>
        <w:t>（8）投标人之间约定中标人；</w:t>
      </w:r>
    </w:p>
    <w:p w14:paraId="49D96794">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szCs w:val="21"/>
          <w:highlight w:val="none"/>
        </w:rPr>
        <w:t>（9）投标人之间约定部分投标人放弃投标或者中标；</w:t>
      </w:r>
    </w:p>
    <w:p w14:paraId="2BEF4CBE">
      <w:pPr>
        <w:pStyle w:val="25"/>
        <w:snapToGrid w:val="0"/>
        <w:spacing w:line="360" w:lineRule="auto"/>
        <w:ind w:left="0" w:leftChars="0"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szCs w:val="21"/>
          <w:highlight w:val="none"/>
        </w:rPr>
        <w:t>（10）属于同一集团、协会、商会等组织成员的投标人按照该组织要求协同投标；</w:t>
      </w:r>
    </w:p>
    <w:p w14:paraId="2A32B68C">
      <w:pPr>
        <w:pStyle w:val="25"/>
        <w:snapToGrid w:val="0"/>
        <w:spacing w:line="360" w:lineRule="auto"/>
        <w:ind w:left="0" w:leftChars="0"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（11）投标人之间为谋取中标或者排斥特定投标人而采取的其他联合行动。</w:t>
      </w:r>
    </w:p>
    <w:p w14:paraId="2B100913">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9.3</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有下列情形之一的，属于恶意串通行为，将报同级监督管理部门：</w:t>
      </w:r>
    </w:p>
    <w:p w14:paraId="6029AFDB">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（1）</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直接或者间接从采购人或者采购代理机构处获得其他</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的相关信息并修改其投标文件或者响应文件；</w:t>
      </w:r>
    </w:p>
    <w:p w14:paraId="4ED63D6E">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按照采购人或者采购代理机构的授意撤换、修改投标文件或者响应文件；</w:t>
      </w:r>
    </w:p>
    <w:p w14:paraId="04097B31">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之间协商报价、技术方案等投标文件或者响应文件的实质性内容；</w:t>
      </w:r>
    </w:p>
    <w:p w14:paraId="3FD5D352">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（4）属于同一集团、协会、商会等组织成员的</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按照该组织要求协同参加政府采购活动；</w:t>
      </w:r>
    </w:p>
    <w:p w14:paraId="1156A555">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之间事先约定一致抬高或者压低投标报价，或者在招标项目中事先约定轮流以高价位或者低价位中标，或者事先约定由某一特定</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中标，然后再参加投标；</w:t>
      </w:r>
    </w:p>
    <w:p w14:paraId="18BFEAC3">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（6）</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之间商定部分</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放弃参加政府采购活动或者放弃中标；</w:t>
      </w:r>
    </w:p>
    <w:p w14:paraId="493D6233">
      <w:pPr>
        <w:pStyle w:val="25"/>
        <w:snapToGrid w:val="0"/>
        <w:spacing w:line="360" w:lineRule="auto"/>
        <w:ind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（7）</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与采购人或者采购代理机构之间、</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相互之间，为谋求特定</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中标或者排斥其他</w:t>
      </w:r>
      <w:r>
        <w:rPr>
          <w:rFonts w:hint="eastAsia" w:ascii="宋体" w:hAnsi="宋体" w:eastAsia="宋体" w:cs="宋体"/>
          <w:b/>
          <w:color w:val="auto"/>
          <w:kern w:val="2"/>
          <w:sz w:val="21"/>
          <w:highlight w:val="none"/>
          <w:lang w:eastAsia="zh-CN"/>
        </w:rPr>
        <w:t>投标人</w:t>
      </w:r>
      <w:r>
        <w:rPr>
          <w:rFonts w:hint="eastAsia" w:ascii="宋体" w:hAnsi="宋体" w:eastAsia="宋体" w:cs="宋体"/>
          <w:b/>
          <w:color w:val="auto"/>
          <w:kern w:val="2"/>
          <w:sz w:val="21"/>
          <w:highlight w:val="none"/>
        </w:rPr>
        <w:t>的其他串通行为。</w:t>
      </w:r>
    </w:p>
    <w:p w14:paraId="0F957738">
      <w:pPr>
        <w:pStyle w:val="4"/>
        <w:bidi w:val="0"/>
        <w:rPr>
          <w:rFonts w:hint="eastAsia" w:ascii="宋体" w:hAnsi="宋体" w:eastAsia="宋体" w:cs="宋体"/>
          <w:color w:val="auto"/>
          <w:highlight w:val="none"/>
        </w:rPr>
      </w:pPr>
      <w:bookmarkStart w:id="93" w:name="_Toc254970534"/>
      <w:bookmarkStart w:id="94" w:name="_Toc254970675"/>
      <w:r>
        <w:rPr>
          <w:rFonts w:hint="eastAsia" w:ascii="宋体" w:hAnsi="宋体" w:eastAsia="宋体" w:cs="宋体"/>
          <w:color w:val="auto"/>
          <w:highlight w:val="none"/>
        </w:rPr>
        <w:t>二、招标文件</w:t>
      </w:r>
      <w:bookmarkEnd w:id="93"/>
      <w:bookmarkEnd w:id="94"/>
    </w:p>
    <w:p w14:paraId="2E22D0E0">
      <w:pPr>
        <w:pStyle w:val="5"/>
        <w:keepNext w:val="0"/>
        <w:keepLines w:val="0"/>
        <w:numPr>
          <w:ilvl w:val="255"/>
          <w:numId w:val="0"/>
        </w:numPr>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10.招标文件的组成</w:t>
      </w:r>
    </w:p>
    <w:p w14:paraId="67814356">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5E16E4C2">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（2）采购需求；</w:t>
      </w:r>
    </w:p>
    <w:p w14:paraId="471AB185">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756FC5DC">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（4）评标方法及评标标准；</w:t>
      </w:r>
    </w:p>
    <w:p w14:paraId="5480ACF4">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0FF6F21C">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52DE4709">
      <w:pPr>
        <w:pStyle w:val="5"/>
        <w:keepNext w:val="0"/>
        <w:keepLines w:val="0"/>
        <w:numPr>
          <w:ilvl w:val="255"/>
          <w:numId w:val="0"/>
        </w:numPr>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11.招标文件的澄清、修改、现场考察和答疑会</w:t>
      </w:r>
    </w:p>
    <w:p w14:paraId="20391610">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11.1投标人应认真审阅本招标文件，如有疑问，或发现其中有误或有要求不合理的，</w:t>
      </w:r>
      <w:r>
        <w:rPr>
          <w:rFonts w:hint="eastAsia" w:ascii="宋体" w:hAnsi="宋体" w:eastAsia="宋体" w:cs="宋体"/>
          <w:b w:val="0"/>
          <w:color w:val="auto"/>
          <w:sz w:val="21"/>
          <w:szCs w:val="21"/>
          <w:highlight w:val="none"/>
          <w:lang w:val="en-US" w:eastAsia="zh-CN"/>
        </w:rPr>
        <w:t>按</w:t>
      </w:r>
      <w:r>
        <w:rPr>
          <w:rFonts w:hint="eastAsia" w:ascii="宋体" w:hAnsi="宋体" w:eastAsia="宋体" w:cs="宋体"/>
          <w:b w:val="0"/>
          <w:color w:val="auto"/>
          <w:sz w:val="21"/>
          <w:szCs w:val="21"/>
          <w:highlight w:val="none"/>
        </w:rPr>
        <w:t>《政府采购质疑和投诉办法》（财政部令第94号）及本项目招标文件规定，投标人认为招标文件使自己的合法权益受到损害的，应当在获取招标文件之日起七个工作日内以书面形式向采购代理机构提出质疑；否则，由此产生的后果由投标人自行负责。</w:t>
      </w:r>
    </w:p>
    <w:p w14:paraId="49101E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A7C96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11.3采购人和采购代理机构可以视采购具体情况，变更投标截止时间和开标时间，并在原公告发布媒体上发布更正公告。</w:t>
      </w:r>
    </w:p>
    <w:p w14:paraId="68A63E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11.4招标文件澄清、答复、修改、补充的内容为招标文件的组成部分。</w:t>
      </w:r>
      <w:r>
        <w:rPr>
          <w:rFonts w:hint="eastAsia" w:ascii="宋体" w:hAnsi="宋体" w:eastAsia="宋体" w:cs="宋体"/>
          <w:b/>
          <w:color w:val="auto"/>
          <w:sz w:val="21"/>
          <w:szCs w:val="21"/>
          <w:highlight w:val="none"/>
        </w:rPr>
        <w:t>当招标文件与招标文件的澄清、答复、修改、补充通知就同一内容的表述不一致时，以最后发出的文件为准。</w:t>
      </w:r>
    </w:p>
    <w:p w14:paraId="4CC92486">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11.5采购人或者采购代理机构可以在招标文件提供期限截止后，组织已获取招标文件的潜在投标人现场考察或者召开开标前答疑会，具体详见“投标人须知前附表”。</w:t>
      </w:r>
    </w:p>
    <w:p w14:paraId="57F58C0B">
      <w:pPr>
        <w:pStyle w:val="4"/>
        <w:bidi w:val="0"/>
        <w:rPr>
          <w:rFonts w:hint="eastAsia" w:ascii="宋体" w:hAnsi="宋体" w:eastAsia="宋体" w:cs="宋体"/>
          <w:color w:val="auto"/>
          <w:highlight w:val="none"/>
        </w:rPr>
      </w:pPr>
      <w:bookmarkStart w:id="95" w:name="_Toc254970535"/>
      <w:bookmarkStart w:id="96" w:name="_Toc254970676"/>
      <w:r>
        <w:rPr>
          <w:rFonts w:hint="eastAsia" w:ascii="宋体" w:hAnsi="宋体" w:eastAsia="宋体" w:cs="宋体"/>
          <w:color w:val="auto"/>
          <w:highlight w:val="none"/>
        </w:rPr>
        <w:t>三、投标文件的编制</w:t>
      </w:r>
      <w:bookmarkEnd w:id="95"/>
      <w:bookmarkEnd w:id="96"/>
    </w:p>
    <w:p w14:paraId="0D8C33D7">
      <w:pPr>
        <w:pStyle w:val="5"/>
        <w:keepNext w:val="0"/>
        <w:keepLines w:val="0"/>
        <w:numPr>
          <w:ilvl w:val="255"/>
          <w:numId w:val="0"/>
        </w:numPr>
        <w:spacing w:before="0" w:after="0" w:line="360" w:lineRule="auto"/>
        <w:ind w:left="420" w:leftChars="200"/>
        <w:rPr>
          <w:rFonts w:hint="eastAsia" w:ascii="宋体" w:hAnsi="宋体" w:eastAsia="宋体" w:cs="宋体"/>
          <w:color w:val="auto"/>
          <w:sz w:val="21"/>
          <w:szCs w:val="21"/>
          <w:highlight w:val="none"/>
        </w:rPr>
      </w:pPr>
      <w:bookmarkStart w:id="97" w:name="_Toc254970536"/>
      <w:bookmarkStart w:id="98" w:name="_Toc254970677"/>
      <w:r>
        <w:rPr>
          <w:rFonts w:hint="eastAsia" w:ascii="宋体" w:hAnsi="宋体" w:eastAsia="宋体" w:cs="宋体"/>
          <w:color w:val="auto"/>
          <w:sz w:val="21"/>
          <w:szCs w:val="21"/>
          <w:highlight w:val="none"/>
        </w:rPr>
        <w:t>12.投标文件的编制原则</w:t>
      </w:r>
    </w:p>
    <w:p w14:paraId="002B4E31">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639C6B15">
      <w:pPr>
        <w:pStyle w:val="5"/>
        <w:keepNext w:val="0"/>
        <w:keepLines w:val="0"/>
        <w:numPr>
          <w:ilvl w:val="255"/>
          <w:numId w:val="0"/>
        </w:numPr>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13.投标文件的组成</w:t>
      </w:r>
      <w:bookmarkEnd w:id="97"/>
      <w:bookmarkEnd w:id="98"/>
    </w:p>
    <w:p w14:paraId="32D3DF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0194B4C1">
      <w:pPr>
        <w:spacing w:line="360" w:lineRule="auto"/>
        <w:ind w:firstLine="420" w:firstLineChars="200"/>
        <w:rPr>
          <w:rFonts w:hint="eastAsia" w:ascii="宋体" w:hAnsi="宋体" w:eastAsia="宋体" w:cs="宋体"/>
          <w:color w:val="auto"/>
          <w:szCs w:val="21"/>
          <w:highlight w:val="none"/>
        </w:rPr>
      </w:pPr>
      <w:bookmarkStart w:id="99" w:name="_13.1报价文件:_具体材料见“投标人须知前附表”。"/>
      <w:bookmarkEnd w:id="99"/>
      <w:r>
        <w:rPr>
          <w:rFonts w:hint="eastAsia" w:ascii="宋体" w:hAnsi="宋体" w:eastAsia="宋体" w:cs="宋体"/>
          <w:color w:val="auto"/>
          <w:szCs w:val="21"/>
          <w:highlight w:val="none"/>
        </w:rPr>
        <w:t>（1）报价文件：具体材料见“投标人须知前附表”。</w:t>
      </w:r>
    </w:p>
    <w:p w14:paraId="1F87EA4F">
      <w:pPr>
        <w:spacing w:line="360" w:lineRule="auto"/>
        <w:ind w:firstLine="420" w:firstLineChars="200"/>
        <w:rPr>
          <w:rFonts w:hint="eastAsia" w:ascii="宋体" w:hAnsi="宋体" w:eastAsia="宋体" w:cs="宋体"/>
          <w:color w:val="auto"/>
          <w:szCs w:val="21"/>
          <w:highlight w:val="none"/>
        </w:rPr>
      </w:pPr>
      <w:bookmarkStart w:id="100" w:name="_13.2资格证明文件：具体材料见“投标人须知前附表”。"/>
      <w:bookmarkEnd w:id="100"/>
      <w:r>
        <w:rPr>
          <w:rFonts w:hint="eastAsia" w:ascii="宋体" w:hAnsi="宋体" w:eastAsia="宋体" w:cs="宋体"/>
          <w:color w:val="auto"/>
          <w:szCs w:val="21"/>
          <w:highlight w:val="none"/>
        </w:rPr>
        <w:t>（2）资格证明文件：具体材料见“投标人须知前附表”。</w:t>
      </w:r>
    </w:p>
    <w:p w14:paraId="05B1605A">
      <w:pPr>
        <w:spacing w:line="360" w:lineRule="auto"/>
        <w:ind w:firstLine="420" w:firstLineChars="200"/>
        <w:rPr>
          <w:rFonts w:hint="eastAsia" w:ascii="宋体" w:hAnsi="宋体" w:eastAsia="宋体" w:cs="宋体"/>
          <w:color w:val="auto"/>
          <w:szCs w:val="21"/>
          <w:highlight w:val="none"/>
        </w:rPr>
      </w:pPr>
      <w:bookmarkStart w:id="101" w:name="_13.3商务文件:_具体材料见“投标人须知前附表”。"/>
      <w:bookmarkEnd w:id="101"/>
      <w:r>
        <w:rPr>
          <w:rFonts w:hint="eastAsia" w:ascii="宋体" w:hAnsi="宋体" w:eastAsia="宋体" w:cs="宋体"/>
          <w:color w:val="auto"/>
          <w:szCs w:val="21"/>
          <w:highlight w:val="none"/>
        </w:rPr>
        <w:t>（3）商务文件：具体材料见“投标人须知前附表”。</w:t>
      </w:r>
    </w:p>
    <w:p w14:paraId="12A6B837">
      <w:pPr>
        <w:spacing w:line="360" w:lineRule="auto"/>
        <w:ind w:firstLine="420" w:firstLineChars="200"/>
        <w:rPr>
          <w:rFonts w:hint="eastAsia" w:ascii="宋体" w:hAnsi="宋体" w:eastAsia="宋体" w:cs="宋体"/>
          <w:color w:val="auto"/>
          <w:szCs w:val="21"/>
          <w:highlight w:val="none"/>
        </w:rPr>
      </w:pPr>
      <w:bookmarkStart w:id="102" w:name="_13.4技术文件：具体材料见“投标人须知前附表”。"/>
      <w:bookmarkEnd w:id="102"/>
      <w:r>
        <w:rPr>
          <w:rFonts w:hint="eastAsia" w:ascii="宋体" w:hAnsi="宋体" w:eastAsia="宋体" w:cs="宋体"/>
          <w:color w:val="auto"/>
          <w:szCs w:val="21"/>
          <w:highlight w:val="none"/>
        </w:rPr>
        <w:t>（4）技术文件：具体材料见“投标人须知前附表”。</w:t>
      </w:r>
    </w:p>
    <w:p w14:paraId="118FC5D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103" w:name="_13.5投标文件电子版：具体材料见“投标人须知前附表”。"/>
      <w:bookmarkEnd w:id="103"/>
      <w:r>
        <w:rPr>
          <w:rFonts w:hint="eastAsia" w:ascii="宋体" w:hAnsi="宋体" w:eastAsia="宋体" w:cs="宋体"/>
          <w:b/>
          <w:bCs/>
          <w:color w:val="auto"/>
          <w:sz w:val="21"/>
          <w:szCs w:val="21"/>
          <w:highlight w:val="none"/>
        </w:rPr>
        <w:t>13.2本项目实行电子投标，供应商应准备电子投标文件：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51130068">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bookmarkStart w:id="104" w:name="_Toc254970678"/>
      <w:bookmarkStart w:id="105" w:name="_Toc254970537"/>
      <w:r>
        <w:rPr>
          <w:rFonts w:hint="eastAsia" w:ascii="宋体" w:hAnsi="宋体" w:eastAsia="宋体" w:cs="宋体"/>
          <w:color w:val="auto"/>
          <w:sz w:val="21"/>
          <w:szCs w:val="21"/>
          <w:highlight w:val="none"/>
        </w:rPr>
        <w:t>14.投标文件的语言及计量</w:t>
      </w:r>
      <w:bookmarkEnd w:id="104"/>
      <w:bookmarkEnd w:id="105"/>
    </w:p>
    <w:p w14:paraId="762FC010">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23054F1D">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0900FA1">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14.2投标计量单位</w:t>
      </w:r>
    </w:p>
    <w:p w14:paraId="10E9E696">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招标文件已有明确规定的，使用招标文件规定的计量单位；招标文件没有规定的，应采用中华人民共和国法定计量单位，货币种类为人民币，否则视同未响应。</w:t>
      </w:r>
    </w:p>
    <w:p w14:paraId="4F6F205F">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15.投标的风险</w:t>
      </w:r>
    </w:p>
    <w:p w14:paraId="198EE5E3">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投标人没有按照招标文件要求提供全部资料，或者投标人没有对招标文件作出实质性响应是投标人的风险，并可能导致其投标被拒绝。</w:t>
      </w:r>
    </w:p>
    <w:p w14:paraId="705FEED4">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bookmarkStart w:id="106" w:name="_Toc254970538"/>
      <w:bookmarkStart w:id="107" w:name="_Toc254970679"/>
      <w:r>
        <w:rPr>
          <w:rFonts w:hint="eastAsia" w:ascii="宋体" w:hAnsi="宋体" w:eastAsia="宋体" w:cs="宋体"/>
          <w:color w:val="auto"/>
          <w:sz w:val="21"/>
          <w:szCs w:val="21"/>
          <w:highlight w:val="none"/>
        </w:rPr>
        <w:t>16.投标报价</w:t>
      </w:r>
      <w:bookmarkEnd w:id="106"/>
      <w:bookmarkEnd w:id="107"/>
    </w:p>
    <w:p w14:paraId="7C920627">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16.1投标报价应按“第六章、投标文件格式”中“开标一览表”格式填写。</w:t>
      </w:r>
    </w:p>
    <w:p w14:paraId="2E005F1A">
      <w:pPr>
        <w:spacing w:line="360" w:lineRule="auto"/>
        <w:ind w:firstLine="420" w:firstLineChars="200"/>
        <w:rPr>
          <w:rFonts w:hint="eastAsia" w:ascii="宋体" w:hAnsi="宋体" w:eastAsia="宋体" w:cs="宋体"/>
          <w:b w:val="0"/>
          <w:bCs/>
          <w:color w:val="auto"/>
          <w:sz w:val="21"/>
          <w:szCs w:val="21"/>
          <w:highlight w:val="none"/>
        </w:rPr>
      </w:pPr>
      <w:bookmarkStart w:id="108" w:name="_16.2投标报价具体定义见投标人须知前附表。"/>
      <w:bookmarkEnd w:id="108"/>
      <w:r>
        <w:rPr>
          <w:rFonts w:hint="eastAsia" w:ascii="宋体" w:hAnsi="宋体" w:eastAsia="宋体" w:cs="宋体"/>
          <w:b w:val="0"/>
          <w:bCs/>
          <w:color w:val="auto"/>
          <w:sz w:val="21"/>
          <w:szCs w:val="21"/>
          <w:highlight w:val="none"/>
        </w:rPr>
        <w:t>16.2投标报价具体包括内容详见“投标人须知前附表”。</w:t>
      </w:r>
    </w:p>
    <w:p w14:paraId="05AA9350">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16.3投标人必须就所投</w:t>
      </w:r>
      <w:r>
        <w:rPr>
          <w:rFonts w:hint="eastAsia" w:ascii="宋体" w:hAnsi="宋体" w:eastAsia="宋体" w:cs="宋体"/>
          <w:b w:val="0"/>
          <w:bCs/>
          <w:color w:val="auto"/>
          <w:sz w:val="21"/>
          <w:szCs w:val="21"/>
          <w:highlight w:val="none"/>
          <w:lang w:val="en-US" w:eastAsia="zh-CN"/>
        </w:rPr>
        <w:t>每个分标</w:t>
      </w:r>
      <w:r>
        <w:rPr>
          <w:rFonts w:hint="eastAsia" w:ascii="宋体" w:hAnsi="宋体" w:eastAsia="宋体" w:cs="宋体"/>
          <w:b w:val="0"/>
          <w:bCs/>
          <w:color w:val="auto"/>
          <w:sz w:val="21"/>
          <w:szCs w:val="21"/>
          <w:highlight w:val="none"/>
        </w:rPr>
        <w:t>的全部内容分别作完整唯一总价报价，不得存在漏项报价；投标人必须就所投分标的单项内容作唯一报价。</w:t>
      </w:r>
    </w:p>
    <w:p w14:paraId="1C252AAD">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17.投标有效期</w:t>
      </w:r>
    </w:p>
    <w:p w14:paraId="18B7C668">
      <w:pPr>
        <w:spacing w:line="360" w:lineRule="auto"/>
        <w:ind w:firstLine="420" w:firstLineChars="200"/>
        <w:rPr>
          <w:rFonts w:hint="eastAsia" w:ascii="宋体" w:hAnsi="宋体" w:eastAsia="宋体" w:cs="宋体"/>
          <w:b w:val="0"/>
          <w:bCs/>
          <w:color w:val="auto"/>
          <w:sz w:val="21"/>
          <w:szCs w:val="21"/>
          <w:highlight w:val="none"/>
        </w:rPr>
      </w:pPr>
      <w:bookmarkStart w:id="109" w:name="_17.1投标有效期应按“投标人须知中的前附表”规定的期限。"/>
      <w:bookmarkEnd w:id="109"/>
      <w:r>
        <w:rPr>
          <w:rFonts w:hint="eastAsia" w:ascii="宋体" w:hAnsi="宋体" w:eastAsia="宋体" w:cs="宋体"/>
          <w:b w:val="0"/>
          <w:bCs/>
          <w:color w:val="auto"/>
          <w:sz w:val="21"/>
          <w:szCs w:val="21"/>
          <w:highlight w:val="none"/>
        </w:rPr>
        <w:t>17.1投标有效期是指为保证采购人有足够的时间在开标后完成评标、定标、合同签订等工作而要求投标人提交的投标文件在一定时间内保持有效的期限。</w:t>
      </w:r>
    </w:p>
    <w:p w14:paraId="43A3FC16">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17.2</w:t>
      </w:r>
      <w:bookmarkStart w:id="110" w:name="_Toc254970540"/>
      <w:bookmarkStart w:id="111" w:name="_Toc254970681"/>
      <w:r>
        <w:rPr>
          <w:rFonts w:hint="eastAsia" w:ascii="宋体" w:hAnsi="宋体" w:eastAsia="宋体" w:cs="宋体"/>
          <w:b w:val="0"/>
          <w:bCs/>
          <w:color w:val="auto"/>
          <w:sz w:val="21"/>
          <w:szCs w:val="21"/>
          <w:highlight w:val="none"/>
        </w:rPr>
        <w:t>投标有效期应按规定的期限作出承诺，具体详见“投标人须知前附表”。</w:t>
      </w:r>
    </w:p>
    <w:p w14:paraId="2F95FB09">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17.3投标人的投标文件在投标有效期内均保持有效。</w:t>
      </w:r>
      <w:bookmarkEnd w:id="110"/>
      <w:bookmarkEnd w:id="111"/>
    </w:p>
    <w:p w14:paraId="277EA994">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bookmarkStart w:id="112" w:name="_18.投标保证金"/>
      <w:bookmarkEnd w:id="112"/>
      <w:bookmarkStart w:id="113" w:name="_Toc254970682"/>
      <w:bookmarkStart w:id="114" w:name="_Toc254970541"/>
      <w:r>
        <w:rPr>
          <w:rFonts w:hint="eastAsia" w:ascii="宋体" w:hAnsi="宋体" w:eastAsia="宋体" w:cs="宋体"/>
          <w:color w:val="auto"/>
          <w:sz w:val="21"/>
          <w:szCs w:val="21"/>
          <w:highlight w:val="none"/>
        </w:rPr>
        <w:t>18.投标保证金</w:t>
      </w:r>
      <w:bookmarkEnd w:id="113"/>
      <w:bookmarkEnd w:id="114"/>
    </w:p>
    <w:p w14:paraId="701B653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sz w:val="21"/>
          <w:szCs w:val="21"/>
          <w:highlight w:val="none"/>
        </w:rPr>
        <w:t>18.1投标人须按“投标人须知前附表”的规定提交投标保证金。</w:t>
      </w:r>
    </w:p>
    <w:p w14:paraId="32266D02">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18.2投标保证金的退还</w:t>
      </w:r>
    </w:p>
    <w:p w14:paraId="591B95EA">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未中标人的投标保证金自中标通知书发出之日起5个工作日内退还；中标人的投标保证金自政府采购合同签订之日起5个工作日内退还。</w:t>
      </w:r>
    </w:p>
    <w:p w14:paraId="46351B5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18.3除逾期退还投标保证金和终止招标的情形以外，投标保证金不计息。</w:t>
      </w:r>
    </w:p>
    <w:p w14:paraId="422F5EF5">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18.4投标人有下列情形之一的，投标保证金将不予退还：</w:t>
      </w:r>
    </w:p>
    <w:p w14:paraId="5E0D1D86">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（1）投标人在投标截止时间后至有效期内撤回投标文件的；</w:t>
      </w:r>
    </w:p>
    <w:p w14:paraId="57E2959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（2）中标后未按规定提交履约保证金的；</w:t>
      </w:r>
    </w:p>
    <w:p w14:paraId="41D2DCF3">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（3）投标人在投标过程中弄虚作假，提供虚假材料的；</w:t>
      </w:r>
    </w:p>
    <w:p w14:paraId="2318EE6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（4）中标人无正当理由不与采购人签订合同的；</w:t>
      </w:r>
    </w:p>
    <w:p w14:paraId="1544B4BB">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（5）投标人出现本章第9.2、9.3、30.4情形的；</w:t>
      </w:r>
    </w:p>
    <w:p w14:paraId="782F7EA2">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（6）法律法规规定的其他情形。</w:t>
      </w:r>
    </w:p>
    <w:p w14:paraId="28C0BFFF">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bookmarkStart w:id="115" w:name="_Toc254970683"/>
      <w:bookmarkStart w:id="116" w:name="_Toc254970542"/>
      <w:r>
        <w:rPr>
          <w:rFonts w:hint="eastAsia" w:ascii="宋体" w:hAnsi="宋体" w:eastAsia="宋体" w:cs="宋体"/>
          <w:color w:val="auto"/>
          <w:sz w:val="21"/>
          <w:szCs w:val="21"/>
          <w:highlight w:val="none"/>
        </w:rPr>
        <w:t>19.投标文件的</w:t>
      </w:r>
      <w:bookmarkEnd w:id="115"/>
      <w:bookmarkEnd w:id="116"/>
      <w:r>
        <w:rPr>
          <w:rFonts w:hint="eastAsia" w:ascii="宋体" w:hAnsi="宋体" w:eastAsia="宋体" w:cs="宋体"/>
          <w:color w:val="auto"/>
          <w:sz w:val="21"/>
          <w:szCs w:val="21"/>
          <w:highlight w:val="none"/>
        </w:rPr>
        <w:t>编制</w:t>
      </w:r>
    </w:p>
    <w:p w14:paraId="528D7B4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19.1 电子投标文件中须加盖</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的电子投标文件未能关联定位提供相应的内容与其对应，则评审小组在评审时如做出对</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不利的评审由</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自行承担。电子投标文件如内容不完整、编排混乱导致投标文件被误读、 漏读，或者在按招标文件规定的部位查找不到相关内容的，由</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自行承担。</w:t>
      </w:r>
    </w:p>
    <w:p w14:paraId="2417E05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19.2 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p w14:paraId="0798535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19.3投标文件须由投标人在规定位置盖公章并签字（具体以投标人须知前附表或投标文件格式规定为准），否则按无效投标处理。</w:t>
      </w:r>
    </w:p>
    <w:p w14:paraId="07E7A60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19.4投标文件中标注的投标人名称应与主体资格证明（如营业执照、事业单位法人证书、执业许可证、自然人身份证等）及公章一致，否则按无效投标处理。</w:t>
      </w:r>
    </w:p>
    <w:p w14:paraId="6B9CCC5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投标文件不得涂改，若有修改错漏处，须法定代表人（负责人）或授权委托人签字（或个人CA签章）。投标文件因字迹潦草或表达不清所引起的后果由供应商负责。</w:t>
      </w:r>
    </w:p>
    <w:p w14:paraId="294C9870">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20.投标文件的补充、修改和撤回</w:t>
      </w:r>
    </w:p>
    <w:p w14:paraId="6C5768CE">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p w14:paraId="09E8A19A">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.2在投标截止时间止提交投标文件的投标人不足3家时，不得开标，采购代理机构将根据广西政府采购云平台的操作将电子版投标文件退回，除此之外采购人和采购代理机构对已提交的投标文件概不退回。</w:t>
      </w:r>
    </w:p>
    <w:p w14:paraId="0F91D8CB">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.3 投标人在投标截止时间后的投标文件有效期内，</w:t>
      </w:r>
      <w:r>
        <w:rPr>
          <w:rFonts w:hint="eastAsia" w:ascii="宋体" w:hAnsi="宋体" w:eastAsia="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不得撤回其投标文件，</w:t>
      </w:r>
      <w:r>
        <w:rPr>
          <w:rFonts w:hint="eastAsia" w:ascii="宋体" w:hAnsi="宋体" w:eastAsia="宋体" w:cs="宋体"/>
          <w:b w:val="0"/>
          <w:bCs/>
          <w:color w:val="auto"/>
          <w:sz w:val="21"/>
          <w:szCs w:val="21"/>
          <w:highlight w:val="none"/>
          <w:lang w:val="en-US" w:eastAsia="zh-CN"/>
        </w:rPr>
        <w:t>否则</w:t>
      </w:r>
      <w:r>
        <w:rPr>
          <w:rFonts w:hint="eastAsia" w:ascii="宋体" w:hAnsi="宋体" w:eastAsia="宋体" w:cs="宋体"/>
          <w:b w:val="0"/>
          <w:bCs/>
          <w:color w:val="auto"/>
          <w:sz w:val="21"/>
          <w:szCs w:val="21"/>
          <w:highlight w:val="none"/>
        </w:rPr>
        <w:t>不予退还其投标保证金。</w:t>
      </w:r>
    </w:p>
    <w:p w14:paraId="4C0F5033">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21.投标文件的提交</w:t>
      </w:r>
    </w:p>
    <w:p w14:paraId="38F1526A">
      <w:pPr>
        <w:spacing w:line="360" w:lineRule="auto"/>
        <w:ind w:firstLine="420" w:firstLineChars="200"/>
        <w:rPr>
          <w:rFonts w:hint="eastAsia" w:ascii="宋体" w:hAnsi="宋体" w:eastAsia="宋体" w:cs="宋体"/>
          <w:color w:val="auto"/>
          <w:szCs w:val="21"/>
          <w:highlight w:val="none"/>
        </w:rPr>
      </w:pPr>
      <w:bookmarkStart w:id="117" w:name="_21.1投标人必须在“投标人须知中的前附表”规定的投标文件接收时间和投"/>
      <w:bookmarkEnd w:id="117"/>
      <w:r>
        <w:rPr>
          <w:rFonts w:hint="eastAsia" w:ascii="宋体" w:hAnsi="宋体" w:eastAsia="宋体" w:cs="宋体"/>
          <w:color w:val="auto"/>
          <w:szCs w:val="21"/>
          <w:highlight w:val="none"/>
        </w:rPr>
        <w:t>21.1投标文件递交：具体要求见“投标人须知前附表”。</w:t>
      </w:r>
    </w:p>
    <w:p w14:paraId="1A8F65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21.2投标文件解密：具体要求见“投标人须知前附表”。</w:t>
      </w:r>
    </w:p>
    <w:p w14:paraId="4BF761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电子投标文件的相关说明</w:t>
      </w:r>
    </w:p>
    <w:p w14:paraId="396B8E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进行电子投标应安装客户端软件，并按照采购文件和电子交易平台的要求编制并加密投标文件。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未按规定加密的投标文件，电子交易平台将拒收。</w:t>
      </w:r>
      <w:r>
        <w:rPr>
          <w:rFonts w:hint="eastAsia" w:ascii="宋体" w:hAnsi="宋体" w:eastAsia="宋体" w:cs="宋体"/>
          <w:b w:val="0"/>
          <w:bCs/>
          <w:color w:val="auto"/>
          <w:sz w:val="21"/>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p w14:paraId="6EF9B0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的权利和义务将受到新的截止时间和开标时间的约束。</w:t>
      </w:r>
    </w:p>
    <w:p w14:paraId="2C7490A6">
      <w:pPr>
        <w:pStyle w:val="4"/>
        <w:bidi w:val="0"/>
        <w:rPr>
          <w:rFonts w:hint="eastAsia" w:ascii="宋体" w:hAnsi="宋体" w:eastAsia="宋体" w:cs="宋体"/>
          <w:color w:val="auto"/>
          <w:highlight w:val="none"/>
        </w:rPr>
      </w:pPr>
      <w:bookmarkStart w:id="118" w:name="_Toc254970544"/>
      <w:bookmarkStart w:id="119" w:name="_Toc254970685"/>
      <w:r>
        <w:rPr>
          <w:rFonts w:hint="eastAsia" w:ascii="宋体" w:hAnsi="宋体" w:eastAsia="宋体" w:cs="宋体"/>
          <w:color w:val="auto"/>
          <w:highlight w:val="none"/>
        </w:rPr>
        <w:t>四、开标</w:t>
      </w:r>
      <w:bookmarkEnd w:id="118"/>
      <w:bookmarkEnd w:id="119"/>
    </w:p>
    <w:p w14:paraId="532DF26B">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bookmarkStart w:id="120" w:name="_23.开标时间和地点"/>
      <w:bookmarkEnd w:id="120"/>
      <w:r>
        <w:rPr>
          <w:rFonts w:hint="eastAsia" w:ascii="宋体" w:hAnsi="宋体" w:eastAsia="宋体" w:cs="宋体"/>
          <w:bCs/>
          <w:color w:val="auto"/>
          <w:sz w:val="21"/>
          <w:szCs w:val="21"/>
          <w:highlight w:val="none"/>
        </w:rPr>
        <w:t>23.开标时间和地点</w:t>
      </w:r>
    </w:p>
    <w:p w14:paraId="1F7691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23.1开标时间及地点：</w:t>
      </w:r>
    </w:p>
    <w:p w14:paraId="4D1CCA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开标时间：详见投标人须知前附表。</w:t>
      </w:r>
    </w:p>
    <w:p w14:paraId="30FDBD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地点：通过广西政府采购云平台实行在线解密开启。</w:t>
      </w:r>
    </w:p>
    <w:p w14:paraId="002FA1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如投标人成功解密投标文件，但未在“广西政府采购云平台”电子开标大厅参加开标的，视同认可开标过程和结果，由此产生的后果由投标人自行负责。投标人不足3家的，不得开标，采购人或者采购代理机构应当重新组织采购。</w:t>
      </w:r>
    </w:p>
    <w:p w14:paraId="4D36A976">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24.开标程序</w:t>
      </w:r>
    </w:p>
    <w:p w14:paraId="39F81C6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24.1开标准备</w:t>
      </w:r>
    </w:p>
    <w:p w14:paraId="36B2D5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24.1.1.开标的准备工作由招标代理机构负责落实；</w:t>
      </w:r>
    </w:p>
    <w:p w14:paraId="2A326F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24.1.2.招标代理机构将按照招标文件规定的时间通过“政府采购云平台”组织开标、开启投标文件，所有</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均应当准时在线参加。投标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如不参加开标会的，视同认可开标结果，事后不得对采购相关人员、开标过程和开标结果提出异议，同时投标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因未在线参加开标而导致投标文件无法按时解密等一切后果由</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自己承担。</w:t>
      </w:r>
    </w:p>
    <w:p w14:paraId="2BEBEE1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24.2开标程序</w:t>
      </w:r>
    </w:p>
    <w:p w14:paraId="1D1F9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投标人的法定代表人或其委托代理人须携带加密时所用的CA锁准时登录到广西政府采购云平台电子开标大厅签到并在发起解密通知之时起30分钟内完成对电子投标文件解密。投标文件未按时解密的，视为无效投标。（解密异常情况处理：详见本章29.4 电子交易活动的中止。</w:t>
      </w:r>
    </w:p>
    <w:p w14:paraId="5F27FA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（2）电子唱标。投标文件解密结束，各投标供应商报价均在“广西政府采购云平台”平台远程不见面开标大厅展示；</w:t>
      </w:r>
    </w:p>
    <w:p w14:paraId="6330A2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（3）开标过程由采购代理机构如实记录，并电子留痕，由参加电子开标的各投标人代表对电子开标记录在开标记录公布后15分钟内进行当</w:t>
      </w:r>
      <w:r>
        <w:rPr>
          <w:rFonts w:hint="eastAsia" w:ascii="宋体" w:hAnsi="宋体" w:eastAsia="宋体" w:cs="宋体"/>
          <w:color w:val="auto"/>
          <w:szCs w:val="21"/>
          <w:highlight w:val="none"/>
        </w:rPr>
        <w:t>场校核及勘误，并线上确认是否有异议，未确认的视同认可开标结果。</w:t>
      </w:r>
    </w:p>
    <w:p w14:paraId="1AAA48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08FFA0D">
      <w:pPr>
        <w:pStyle w:val="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4F7A961">
      <w:pPr>
        <w:pStyle w:val="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）开标结束。</w:t>
      </w:r>
    </w:p>
    <w:p w14:paraId="4DD9474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特别说明：如遇广西政府采购云平台电子化开标或评审程序调整的，按调整后程序执行。</w:t>
      </w:r>
    </w:p>
    <w:p w14:paraId="4273CF8A">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五、资格审查</w:t>
      </w:r>
    </w:p>
    <w:p w14:paraId="650980B9">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25.资格审查</w:t>
      </w:r>
    </w:p>
    <w:p w14:paraId="7465DC73">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25.1开标结束后，采购人或者采购代理机构依法对投标人的资格进行审查。</w:t>
      </w:r>
    </w:p>
    <w:p w14:paraId="63956481">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14:paraId="57D18DDB">
      <w:pPr>
        <w:spacing w:line="360" w:lineRule="auto"/>
        <w:ind w:firstLine="422" w:firstLineChars="200"/>
        <w:rPr>
          <w:rFonts w:hint="eastAsia" w:ascii="宋体" w:hAnsi="宋体" w:eastAsia="宋体" w:cs="宋体"/>
          <w:b/>
          <w:bCs/>
          <w:color w:val="auto"/>
          <w:sz w:val="21"/>
          <w:szCs w:val="21"/>
          <w:highlight w:val="none"/>
        </w:rPr>
      </w:pPr>
      <w:bookmarkStart w:id="121" w:name="_25.3_投标人有下列情形之一的，资格审查不通过而导致其投标无效："/>
      <w:bookmarkEnd w:id="121"/>
      <w:r>
        <w:rPr>
          <w:rFonts w:hint="eastAsia" w:ascii="宋体" w:hAnsi="宋体" w:eastAsia="宋体" w:cs="宋体"/>
          <w:b/>
          <w:bCs/>
          <w:color w:val="auto"/>
          <w:sz w:val="21"/>
          <w:szCs w:val="21"/>
          <w:highlight w:val="none"/>
        </w:rPr>
        <w:t>25.3投标人有下列情形之一的，资格审查不通过，作无效投标处理：</w:t>
      </w:r>
    </w:p>
    <w:p w14:paraId="49926395">
      <w:pPr>
        <w:pStyle w:val="25"/>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（1）未按招标文件规定的方式获取本招标文件的投标人；</w:t>
      </w:r>
    </w:p>
    <w:p w14:paraId="41E0EDF3">
      <w:pPr>
        <w:pStyle w:val="25"/>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（2）不具备招标文件中规定的资格要求的；（注：其中信用查询规则见“投标人须知前附表”）</w:t>
      </w:r>
    </w:p>
    <w:p w14:paraId="5A0A8E84">
      <w:pPr>
        <w:pStyle w:val="25"/>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（3）投标文件未提供任一项“投标人须知前附表”资格证明文件规定的“必须提供”的文件资料的；</w:t>
      </w:r>
    </w:p>
    <w:p w14:paraId="5005DC95">
      <w:pPr>
        <w:pStyle w:val="25"/>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（4）投标文件提供的资格证明文件出现任一项不符合“投标人须知前附表”资格证明文件规定的“必须提供”的文件资料要求或者无效的。</w:t>
      </w:r>
    </w:p>
    <w:p w14:paraId="49434963">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25.4资格审查的合格投标人不足3家的，不得评标。</w:t>
      </w:r>
    </w:p>
    <w:p w14:paraId="26F64B1E">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六、评标</w:t>
      </w:r>
    </w:p>
    <w:p w14:paraId="4C487AE4">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bookmarkStart w:id="122" w:name="_26.组建评标委员会"/>
      <w:bookmarkEnd w:id="122"/>
      <w:r>
        <w:rPr>
          <w:rFonts w:hint="eastAsia" w:ascii="宋体" w:hAnsi="宋体" w:eastAsia="宋体" w:cs="宋体"/>
          <w:bCs/>
          <w:color w:val="auto"/>
          <w:sz w:val="21"/>
          <w:szCs w:val="21"/>
          <w:highlight w:val="none"/>
        </w:rPr>
        <w:t>26.组建评标委员会</w:t>
      </w:r>
    </w:p>
    <w:p w14:paraId="1058FE8C">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评标委员会由采购人代表和评审专家组成，具体人数详见“投标人须知前附表”，其中评审专家不得少于成员总数的三分之二。</w:t>
      </w:r>
    </w:p>
    <w:p w14:paraId="5DE1685D">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参加过采购项目前期咨询论证的专家，不得参加该采购项目的评审活动。</w:t>
      </w:r>
    </w:p>
    <w:p w14:paraId="6984A846">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27.评标的依据</w:t>
      </w:r>
    </w:p>
    <w:p w14:paraId="30999A8C">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评标委员会以招标文件为依据对投标文件进行评审，“第四章评标方法和评标标准”没有规定的方法、评审因素和标准，不作为评标依据。</w:t>
      </w:r>
    </w:p>
    <w:p w14:paraId="1D5E5B50">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28.评标原则</w:t>
      </w:r>
    </w:p>
    <w:p w14:paraId="6F72C9ED">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4960EBC">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28.2评委表决。评标委员会成员对需要共同认定的事项存在争议的，应当按照少数服从多数的原则作出结论。</w:t>
      </w:r>
      <w:bookmarkStart w:id="123" w:name="_28.3评标方法。本项目将按须知前附表规定的评标办法进行评标，具体评标"/>
      <w:bookmarkEnd w:id="123"/>
    </w:p>
    <w:p w14:paraId="61E56264">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96C195E">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28.4评标过程的监控。本项目评标过程实行全程录音、录像监控，投标人在评标过程中所进行的试图影响评标结果的不公正活动，可能导致其投标按无效处理。</w:t>
      </w:r>
    </w:p>
    <w:p w14:paraId="06F87338">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29.评标方法及评标标准</w:t>
      </w:r>
    </w:p>
    <w:p w14:paraId="536B8174">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29.1本项目的评标方法详见“投标人须知前附表”。</w:t>
      </w:r>
    </w:p>
    <w:p w14:paraId="5B6179A8">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29.2评标委员会按照“第四章评标方法和评标标准”规定的方法、评审因素、标准和程序对投标文件进行评审。</w:t>
      </w:r>
    </w:p>
    <w:p w14:paraId="1BA65216">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29.3</w:t>
      </w:r>
      <w:r>
        <w:rPr>
          <w:rFonts w:hint="eastAsia" w:ascii="宋体" w:hAnsi="宋体" w:eastAsia="宋体" w:cs="宋体"/>
          <w:b w:val="0"/>
          <w:color w:val="auto"/>
          <w:sz w:val="21"/>
          <w:szCs w:val="21"/>
          <w:highlight w:val="none"/>
        </w:rPr>
        <w:t>中标候选人推荐数量</w:t>
      </w:r>
      <w:r>
        <w:rPr>
          <w:rFonts w:hint="eastAsia" w:ascii="宋体" w:hAnsi="宋体" w:eastAsia="宋体" w:cs="宋体"/>
          <w:b w:val="0"/>
          <w:color w:val="auto"/>
          <w:sz w:val="21"/>
          <w:szCs w:val="21"/>
          <w:highlight w:val="none"/>
          <w:lang w:val="en-US" w:eastAsia="zh-CN"/>
        </w:rPr>
        <w:t>为3家</w:t>
      </w:r>
      <w:r>
        <w:rPr>
          <w:rFonts w:hint="eastAsia" w:ascii="宋体" w:hAnsi="宋体" w:eastAsia="宋体" w:cs="宋体"/>
          <w:b w:val="0"/>
          <w:color w:val="auto"/>
          <w:sz w:val="21"/>
          <w:szCs w:val="21"/>
          <w:highlight w:val="none"/>
        </w:rPr>
        <w:t>。</w:t>
      </w:r>
    </w:p>
    <w:p w14:paraId="0D9562EB">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电子交易活动的中止。采购过程中出现以下情形，导致电子交易平台无法正常运行，或者无法保证电子交易的公平、公正和安全时，采购代理机构可中止电子交易活动：</w:t>
      </w:r>
    </w:p>
    <w:p w14:paraId="31051523">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（1）电子交易平台发生故障而无法登录访问的；</w:t>
      </w:r>
    </w:p>
    <w:p w14:paraId="76A2B589">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（2）电子交易平台应用或数据库出现错误，不能进行正常操作的；</w:t>
      </w:r>
    </w:p>
    <w:p w14:paraId="1A99608C">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（3）电子交易平台发现严重安全漏洞，有潜在泄密危险的；</w:t>
      </w:r>
    </w:p>
    <w:p w14:paraId="1D4610C3">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（4）病毒发作导致不能进行正常操作的；</w:t>
      </w:r>
    </w:p>
    <w:p w14:paraId="31200555">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（5）其他无法保证电子交易的公平、公正和安全的情况。</w:t>
      </w:r>
    </w:p>
    <w:p w14:paraId="15E1701B">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w:t>
      </w: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7D3B0A2A">
      <w:pPr>
        <w:pStyle w:val="25"/>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29.</w:t>
      </w:r>
      <w:r>
        <w:rPr>
          <w:rFonts w:hint="eastAsia" w:ascii="宋体" w:hAnsi="宋体" w:eastAsia="宋体" w:cs="宋体"/>
          <w:b/>
          <w:bCs/>
          <w:color w:val="auto"/>
          <w:sz w:val="21"/>
          <w:highlight w:val="none"/>
          <w:lang w:val="en-US" w:eastAsia="zh-CN"/>
        </w:rPr>
        <w:t>6</w:t>
      </w:r>
      <w:r>
        <w:rPr>
          <w:rFonts w:hint="eastAsia" w:ascii="宋体" w:hAnsi="宋体" w:eastAsia="宋体" w:cs="宋体"/>
          <w:b/>
          <w:bCs/>
          <w:color w:val="auto"/>
          <w:sz w:val="21"/>
          <w:highlight w:val="none"/>
        </w:rPr>
        <w:t>属于下列情形之一的，应予废标：</w:t>
      </w:r>
    </w:p>
    <w:p w14:paraId="323B1FD6">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（1）符合专业条件的供应商或者对招标文件作实质响应的投标人不足三家的；</w:t>
      </w:r>
    </w:p>
    <w:p w14:paraId="2F7A989B">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（2）出现影响采购公正的违法、违规行为的；</w:t>
      </w:r>
    </w:p>
    <w:p w14:paraId="7CDABB79">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（3）投标人的报价均超过了采购预算，采购人不能支付的；</w:t>
      </w:r>
    </w:p>
    <w:p w14:paraId="49CC39C6">
      <w:pPr>
        <w:spacing w:line="360" w:lineRule="auto"/>
        <w:ind w:firstLine="420" w:firstLineChars="200"/>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（4）因重大变故，采购任务取消的</w:t>
      </w:r>
      <w:r>
        <w:rPr>
          <w:rFonts w:hint="eastAsia" w:ascii="宋体" w:hAnsi="宋体" w:eastAsia="宋体" w:cs="宋体"/>
          <w:b w:val="0"/>
          <w:color w:val="auto"/>
          <w:sz w:val="21"/>
          <w:szCs w:val="21"/>
          <w:highlight w:val="none"/>
          <w:lang w:eastAsia="zh-CN"/>
        </w:rPr>
        <w:t>。</w:t>
      </w:r>
    </w:p>
    <w:p w14:paraId="3309DDEE">
      <w:pPr>
        <w:pStyle w:val="4"/>
        <w:bidi w:val="0"/>
        <w:rPr>
          <w:rFonts w:hint="eastAsia" w:ascii="宋体" w:hAnsi="宋体" w:eastAsia="宋体" w:cs="宋体"/>
          <w:color w:val="auto"/>
          <w:highlight w:val="none"/>
        </w:rPr>
      </w:pPr>
      <w:bookmarkStart w:id="124" w:name="_Toc254970546"/>
      <w:bookmarkStart w:id="125" w:name="_Toc254970687"/>
      <w:r>
        <w:rPr>
          <w:rFonts w:hint="eastAsia" w:ascii="宋体" w:hAnsi="宋体" w:eastAsia="宋体" w:cs="宋体"/>
          <w:color w:val="auto"/>
          <w:highlight w:val="none"/>
        </w:rPr>
        <w:t>七、</w:t>
      </w:r>
      <w:bookmarkEnd w:id="124"/>
      <w:bookmarkEnd w:id="125"/>
      <w:r>
        <w:rPr>
          <w:rFonts w:hint="eastAsia" w:ascii="宋体" w:hAnsi="宋体" w:eastAsia="宋体" w:cs="宋体"/>
          <w:color w:val="auto"/>
          <w:highlight w:val="none"/>
        </w:rPr>
        <w:t>中标和合同</w:t>
      </w:r>
    </w:p>
    <w:p w14:paraId="26B64790">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30确定中标人</w:t>
      </w:r>
    </w:p>
    <w:p w14:paraId="2F407BEE">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B3E7F88">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0433C00">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30.3采购人、采购代理机构认为</w:t>
      </w:r>
      <w:r>
        <w:rPr>
          <w:rFonts w:hint="eastAsia" w:ascii="宋体" w:hAnsi="宋体" w:eastAsia="宋体" w:cs="宋体"/>
          <w:b w:val="0"/>
          <w:color w:val="auto"/>
          <w:sz w:val="21"/>
          <w:szCs w:val="21"/>
          <w:highlight w:val="none"/>
          <w:lang w:eastAsia="zh-CN"/>
        </w:rPr>
        <w:t>投标人</w:t>
      </w:r>
      <w:r>
        <w:rPr>
          <w:rFonts w:hint="eastAsia" w:ascii="宋体" w:hAnsi="宋体" w:eastAsia="宋体" w:cs="宋体"/>
          <w:b w:val="0"/>
          <w:color w:val="auto"/>
          <w:sz w:val="21"/>
          <w:szCs w:val="21"/>
          <w:highlight w:val="none"/>
        </w:rPr>
        <w:t>对采购过程、中标结果提出的质疑成立且影响或者可能影响中标结果的，合格</w:t>
      </w:r>
      <w:r>
        <w:rPr>
          <w:rFonts w:hint="eastAsia" w:ascii="宋体" w:hAnsi="宋体" w:eastAsia="宋体" w:cs="宋体"/>
          <w:b w:val="0"/>
          <w:color w:val="auto"/>
          <w:sz w:val="21"/>
          <w:szCs w:val="21"/>
          <w:highlight w:val="none"/>
          <w:lang w:eastAsia="zh-CN"/>
        </w:rPr>
        <w:t>投标人</w:t>
      </w:r>
      <w:r>
        <w:rPr>
          <w:rFonts w:hint="eastAsia" w:ascii="宋体" w:hAnsi="宋体" w:eastAsia="宋体" w:cs="宋体"/>
          <w:b w:val="0"/>
          <w:color w:val="auto"/>
          <w:sz w:val="21"/>
          <w:szCs w:val="21"/>
          <w:highlight w:val="none"/>
        </w:rPr>
        <w:t>符合法定数量时，可以从合格的中标候选人中另行确定中标人的，应当依法另行确定中标人；否则应当重新开展采购活动。</w:t>
      </w:r>
    </w:p>
    <w:p w14:paraId="187BBE33">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30.4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14:paraId="08EC9ADD">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中标人放弃中标项目，拒绝与采购人签订合同的，其投标保证金不予退还，并上缴国库。给采购人造成损失，或（并）因此延误采购人</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计划的，须依</w:t>
      </w:r>
      <w:r>
        <w:rPr>
          <w:rFonts w:hint="eastAsia" w:ascii="宋体" w:hAnsi="宋体" w:eastAsia="宋体" w:cs="宋体"/>
          <w:b w:val="0"/>
          <w:color w:val="auto"/>
          <w:sz w:val="21"/>
          <w:szCs w:val="21"/>
          <w:highlight w:val="none"/>
          <w:lang w:val="en-US" w:eastAsia="zh-CN"/>
        </w:rPr>
        <w:t>法</w:t>
      </w:r>
      <w:r>
        <w:rPr>
          <w:rFonts w:hint="eastAsia" w:ascii="宋体" w:hAnsi="宋体" w:eastAsia="宋体" w:cs="宋体"/>
          <w:b w:val="0"/>
          <w:color w:val="auto"/>
          <w:sz w:val="21"/>
          <w:szCs w:val="21"/>
          <w:highlight w:val="none"/>
        </w:rPr>
        <w:t>承担赔偿损失等法律责任，采购人有权将中标人的失信行为报财政部门记入诚信档案，以示惩戒。</w:t>
      </w:r>
    </w:p>
    <w:p w14:paraId="4F6BA06F">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31.结果公告</w:t>
      </w:r>
    </w:p>
    <w:p w14:paraId="2EF5B135">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eastAsia="宋体" w:cs="宋体"/>
          <w:b w:val="0"/>
          <w:color w:val="auto"/>
          <w:sz w:val="21"/>
          <w:szCs w:val="21"/>
          <w:highlight w:val="none"/>
          <w:lang w:eastAsia="zh-CN"/>
        </w:rPr>
        <w:t>重大税收违法失信主体</w:t>
      </w:r>
      <w:r>
        <w:rPr>
          <w:rFonts w:hint="eastAsia" w:ascii="宋体" w:hAnsi="宋体" w:eastAsia="宋体" w:cs="宋体"/>
          <w:b w:val="0"/>
          <w:color w:val="auto"/>
          <w:sz w:val="21"/>
          <w:szCs w:val="21"/>
          <w:highlight w:val="none"/>
        </w:rPr>
        <w:t>、政府采购严重违法失信行为记录名单及其他不符合《中华人民共和国政府采购法》第二十二条规定条件的投标人，取消其中标资格，并确定排名第二的中标候选人为中标人。</w:t>
      </w:r>
    </w:p>
    <w:p w14:paraId="2433BAF3">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排名第二的中标候选人因前款规定的同样原因被取消中标资格的，采购人可以确定排名第三的中标候选人为中标人，以此类推；否则应当重新开展采购活动。</w:t>
      </w:r>
    </w:p>
    <w:p w14:paraId="5B46C099">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以上信息查询记录及相关证据与采购文件一并保存。</w:t>
      </w:r>
    </w:p>
    <w:p w14:paraId="0FCE08CE">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00289A50">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32.发出中标通知书</w:t>
      </w:r>
    </w:p>
    <w:p w14:paraId="206C737E">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在发布中标公告的同时，采购代理机构向中标人发出中标通知书。对未通过资格审查及符合性审查的投标人，应当告知其未通过的原因；采用综合评分办法评审的，还应当告知未中标人本人的评审得分与排序。</w:t>
      </w:r>
    </w:p>
    <w:p w14:paraId="03D97D99">
      <w:pPr>
        <w:pStyle w:val="5"/>
        <w:keepNext w:val="0"/>
        <w:keepLines w:val="0"/>
        <w:spacing w:before="0" w:after="0" w:line="360" w:lineRule="auto"/>
        <w:ind w:left="420"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33.无义务解释未中标原因</w:t>
      </w:r>
    </w:p>
    <w:p w14:paraId="2C9674EA">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采购代理机构无义务向未中标的投标人解释未中标原因和退还投标文件。</w:t>
      </w:r>
    </w:p>
    <w:p w14:paraId="31B5975E">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34.合同授予标准</w:t>
      </w:r>
    </w:p>
    <w:p w14:paraId="3C09D5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23A87AD8">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35.履约保证金</w:t>
      </w:r>
    </w:p>
    <w:p w14:paraId="1A72E338">
      <w:pPr>
        <w:spacing w:line="360" w:lineRule="auto"/>
        <w:ind w:firstLine="420" w:firstLineChars="200"/>
        <w:rPr>
          <w:rFonts w:hint="eastAsia" w:ascii="宋体" w:hAnsi="宋体" w:eastAsia="宋体" w:cs="宋体"/>
          <w:b w:val="0"/>
          <w:color w:val="auto"/>
          <w:sz w:val="21"/>
          <w:szCs w:val="21"/>
          <w:highlight w:val="none"/>
        </w:rPr>
      </w:pPr>
      <w:bookmarkStart w:id="126" w:name="_39.1中标人须于签订合同前按本须知前附表规定的金额转账或电汇到指定账"/>
      <w:bookmarkEnd w:id="126"/>
      <w:r>
        <w:rPr>
          <w:rFonts w:hint="eastAsia" w:ascii="宋体" w:hAnsi="宋体" w:eastAsia="宋体" w:cs="宋体"/>
          <w:b w:val="0"/>
          <w:color w:val="auto"/>
          <w:sz w:val="21"/>
          <w:szCs w:val="21"/>
          <w:highlight w:val="none"/>
        </w:rPr>
        <w:t>35.1履约保证金的金额、提交方式、退付的时间和条件详见“投标人须知前附表”。中标人未按规定提交履约保证金的，视为拒绝与采购人签订合同，采购人可以按照评标报告推荐的中标候选人名单排序，确定下一候选人为中标人，也可以重新开展政府采购活动。</w:t>
      </w:r>
    </w:p>
    <w:p w14:paraId="0C54B251">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35.2签订合同后，如中标人不按双方签订的合同规定履约，则没收其全部履约保证金，履约保证金不足以赔偿损失的，按实际损失赔偿。</w:t>
      </w:r>
    </w:p>
    <w:p w14:paraId="00897BF6">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14:paraId="12C90797">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36.签订合同</w:t>
      </w:r>
    </w:p>
    <w:p w14:paraId="4D087235">
      <w:pPr>
        <w:spacing w:line="360" w:lineRule="auto"/>
        <w:ind w:firstLine="420" w:firstLineChars="200"/>
        <w:rPr>
          <w:rFonts w:hint="eastAsia" w:ascii="宋体" w:hAnsi="宋体" w:eastAsia="宋体" w:cs="宋体"/>
          <w:b w:val="0"/>
          <w:color w:val="auto"/>
          <w:sz w:val="21"/>
          <w:szCs w:val="21"/>
          <w:highlight w:val="none"/>
        </w:rPr>
      </w:pPr>
      <w:bookmarkStart w:id="127" w:name="_40.1投标人接到中标通知书后，按须知前附表规定向采购人出示相关资格证"/>
      <w:bookmarkEnd w:id="127"/>
      <w:r>
        <w:rPr>
          <w:rFonts w:hint="eastAsia" w:ascii="宋体" w:hAnsi="宋体" w:eastAsia="宋体" w:cs="宋体"/>
          <w:b w:val="0"/>
          <w:color w:val="auto"/>
          <w:sz w:val="21"/>
          <w:szCs w:val="21"/>
          <w:highlight w:val="none"/>
        </w:rPr>
        <w:t>36.1投标人领取中标通知书后，按“投标人须知前附表”规定向采购人出示相关证明材料，经采购人核验合格后方可签订合同。</w:t>
      </w:r>
    </w:p>
    <w:p w14:paraId="152C91F3">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14:paraId="4611DFC6">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36.3中标人拒绝与采购人签订合同的，采购人可以按照评审报告推荐的中标候选人名单排序，确定下一候选人为中标人，也可以重新开展政府采购活动。</w:t>
      </w:r>
    </w:p>
    <w:p w14:paraId="0191F895">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FD826FB">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13A9E0DB">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36.6如签订合同并生效后，</w:t>
      </w:r>
      <w:r>
        <w:rPr>
          <w:rFonts w:hint="eastAsia" w:ascii="宋体" w:hAnsi="宋体" w:eastAsia="宋体" w:cs="宋体"/>
          <w:b w:val="0"/>
          <w:color w:val="auto"/>
          <w:sz w:val="21"/>
          <w:szCs w:val="21"/>
          <w:highlight w:val="none"/>
          <w:lang w:val="en-US" w:eastAsia="zh-CN"/>
        </w:rPr>
        <w:t>中标人</w:t>
      </w:r>
      <w:r>
        <w:rPr>
          <w:rFonts w:hint="eastAsia" w:ascii="宋体" w:hAnsi="宋体" w:eastAsia="宋体" w:cs="宋体"/>
          <w:b w:val="0"/>
          <w:color w:val="auto"/>
          <w:sz w:val="21"/>
          <w:szCs w:val="21"/>
          <w:highlight w:val="none"/>
        </w:rPr>
        <w:t>无故拒绝或延期，除按照合同条款处理外，将承担相应的法律责任。</w:t>
      </w:r>
    </w:p>
    <w:p w14:paraId="0D00592F">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36.7政府采购合同履行中，采购人需追加与合同标的相同的货物、工程或者服务的，在不改变合同其他条款的前提下，可以与</w:t>
      </w:r>
      <w:r>
        <w:rPr>
          <w:rFonts w:hint="eastAsia" w:ascii="宋体" w:hAnsi="宋体" w:eastAsia="宋体" w:cs="宋体"/>
          <w:b w:val="0"/>
          <w:color w:val="auto"/>
          <w:sz w:val="21"/>
          <w:szCs w:val="21"/>
          <w:highlight w:val="none"/>
          <w:lang w:val="en-US" w:eastAsia="zh-CN"/>
        </w:rPr>
        <w:t>中标人</w:t>
      </w:r>
      <w:r>
        <w:rPr>
          <w:rFonts w:hint="eastAsia" w:ascii="宋体" w:hAnsi="宋体" w:eastAsia="宋体" w:cs="宋体"/>
          <w:b w:val="0"/>
          <w:color w:val="auto"/>
          <w:sz w:val="21"/>
          <w:szCs w:val="21"/>
          <w:highlight w:val="none"/>
        </w:rPr>
        <w:t>签订补充合同，但所有补充合同的采购金额不得超过原合同采购金额的10%。</w:t>
      </w:r>
    </w:p>
    <w:p w14:paraId="1F1FE7DE">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bookmarkStart w:id="128" w:name="_41.政府采购合同公告"/>
      <w:bookmarkEnd w:id="128"/>
      <w:r>
        <w:rPr>
          <w:rFonts w:hint="eastAsia" w:ascii="宋体" w:hAnsi="宋体" w:eastAsia="宋体" w:cs="宋体"/>
          <w:bCs/>
          <w:color w:val="auto"/>
          <w:sz w:val="21"/>
          <w:szCs w:val="21"/>
          <w:highlight w:val="none"/>
        </w:rPr>
        <w:t>37.政府采购合同公告</w:t>
      </w:r>
    </w:p>
    <w:p w14:paraId="38E716EB">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500B875C">
      <w:pPr>
        <w:pStyle w:val="5"/>
        <w:keepNext w:val="0"/>
        <w:keepLines w:val="0"/>
        <w:spacing w:before="0" w:after="0" w:line="360" w:lineRule="auto"/>
        <w:ind w:left="420" w:left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38.询问、质疑和投诉</w:t>
      </w:r>
    </w:p>
    <w:p w14:paraId="6FAC77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对政府采购活动事项有疑问的，可以向采购人提出询问，采购人应当及时作出答复，但答复的内容不得涉及商业秘密。</w:t>
      </w:r>
    </w:p>
    <w:p w14:paraId="6CB7881B">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38.2</w:t>
      </w:r>
      <w:r>
        <w:rPr>
          <w:rFonts w:hint="eastAsia" w:ascii="宋体" w:hAnsi="宋体" w:eastAsia="宋体" w:cs="宋体"/>
          <w:b w:val="0"/>
          <w:color w:val="auto"/>
          <w:sz w:val="21"/>
          <w:szCs w:val="21"/>
          <w:highlight w:val="none"/>
          <w:lang w:eastAsia="zh-CN"/>
        </w:rPr>
        <w:t>投标人</w:t>
      </w:r>
      <w:r>
        <w:rPr>
          <w:rFonts w:hint="eastAsia" w:ascii="宋体" w:hAnsi="宋体" w:eastAsia="宋体" w:cs="宋体"/>
          <w:b w:val="0"/>
          <w:color w:val="auto"/>
          <w:sz w:val="21"/>
          <w:szCs w:val="21"/>
          <w:highlight w:val="none"/>
        </w:rPr>
        <w:t>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3264B05A">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（1）对可以质疑的招标文件提出质疑的，为收到招标文件之日；</w:t>
      </w:r>
    </w:p>
    <w:p w14:paraId="56F55620">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（2）对采购过程提出质疑的，为各采购程序环节结束之日；</w:t>
      </w:r>
    </w:p>
    <w:p w14:paraId="300FE1BD">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（3）对中标结果提出质疑的，为中标结果公告期限届满之日。</w:t>
      </w:r>
    </w:p>
    <w:p w14:paraId="11533ECA">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对采购人、采购代理机构的质疑答复不满意，或者采购人、采购代理机构未在规定时间内作出答复的，可以在答复期满后十五个工作日内向同级政府采购监管部门投诉。</w:t>
      </w:r>
    </w:p>
    <w:p w14:paraId="27DD7806">
      <w:pPr>
        <w:spacing w:line="360" w:lineRule="auto"/>
        <w:ind w:firstLine="420" w:firstLineChars="200"/>
        <w:rPr>
          <w:rFonts w:hint="eastAsia" w:ascii="宋体" w:hAnsi="宋体" w:eastAsia="宋体" w:cs="宋体"/>
          <w:color w:val="auto"/>
          <w:highlight w:val="none"/>
        </w:rPr>
      </w:pPr>
      <w:bookmarkStart w:id="129" w:name="_9.2质疑、投诉应当采用书面形式，质疑函、投诉书均应明确阐述招标文件、"/>
      <w:bookmarkEnd w:id="129"/>
      <w:r>
        <w:rPr>
          <w:rFonts w:hint="eastAsia" w:ascii="宋体" w:hAnsi="宋体" w:eastAsia="宋体" w:cs="宋体"/>
          <w:b w:val="0"/>
          <w:color w:val="auto"/>
          <w:sz w:val="21"/>
          <w:szCs w:val="21"/>
          <w:highlight w:val="none"/>
        </w:rPr>
        <w:t>38.3</w:t>
      </w:r>
      <w:r>
        <w:rPr>
          <w:rFonts w:hint="eastAsia" w:ascii="宋体" w:hAnsi="宋体" w:eastAsia="宋体" w:cs="宋体"/>
          <w:bCs/>
          <w:color w:val="auto"/>
          <w:sz w:val="21"/>
          <w:highlight w:val="none"/>
          <w:lang w:eastAsia="zh-CN"/>
        </w:rPr>
        <w:t>投标人</w:t>
      </w:r>
      <w:r>
        <w:rPr>
          <w:rFonts w:hint="eastAsia" w:ascii="宋体" w:hAnsi="宋体" w:eastAsia="宋体" w:cs="宋体"/>
          <w:b/>
          <w:bCs w:val="0"/>
          <w:color w:val="auto"/>
          <w:sz w:val="21"/>
          <w:highlight w:val="none"/>
        </w:rPr>
        <w:t>提出质疑应当提交质疑函和必要的证明材料，针对同一采购程序环节的质疑必须在法定质疑期内一次性提出</w:t>
      </w:r>
      <w:r>
        <w:rPr>
          <w:rFonts w:hint="eastAsia" w:ascii="宋体" w:hAnsi="宋体" w:eastAsia="宋体" w:cs="宋体"/>
          <w:bCs/>
          <w:color w:val="auto"/>
          <w:sz w:val="21"/>
          <w:highlight w:val="none"/>
        </w:rPr>
        <w:t>。</w:t>
      </w:r>
    </w:p>
    <w:p w14:paraId="1EFB91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38.3.1质疑供应商提起质疑应当符合下列条件：</w:t>
      </w:r>
    </w:p>
    <w:p w14:paraId="0F34A7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（1）质疑供应商是参与所质疑项目采购活动的</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（潜在</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已依法获取可质疑的采购文件的，可以对该采购文件质疑）；</w:t>
      </w:r>
    </w:p>
    <w:p w14:paraId="47D7F1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（2）质疑函内容符合本章第38.3.2项的规定；</w:t>
      </w:r>
    </w:p>
    <w:p w14:paraId="69703D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（3）在质疑有效期限内提起质疑；</w:t>
      </w:r>
    </w:p>
    <w:p w14:paraId="4EE3AB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（4）属于所质疑的采购人或采购人委托的采购代理机构组织的采购活动； </w:t>
      </w:r>
    </w:p>
    <w:p w14:paraId="2CE47D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（5）供应商对同一采购程序环节的质疑应当在质疑有效期内一次性提出；</w:t>
      </w:r>
    </w:p>
    <w:p w14:paraId="66FBB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提交质疑应当提交必要的证明材料，证明材料应以合法手段取得；</w:t>
      </w:r>
    </w:p>
    <w:p w14:paraId="0B9F9C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（7）财政部门规定的其他条件。</w:t>
      </w:r>
    </w:p>
    <w:p w14:paraId="745312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38.3.2质疑函应当包括下列内容（质疑函格式后附）：</w:t>
      </w:r>
    </w:p>
    <w:p w14:paraId="14602D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的姓名或者名称、地址、邮编、联系人及联系电话；</w:t>
      </w:r>
    </w:p>
    <w:p w14:paraId="5D40CA31">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（2）质疑项目的名称、编号；</w:t>
      </w:r>
    </w:p>
    <w:p w14:paraId="32AC2FFA">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（3）具体、明确的质疑事项和与质疑事项相关的请求；</w:t>
      </w:r>
    </w:p>
    <w:p w14:paraId="05A8BA26">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（4）事实依据；</w:t>
      </w:r>
    </w:p>
    <w:p w14:paraId="57BE6294">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（5）必要的法律依据；</w:t>
      </w:r>
    </w:p>
    <w:p w14:paraId="6F33CFE7">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（6）提出质疑的日期。</w:t>
      </w:r>
    </w:p>
    <w:p w14:paraId="3BE08C42">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eastAsia="zh-CN"/>
        </w:rPr>
        <w:t>投标人</w:t>
      </w:r>
      <w:r>
        <w:rPr>
          <w:rFonts w:hint="eastAsia" w:ascii="宋体" w:hAnsi="宋体" w:eastAsia="宋体" w:cs="宋体"/>
          <w:bCs/>
          <w:color w:val="auto"/>
          <w:sz w:val="21"/>
          <w:highlight w:val="none"/>
        </w:rPr>
        <w:t>为自然人的，应当由本人签字；</w:t>
      </w:r>
      <w:r>
        <w:rPr>
          <w:rFonts w:hint="eastAsia" w:ascii="宋体" w:hAnsi="宋体" w:eastAsia="宋体" w:cs="宋体"/>
          <w:bCs/>
          <w:color w:val="auto"/>
          <w:sz w:val="21"/>
          <w:highlight w:val="none"/>
          <w:lang w:eastAsia="zh-CN"/>
        </w:rPr>
        <w:t>投标人</w:t>
      </w:r>
      <w:r>
        <w:rPr>
          <w:rFonts w:hint="eastAsia" w:ascii="宋体" w:hAnsi="宋体" w:eastAsia="宋体" w:cs="宋体"/>
          <w:bCs/>
          <w:color w:val="auto"/>
          <w:sz w:val="21"/>
          <w:highlight w:val="none"/>
        </w:rPr>
        <w:t>为法人或者其他组织的，应当由法定代表人、主要负责人，或者其委托代理人签字或者盖章，并加盖公章。</w:t>
      </w:r>
    </w:p>
    <w:p w14:paraId="08E875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38.4采购人、采购代理机构认为</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质疑不成立，或者成立但未对中标结果构成影响的，继续开展采购活动；认为</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质疑成立且影响或者可能影响中标结果的，按照下列情况处理：</w:t>
      </w:r>
    </w:p>
    <w:p w14:paraId="70D24CD4">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（一）对招标文件提出的质疑，依法通过澄清或者修改可以继续开展采购活动的，澄清或者修改招标文件后继续开展采购活动；否则应当修改招标文件后重新开展采购活动。</w:t>
      </w:r>
    </w:p>
    <w:p w14:paraId="235DEF4C">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（二）对采购过程、中标结果提出的质疑，合格</w:t>
      </w:r>
      <w:r>
        <w:rPr>
          <w:rFonts w:hint="eastAsia" w:ascii="宋体" w:hAnsi="宋体" w:eastAsia="宋体" w:cs="宋体"/>
          <w:bCs/>
          <w:color w:val="auto"/>
          <w:sz w:val="21"/>
          <w:highlight w:val="none"/>
          <w:lang w:eastAsia="zh-CN"/>
        </w:rPr>
        <w:t>投标人</w:t>
      </w:r>
      <w:r>
        <w:rPr>
          <w:rFonts w:hint="eastAsia" w:ascii="宋体" w:hAnsi="宋体" w:eastAsia="宋体" w:cs="宋体"/>
          <w:bCs/>
          <w:color w:val="auto"/>
          <w:sz w:val="21"/>
          <w:highlight w:val="none"/>
        </w:rPr>
        <w:t>符合法定数量时，可以从合格的中标候选人中另行确定中标人的，应当依法另行确定中标人；否则应当重新开展采购活动。</w:t>
      </w:r>
    </w:p>
    <w:p w14:paraId="53C1B298">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质疑答复导致中标结果改变的，采购人或者采购代理机构应当将有关情况书面报告本级财政部门。</w:t>
      </w:r>
    </w:p>
    <w:p w14:paraId="5BC8A80E">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38.5</w:t>
      </w:r>
      <w:r>
        <w:rPr>
          <w:rFonts w:hint="eastAsia" w:ascii="宋体" w:hAnsi="宋体" w:eastAsia="宋体" w:cs="宋体"/>
          <w:b/>
          <w:color w:val="auto"/>
          <w:sz w:val="21"/>
          <w:highlight w:val="none"/>
        </w:rPr>
        <w:t>投诉的权利。质疑</w:t>
      </w:r>
      <w:r>
        <w:rPr>
          <w:rFonts w:hint="eastAsia" w:ascii="宋体" w:hAnsi="宋体" w:eastAsia="宋体" w:cs="宋体"/>
          <w:b/>
          <w:color w:val="auto"/>
          <w:sz w:val="21"/>
          <w:highlight w:val="none"/>
          <w:lang w:eastAsia="zh-CN"/>
        </w:rPr>
        <w:t>投标人</w:t>
      </w:r>
      <w:r>
        <w:rPr>
          <w:rFonts w:hint="eastAsia" w:ascii="宋体" w:hAnsi="宋体" w:eastAsia="宋体" w:cs="宋体"/>
          <w:b/>
          <w:color w:val="auto"/>
          <w:sz w:val="21"/>
          <w:highlight w:val="none"/>
        </w:rPr>
        <w:t>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F9A8223">
      <w:pPr>
        <w:pStyle w:val="4"/>
        <w:bidi w:val="0"/>
        <w:rPr>
          <w:rFonts w:hint="eastAsia" w:ascii="宋体" w:hAnsi="宋体" w:eastAsia="宋体" w:cs="宋体"/>
          <w:color w:val="auto"/>
          <w:highlight w:val="none"/>
        </w:rPr>
      </w:pPr>
      <w:bookmarkStart w:id="130" w:name="_八、其他事项"/>
      <w:bookmarkEnd w:id="130"/>
      <w:bookmarkStart w:id="131" w:name="_Toc31830"/>
      <w:bookmarkStart w:id="132" w:name="_Toc19686832"/>
      <w:bookmarkStart w:id="133" w:name="_Toc330456896"/>
      <w:bookmarkStart w:id="134" w:name="_Toc254970689"/>
      <w:bookmarkStart w:id="135" w:name="_Toc6156"/>
      <w:bookmarkStart w:id="136" w:name="_Toc254970548"/>
      <w:bookmarkStart w:id="137" w:name="_Toc30709"/>
      <w:r>
        <w:rPr>
          <w:rFonts w:hint="eastAsia" w:ascii="宋体" w:hAnsi="宋体" w:eastAsia="宋体" w:cs="宋体"/>
          <w:color w:val="auto"/>
          <w:highlight w:val="none"/>
        </w:rPr>
        <w:t>八、其他事项</w:t>
      </w:r>
    </w:p>
    <w:p w14:paraId="70C61E34">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bookmarkStart w:id="138" w:name="_42.代理服务费"/>
      <w:bookmarkEnd w:id="138"/>
      <w:r>
        <w:rPr>
          <w:rFonts w:hint="eastAsia" w:ascii="宋体" w:hAnsi="宋体" w:eastAsia="宋体" w:cs="宋体"/>
          <w:color w:val="auto"/>
          <w:sz w:val="21"/>
          <w:szCs w:val="21"/>
          <w:highlight w:val="none"/>
        </w:rPr>
        <w:t>39.代理服务费</w:t>
      </w:r>
    </w:p>
    <w:p w14:paraId="0B98D856">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39.1代理服务收费标准及缴费账户详见“投标人须知前附表”，投标人为联合体的，可以由联合体中的一方或者多方共同交纳代理服务费。</w:t>
      </w:r>
    </w:p>
    <w:p w14:paraId="3A4B4097">
      <w:pPr>
        <w:spacing w:line="360" w:lineRule="auto"/>
        <w:ind w:firstLine="420" w:firstLineChars="200"/>
        <w:rPr>
          <w:rStyle w:val="98"/>
          <w:rFonts w:hint="eastAsia" w:ascii="宋体" w:hAnsi="宋体" w:eastAsia="宋体" w:cs="宋体"/>
          <w:color w:val="auto"/>
          <w:kern w:val="0"/>
          <w:szCs w:val="21"/>
          <w:highlight w:val="none"/>
        </w:rPr>
      </w:pPr>
      <w:r>
        <w:rPr>
          <w:rFonts w:hint="eastAsia" w:ascii="宋体" w:hAnsi="宋体" w:eastAsia="宋体" w:cs="宋体"/>
          <w:bCs/>
          <w:color w:val="auto"/>
          <w:sz w:val="21"/>
          <w:highlight w:val="none"/>
        </w:rPr>
        <w:t>39.2代理服务收费标准：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C70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7C9E30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费率</w:t>
            </w:r>
          </w:p>
          <w:p w14:paraId="07B66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1659" w:type="dxa"/>
            <w:noWrap w:val="0"/>
            <w:vAlign w:val="center"/>
          </w:tcPr>
          <w:p w14:paraId="6B9474C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w:t>
            </w:r>
          </w:p>
        </w:tc>
        <w:tc>
          <w:tcPr>
            <w:tcW w:w="1532" w:type="dxa"/>
            <w:noWrap w:val="0"/>
            <w:vAlign w:val="center"/>
          </w:tcPr>
          <w:p w14:paraId="176418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c>
          <w:tcPr>
            <w:tcW w:w="1546" w:type="dxa"/>
            <w:noWrap w:val="0"/>
            <w:vAlign w:val="center"/>
          </w:tcPr>
          <w:p w14:paraId="66506C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工程类</w:t>
            </w:r>
          </w:p>
        </w:tc>
      </w:tr>
      <w:tr w14:paraId="56E6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52D38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100万元以下</w:t>
            </w:r>
          </w:p>
        </w:tc>
        <w:tc>
          <w:tcPr>
            <w:tcW w:w="1659" w:type="dxa"/>
            <w:noWrap w:val="0"/>
            <w:vAlign w:val="center"/>
          </w:tcPr>
          <w:p w14:paraId="303E0D1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32" w:type="dxa"/>
            <w:noWrap w:val="0"/>
            <w:vAlign w:val="center"/>
          </w:tcPr>
          <w:p w14:paraId="70AD020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46" w:type="dxa"/>
            <w:noWrap w:val="0"/>
            <w:vAlign w:val="center"/>
          </w:tcPr>
          <w:p w14:paraId="5B5FA6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4DC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3C1DC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100～500万元</w:t>
            </w:r>
          </w:p>
        </w:tc>
        <w:tc>
          <w:tcPr>
            <w:tcW w:w="1659" w:type="dxa"/>
            <w:noWrap w:val="0"/>
            <w:vAlign w:val="center"/>
          </w:tcPr>
          <w:p w14:paraId="3C1F7BF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32" w:type="dxa"/>
            <w:noWrap w:val="0"/>
            <w:vAlign w:val="center"/>
          </w:tcPr>
          <w:p w14:paraId="43128AE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546" w:type="dxa"/>
            <w:noWrap w:val="0"/>
            <w:vAlign w:val="center"/>
          </w:tcPr>
          <w:p w14:paraId="199434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0B35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E3DA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500～1000万元</w:t>
            </w:r>
          </w:p>
        </w:tc>
        <w:tc>
          <w:tcPr>
            <w:tcW w:w="1659" w:type="dxa"/>
            <w:noWrap w:val="0"/>
            <w:vAlign w:val="center"/>
          </w:tcPr>
          <w:p w14:paraId="3B4E11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532" w:type="dxa"/>
            <w:noWrap w:val="0"/>
            <w:vAlign w:val="center"/>
          </w:tcPr>
          <w:p w14:paraId="6A019B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546" w:type="dxa"/>
            <w:noWrap w:val="0"/>
            <w:vAlign w:val="center"/>
          </w:tcPr>
          <w:p w14:paraId="127DB0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4AED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FF446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1000～5000万元</w:t>
            </w:r>
          </w:p>
        </w:tc>
        <w:tc>
          <w:tcPr>
            <w:tcW w:w="1659" w:type="dxa"/>
            <w:noWrap w:val="0"/>
            <w:vAlign w:val="center"/>
          </w:tcPr>
          <w:p w14:paraId="5E22C1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532" w:type="dxa"/>
            <w:noWrap w:val="0"/>
            <w:vAlign w:val="center"/>
          </w:tcPr>
          <w:p w14:paraId="523FD20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546" w:type="dxa"/>
            <w:noWrap w:val="0"/>
            <w:vAlign w:val="center"/>
          </w:tcPr>
          <w:p w14:paraId="0F601E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52ED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7FC85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5000万元～1亿元</w:t>
            </w:r>
          </w:p>
        </w:tc>
        <w:tc>
          <w:tcPr>
            <w:tcW w:w="1659" w:type="dxa"/>
            <w:noWrap w:val="0"/>
            <w:vAlign w:val="center"/>
          </w:tcPr>
          <w:p w14:paraId="3F2BAE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532" w:type="dxa"/>
            <w:noWrap w:val="0"/>
            <w:vAlign w:val="center"/>
          </w:tcPr>
          <w:p w14:paraId="46EAC2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546" w:type="dxa"/>
            <w:noWrap w:val="0"/>
            <w:vAlign w:val="center"/>
          </w:tcPr>
          <w:p w14:paraId="25660A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14:paraId="28C883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366E3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（1）按本表费率计算的收费标准为采购代理的收费价格，由采购代理机构向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收取；</w:t>
      </w:r>
    </w:p>
    <w:p w14:paraId="06133B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（2）采购代理收费按差额定率累进法计算。</w:t>
      </w:r>
    </w:p>
    <w:p w14:paraId="21C830A1">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40.需要补充的其他内容</w:t>
      </w:r>
    </w:p>
    <w:p w14:paraId="7849D026">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40.1本招标文件解释规则详见“投标人须知前附表”。</w:t>
      </w:r>
    </w:p>
    <w:p w14:paraId="699BD352">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40.2其他事项详见“投标人须知前附表”。</w:t>
      </w:r>
    </w:p>
    <w:p w14:paraId="40E96092">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FDEB6D2">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A81E537">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（2）在工程采购项目中，工程由中小企业承建，即工程施工单位为中小企业，不对其中涉及的货物的制造商和服务的承接商作出要求；</w:t>
      </w:r>
    </w:p>
    <w:p w14:paraId="06FEC14D">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0F5595B">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E1E074A">
      <w:pPr>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 w:val="0"/>
          <w:color w:val="auto"/>
          <w:sz w:val="21"/>
          <w:szCs w:val="21"/>
          <w:highlight w:val="none"/>
        </w:rPr>
        <w:t>依据</w:t>
      </w:r>
      <w:r>
        <w:rPr>
          <w:rFonts w:hint="eastAsia" w:ascii="宋体" w:hAnsi="宋体" w:eastAsia="宋体" w:cs="宋体"/>
          <w:color w:val="auto"/>
          <w:sz w:val="21"/>
          <w:highlight w:val="none"/>
        </w:rPr>
        <w:t>本招标文件规定享受扶持政策获得政府采购合同的，小微企业不得将合同分包给大中型企业，中型企业不得将合同分包给大型企业</w:t>
      </w:r>
      <w:r>
        <w:rPr>
          <w:rFonts w:hint="eastAsia" w:ascii="宋体" w:hAnsi="宋体" w:eastAsia="宋体" w:cs="宋体"/>
          <w:color w:val="auto"/>
          <w:sz w:val="21"/>
          <w:highlight w:val="none"/>
          <w:lang w:eastAsia="zh-CN"/>
        </w:rPr>
        <w:t>。</w:t>
      </w:r>
    </w:p>
    <w:p w14:paraId="6A61AC2B">
      <w:pPr>
        <w:pStyle w:val="25"/>
        <w:snapToGrid w:val="0"/>
        <w:spacing w:line="360" w:lineRule="auto"/>
        <w:ind w:firstLine="420" w:firstLineChars="200"/>
        <w:rPr>
          <w:rFonts w:hint="eastAsia" w:ascii="宋体" w:hAnsi="宋体" w:eastAsia="宋体" w:cs="宋体"/>
          <w:color w:val="auto"/>
          <w:sz w:val="21"/>
          <w:highlight w:val="none"/>
        </w:rPr>
      </w:pPr>
    </w:p>
    <w:p w14:paraId="6BBD8B3F">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B7AC68C">
      <w:pPr>
        <w:pStyle w:val="25"/>
        <w:snapToGrid w:val="0"/>
        <w:spacing w:before="120" w:after="120"/>
        <w:rPr>
          <w:rFonts w:hint="eastAsia" w:ascii="宋体" w:hAnsi="宋体" w:eastAsia="宋体" w:cs="宋体"/>
          <w:color w:val="auto"/>
          <w:highlight w:val="none"/>
        </w:rPr>
      </w:pPr>
    </w:p>
    <w:p w14:paraId="27817D32">
      <w:pPr>
        <w:pStyle w:val="25"/>
        <w:snapToGrid w:val="0"/>
        <w:spacing w:before="120" w:after="120"/>
        <w:rPr>
          <w:rFonts w:hint="eastAsia" w:ascii="宋体" w:hAnsi="宋体" w:eastAsia="宋体" w:cs="宋体"/>
          <w:color w:val="auto"/>
          <w:highlight w:val="none"/>
        </w:rPr>
      </w:pPr>
    </w:p>
    <w:p w14:paraId="4AADE699">
      <w:pPr>
        <w:pStyle w:val="25"/>
        <w:snapToGrid w:val="0"/>
        <w:spacing w:before="120" w:after="120"/>
        <w:rPr>
          <w:rFonts w:hint="eastAsia" w:ascii="宋体" w:hAnsi="宋体" w:eastAsia="宋体" w:cs="宋体"/>
          <w:color w:val="auto"/>
          <w:highlight w:val="none"/>
        </w:rPr>
      </w:pPr>
    </w:p>
    <w:p w14:paraId="47FBC865">
      <w:pPr>
        <w:pStyle w:val="25"/>
        <w:snapToGrid w:val="0"/>
        <w:spacing w:before="120" w:after="120"/>
        <w:rPr>
          <w:rFonts w:hint="eastAsia" w:ascii="宋体" w:hAnsi="宋体" w:eastAsia="宋体" w:cs="宋体"/>
          <w:color w:val="auto"/>
          <w:highlight w:val="none"/>
        </w:rPr>
      </w:pPr>
    </w:p>
    <w:p w14:paraId="36A9CC71">
      <w:pPr>
        <w:pStyle w:val="25"/>
        <w:snapToGrid w:val="0"/>
        <w:spacing w:before="120" w:after="120"/>
        <w:rPr>
          <w:rFonts w:hint="eastAsia" w:ascii="宋体" w:hAnsi="宋体" w:eastAsia="宋体" w:cs="宋体"/>
          <w:color w:val="auto"/>
          <w:highlight w:val="none"/>
        </w:rPr>
      </w:pPr>
    </w:p>
    <w:p w14:paraId="67B00D7F">
      <w:pPr>
        <w:rPr>
          <w:rFonts w:hint="eastAsia" w:ascii="宋体" w:hAnsi="宋体" w:eastAsia="宋体" w:cs="宋体"/>
          <w:color w:val="auto"/>
          <w:highlight w:val="none"/>
        </w:rPr>
      </w:pPr>
    </w:p>
    <w:p w14:paraId="3CB7184B">
      <w:pPr>
        <w:rPr>
          <w:rFonts w:hint="eastAsia" w:ascii="宋体" w:hAnsi="宋体" w:eastAsia="宋体" w:cs="宋体"/>
          <w:color w:val="auto"/>
          <w:highlight w:val="none"/>
        </w:rPr>
      </w:pPr>
    </w:p>
    <w:p w14:paraId="66AA3AFB">
      <w:pPr>
        <w:pStyle w:val="20"/>
        <w:rPr>
          <w:rFonts w:hint="eastAsia" w:ascii="宋体" w:hAnsi="宋体" w:eastAsia="宋体" w:cs="宋体"/>
          <w:color w:val="auto"/>
          <w:highlight w:val="none"/>
        </w:rPr>
      </w:pPr>
    </w:p>
    <w:p w14:paraId="0AAFE325">
      <w:pPr>
        <w:rPr>
          <w:rFonts w:hint="eastAsia" w:ascii="宋体" w:hAnsi="宋体" w:eastAsia="宋体" w:cs="宋体"/>
          <w:color w:val="auto"/>
          <w:highlight w:val="none"/>
        </w:rPr>
      </w:pPr>
    </w:p>
    <w:p w14:paraId="1CEAE008">
      <w:pPr>
        <w:pStyle w:val="25"/>
        <w:snapToGrid w:val="0"/>
        <w:spacing w:before="120" w:after="120"/>
        <w:rPr>
          <w:rFonts w:hint="eastAsia" w:ascii="宋体" w:hAnsi="宋体" w:eastAsia="宋体" w:cs="宋体"/>
          <w:color w:val="auto"/>
          <w:highlight w:val="none"/>
        </w:rPr>
      </w:pPr>
    </w:p>
    <w:p w14:paraId="4FC7DA79">
      <w:pPr>
        <w:pStyle w:val="25"/>
        <w:snapToGrid w:val="0"/>
        <w:spacing w:before="120" w:after="120"/>
        <w:rPr>
          <w:rFonts w:hint="eastAsia" w:ascii="宋体" w:hAnsi="宋体" w:eastAsia="宋体" w:cs="宋体"/>
          <w:color w:val="auto"/>
          <w:highlight w:val="none"/>
        </w:rPr>
      </w:pPr>
    </w:p>
    <w:p w14:paraId="1B675125">
      <w:pPr>
        <w:pStyle w:val="25"/>
        <w:snapToGrid w:val="0"/>
        <w:spacing w:before="120" w:after="120"/>
        <w:rPr>
          <w:rFonts w:hint="eastAsia" w:ascii="宋体" w:hAnsi="宋体" w:eastAsia="宋体" w:cs="宋体"/>
          <w:color w:val="auto"/>
          <w:highlight w:val="none"/>
        </w:rPr>
      </w:pPr>
    </w:p>
    <w:p w14:paraId="0B74262B">
      <w:pPr>
        <w:pStyle w:val="2"/>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评标方法及评标标准</w:t>
      </w:r>
      <w:bookmarkEnd w:id="131"/>
      <w:bookmarkEnd w:id="132"/>
      <w:bookmarkEnd w:id="133"/>
      <w:bookmarkEnd w:id="134"/>
      <w:bookmarkEnd w:id="135"/>
      <w:bookmarkEnd w:id="136"/>
      <w:bookmarkEnd w:id="137"/>
    </w:p>
    <w:p w14:paraId="15C493AE">
      <w:pPr>
        <w:spacing w:before="120" w:after="120"/>
        <w:rPr>
          <w:rFonts w:hint="eastAsia" w:ascii="宋体" w:hAnsi="宋体" w:eastAsia="宋体" w:cs="宋体"/>
          <w:color w:val="auto"/>
          <w:highlight w:val="none"/>
        </w:rPr>
      </w:pPr>
      <w:bookmarkStart w:id="139" w:name="_Toc254970690"/>
      <w:bookmarkStart w:id="140" w:name="_Toc254970549"/>
    </w:p>
    <w:bookmarkEnd w:id="139"/>
    <w:bookmarkEnd w:id="140"/>
    <w:p w14:paraId="2AD629C9">
      <w:pPr>
        <w:spacing w:before="120" w:after="120"/>
        <w:rPr>
          <w:rFonts w:hint="eastAsia" w:ascii="宋体" w:hAnsi="宋体" w:eastAsia="宋体" w:cs="宋体"/>
          <w:color w:val="auto"/>
          <w:highlight w:val="none"/>
        </w:rPr>
      </w:pPr>
    </w:p>
    <w:p w14:paraId="36FDD75F">
      <w:pPr>
        <w:spacing w:before="120" w:after="120"/>
        <w:rPr>
          <w:rFonts w:hint="eastAsia" w:ascii="宋体" w:hAnsi="宋体" w:eastAsia="宋体" w:cs="宋体"/>
          <w:color w:val="auto"/>
          <w:highlight w:val="none"/>
        </w:rPr>
      </w:pPr>
    </w:p>
    <w:p w14:paraId="73EB8989">
      <w:pPr>
        <w:spacing w:before="120" w:after="120"/>
        <w:rPr>
          <w:rFonts w:hint="eastAsia" w:ascii="宋体" w:hAnsi="宋体" w:eastAsia="宋体" w:cs="宋体"/>
          <w:color w:val="auto"/>
          <w:highlight w:val="none"/>
        </w:rPr>
      </w:pPr>
    </w:p>
    <w:p w14:paraId="6A6AE05B">
      <w:pPr>
        <w:spacing w:beforeLines="50" w:afterLines="50" w:line="400" w:lineRule="exact"/>
        <w:rPr>
          <w:rFonts w:hint="eastAsia" w:ascii="宋体" w:hAnsi="宋体" w:eastAsia="宋体" w:cs="宋体"/>
          <w:b/>
          <w:color w:val="auto"/>
          <w:sz w:val="24"/>
          <w:highlight w:val="none"/>
        </w:rPr>
      </w:pPr>
    </w:p>
    <w:p w14:paraId="290A18CC">
      <w:pPr>
        <w:spacing w:beforeLines="50" w:afterLines="50" w:line="400" w:lineRule="exact"/>
        <w:rPr>
          <w:rFonts w:hint="eastAsia" w:ascii="宋体" w:hAnsi="宋体" w:eastAsia="宋体" w:cs="宋体"/>
          <w:b/>
          <w:color w:val="auto"/>
          <w:sz w:val="24"/>
          <w:highlight w:val="none"/>
        </w:rPr>
      </w:pPr>
    </w:p>
    <w:p w14:paraId="67E2C4A5">
      <w:pPr>
        <w:spacing w:beforeLines="50" w:afterLines="50" w:line="400" w:lineRule="exact"/>
        <w:rPr>
          <w:rFonts w:hint="eastAsia" w:ascii="宋体" w:hAnsi="宋体" w:eastAsia="宋体" w:cs="宋体"/>
          <w:b/>
          <w:color w:val="auto"/>
          <w:sz w:val="24"/>
          <w:highlight w:val="none"/>
        </w:rPr>
      </w:pPr>
    </w:p>
    <w:p w14:paraId="366BCB01">
      <w:pPr>
        <w:pStyle w:val="25"/>
        <w:spacing w:line="360" w:lineRule="exact"/>
        <w:rPr>
          <w:rFonts w:hint="eastAsia" w:ascii="宋体" w:hAnsi="宋体" w:eastAsia="宋体" w:cs="宋体"/>
          <w:b/>
          <w:color w:val="auto"/>
          <w:sz w:val="24"/>
          <w:highlight w:val="none"/>
        </w:rPr>
      </w:pPr>
    </w:p>
    <w:p w14:paraId="4C1A78F9">
      <w:pPr>
        <w:pStyle w:val="25"/>
        <w:spacing w:line="360" w:lineRule="exact"/>
        <w:rPr>
          <w:rFonts w:hint="eastAsia" w:ascii="宋体" w:hAnsi="宋体" w:eastAsia="宋体" w:cs="宋体"/>
          <w:b/>
          <w:color w:val="auto"/>
          <w:sz w:val="24"/>
          <w:highlight w:val="none"/>
        </w:rPr>
      </w:pPr>
    </w:p>
    <w:p w14:paraId="21C9806F">
      <w:pPr>
        <w:pStyle w:val="25"/>
        <w:spacing w:line="360" w:lineRule="exact"/>
        <w:rPr>
          <w:rFonts w:hint="eastAsia" w:ascii="宋体" w:hAnsi="宋体" w:eastAsia="宋体" w:cs="宋体"/>
          <w:b/>
          <w:color w:val="auto"/>
          <w:sz w:val="24"/>
          <w:highlight w:val="none"/>
        </w:rPr>
      </w:pPr>
    </w:p>
    <w:p w14:paraId="7DEE91E4">
      <w:pPr>
        <w:pStyle w:val="25"/>
        <w:spacing w:line="360" w:lineRule="exact"/>
        <w:rPr>
          <w:rFonts w:hint="eastAsia" w:ascii="宋体" w:hAnsi="宋体" w:eastAsia="宋体" w:cs="宋体"/>
          <w:bCs/>
          <w:color w:val="auto"/>
          <w:highlight w:val="none"/>
        </w:rPr>
      </w:pPr>
    </w:p>
    <w:p w14:paraId="3596494E">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一、评标方法</w:t>
      </w:r>
    </w:p>
    <w:p w14:paraId="39DA612C">
      <w:pPr>
        <w:pStyle w:val="25"/>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综合评分法，是指投标文件满足招标文件全部实质性要求，且按照评审因素的量化指标评审得分最高的投标人为中标候选人的评标方法。</w:t>
      </w:r>
    </w:p>
    <w:p w14:paraId="4177B00F">
      <w:pPr>
        <w:pStyle w:val="25"/>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最低评标价法，是指投标文件满足招标文件全部实质性要求，且投标报价最低的投标人为中标候选人的评标方法。</w:t>
      </w:r>
    </w:p>
    <w:p w14:paraId="316CDBBF">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二、评标程序</w:t>
      </w:r>
    </w:p>
    <w:p w14:paraId="5E9E6724">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2DEE9B99">
      <w:pPr>
        <w:pStyle w:val="25"/>
        <w:snapToGrid w:val="0"/>
        <w:spacing w:line="360" w:lineRule="auto"/>
        <w:ind w:left="1" w:firstLine="42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19248E79">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442570F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投标人的投标文件中存在对招标文件的任何实质性要求和条件的负偏离，将被视为投标无效。</w:t>
      </w:r>
    </w:p>
    <w:p w14:paraId="3262F5B5">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2586D9BD">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投标文件未提供“投标人须知前附表”第13.1条规定中“必须提供”的文件资料的</w:t>
      </w:r>
      <w:r>
        <w:rPr>
          <w:rFonts w:hint="eastAsia" w:ascii="宋体" w:hAnsi="宋体" w:eastAsia="宋体" w:cs="宋体"/>
          <w:b/>
          <w:color w:val="auto"/>
          <w:szCs w:val="21"/>
          <w:highlight w:val="none"/>
          <w:lang w:eastAsia="zh-CN"/>
        </w:rPr>
        <w:t>；</w:t>
      </w:r>
    </w:p>
    <w:p w14:paraId="6F08C834">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未采用人民币报价或者未按照招标文件标明的币种报价的；</w:t>
      </w:r>
    </w:p>
    <w:p w14:paraId="5678BECA">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报价超出招标文件规定最高限价，或者超出采购预算金额的；</w:t>
      </w:r>
    </w:p>
    <w:p w14:paraId="5C7BF78E">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001E990B">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修正后的报价，投标人不确认的；</w:t>
      </w:r>
    </w:p>
    <w:p w14:paraId="447C3A6C">
      <w:pPr>
        <w:pStyle w:val="7"/>
        <w:numPr>
          <w:ilvl w:val="0"/>
          <w:numId w:val="3"/>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投标人属于本章第5条第（2）项情形的。</w:t>
      </w:r>
    </w:p>
    <w:p w14:paraId="19D53765">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0CBD4B04">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投标文件未按招标文件要求签署、盖章的；</w:t>
      </w:r>
    </w:p>
    <w:p w14:paraId="0A0A6ED4">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委托代理人未能出具有效身份证明或者出具的身份证明与授权委托书中的信息不符的； </w:t>
      </w:r>
    </w:p>
    <w:p w14:paraId="6CD76B15">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为无效投标保证金的或者未按照招标文件的规定提交投标保证金的；</w:t>
      </w:r>
    </w:p>
    <w:p w14:paraId="013FC31B">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投标文件未提供“投标人须知前附表”第13.1条规定中“必须提供”或者“委托时必须提供”的文件资料的</w:t>
      </w:r>
      <w:r>
        <w:rPr>
          <w:rFonts w:hint="eastAsia" w:ascii="宋体" w:hAnsi="宋体" w:eastAsia="宋体" w:cs="宋体"/>
          <w:b/>
          <w:color w:val="auto"/>
          <w:szCs w:val="21"/>
          <w:highlight w:val="none"/>
          <w:lang w:eastAsia="zh-CN"/>
        </w:rPr>
        <w:t>；</w:t>
      </w:r>
    </w:p>
    <w:p w14:paraId="28FE6900">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投标有效期、项目完成时间（交货时间、服务完成时间或者服务期等）、质保期、售后服务等招标文件中的商务条款发生负偏离的；</w:t>
      </w:r>
    </w:p>
    <w:p w14:paraId="4FFF6602">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商务条款评审允许负偏离的条款数超过“投标人须知前附表”规定项数的</w:t>
      </w:r>
      <w:r>
        <w:rPr>
          <w:rFonts w:hint="eastAsia" w:ascii="宋体" w:hAnsi="宋体" w:eastAsia="宋体" w:cs="宋体"/>
          <w:b/>
          <w:color w:val="auto"/>
          <w:szCs w:val="21"/>
          <w:highlight w:val="none"/>
          <w:lang w:eastAsia="zh-CN"/>
        </w:rPr>
        <w:t>；</w:t>
      </w:r>
    </w:p>
    <w:p w14:paraId="3EBA6719">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投标文件的实质性内容未使用中文表述、使用计量单位不符合招标文件要求的；</w:t>
      </w:r>
    </w:p>
    <w:p w14:paraId="170B0ECC">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投标文件中的文件资料因填写不齐全或者内容虚假或者出现其他情形而导致被评标委员会认定无效的；</w:t>
      </w:r>
    </w:p>
    <w:p w14:paraId="4698541B">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w:t>
      </w:r>
    </w:p>
    <w:p w14:paraId="1AF91CE9">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未响应招标文件实质性要求的；</w:t>
      </w:r>
    </w:p>
    <w:p w14:paraId="02D5327B">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属于投标人须知正文第9.2条情形的；</w:t>
      </w:r>
    </w:p>
    <w:p w14:paraId="45D18945">
      <w:pPr>
        <w:numPr>
          <w:ilvl w:val="0"/>
          <w:numId w:val="4"/>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法律、法规和招标文件规定的其他无效情形。</w:t>
      </w:r>
    </w:p>
    <w:p w14:paraId="196EA08B">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6C93F0FD">
      <w:pPr>
        <w:pStyle w:val="17"/>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i w:val="0"/>
          <w:iCs w:val="0"/>
          <w:color w:val="auto"/>
          <w:kern w:val="0"/>
          <w:sz w:val="21"/>
          <w:szCs w:val="21"/>
          <w:highlight w:val="none"/>
          <w:u w:val="none"/>
          <w:lang w:val="en-US" w:eastAsia="zh-CN"/>
        </w:rPr>
        <w:t>明显不满足招标文件要求的技术规格、安全、质量标准，</w:t>
      </w:r>
      <w:r>
        <w:rPr>
          <w:rFonts w:hint="eastAsia" w:ascii="宋体" w:hAnsi="宋体" w:eastAsia="宋体" w:cs="宋体"/>
          <w:b/>
          <w:bCs/>
          <w:i w:val="0"/>
          <w:iCs w:val="0"/>
          <w:color w:val="auto"/>
          <w:kern w:val="0"/>
          <w:sz w:val="21"/>
          <w:szCs w:val="21"/>
          <w:highlight w:val="none"/>
          <w:u w:val="none"/>
          <w:lang w:val="en-US" w:eastAsia="zh-CN"/>
        </w:rPr>
        <w:t>或者与招标文件中技术需求发生负偏离的；</w:t>
      </w:r>
    </w:p>
    <w:p w14:paraId="594C3E2E">
      <w:pPr>
        <w:pStyle w:val="17"/>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14:paraId="351B0FA2">
      <w:pPr>
        <w:pStyle w:val="17"/>
        <w:snapToGrid w:val="0"/>
        <w:spacing w:line="360" w:lineRule="auto"/>
        <w:ind w:firstLine="413" w:firstLineChars="196"/>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rPr>
        <w:t>（3）投标文件未提供“投标人须知前附表”第13.1条规定中“必须提供”的文件资料的</w:t>
      </w:r>
      <w:r>
        <w:rPr>
          <w:rFonts w:hint="eastAsia" w:ascii="宋体" w:hAnsi="宋体" w:eastAsia="宋体" w:cs="宋体"/>
          <w:b/>
          <w:color w:val="auto"/>
          <w:kern w:val="2"/>
          <w:sz w:val="21"/>
          <w:szCs w:val="21"/>
          <w:highlight w:val="none"/>
          <w:lang w:eastAsia="zh-CN"/>
        </w:rPr>
        <w:t>；</w:t>
      </w:r>
    </w:p>
    <w:p w14:paraId="61355C16">
      <w:pPr>
        <w:pStyle w:val="17"/>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14:paraId="0A5DF84F">
      <w:pPr>
        <w:pStyle w:val="17"/>
        <w:snapToGrid w:val="0"/>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14:paraId="7C3DBD2D">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0AA07BBB">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E5C3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C8E607E">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未按评标委员会的要求作出明确澄清、说明或者更正的投标人的投标文件将按照有利于采购人的原则由评标委员会进行判定。</w:t>
      </w:r>
    </w:p>
    <w:p w14:paraId="70B8151E">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25A654AF">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51B5C1FA">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（1）投标文件中开标一览表（报价表）内容与投标文件中相应内容不一致的，以开标一览表（报价表）为准；</w:t>
      </w:r>
    </w:p>
    <w:p w14:paraId="4C914238">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（2）大写金额和小写金额不一致的，以大写金额为准；</w:t>
      </w:r>
    </w:p>
    <w:p w14:paraId="255B1415">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（3）单价金额小数点或者百分比有明显错位的，以开标一览表的总价为准，并修改单价；</w:t>
      </w:r>
    </w:p>
    <w:p w14:paraId="7D2EEA6C">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（4）总价金额与按单价汇总金额不一致的，以单价金额计算结果为准。</w:t>
      </w:r>
    </w:p>
    <w:p w14:paraId="211AB857">
      <w:pPr>
        <w:pStyle w:val="25"/>
        <w:snapToGrid w:val="0"/>
        <w:spacing w:line="360" w:lineRule="auto"/>
        <w:ind w:firstLine="420" w:firstLineChars="200"/>
        <w:rPr>
          <w:rFonts w:hint="eastAsia" w:ascii="宋体" w:hAnsi="宋体" w:eastAsia="宋体" w:cs="宋体"/>
          <w:b/>
          <w:color w:val="auto"/>
          <w:sz w:val="21"/>
          <w:highlight w:val="none"/>
        </w:rPr>
      </w:pPr>
      <w:r>
        <w:rPr>
          <w:rFonts w:hint="eastAsia" w:ascii="宋体" w:hAnsi="宋体" w:eastAsia="宋体" w:cs="宋体"/>
          <w:color w:val="auto"/>
          <w:sz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highlight w:val="none"/>
        </w:rPr>
        <w:t>其投标无效</w:t>
      </w:r>
      <w:r>
        <w:rPr>
          <w:rFonts w:hint="eastAsia" w:ascii="宋体" w:hAnsi="宋体" w:eastAsia="宋体" w:cs="宋体"/>
          <w:color w:val="auto"/>
          <w:sz w:val="21"/>
          <w:highlight w:val="none"/>
        </w:rPr>
        <w:t>。</w:t>
      </w:r>
    </w:p>
    <w:p w14:paraId="54E067E3">
      <w:pPr>
        <w:pStyle w:val="25"/>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4.2经投标人确认修正后的报价若超过采购预算金额或者最高限价，</w:t>
      </w:r>
      <w:r>
        <w:rPr>
          <w:rFonts w:hint="eastAsia" w:ascii="宋体" w:hAnsi="宋体" w:eastAsia="宋体" w:cs="宋体"/>
          <w:color w:val="auto"/>
          <w:sz w:val="21"/>
          <w:highlight w:val="none"/>
        </w:rPr>
        <w:t>投标人的投标文件作无效投标处理</w:t>
      </w:r>
      <w:r>
        <w:rPr>
          <w:rFonts w:hint="eastAsia" w:ascii="宋体" w:hAnsi="宋体" w:eastAsia="宋体" w:cs="宋体"/>
          <w:b/>
          <w:color w:val="auto"/>
          <w:sz w:val="21"/>
          <w:highlight w:val="none"/>
        </w:rPr>
        <w:t>。</w:t>
      </w:r>
    </w:p>
    <w:p w14:paraId="0CA35D5A">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4.3经投标人确认修正后的报价作为签订合同的依据，并以此报价计算价格分。</w:t>
      </w:r>
    </w:p>
    <w:p w14:paraId="3A12547E">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484414D1">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（1）评标委员会按照招标文件中规定的评标方法和评标标准，对符合性审查合格的投标文件进行商务和技术评估，综合比较与评价。</w:t>
      </w:r>
    </w:p>
    <w:p w14:paraId="242EE5F9">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（2）评标委员会独立对每个投标人的投标文件进行评价，并汇总每个投标人的得分。</w:t>
      </w:r>
    </w:p>
    <w:p w14:paraId="08C5294C">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评标委员会认为投标人的报价明显低于其他通过符合性审查投标人的报价，有可能影响服务质量或者不能诚信履约的，应当要求</w:t>
      </w:r>
      <w:r>
        <w:rPr>
          <w:rFonts w:hint="eastAsia" w:ascii="宋体" w:hAnsi="宋体" w:eastAsia="宋体" w:cs="宋体"/>
          <w:color w:val="auto"/>
          <w:sz w:val="21"/>
          <w:szCs w:val="21"/>
          <w:highlight w:val="none"/>
          <w:lang w:eastAsia="zh-CN"/>
        </w:rPr>
        <w:t>其</w:t>
      </w:r>
      <w:r>
        <w:rPr>
          <w:rFonts w:hint="eastAsia" w:ascii="宋体" w:hAnsi="宋体" w:eastAsia="宋体" w:cs="宋体"/>
          <w:color w:val="auto"/>
          <w:sz w:val="21"/>
          <w:szCs w:val="21"/>
          <w:highlight w:val="none"/>
        </w:rPr>
        <w:t>在规定时间内作出必要的澄清、说明或者补正</w:t>
      </w:r>
      <w:r>
        <w:rPr>
          <w:rFonts w:hint="eastAsia" w:ascii="宋体" w:hAnsi="宋体" w:eastAsia="宋体" w:cs="宋体"/>
          <w:color w:val="auto"/>
          <w:sz w:val="21"/>
          <w:highlight w:val="none"/>
        </w:rPr>
        <w:t>，必要时提交相关证明材料；投标人不能证明其报价合理性的，</w:t>
      </w:r>
      <w:r>
        <w:rPr>
          <w:rFonts w:hint="eastAsia" w:ascii="宋体" w:hAnsi="宋体" w:eastAsia="宋体" w:cs="宋体"/>
          <w:b/>
          <w:color w:val="auto"/>
          <w:kern w:val="2"/>
          <w:sz w:val="21"/>
          <w:highlight w:val="none"/>
        </w:rPr>
        <w:t>评标委员会将其作为无效投标处理</w:t>
      </w:r>
      <w:r>
        <w:rPr>
          <w:rFonts w:hint="eastAsia" w:ascii="宋体" w:hAnsi="宋体" w:eastAsia="宋体" w:cs="宋体"/>
          <w:color w:val="auto"/>
          <w:sz w:val="21"/>
          <w:highlight w:val="none"/>
        </w:rPr>
        <w:t>。</w:t>
      </w:r>
    </w:p>
    <w:p w14:paraId="140D3A3F">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（3）评标委员会按照招标文件中规定的评标方法和标准计算各投标人的报价得分。在计算过程中，不得去掉最高报价或者最低报价。</w:t>
      </w:r>
    </w:p>
    <w:p w14:paraId="0A7E6136">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（4）各投标人的得分为所有评委的有效评分的算术平均数。</w:t>
      </w:r>
    </w:p>
    <w:p w14:paraId="3B6169C4">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（5）评标委员会按照招标文件中的规定推荐中标候选人。</w:t>
      </w:r>
    </w:p>
    <w:p w14:paraId="3766061F">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2AB6491">
      <w:pPr>
        <w:pStyle w:val="25"/>
        <w:spacing w:line="360" w:lineRule="auto"/>
        <w:ind w:firstLine="42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6.属于下列情形之一的，应予废标：</w:t>
      </w:r>
    </w:p>
    <w:p w14:paraId="2E412722">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（1）符合专业条件的供应商或者对招标文件作实质响应的投标人不足三家的；</w:t>
      </w:r>
    </w:p>
    <w:p w14:paraId="2D6E7D22">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（2）出现影响采购公正的违法、违规行为的；</w:t>
      </w:r>
    </w:p>
    <w:p w14:paraId="36C15BA2">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（3）投标人的报价均超过了采购预算，采购人不能支付的；</w:t>
      </w:r>
    </w:p>
    <w:p w14:paraId="7FA08949">
      <w:pPr>
        <w:pStyle w:val="2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（4）因重大变故，采购任务取消的</w:t>
      </w:r>
    </w:p>
    <w:p w14:paraId="624157B1">
      <w:pPr>
        <w:pStyle w:val="13"/>
        <w:ind w:left="0"/>
        <w:rPr>
          <w:rFonts w:hint="eastAsia" w:ascii="宋体" w:hAnsi="宋体" w:eastAsia="宋体" w:cs="宋体"/>
          <w:color w:val="auto"/>
          <w:highlight w:val="none"/>
        </w:rPr>
      </w:pPr>
    </w:p>
    <w:p w14:paraId="0605B778">
      <w:pPr>
        <w:rPr>
          <w:rFonts w:hint="eastAsia" w:ascii="宋体" w:hAnsi="宋体" w:eastAsia="宋体" w:cs="宋体"/>
          <w:color w:val="auto"/>
          <w:highlight w:val="none"/>
        </w:rPr>
      </w:pPr>
    </w:p>
    <w:p w14:paraId="45644F45">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三、评标标准（综合评分法）</w:t>
      </w:r>
    </w:p>
    <w:tbl>
      <w:tblPr>
        <w:tblStyle w:val="49"/>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45"/>
        <w:gridCol w:w="5767"/>
        <w:gridCol w:w="845"/>
      </w:tblGrid>
      <w:tr w14:paraId="0629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0F69DD6F">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945" w:type="dxa"/>
            <w:noWrap w:val="0"/>
            <w:vAlign w:val="center"/>
          </w:tcPr>
          <w:p w14:paraId="5BA6325A">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767" w:type="dxa"/>
            <w:noWrap w:val="0"/>
            <w:vAlign w:val="center"/>
          </w:tcPr>
          <w:p w14:paraId="27D4E90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45" w:type="dxa"/>
            <w:noWrap w:val="0"/>
            <w:vAlign w:val="center"/>
          </w:tcPr>
          <w:p w14:paraId="2BB13ABA">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5AE5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77DA05B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45" w:type="dxa"/>
            <w:noWrap w:val="0"/>
            <w:vAlign w:val="center"/>
          </w:tcPr>
          <w:p w14:paraId="6E94AE6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p w14:paraId="2316A1F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满分10分</w:t>
            </w:r>
            <w:r>
              <w:rPr>
                <w:rFonts w:hint="eastAsia" w:ascii="宋体" w:hAnsi="宋体" w:eastAsia="宋体" w:cs="宋体"/>
                <w:b/>
                <w:color w:val="auto"/>
                <w:szCs w:val="21"/>
                <w:highlight w:val="none"/>
                <w:lang w:eastAsia="zh-CN"/>
              </w:rPr>
              <w:t>）</w:t>
            </w:r>
          </w:p>
        </w:tc>
        <w:tc>
          <w:tcPr>
            <w:tcW w:w="5767" w:type="dxa"/>
            <w:noWrap w:val="0"/>
            <w:vAlign w:val="center"/>
          </w:tcPr>
          <w:p w14:paraId="32D601C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（1）评标报价为投标人的投标报价进行政策性扣除后的价格，评标报价只是作为评标时使用。最终中标人的中标</w:t>
            </w:r>
            <w:r>
              <w:rPr>
                <w:rFonts w:hint="eastAsia" w:ascii="宋体" w:hAnsi="宋体" w:eastAsia="宋体" w:cs="宋体"/>
                <w:bCs/>
                <w:color w:val="auto"/>
                <w:szCs w:val="21"/>
                <w:highlight w:val="none"/>
                <w:lang w:val="en-US" w:eastAsia="zh-CN"/>
              </w:rPr>
              <w:t>价</w:t>
            </w:r>
            <w:r>
              <w:rPr>
                <w:rFonts w:hint="eastAsia" w:ascii="宋体" w:hAnsi="宋体" w:eastAsia="宋体" w:cs="宋体"/>
                <w:bCs/>
                <w:color w:val="auto"/>
                <w:szCs w:val="21"/>
                <w:highlight w:val="none"/>
              </w:rPr>
              <w:t>等于</w:t>
            </w:r>
            <w:r>
              <w:rPr>
                <w:rFonts w:hint="eastAsia" w:ascii="宋体" w:hAnsi="宋体" w:eastAsia="宋体" w:cs="宋体"/>
                <w:bCs/>
                <w:color w:val="auto"/>
                <w:szCs w:val="21"/>
                <w:highlight w:val="none"/>
                <w:lang w:val="en-US" w:eastAsia="zh-CN"/>
              </w:rPr>
              <w:t>其</w:t>
            </w:r>
            <w:r>
              <w:rPr>
                <w:rFonts w:hint="eastAsia" w:ascii="宋体" w:hAnsi="宋体" w:eastAsia="宋体" w:cs="宋体"/>
                <w:bCs/>
                <w:color w:val="auto"/>
                <w:szCs w:val="21"/>
                <w:highlight w:val="none"/>
              </w:rPr>
              <w:t>投标报价。</w:t>
            </w:r>
          </w:p>
          <w:p w14:paraId="49F81A1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（2）根据《</w:t>
            </w:r>
            <w:r>
              <w:rPr>
                <w:rFonts w:hint="eastAsia" w:ascii="宋体" w:hAnsi="宋体" w:eastAsia="宋体" w:cs="宋体"/>
                <w:color w:val="auto"/>
                <w:sz w:val="21"/>
                <w:szCs w:val="21"/>
                <w:highlight w:val="none"/>
              </w:rPr>
              <w:t>政府</w:t>
            </w:r>
            <w:r>
              <w:rPr>
                <w:rFonts w:hint="eastAsia" w:ascii="宋体" w:hAnsi="宋体" w:eastAsia="宋体" w:cs="宋体"/>
                <w:bCs/>
                <w:color w:val="auto"/>
                <w:szCs w:val="21"/>
                <w:highlight w:val="none"/>
              </w:rPr>
              <w:t>采购促进中小企业发展管理办法》（财库〔2020〕46号）及《广西壮族自治区财政厅关于进一步发挥政府采购政策功能促进企业发展的通知》（桂财采〔2022〕30号）的规定，投标人在其投标文件中提供《中小企业声明函》，且服务全部由小微企业承接，对其投标报价给予20%的扣除</w:t>
            </w:r>
            <w:r>
              <w:rPr>
                <w:rFonts w:hint="eastAsia" w:ascii="宋体" w:hAnsi="宋体" w:eastAsia="宋体" w:cs="宋体"/>
                <w:bCs/>
                <w:color w:val="auto"/>
                <w:szCs w:val="21"/>
                <w:highlight w:val="none"/>
                <w:lang w:eastAsia="zh-CN"/>
              </w:rPr>
              <w:t>。</w:t>
            </w:r>
          </w:p>
          <w:p w14:paraId="594FE06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w:t>
            </w:r>
            <w:r>
              <w:rPr>
                <w:rFonts w:hint="eastAsia" w:ascii="宋体" w:hAnsi="宋体" w:eastAsia="宋体" w:cs="宋体"/>
                <w:color w:val="auto"/>
                <w:sz w:val="21"/>
                <w:szCs w:val="21"/>
                <w:highlight w:val="none"/>
              </w:rPr>
              <w:t>企业</w:t>
            </w:r>
            <w:r>
              <w:rPr>
                <w:rFonts w:hint="eastAsia" w:ascii="宋体" w:hAnsi="宋体" w:eastAsia="宋体" w:cs="宋体"/>
                <w:bCs/>
                <w:color w:val="auto"/>
                <w:szCs w:val="21"/>
                <w:highlight w:val="none"/>
              </w:rPr>
              <w:t>，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372B13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（4）按照《</w:t>
            </w:r>
            <w:r>
              <w:rPr>
                <w:rFonts w:hint="eastAsia" w:ascii="宋体" w:hAnsi="宋体" w:eastAsia="宋体" w:cs="宋体"/>
                <w:color w:val="auto"/>
                <w:sz w:val="21"/>
                <w:szCs w:val="21"/>
                <w:highlight w:val="none"/>
              </w:rPr>
              <w:t>关于</w:t>
            </w:r>
            <w:r>
              <w:rPr>
                <w:rFonts w:hint="eastAsia" w:ascii="宋体" w:hAnsi="宋体" w:eastAsia="宋体" w:cs="宋体"/>
                <w:bCs/>
                <w:color w:val="auto"/>
                <w:szCs w:val="21"/>
                <w:highlight w:val="none"/>
              </w:rPr>
              <w:t>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7777FA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（5）</w:t>
            </w:r>
            <w:r>
              <w:rPr>
                <w:rFonts w:hint="eastAsia" w:ascii="宋体" w:hAnsi="宋体" w:eastAsia="宋体" w:cs="宋体"/>
                <w:color w:val="auto"/>
                <w:sz w:val="21"/>
                <w:szCs w:val="21"/>
                <w:highlight w:val="none"/>
              </w:rPr>
              <w:t>政策性</w:t>
            </w:r>
            <w:r>
              <w:rPr>
                <w:rFonts w:hint="eastAsia" w:ascii="宋体" w:hAnsi="宋体" w:eastAsia="宋体" w:cs="宋体"/>
                <w:bCs/>
                <w:color w:val="auto"/>
                <w:szCs w:val="21"/>
                <w:highlight w:val="none"/>
              </w:rPr>
              <w:t>扣除计算方法</w:t>
            </w:r>
            <w:r>
              <w:rPr>
                <w:rFonts w:hint="eastAsia" w:ascii="宋体" w:hAnsi="宋体" w:eastAsia="宋体" w:cs="宋体"/>
                <w:bCs/>
                <w:color w:val="auto"/>
                <w:szCs w:val="21"/>
                <w:highlight w:val="none"/>
                <w:lang w:eastAsia="zh-CN"/>
              </w:rPr>
              <w:t>：</w:t>
            </w:r>
          </w:p>
          <w:p w14:paraId="1EA9D78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投标人被评定为监狱企业或者残疾人福利性单位或者小型和微型企业且</w:t>
            </w:r>
            <w:r>
              <w:rPr>
                <w:rFonts w:hint="eastAsia" w:ascii="宋体" w:hAnsi="宋体" w:eastAsia="宋体" w:cs="宋体"/>
                <w:bCs/>
                <w:color w:val="auto"/>
                <w:szCs w:val="21"/>
                <w:highlight w:val="none"/>
                <w:lang w:val="en-US" w:eastAsia="zh-CN"/>
              </w:rPr>
              <w:t>服务全部由</w:t>
            </w:r>
            <w:r>
              <w:rPr>
                <w:rFonts w:hint="eastAsia" w:ascii="宋体" w:hAnsi="宋体" w:eastAsia="宋体" w:cs="宋体"/>
                <w:bCs/>
                <w:color w:val="auto"/>
                <w:szCs w:val="21"/>
                <w:highlight w:val="none"/>
              </w:rPr>
              <w:t>小型和微型企业</w:t>
            </w:r>
            <w:r>
              <w:rPr>
                <w:rFonts w:hint="eastAsia" w:ascii="宋体" w:hAnsi="宋体" w:eastAsia="宋体" w:cs="宋体"/>
                <w:bCs/>
                <w:color w:val="auto"/>
                <w:szCs w:val="21"/>
                <w:highlight w:val="none"/>
                <w:lang w:val="en-US" w:eastAsia="zh-CN"/>
              </w:rPr>
              <w:t>承接</w:t>
            </w:r>
            <w:r>
              <w:rPr>
                <w:rFonts w:hint="eastAsia" w:ascii="宋体" w:hAnsi="宋体" w:eastAsia="宋体" w:cs="宋体"/>
                <w:bCs/>
                <w:color w:val="auto"/>
                <w:szCs w:val="21"/>
                <w:highlight w:val="none"/>
              </w:rPr>
              <w:t>的，该投标人的投标报价给予20%的</w:t>
            </w:r>
            <w:r>
              <w:rPr>
                <w:rFonts w:hint="eastAsia" w:ascii="宋体" w:hAnsi="宋体" w:eastAsia="宋体" w:cs="宋体"/>
                <w:bCs/>
                <w:color w:val="auto"/>
                <w:szCs w:val="21"/>
                <w:highlight w:val="none"/>
                <w:lang w:val="en-US" w:eastAsia="zh-CN"/>
              </w:rPr>
              <w:t>扣除</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扣除</w:t>
            </w:r>
            <w:r>
              <w:rPr>
                <w:rFonts w:hint="eastAsia" w:ascii="宋体" w:hAnsi="宋体" w:eastAsia="宋体" w:cs="宋体"/>
                <w:bCs/>
                <w:color w:val="auto"/>
                <w:szCs w:val="21"/>
                <w:highlight w:val="none"/>
              </w:rPr>
              <w:t>后的价格为评标报价，即评标报价=投标报价×（1</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20%）；大中型企业和其他自然人、法人或者其他组织与小型、微型企业组成联合体投标，且联合体协议中约定小型、微型企业的协议合同金额占到联合体协议合同总金额30%以上的，联合体投标价给予4%的</w:t>
            </w:r>
            <w:r>
              <w:rPr>
                <w:rFonts w:hint="eastAsia" w:ascii="宋体" w:hAnsi="宋体" w:eastAsia="宋体" w:cs="宋体"/>
                <w:bCs/>
                <w:color w:val="auto"/>
                <w:szCs w:val="21"/>
                <w:highlight w:val="none"/>
                <w:lang w:val="en-US" w:eastAsia="zh-CN"/>
              </w:rPr>
              <w:t>扣除</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扣除</w:t>
            </w:r>
            <w:r>
              <w:rPr>
                <w:rFonts w:hint="eastAsia" w:ascii="宋体" w:hAnsi="宋体" w:eastAsia="宋体" w:cs="宋体"/>
                <w:bCs/>
                <w:color w:val="auto"/>
                <w:szCs w:val="21"/>
                <w:highlight w:val="none"/>
              </w:rPr>
              <w:t>后的价格为评标价，即评标报价=投标报价×（1</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4%）；除上述情况外，评标报价=投标报价。</w:t>
            </w:r>
          </w:p>
          <w:p w14:paraId="36B7EA5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（6）满足招标文件要求且评标报价最</w:t>
            </w:r>
            <w:r>
              <w:rPr>
                <w:rFonts w:hint="eastAsia" w:ascii="宋体" w:hAnsi="宋体" w:eastAsia="宋体" w:cs="宋体"/>
                <w:bCs/>
                <w:color w:val="auto"/>
                <w:szCs w:val="21"/>
                <w:highlight w:val="none"/>
                <w:lang w:val="en-US" w:eastAsia="zh-CN"/>
              </w:rPr>
              <w:t>低</w:t>
            </w:r>
            <w:r>
              <w:rPr>
                <w:rFonts w:hint="eastAsia" w:ascii="宋体" w:hAnsi="宋体" w:eastAsia="宋体" w:cs="宋体"/>
                <w:bCs/>
                <w:color w:val="auto"/>
                <w:szCs w:val="21"/>
                <w:highlight w:val="none"/>
              </w:rPr>
              <w:t>的评标报价为评标基准价，</w:t>
            </w:r>
            <w:r>
              <w:rPr>
                <w:rFonts w:hint="eastAsia" w:ascii="宋体" w:hAnsi="宋体" w:eastAsia="宋体" w:cs="宋体"/>
                <w:color w:val="auto"/>
                <w:sz w:val="21"/>
                <w:szCs w:val="21"/>
                <w:highlight w:val="none"/>
              </w:rPr>
              <w:t>基准价</w:t>
            </w:r>
            <w:r>
              <w:rPr>
                <w:rFonts w:hint="eastAsia" w:ascii="宋体" w:hAnsi="宋体" w:eastAsia="宋体" w:cs="宋体"/>
                <w:bCs/>
                <w:color w:val="auto"/>
                <w:szCs w:val="21"/>
                <w:highlight w:val="none"/>
              </w:rPr>
              <w:t>报价得分为</w:t>
            </w:r>
            <w:r>
              <w:rPr>
                <w:rFonts w:hint="eastAsia" w:ascii="宋体" w:hAnsi="宋体" w:eastAsia="宋体" w:cs="宋体"/>
                <w:bCs/>
                <w:color w:val="auto"/>
                <w:szCs w:val="21"/>
                <w:highlight w:val="none"/>
                <w:u w:val="single"/>
                <w:lang w:val="en-US" w:eastAsia="zh-CN"/>
              </w:rPr>
              <w:t>1</w:t>
            </w:r>
            <w:r>
              <w:rPr>
                <w:rFonts w:hint="eastAsia" w:ascii="宋体" w:hAnsi="宋体" w:eastAsia="宋体" w:cs="宋体"/>
                <w:bCs/>
                <w:color w:val="auto"/>
                <w:szCs w:val="21"/>
                <w:highlight w:val="none"/>
                <w:u w:val="single"/>
              </w:rPr>
              <w:t>0</w:t>
            </w:r>
            <w:r>
              <w:rPr>
                <w:rFonts w:hint="eastAsia" w:ascii="宋体" w:hAnsi="宋体" w:eastAsia="宋体" w:cs="宋体"/>
                <w:bCs/>
                <w:color w:val="auto"/>
                <w:szCs w:val="21"/>
                <w:highlight w:val="none"/>
              </w:rPr>
              <w:t>分。</w:t>
            </w:r>
          </w:p>
          <w:p w14:paraId="3845F13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（7）价格分计算公式：</w:t>
            </w:r>
          </w:p>
          <w:p w14:paraId="5167E972">
            <w:pPr>
              <w:spacing w:line="360" w:lineRule="auto"/>
              <w:ind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价格分=(评标基准价／评标报价)×</w:t>
            </w:r>
            <w:r>
              <w:rPr>
                <w:rFonts w:hint="eastAsia" w:ascii="宋体" w:hAnsi="宋体" w:eastAsia="宋体" w:cs="宋体"/>
                <w:b/>
                <w:bCs w:val="0"/>
                <w:color w:val="auto"/>
                <w:highlight w:val="none"/>
                <w:u w:val="single"/>
                <w:lang w:val="en-US" w:eastAsia="zh-CN"/>
              </w:rPr>
              <w:t>1</w:t>
            </w:r>
            <w:r>
              <w:rPr>
                <w:rFonts w:hint="eastAsia" w:ascii="宋体" w:hAnsi="宋体" w:eastAsia="宋体" w:cs="宋体"/>
                <w:b/>
                <w:bCs w:val="0"/>
                <w:color w:val="auto"/>
                <w:highlight w:val="none"/>
                <w:u w:val="single"/>
              </w:rPr>
              <w:t>0</w:t>
            </w:r>
            <w:r>
              <w:rPr>
                <w:rFonts w:hint="eastAsia" w:ascii="宋体" w:hAnsi="宋体" w:eastAsia="宋体" w:cs="宋体"/>
                <w:b/>
                <w:bCs w:val="0"/>
                <w:color w:val="auto"/>
                <w:highlight w:val="none"/>
              </w:rPr>
              <w:t>分</w:t>
            </w:r>
          </w:p>
          <w:p w14:paraId="73270C7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注：评审过程中，如评标委员会认为某投标报价明显低于成本报价或明显低于其他通过符合性审查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的报价，有可能影响服务质量或者不能诚信履约的，有权要求其在</w:t>
            </w:r>
            <w:r>
              <w:rPr>
                <w:rFonts w:hint="eastAsia" w:ascii="宋体" w:hAnsi="宋体" w:eastAsia="宋体" w:cs="宋体"/>
                <w:color w:val="auto"/>
                <w:sz w:val="21"/>
                <w:szCs w:val="21"/>
                <w:highlight w:val="none"/>
                <w:lang w:val="en-US"/>
              </w:rPr>
              <w:t>评标委员会</w:t>
            </w:r>
            <w:r>
              <w:rPr>
                <w:rFonts w:hint="eastAsia" w:ascii="宋体" w:hAnsi="宋体" w:eastAsia="宋体" w:cs="宋体"/>
                <w:color w:val="auto"/>
                <w:sz w:val="21"/>
                <w:szCs w:val="21"/>
                <w:highlight w:val="none"/>
              </w:rPr>
              <w:t>规定的时间内</w:t>
            </w:r>
            <w:r>
              <w:rPr>
                <w:rFonts w:hint="eastAsia" w:ascii="宋体" w:hAnsi="宋体" w:eastAsia="宋体" w:cs="宋体"/>
                <w:color w:val="auto"/>
                <w:sz w:val="21"/>
                <w:szCs w:val="21"/>
                <w:highlight w:val="none"/>
                <w:lang w:val="en-US" w:eastAsia="zh-CN"/>
              </w:rPr>
              <w:t>上传情况</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相关证明材料，投标人不能证明其报价合理性的，评标委员会</w:t>
            </w:r>
            <w:r>
              <w:rPr>
                <w:rFonts w:hint="eastAsia" w:ascii="宋体" w:hAnsi="宋体" w:eastAsia="宋体" w:cs="宋体"/>
                <w:color w:val="auto"/>
                <w:sz w:val="21"/>
                <w:szCs w:val="21"/>
                <w:highlight w:val="none"/>
                <w:lang w:val="en-US" w:eastAsia="zh-CN"/>
              </w:rPr>
              <w:t>有权</w:t>
            </w:r>
            <w:r>
              <w:rPr>
                <w:rFonts w:hint="eastAsia" w:ascii="宋体" w:hAnsi="宋体" w:eastAsia="宋体" w:cs="宋体"/>
                <w:color w:val="auto"/>
                <w:sz w:val="21"/>
                <w:szCs w:val="21"/>
                <w:highlight w:val="none"/>
              </w:rPr>
              <w:t>将其作为无效投标处理。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及证明材料</w:t>
            </w:r>
            <w:r>
              <w:rPr>
                <w:rFonts w:hint="eastAsia" w:ascii="宋体" w:hAnsi="宋体" w:eastAsia="宋体" w:cs="宋体"/>
                <w:color w:val="auto"/>
                <w:sz w:val="21"/>
                <w:szCs w:val="21"/>
                <w:highlight w:val="none"/>
              </w:rPr>
              <w:t>至少包括“本次服务采购项目实施和完成</w:t>
            </w:r>
            <w:r>
              <w:rPr>
                <w:rFonts w:hint="eastAsia" w:ascii="宋体" w:hAnsi="宋体" w:eastAsia="宋体" w:cs="宋体"/>
                <w:color w:val="auto"/>
                <w:sz w:val="21"/>
                <w:szCs w:val="21"/>
                <w:highlight w:val="none"/>
                <w:lang w:val="en-US" w:eastAsia="zh-CN"/>
              </w:rPr>
              <w:t>完成服务</w:t>
            </w:r>
            <w:r>
              <w:rPr>
                <w:rFonts w:hint="eastAsia" w:ascii="宋体" w:hAnsi="宋体" w:eastAsia="宋体" w:cs="宋体"/>
                <w:color w:val="auto"/>
                <w:sz w:val="21"/>
                <w:szCs w:val="21"/>
                <w:highlight w:val="none"/>
              </w:rPr>
              <w:t>所</w:t>
            </w:r>
            <w:r>
              <w:rPr>
                <w:rFonts w:hint="eastAsia" w:ascii="宋体" w:hAnsi="宋体" w:eastAsia="宋体" w:cs="宋体"/>
                <w:color w:val="auto"/>
                <w:sz w:val="21"/>
                <w:szCs w:val="21"/>
                <w:highlight w:val="none"/>
                <w:lang w:val="en-US" w:eastAsia="zh-CN"/>
              </w:rPr>
              <w:t>必须的</w:t>
            </w:r>
            <w:r>
              <w:rPr>
                <w:rFonts w:hint="eastAsia" w:ascii="宋体" w:hAnsi="宋体" w:eastAsia="宋体" w:cs="宋体"/>
                <w:color w:val="auto"/>
                <w:sz w:val="21"/>
                <w:szCs w:val="21"/>
                <w:highlight w:val="none"/>
              </w:rPr>
              <w:t>一切成本费用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以及招标文件</w:t>
            </w:r>
            <w:r>
              <w:rPr>
                <w:rFonts w:hint="eastAsia" w:ascii="宋体" w:hAnsi="宋体" w:eastAsia="宋体" w:cs="宋体"/>
                <w:color w:val="auto"/>
                <w:sz w:val="21"/>
                <w:szCs w:val="21"/>
                <w:highlight w:val="none"/>
              </w:rPr>
              <w:t>及合同包含的所有风险、责任等各项</w:t>
            </w:r>
            <w:r>
              <w:rPr>
                <w:rFonts w:hint="eastAsia" w:ascii="宋体" w:hAnsi="宋体" w:eastAsia="宋体" w:cs="宋体"/>
                <w:color w:val="auto"/>
                <w:sz w:val="21"/>
                <w:szCs w:val="21"/>
                <w:highlight w:val="none"/>
                <w:lang w:val="en-US" w:eastAsia="zh-CN"/>
              </w:rPr>
              <w:t>已列明费用或未列明</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说明。</w:t>
            </w:r>
            <w:r>
              <w:rPr>
                <w:rFonts w:hint="eastAsia" w:ascii="宋体" w:hAnsi="宋体" w:eastAsia="宋体" w:cs="宋体"/>
                <w:color w:val="auto"/>
                <w:sz w:val="21"/>
                <w:szCs w:val="21"/>
                <w:highlight w:val="none"/>
                <w:lang w:eastAsia="zh-CN"/>
              </w:rPr>
              <w:t>）</w:t>
            </w:r>
          </w:p>
        </w:tc>
        <w:tc>
          <w:tcPr>
            <w:tcW w:w="845" w:type="dxa"/>
            <w:noWrap w:val="0"/>
            <w:vAlign w:val="center"/>
          </w:tcPr>
          <w:p w14:paraId="2C217BC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0BCA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4D0FE790">
            <w:pPr>
              <w:widowControl/>
              <w:spacing w:line="360" w:lineRule="auto"/>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945" w:type="dxa"/>
            <w:noWrap w:val="0"/>
            <w:vAlign w:val="center"/>
          </w:tcPr>
          <w:p w14:paraId="6EB631EC">
            <w:pPr>
              <w:widowControl/>
              <w:spacing w:line="360" w:lineRule="auto"/>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tc>
        <w:tc>
          <w:tcPr>
            <w:tcW w:w="5767" w:type="dxa"/>
            <w:noWrap w:val="0"/>
            <w:vAlign w:val="top"/>
          </w:tcPr>
          <w:p w14:paraId="35E8114D">
            <w:pPr>
              <w:widowControl/>
              <w:spacing w:line="360" w:lineRule="auto"/>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评审因素</w:t>
            </w:r>
          </w:p>
        </w:tc>
        <w:tc>
          <w:tcPr>
            <w:tcW w:w="845" w:type="dxa"/>
            <w:noWrap w:val="0"/>
            <w:vAlign w:val="top"/>
          </w:tcPr>
          <w:p w14:paraId="1922925B">
            <w:pPr>
              <w:widowControl/>
              <w:spacing w:line="360" w:lineRule="auto"/>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分值</w:t>
            </w:r>
          </w:p>
        </w:tc>
      </w:tr>
      <w:tr w14:paraId="7715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5" w:type="dxa"/>
            <w:noWrap w:val="0"/>
            <w:vAlign w:val="center"/>
          </w:tcPr>
          <w:p w14:paraId="6B7B47E7">
            <w:pPr>
              <w:adjustRightInd/>
              <w:spacing w:line="360" w:lineRule="auto"/>
              <w:ind w:left="0" w:leftChars="0" w:right="0" w:rightChars="0" w:firstLine="0" w:firstLineChars="0"/>
              <w:jc w:val="center"/>
              <w:textAlignment w:val="auto"/>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bCs w:val="0"/>
                <w:color w:val="auto"/>
                <w:kern w:val="2"/>
                <w:sz w:val="21"/>
                <w:szCs w:val="21"/>
                <w:highlight w:val="none"/>
                <w:lang w:val="en-US" w:eastAsia="zh-CN"/>
              </w:rPr>
              <w:t>2.1</w:t>
            </w:r>
          </w:p>
        </w:tc>
        <w:tc>
          <w:tcPr>
            <w:tcW w:w="1945" w:type="dxa"/>
            <w:noWrap w:val="0"/>
            <w:vAlign w:val="center"/>
          </w:tcPr>
          <w:p w14:paraId="50D5B5B5">
            <w:pPr>
              <w:snapToGrid/>
              <w:spacing w:line="360" w:lineRule="auto"/>
              <w:ind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设计技术方案</w:t>
            </w:r>
          </w:p>
          <w:p w14:paraId="6BE4260E">
            <w:pPr>
              <w:snapToGrid/>
              <w:spacing w:line="360" w:lineRule="auto"/>
              <w:ind w:firstLine="0" w:firstLineChars="0"/>
              <w:jc w:val="center"/>
              <w:rPr>
                <w:rFonts w:hint="eastAsia" w:ascii="宋体" w:hAnsi="宋体" w:eastAsia="宋体" w:cs="宋体"/>
                <w:b w:val="0"/>
                <w:iCs w:val="0"/>
                <w:color w:val="auto"/>
                <w:sz w:val="21"/>
                <w:szCs w:val="21"/>
                <w:highlight w:val="none"/>
              </w:rPr>
            </w:pPr>
            <w:r>
              <w:rPr>
                <w:rFonts w:hint="eastAsia" w:ascii="宋体" w:hAnsi="宋体" w:eastAsia="宋体" w:cs="宋体"/>
                <w:b/>
                <w:bCs w:val="0"/>
                <w:color w:val="auto"/>
                <w:sz w:val="21"/>
                <w:szCs w:val="21"/>
                <w:highlight w:val="none"/>
                <w:lang w:val="en-US" w:eastAsia="zh-CN"/>
              </w:rPr>
              <w:t>（满分40分）</w:t>
            </w:r>
          </w:p>
        </w:tc>
        <w:tc>
          <w:tcPr>
            <w:tcW w:w="5767" w:type="dxa"/>
            <w:noWrap w:val="0"/>
            <w:vAlign w:val="center"/>
          </w:tcPr>
          <w:p w14:paraId="214C297F">
            <w:pPr>
              <w:widowControl/>
              <w:spacing w:line="360" w:lineRule="auto"/>
              <w:ind w:firstLine="420" w:firstLineChars="200"/>
              <w:rPr>
                <w:rFonts w:hint="eastAsia" w:ascii="宋体" w:hAnsi="宋体" w:eastAsia="宋体" w:cs="宋体"/>
                <w:color w:val="auto"/>
                <w:highlight w:val="none"/>
                <w:lang w:eastAsia="zh-CN"/>
              </w:rPr>
            </w:pPr>
            <w:bookmarkStart w:id="141" w:name="OLE_LINK12"/>
            <w:bookmarkStart w:id="142" w:name="_Toc24336"/>
            <w:bookmarkStart w:id="143" w:name="_Toc8099"/>
            <w:bookmarkStart w:id="144" w:name="_Toc17939"/>
            <w:r>
              <w:rPr>
                <w:rFonts w:hint="eastAsia" w:ascii="宋体" w:hAnsi="宋体" w:eastAsia="宋体" w:cs="宋体"/>
                <w:color w:val="auto"/>
                <w:highlight w:val="none"/>
              </w:rPr>
              <w:t>一档（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 对本项目的采购需求和服务内容理解阐述较为简单；对本项目的重点、难点识别不够清晰，提出的应对措施缺乏实质性内容或针对性；对本项目背景、内容、目标、深度、功能等的理解基本正确但总体设计思路不够清晰；项目研究方法和技术路线不够清晰，合理性、可行性和针对性有待提升；研究编制内容在符合相关规范、规程要求方面存在不足，内容全面性和合理性、可行性需要加强，设计亮点不明显。</w:t>
            </w:r>
            <w:r>
              <w:rPr>
                <w:rFonts w:hint="eastAsia" w:ascii="宋体" w:hAnsi="宋体" w:eastAsia="宋体" w:cs="宋体"/>
                <w:color w:val="auto"/>
                <w:highlight w:val="none"/>
                <w:lang w:eastAsia="zh-CN"/>
              </w:rPr>
              <w:t>配图</w:t>
            </w:r>
            <w:r>
              <w:rPr>
                <w:rFonts w:hint="eastAsia" w:ascii="宋体" w:hAnsi="宋体" w:eastAsia="宋体" w:cs="宋体"/>
                <w:color w:val="auto"/>
                <w:highlight w:val="none"/>
              </w:rPr>
              <w:t>简单、基本完整</w:t>
            </w:r>
            <w:r>
              <w:rPr>
                <w:rFonts w:hint="eastAsia" w:ascii="宋体" w:hAnsi="宋体" w:eastAsia="宋体" w:cs="宋体"/>
                <w:color w:val="auto"/>
                <w:highlight w:val="none"/>
                <w:lang w:eastAsia="zh-CN"/>
              </w:rPr>
              <w:t>。</w:t>
            </w:r>
          </w:p>
          <w:p w14:paraId="1112D900">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 对本项目的采购需求和服务内容有基本理解；能识别本项目的一些重点和难点，提出的应对措施有一定方向性但不够具体或针对性不强；对本项目背景、内容、目标、深度、功能等的理解基本正确，总体设计思路初步形成但清晰度和深度有待提高；项目研究方法和技术路线基本形成，具备一定的可操作性，但针对性和清晰度需要进一步完善；研究编制内容基本符合相关规范、规程要求，内容较为全面但合理性和可行性尚有提升空间，可能包含初步的设计想法。配图较详细、基本完整</w:t>
            </w:r>
            <w:r>
              <w:rPr>
                <w:rFonts w:hint="eastAsia" w:ascii="宋体" w:hAnsi="宋体" w:eastAsia="宋体" w:cs="宋体"/>
                <w:color w:val="auto"/>
                <w:highlight w:val="none"/>
                <w:lang w:eastAsia="zh-CN"/>
              </w:rPr>
              <w:t>，能初步表达设计意图</w:t>
            </w:r>
            <w:r>
              <w:rPr>
                <w:rFonts w:hint="eastAsia" w:ascii="宋体" w:hAnsi="宋体" w:eastAsia="宋体" w:cs="宋体"/>
                <w:color w:val="auto"/>
                <w:highlight w:val="none"/>
              </w:rPr>
              <w:t>。</w:t>
            </w:r>
          </w:p>
          <w:p w14:paraId="252204C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 对本项目的采购需求和服务内容理解较为清晰；能识别本项目的主要重点和难点，提出的应对措施比较明确，部分措施符合本项目实际情况，具备一定的针对性；对本项目背景、内容、目标、深度、功能等的理解基本正确，总体设计思路基本清晰、可行；项目研究方法和技术路线基本清晰，具有一定的针对性和可操作性；研究编制内容符合相关规范、规程要求，内容较为全面，合理性、可行性较好，可能包含少量设计亮点或常规性优化。</w:t>
            </w:r>
            <w:r>
              <w:rPr>
                <w:rFonts w:hint="eastAsia" w:ascii="宋体" w:hAnsi="宋体" w:eastAsia="宋体" w:cs="宋体"/>
                <w:color w:val="auto"/>
                <w:highlight w:val="none"/>
                <w:lang w:eastAsia="zh-CN"/>
              </w:rPr>
              <w:t>配图</w:t>
            </w:r>
            <w:r>
              <w:rPr>
                <w:rFonts w:hint="eastAsia" w:ascii="宋体" w:hAnsi="宋体" w:eastAsia="宋体" w:cs="宋体"/>
                <w:color w:val="auto"/>
                <w:highlight w:val="none"/>
              </w:rPr>
              <w:t>详细、完整</w:t>
            </w:r>
            <w:r>
              <w:rPr>
                <w:rFonts w:hint="eastAsia" w:ascii="宋体" w:hAnsi="宋体" w:eastAsia="宋体" w:cs="宋体"/>
                <w:color w:val="auto"/>
                <w:highlight w:val="none"/>
                <w:lang w:eastAsia="zh-CN"/>
              </w:rPr>
              <w:t>，能基本表达设计意图</w:t>
            </w:r>
            <w:r>
              <w:rPr>
                <w:rFonts w:hint="eastAsia" w:ascii="宋体" w:hAnsi="宋体" w:eastAsia="宋体" w:cs="宋体"/>
                <w:color w:val="auto"/>
                <w:highlight w:val="none"/>
              </w:rPr>
              <w:t>。</w:t>
            </w:r>
          </w:p>
          <w:p w14:paraId="698148AE">
            <w:pPr>
              <w:widowControl/>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40</w:t>
            </w:r>
            <w:r>
              <w:rPr>
                <w:rFonts w:hint="eastAsia" w:ascii="宋体" w:hAnsi="宋体" w:eastAsia="宋体" w:cs="宋体"/>
                <w:color w:val="auto"/>
                <w:highlight w:val="none"/>
              </w:rPr>
              <w:t>分）： 对本项目的采购需求和服务内容理解准确、全面；清晰识别并准确阐述了本项目的重点和难点，提出的应对措施思路清晰、具体可行，具有较强的针对性和有效性，能较好地服务于项目需求；对本项目背景、现状梳理、内容、目标、深度、功能等的理解深刻、阐述清晰，总体规划思路清晰、合理，逻辑性强；项目研究方法和技术路线清晰、合理，针对性强，可操作性强，能有效支撑研究目标的实现；研究编制内容完全符合本项目相关规范、规程要求，内容全面、详实，结构合理，可行性高，设计亮点较为突出，能体现一定的创新性或优化价值。</w:t>
            </w:r>
            <w:r>
              <w:rPr>
                <w:rFonts w:hint="eastAsia" w:ascii="宋体" w:hAnsi="宋体" w:eastAsia="宋体" w:cs="宋体"/>
                <w:color w:val="auto"/>
                <w:highlight w:val="none"/>
                <w:lang w:eastAsia="zh-CN"/>
              </w:rPr>
              <w:t>配图</w:t>
            </w:r>
            <w:r>
              <w:rPr>
                <w:rFonts w:hint="eastAsia" w:ascii="宋体" w:hAnsi="宋体" w:eastAsia="宋体" w:cs="宋体"/>
                <w:color w:val="auto"/>
                <w:highlight w:val="none"/>
              </w:rPr>
              <w:t>详尽、完整，</w:t>
            </w:r>
            <w:r>
              <w:rPr>
                <w:rFonts w:hint="eastAsia" w:ascii="宋体" w:hAnsi="宋体" w:eastAsia="宋体" w:cs="宋体"/>
                <w:color w:val="auto"/>
                <w:highlight w:val="none"/>
                <w:lang w:eastAsia="zh-CN"/>
              </w:rPr>
              <w:t>能有效表达设计意图。</w:t>
            </w:r>
          </w:p>
          <w:p w14:paraId="5B0AD0B9">
            <w:pPr>
              <w:spacing w:line="360" w:lineRule="auto"/>
              <w:ind w:firstLine="44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2"/>
                <w:szCs w:val="22"/>
                <w:highlight w:val="none"/>
              </w:rPr>
              <w:t>注：未提供或不满足一档要求的不得分。</w:t>
            </w:r>
            <w:bookmarkEnd w:id="141"/>
            <w:bookmarkEnd w:id="142"/>
            <w:bookmarkEnd w:id="143"/>
            <w:bookmarkEnd w:id="144"/>
          </w:p>
        </w:tc>
        <w:tc>
          <w:tcPr>
            <w:tcW w:w="845" w:type="dxa"/>
            <w:noWrap w:val="0"/>
            <w:vAlign w:val="center"/>
          </w:tcPr>
          <w:p w14:paraId="2625B7BB">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40分</w:t>
            </w:r>
          </w:p>
        </w:tc>
      </w:tr>
      <w:tr w14:paraId="01E8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5" w:type="dxa"/>
            <w:noWrap w:val="0"/>
            <w:vAlign w:val="center"/>
          </w:tcPr>
          <w:p w14:paraId="7D3910A8">
            <w:pPr>
              <w:adjustRightInd/>
              <w:spacing w:line="360" w:lineRule="auto"/>
              <w:ind w:left="0" w:leftChars="0" w:right="0" w:rightChars="0" w:firstLine="0" w:firstLineChars="0"/>
              <w:jc w:val="center"/>
              <w:textAlignment w:val="auto"/>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bCs w:val="0"/>
                <w:color w:val="auto"/>
                <w:kern w:val="2"/>
                <w:sz w:val="21"/>
                <w:szCs w:val="21"/>
                <w:highlight w:val="none"/>
                <w:lang w:val="en-US" w:eastAsia="zh-CN"/>
              </w:rPr>
              <w:t>2.2</w:t>
            </w:r>
          </w:p>
        </w:tc>
        <w:tc>
          <w:tcPr>
            <w:tcW w:w="1945" w:type="dxa"/>
            <w:noWrap w:val="0"/>
            <w:vAlign w:val="center"/>
          </w:tcPr>
          <w:p w14:paraId="2EC165BD">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质量保障措施</w:t>
            </w:r>
          </w:p>
          <w:p w14:paraId="1C98409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满分10分</w:t>
            </w:r>
            <w:r>
              <w:rPr>
                <w:rFonts w:hint="eastAsia" w:ascii="宋体" w:hAnsi="宋体" w:eastAsia="宋体" w:cs="宋体"/>
                <w:b/>
                <w:color w:val="auto"/>
                <w:szCs w:val="21"/>
                <w:highlight w:val="none"/>
                <w:lang w:eastAsia="zh-CN"/>
              </w:rPr>
              <w:t>）</w:t>
            </w:r>
          </w:p>
        </w:tc>
        <w:tc>
          <w:tcPr>
            <w:tcW w:w="5767" w:type="dxa"/>
            <w:noWrap w:val="0"/>
            <w:vAlign w:val="center"/>
          </w:tcPr>
          <w:p w14:paraId="3CF192D7">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highlight w:val="none"/>
              </w:rPr>
            </w:pPr>
            <w:bookmarkStart w:id="145" w:name="OLE_LINK53"/>
            <w:bookmarkStart w:id="146" w:name="_Toc2087"/>
            <w:bookmarkStart w:id="147" w:name="_Toc13751"/>
            <w:bookmarkStart w:id="148" w:name="OLE_LINK13"/>
            <w:bookmarkStart w:id="149" w:name="_Toc20628"/>
            <w:bookmarkStart w:id="150" w:name="_Toc12343"/>
            <w:bookmarkStart w:id="151" w:name="_Toc6715"/>
            <w:bookmarkStart w:id="152" w:name="_Toc23533"/>
            <w:r>
              <w:rPr>
                <w:rFonts w:hint="eastAsia" w:ascii="宋体" w:hAnsi="宋体" w:eastAsia="宋体" w:cs="宋体"/>
                <w:color w:val="auto"/>
                <w:highlight w:val="none"/>
                <w:lang w:val="en-US" w:eastAsia="zh-CN"/>
              </w:rPr>
              <w:t>一档（2分）：</w:t>
            </w:r>
            <w:r>
              <w:rPr>
                <w:rFonts w:hint="eastAsia" w:ascii="宋体" w:hAnsi="宋体" w:eastAsia="宋体" w:cs="宋体"/>
                <w:color w:val="auto"/>
                <w:highlight w:val="none"/>
              </w:rPr>
              <w:t>质量保障措施方案完整性、针对性、具体性、合理性一般</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有</w:t>
            </w:r>
            <w:r>
              <w:rPr>
                <w:rFonts w:hint="eastAsia" w:ascii="宋体" w:hAnsi="宋体" w:eastAsia="宋体" w:cs="宋体"/>
                <w:color w:val="auto"/>
                <w:highlight w:val="none"/>
                <w:lang w:val="en-US" w:eastAsia="zh-CN"/>
              </w:rPr>
              <w:t>所欠缺</w:t>
            </w:r>
            <w:r>
              <w:rPr>
                <w:rFonts w:hint="eastAsia" w:ascii="宋体" w:hAnsi="宋体" w:eastAsia="宋体" w:cs="宋体"/>
                <w:color w:val="auto"/>
                <w:highlight w:val="none"/>
              </w:rPr>
              <w:t>的；</w:t>
            </w:r>
          </w:p>
          <w:p w14:paraId="24F7C3E0">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二档（6分）：</w:t>
            </w:r>
            <w:r>
              <w:rPr>
                <w:rFonts w:hint="eastAsia" w:ascii="宋体" w:hAnsi="宋体" w:eastAsia="宋体" w:cs="宋体"/>
                <w:color w:val="auto"/>
                <w:highlight w:val="none"/>
              </w:rPr>
              <w:t>质量保障措施方案完整性、针对性、具体性、合理性较好；但细节有待完善，基本符合要求的；</w:t>
            </w:r>
          </w:p>
          <w:p w14:paraId="72AED591">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分）：能准确理解和认识本项目采购需求，符合相关质量法规、标准要求，质量保证措施方案完整性、针对性、具体性、合理性优良且科学合理、有保障。</w:t>
            </w:r>
          </w:p>
          <w:p w14:paraId="40599D25">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rPr>
              <w:t>注：不提供或不满足一档要求的不得分。</w:t>
            </w:r>
            <w:bookmarkEnd w:id="145"/>
            <w:bookmarkEnd w:id="146"/>
            <w:bookmarkEnd w:id="147"/>
            <w:bookmarkEnd w:id="148"/>
            <w:bookmarkEnd w:id="149"/>
            <w:bookmarkEnd w:id="150"/>
            <w:bookmarkEnd w:id="151"/>
            <w:bookmarkEnd w:id="152"/>
          </w:p>
        </w:tc>
        <w:tc>
          <w:tcPr>
            <w:tcW w:w="845" w:type="dxa"/>
            <w:noWrap w:val="0"/>
            <w:vAlign w:val="center"/>
          </w:tcPr>
          <w:p w14:paraId="65C1CA8D">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10分</w:t>
            </w:r>
          </w:p>
        </w:tc>
      </w:tr>
      <w:tr w14:paraId="4717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805" w:type="dxa"/>
            <w:noWrap w:val="0"/>
            <w:vAlign w:val="center"/>
          </w:tcPr>
          <w:p w14:paraId="7006474C">
            <w:pPr>
              <w:adjustRightInd/>
              <w:spacing w:line="360" w:lineRule="auto"/>
              <w:ind w:left="0" w:leftChars="0" w:right="0" w:rightChars="0" w:firstLine="0" w:firstLineChars="0"/>
              <w:jc w:val="center"/>
              <w:textAlignment w:val="auto"/>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bCs w:val="0"/>
                <w:color w:val="auto"/>
                <w:kern w:val="2"/>
                <w:sz w:val="21"/>
                <w:szCs w:val="21"/>
                <w:highlight w:val="none"/>
                <w:lang w:val="en-US" w:eastAsia="zh-CN"/>
              </w:rPr>
              <w:t>2.3</w:t>
            </w:r>
          </w:p>
        </w:tc>
        <w:tc>
          <w:tcPr>
            <w:tcW w:w="1945" w:type="dxa"/>
            <w:noWrap w:val="0"/>
            <w:vAlign w:val="center"/>
          </w:tcPr>
          <w:p w14:paraId="6C407D7D">
            <w:pPr>
              <w:adjustRightIn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服务</w:t>
            </w:r>
            <w:r>
              <w:rPr>
                <w:rFonts w:hint="eastAsia" w:ascii="宋体" w:hAnsi="宋体" w:eastAsia="宋体" w:cs="宋体"/>
                <w:b/>
                <w:bCs/>
                <w:color w:val="auto"/>
                <w:highlight w:val="none"/>
                <w:lang w:val="en-US" w:eastAsia="zh-CN"/>
              </w:rPr>
              <w:t>保障措施</w:t>
            </w:r>
            <w:r>
              <w:rPr>
                <w:rFonts w:hint="eastAsia" w:ascii="宋体" w:hAnsi="宋体" w:eastAsia="宋体" w:cs="宋体"/>
                <w:b/>
                <w:bCs/>
                <w:color w:val="auto"/>
                <w:highlight w:val="none"/>
              </w:rPr>
              <w:t>方案</w:t>
            </w:r>
          </w:p>
          <w:p w14:paraId="19A28840">
            <w:pPr>
              <w:adjustRightInd/>
              <w:spacing w:line="36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color w:val="auto"/>
                <w:szCs w:val="24"/>
                <w:highlight w:val="none"/>
              </w:rPr>
              <w:t>（</w:t>
            </w:r>
            <w:r>
              <w:rPr>
                <w:rFonts w:hint="eastAsia" w:ascii="宋体" w:hAnsi="宋体" w:eastAsia="宋体" w:cs="宋体"/>
                <w:b/>
                <w:bCs/>
                <w:color w:val="auto"/>
                <w:sz w:val="21"/>
                <w:szCs w:val="24"/>
                <w:highlight w:val="none"/>
              </w:rPr>
              <w:t>满分</w:t>
            </w:r>
            <w:r>
              <w:rPr>
                <w:rFonts w:hint="eastAsia" w:ascii="宋体" w:hAnsi="宋体" w:eastAsia="宋体" w:cs="宋体"/>
                <w:b/>
                <w:bCs/>
                <w:color w:val="auto"/>
                <w:szCs w:val="24"/>
                <w:highlight w:val="none"/>
                <w:lang w:val="en-US" w:eastAsia="zh-CN"/>
              </w:rPr>
              <w:t>10</w:t>
            </w:r>
            <w:r>
              <w:rPr>
                <w:rFonts w:hint="eastAsia" w:ascii="宋体" w:hAnsi="宋体" w:eastAsia="宋体" w:cs="宋体"/>
                <w:b/>
                <w:bCs/>
                <w:color w:val="auto"/>
                <w:szCs w:val="24"/>
                <w:highlight w:val="none"/>
              </w:rPr>
              <w:t>分）</w:t>
            </w:r>
          </w:p>
        </w:tc>
        <w:tc>
          <w:tcPr>
            <w:tcW w:w="5767" w:type="dxa"/>
            <w:noWrap w:val="0"/>
            <w:vAlign w:val="center"/>
          </w:tcPr>
          <w:p w14:paraId="2D2A8C0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分）：服务</w:t>
            </w:r>
            <w:r>
              <w:rPr>
                <w:rFonts w:hint="eastAsia" w:ascii="宋体" w:hAnsi="宋体" w:eastAsia="宋体" w:cs="宋体"/>
                <w:color w:val="auto"/>
                <w:sz w:val="21"/>
                <w:szCs w:val="21"/>
                <w:highlight w:val="none"/>
                <w:lang w:val="en-US" w:eastAsia="zh-CN"/>
              </w:rPr>
              <w:t>保障措施方案</w:t>
            </w:r>
            <w:r>
              <w:rPr>
                <w:rFonts w:hint="eastAsia" w:ascii="宋体" w:hAnsi="宋体" w:eastAsia="宋体" w:cs="宋体"/>
                <w:color w:val="auto"/>
                <w:sz w:val="21"/>
                <w:szCs w:val="21"/>
                <w:highlight w:val="none"/>
              </w:rPr>
              <w:t>有简单的优化措施、服务方式、承诺免费提供后续服务，内容基本满足项目需求；</w:t>
            </w:r>
          </w:p>
          <w:p w14:paraId="72D1BF0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分）：服务</w:t>
            </w:r>
            <w:r>
              <w:rPr>
                <w:rFonts w:hint="eastAsia" w:ascii="宋体" w:hAnsi="宋体" w:eastAsia="宋体" w:cs="宋体"/>
                <w:color w:val="auto"/>
                <w:sz w:val="21"/>
                <w:szCs w:val="21"/>
                <w:highlight w:val="none"/>
                <w:lang w:val="en-US" w:eastAsia="zh-CN"/>
              </w:rPr>
              <w:t>保障措施方案</w:t>
            </w:r>
            <w:r>
              <w:rPr>
                <w:rFonts w:hint="eastAsia" w:ascii="宋体" w:hAnsi="宋体" w:eastAsia="宋体" w:cs="宋体"/>
                <w:color w:val="auto"/>
                <w:sz w:val="21"/>
                <w:szCs w:val="21"/>
                <w:highlight w:val="none"/>
              </w:rPr>
              <w:t>内容较完整、较具体全面、实施性强，并提出了具体的服务措施、有明确的处理问题响应和到达时间、较详细的解决方案，服务方式、承诺免费提供后续服务，内容能满足本项目需求的；</w:t>
            </w:r>
          </w:p>
          <w:p w14:paraId="6FEF15B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分）：服务</w:t>
            </w:r>
            <w:r>
              <w:rPr>
                <w:rFonts w:hint="eastAsia" w:ascii="宋体" w:hAnsi="宋体" w:eastAsia="宋体" w:cs="宋体"/>
                <w:color w:val="auto"/>
                <w:sz w:val="21"/>
                <w:szCs w:val="21"/>
                <w:highlight w:val="none"/>
                <w:lang w:val="en-US" w:eastAsia="zh-CN"/>
              </w:rPr>
              <w:t>保障措施方案</w:t>
            </w:r>
            <w:r>
              <w:rPr>
                <w:rFonts w:hint="eastAsia" w:ascii="宋体" w:hAnsi="宋体" w:eastAsia="宋体" w:cs="宋体"/>
                <w:color w:val="auto"/>
                <w:sz w:val="21"/>
                <w:szCs w:val="21"/>
                <w:highlight w:val="none"/>
              </w:rPr>
              <w:t>内容详细、完整、具体全面、可行性强，承诺编制期间出现问题时迅速响应时间</w:t>
            </w:r>
            <w:r>
              <w:rPr>
                <w:rFonts w:hint="eastAsia" w:ascii="宋体" w:hAnsi="宋体" w:eastAsia="宋体" w:cs="宋体"/>
                <w:color w:val="auto"/>
                <w:sz w:val="21"/>
                <w:szCs w:val="21"/>
                <w:highlight w:val="none"/>
                <w:lang w:val="en-US" w:eastAsia="zh-CN"/>
              </w:rPr>
              <w:t>完全满足</w:t>
            </w:r>
            <w:r>
              <w:rPr>
                <w:rFonts w:hint="eastAsia" w:ascii="宋体" w:hAnsi="宋体" w:eastAsia="宋体" w:cs="宋体"/>
                <w:color w:val="auto"/>
                <w:sz w:val="21"/>
                <w:szCs w:val="21"/>
                <w:highlight w:val="none"/>
              </w:rPr>
              <w:t>项目要求、并在承诺的时间内派本项目专职代表到现场主动解决问题，有详细的解决方案，有专职</w:t>
            </w:r>
            <w:r>
              <w:rPr>
                <w:rFonts w:hint="eastAsia" w:ascii="宋体" w:hAnsi="宋体" w:eastAsia="宋体" w:cs="宋体"/>
                <w:color w:val="auto"/>
                <w:sz w:val="21"/>
                <w:szCs w:val="21"/>
                <w:highlight w:val="none"/>
                <w:lang w:val="en-US" w:eastAsia="zh-CN"/>
              </w:rPr>
              <w:t>服务保障</w:t>
            </w:r>
            <w:r>
              <w:rPr>
                <w:rFonts w:hint="eastAsia" w:ascii="宋体" w:hAnsi="宋体" w:eastAsia="宋体" w:cs="宋体"/>
                <w:color w:val="auto"/>
                <w:sz w:val="21"/>
                <w:szCs w:val="21"/>
                <w:highlight w:val="none"/>
              </w:rPr>
              <w:t>人员，服务方式多样、服务保障措施详细、完整、有针对性，能完全满足本项目实际需求的。</w:t>
            </w:r>
          </w:p>
          <w:p w14:paraId="3DF5C11B">
            <w:pPr>
              <w:pStyle w:val="20"/>
              <w:spacing w:line="360" w:lineRule="auto"/>
              <w:ind w:firstLine="44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2"/>
                <w:szCs w:val="22"/>
                <w:highlight w:val="none"/>
              </w:rPr>
              <w:t>注：不提供或不满足一档要求的不得分。</w:t>
            </w:r>
          </w:p>
        </w:tc>
        <w:tc>
          <w:tcPr>
            <w:tcW w:w="845" w:type="dxa"/>
            <w:noWrap w:val="0"/>
            <w:vAlign w:val="center"/>
          </w:tcPr>
          <w:p w14:paraId="588D8EE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Cs w:val="21"/>
                <w:highlight w:val="none"/>
                <w:lang w:val="en-US" w:eastAsia="zh-CN"/>
              </w:rPr>
              <w:t>10分</w:t>
            </w:r>
          </w:p>
        </w:tc>
      </w:tr>
      <w:tr w14:paraId="3550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noWrap w:val="0"/>
            <w:vAlign w:val="center"/>
          </w:tcPr>
          <w:p w14:paraId="55C9E2F6">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945" w:type="dxa"/>
            <w:noWrap w:val="0"/>
            <w:vAlign w:val="center"/>
          </w:tcPr>
          <w:p w14:paraId="4CE8C9D8">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5767" w:type="dxa"/>
            <w:noWrap w:val="0"/>
            <w:vAlign w:val="center"/>
          </w:tcPr>
          <w:p w14:paraId="44C54E6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845" w:type="dxa"/>
            <w:noWrap w:val="0"/>
            <w:vAlign w:val="center"/>
          </w:tcPr>
          <w:p w14:paraId="1BEC5DB9">
            <w:pPr>
              <w:widowControl/>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分值</w:t>
            </w:r>
          </w:p>
        </w:tc>
      </w:tr>
      <w:tr w14:paraId="3BAD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shd w:val="clear" w:color="auto" w:fill="auto"/>
            <w:noWrap w:val="0"/>
            <w:vAlign w:val="center"/>
          </w:tcPr>
          <w:p w14:paraId="2FB6FB5C">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3.1</w:t>
            </w:r>
          </w:p>
        </w:tc>
        <w:tc>
          <w:tcPr>
            <w:tcW w:w="1945" w:type="dxa"/>
            <w:noWrap w:val="0"/>
            <w:vAlign w:val="center"/>
          </w:tcPr>
          <w:p w14:paraId="5ECF3586">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服务承诺</w:t>
            </w:r>
          </w:p>
          <w:p w14:paraId="5DA66204">
            <w:pPr>
              <w:widowControl/>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（满分5分）</w:t>
            </w:r>
          </w:p>
        </w:tc>
        <w:tc>
          <w:tcPr>
            <w:tcW w:w="5767" w:type="dxa"/>
            <w:noWrap w:val="0"/>
            <w:vAlign w:val="center"/>
          </w:tcPr>
          <w:p w14:paraId="28B59118">
            <w:pPr>
              <w:widowControl/>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一档（</w:t>
            </w:r>
            <w:r>
              <w:rPr>
                <w:rFonts w:hint="eastAsia" w:ascii="宋体" w:hAnsi="宋体" w:cs="宋体"/>
                <w:b w:val="0"/>
                <w:bCs w:val="0"/>
                <w:color w:val="auto"/>
                <w:kern w:val="0"/>
                <w:sz w:val="21"/>
                <w:szCs w:val="21"/>
                <w:highlight w:val="none"/>
                <w:lang w:eastAsia="zh-CN"/>
              </w:rPr>
              <w:t>1</w:t>
            </w:r>
            <w:r>
              <w:rPr>
                <w:rFonts w:hint="eastAsia" w:ascii="宋体" w:hAnsi="宋体" w:eastAsia="宋体" w:cs="宋体"/>
                <w:b w:val="0"/>
                <w:bCs w:val="0"/>
                <w:color w:val="auto"/>
                <w:kern w:val="0"/>
                <w:sz w:val="21"/>
                <w:szCs w:val="21"/>
                <w:highlight w:val="none"/>
              </w:rPr>
              <w:t>分）</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服务承诺书内容基本满足</w:t>
            </w:r>
            <w:r>
              <w:rPr>
                <w:rFonts w:hint="eastAsia" w:ascii="宋体" w:hAnsi="宋体" w:cs="宋体"/>
                <w:b w:val="0"/>
                <w:bCs w:val="0"/>
                <w:color w:val="auto"/>
                <w:kern w:val="0"/>
                <w:sz w:val="21"/>
                <w:szCs w:val="21"/>
                <w:highlight w:val="none"/>
                <w:lang w:val="en-US" w:eastAsia="zh-CN"/>
              </w:rPr>
              <w:t>本</w:t>
            </w:r>
            <w:r>
              <w:rPr>
                <w:rFonts w:hint="eastAsia" w:ascii="宋体" w:hAnsi="宋体" w:eastAsia="宋体" w:cs="宋体"/>
                <w:b w:val="0"/>
                <w:bCs w:val="0"/>
                <w:color w:val="auto"/>
                <w:kern w:val="0"/>
                <w:sz w:val="21"/>
                <w:szCs w:val="21"/>
                <w:highlight w:val="none"/>
              </w:rPr>
              <w:t>项目需求，包括</w:t>
            </w:r>
            <w:r>
              <w:rPr>
                <w:rFonts w:hint="eastAsia" w:ascii="宋体" w:hAnsi="宋体" w:cs="宋体"/>
                <w:b w:val="0"/>
                <w:bCs w:val="0"/>
                <w:color w:val="auto"/>
                <w:kern w:val="0"/>
                <w:sz w:val="21"/>
                <w:szCs w:val="21"/>
                <w:highlight w:val="none"/>
                <w:lang w:val="en-US" w:eastAsia="zh-CN"/>
              </w:rPr>
              <w:t>后期</w:t>
            </w:r>
            <w:r>
              <w:rPr>
                <w:rFonts w:hint="eastAsia" w:ascii="宋体" w:hAnsi="宋体" w:eastAsia="宋体" w:cs="宋体"/>
                <w:b w:val="0"/>
                <w:bCs w:val="0"/>
                <w:color w:val="auto"/>
                <w:kern w:val="0"/>
                <w:sz w:val="21"/>
                <w:szCs w:val="21"/>
                <w:highlight w:val="none"/>
              </w:rPr>
              <w:t>基础服务方式（如邮件或电话咨询）、承诺免费提供后续设计咨询服务</w:t>
            </w:r>
            <w:r>
              <w:rPr>
                <w:rFonts w:hint="eastAsia" w:ascii="宋体" w:hAnsi="宋体" w:cs="宋体"/>
                <w:b w:val="0"/>
                <w:bCs w:val="0"/>
                <w:color w:val="auto"/>
                <w:kern w:val="0"/>
                <w:sz w:val="21"/>
                <w:szCs w:val="21"/>
                <w:highlight w:val="none"/>
                <w:lang w:val="en-US" w:eastAsia="zh-CN"/>
              </w:rPr>
              <w:t>等</w:t>
            </w:r>
            <w:r>
              <w:rPr>
                <w:rFonts w:hint="eastAsia" w:ascii="宋体" w:hAnsi="宋体" w:eastAsia="宋体" w:cs="宋体"/>
                <w:b w:val="0"/>
                <w:bCs w:val="0"/>
                <w:color w:val="auto"/>
                <w:kern w:val="0"/>
                <w:sz w:val="21"/>
                <w:szCs w:val="21"/>
                <w:highlight w:val="none"/>
              </w:rPr>
              <w:t>。</w:t>
            </w:r>
          </w:p>
          <w:p w14:paraId="19C53376">
            <w:pPr>
              <w:widowControl/>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二档（</w:t>
            </w:r>
            <w:r>
              <w:rPr>
                <w:rFonts w:hint="eastAsia" w:ascii="宋体" w:hAnsi="宋体" w:cs="宋体"/>
                <w:b w:val="0"/>
                <w:bCs w:val="0"/>
                <w:color w:val="auto"/>
                <w:kern w:val="0"/>
                <w:sz w:val="21"/>
                <w:szCs w:val="21"/>
                <w:highlight w:val="none"/>
                <w:lang w:eastAsia="zh-CN"/>
              </w:rPr>
              <w:t>3</w:t>
            </w:r>
            <w:r>
              <w:rPr>
                <w:rFonts w:hint="eastAsia" w:ascii="宋体" w:hAnsi="宋体" w:eastAsia="宋体" w:cs="宋体"/>
                <w:b w:val="0"/>
                <w:bCs w:val="0"/>
                <w:color w:val="auto"/>
                <w:kern w:val="0"/>
                <w:sz w:val="21"/>
                <w:szCs w:val="21"/>
                <w:highlight w:val="none"/>
              </w:rPr>
              <w:t>分）</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服务承诺书内容较完整、具体全面且实施性强，</w:t>
            </w:r>
            <w:r>
              <w:rPr>
                <w:rFonts w:hint="eastAsia" w:ascii="宋体" w:hAnsi="宋体" w:cs="宋体"/>
                <w:b w:val="0"/>
                <w:bCs w:val="0"/>
                <w:color w:val="auto"/>
                <w:kern w:val="0"/>
                <w:sz w:val="21"/>
                <w:szCs w:val="21"/>
                <w:highlight w:val="none"/>
                <w:lang w:val="en-US" w:eastAsia="zh-CN"/>
              </w:rPr>
              <w:t>符合项目</w:t>
            </w:r>
            <w:r>
              <w:rPr>
                <w:rFonts w:hint="eastAsia" w:ascii="宋体" w:hAnsi="宋体" w:eastAsia="宋体" w:cs="宋体"/>
                <w:b w:val="0"/>
                <w:bCs w:val="0"/>
                <w:color w:val="auto"/>
                <w:kern w:val="0"/>
                <w:sz w:val="21"/>
                <w:szCs w:val="21"/>
                <w:highlight w:val="none"/>
              </w:rPr>
              <w:t>要求。包括承诺免费提供后续服务</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有</w:t>
            </w:r>
            <w:r>
              <w:rPr>
                <w:rFonts w:hint="eastAsia" w:ascii="宋体" w:hAnsi="宋体" w:eastAsia="宋体" w:cs="宋体"/>
                <w:b w:val="0"/>
                <w:bCs w:val="0"/>
                <w:color w:val="auto"/>
                <w:kern w:val="0"/>
                <w:sz w:val="21"/>
                <w:szCs w:val="21"/>
                <w:highlight w:val="none"/>
              </w:rPr>
              <w:t>具体</w:t>
            </w:r>
            <w:r>
              <w:rPr>
                <w:rFonts w:hint="eastAsia" w:ascii="宋体" w:hAnsi="宋体" w:cs="宋体"/>
                <w:b w:val="0"/>
                <w:bCs w:val="0"/>
                <w:color w:val="auto"/>
                <w:kern w:val="0"/>
                <w:sz w:val="21"/>
                <w:szCs w:val="21"/>
                <w:highlight w:val="none"/>
                <w:lang w:val="en-US" w:eastAsia="zh-CN"/>
              </w:rPr>
              <w:t>后期</w:t>
            </w:r>
            <w:r>
              <w:rPr>
                <w:rFonts w:hint="eastAsia" w:ascii="宋体" w:hAnsi="宋体" w:eastAsia="宋体" w:cs="宋体"/>
                <w:b w:val="0"/>
                <w:bCs w:val="0"/>
                <w:color w:val="auto"/>
                <w:kern w:val="0"/>
                <w:sz w:val="21"/>
                <w:szCs w:val="21"/>
                <w:highlight w:val="none"/>
              </w:rPr>
              <w:t>服务措施、明确的处理问题响应和到达时间（如设计问题24小时内响应，48小时内提供书面解决方案）</w:t>
            </w:r>
            <w:r>
              <w:rPr>
                <w:rFonts w:hint="eastAsia" w:ascii="宋体" w:hAnsi="宋体" w:cs="宋体"/>
                <w:b w:val="0"/>
                <w:bCs w:val="0"/>
                <w:color w:val="auto"/>
                <w:kern w:val="0"/>
                <w:sz w:val="21"/>
                <w:szCs w:val="21"/>
                <w:highlight w:val="none"/>
                <w:lang w:val="en-US" w:eastAsia="zh-CN"/>
              </w:rPr>
              <w:t>等</w:t>
            </w:r>
            <w:r>
              <w:rPr>
                <w:rFonts w:hint="eastAsia" w:ascii="宋体" w:hAnsi="宋体" w:eastAsia="宋体" w:cs="宋体"/>
                <w:b w:val="0"/>
                <w:bCs w:val="0"/>
                <w:color w:val="auto"/>
                <w:kern w:val="0"/>
                <w:sz w:val="21"/>
                <w:szCs w:val="21"/>
                <w:highlight w:val="none"/>
              </w:rPr>
              <w:t>。</w:t>
            </w:r>
          </w:p>
          <w:p w14:paraId="60B2F540">
            <w:pPr>
              <w:widowControl/>
              <w:spacing w:line="360" w:lineRule="auto"/>
              <w:jc w:val="left"/>
              <w:rPr>
                <w:rFonts w:hint="eastAsia"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三档（</w:t>
            </w:r>
            <w:r>
              <w:rPr>
                <w:rFonts w:hint="eastAsia" w:ascii="宋体" w:hAnsi="宋体" w:cs="宋体"/>
                <w:b w:val="0"/>
                <w:bCs w:val="0"/>
                <w:color w:val="auto"/>
                <w:kern w:val="0"/>
                <w:sz w:val="21"/>
                <w:szCs w:val="21"/>
                <w:highlight w:val="none"/>
                <w:lang w:eastAsia="zh-CN"/>
              </w:rPr>
              <w:t>5</w:t>
            </w:r>
            <w:r>
              <w:rPr>
                <w:rFonts w:hint="eastAsia" w:ascii="宋体" w:hAnsi="宋体" w:eastAsia="宋体" w:cs="宋体"/>
                <w:b w:val="0"/>
                <w:bCs w:val="0"/>
                <w:color w:val="auto"/>
                <w:kern w:val="0"/>
                <w:sz w:val="21"/>
                <w:szCs w:val="21"/>
                <w:highlight w:val="none"/>
              </w:rPr>
              <w:t>分）</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服务承诺书内容详细、完整、具体全面、可行性强，完全满足</w:t>
            </w:r>
            <w:r>
              <w:rPr>
                <w:rFonts w:hint="eastAsia" w:ascii="宋体" w:hAnsi="宋体" w:cs="宋体"/>
                <w:b w:val="0"/>
                <w:bCs w:val="0"/>
                <w:color w:val="auto"/>
                <w:kern w:val="0"/>
                <w:sz w:val="21"/>
                <w:szCs w:val="21"/>
                <w:highlight w:val="none"/>
                <w:lang w:val="en-US" w:eastAsia="zh-CN"/>
              </w:rPr>
              <w:t>项目</w:t>
            </w:r>
            <w:r>
              <w:rPr>
                <w:rFonts w:hint="eastAsia" w:ascii="宋体" w:hAnsi="宋体" w:eastAsia="宋体" w:cs="宋体"/>
                <w:b w:val="0"/>
                <w:bCs w:val="0"/>
                <w:color w:val="auto"/>
                <w:kern w:val="0"/>
                <w:sz w:val="21"/>
                <w:szCs w:val="21"/>
                <w:highlight w:val="none"/>
              </w:rPr>
              <w:t>需求。</w:t>
            </w:r>
            <w:r>
              <w:rPr>
                <w:rFonts w:hint="eastAsia" w:ascii="宋体" w:hAnsi="宋体" w:cs="宋体"/>
                <w:b w:val="0"/>
                <w:bCs w:val="0"/>
                <w:color w:val="auto"/>
                <w:kern w:val="0"/>
                <w:sz w:val="21"/>
                <w:szCs w:val="21"/>
                <w:highlight w:val="none"/>
                <w:lang w:val="en-US" w:eastAsia="zh-CN"/>
              </w:rPr>
              <w:t>包括</w:t>
            </w:r>
            <w:r>
              <w:rPr>
                <w:rFonts w:hint="eastAsia" w:ascii="宋体" w:hAnsi="宋体" w:eastAsia="宋体" w:cs="宋体"/>
                <w:b w:val="0"/>
                <w:bCs w:val="0"/>
                <w:color w:val="auto"/>
                <w:kern w:val="0"/>
                <w:sz w:val="21"/>
                <w:szCs w:val="21"/>
                <w:highlight w:val="none"/>
              </w:rPr>
              <w:t>承诺免费提供后续服务</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有</w:t>
            </w:r>
            <w:r>
              <w:rPr>
                <w:rFonts w:hint="eastAsia" w:ascii="宋体" w:hAnsi="宋体" w:eastAsia="宋体" w:cs="宋体"/>
                <w:b w:val="0"/>
                <w:bCs w:val="0"/>
                <w:color w:val="auto"/>
                <w:kern w:val="0"/>
                <w:sz w:val="21"/>
                <w:szCs w:val="21"/>
                <w:highlight w:val="none"/>
              </w:rPr>
              <w:t>具体</w:t>
            </w:r>
            <w:r>
              <w:rPr>
                <w:rFonts w:hint="eastAsia" w:ascii="宋体" w:hAnsi="宋体" w:cs="宋体"/>
                <w:b w:val="0"/>
                <w:bCs w:val="0"/>
                <w:color w:val="auto"/>
                <w:kern w:val="0"/>
                <w:sz w:val="21"/>
                <w:szCs w:val="21"/>
                <w:highlight w:val="none"/>
                <w:lang w:val="en-US" w:eastAsia="zh-CN"/>
              </w:rPr>
              <w:t>后期</w:t>
            </w:r>
            <w:r>
              <w:rPr>
                <w:rFonts w:hint="eastAsia" w:ascii="宋体" w:hAnsi="宋体" w:eastAsia="宋体" w:cs="宋体"/>
                <w:b w:val="0"/>
                <w:bCs w:val="0"/>
                <w:color w:val="auto"/>
                <w:kern w:val="0"/>
                <w:sz w:val="21"/>
                <w:szCs w:val="21"/>
                <w:highlight w:val="none"/>
              </w:rPr>
              <w:t>服务措施、明确的处理问题响应和到达时间（如设计问题响应时间≤12小时，</w:t>
            </w:r>
            <w:r>
              <w:rPr>
                <w:rFonts w:hint="eastAsia" w:ascii="宋体" w:hAnsi="宋体" w:eastAsia="宋体" w:cs="宋体"/>
                <w:b w:val="0"/>
                <w:bCs w:val="0"/>
                <w:color w:val="auto"/>
                <w:kern w:val="0"/>
                <w:sz w:val="21"/>
                <w:szCs w:val="21"/>
                <w:highlight w:val="none"/>
                <w:lang w:val="en-US" w:eastAsia="zh-CN"/>
              </w:rPr>
              <w:t>24</w:t>
            </w:r>
            <w:r>
              <w:rPr>
                <w:rFonts w:hint="eastAsia" w:ascii="宋体" w:hAnsi="宋体" w:eastAsia="宋体" w:cs="宋体"/>
                <w:b w:val="0"/>
                <w:bCs w:val="0"/>
                <w:color w:val="auto"/>
                <w:kern w:val="0"/>
                <w:sz w:val="21"/>
                <w:szCs w:val="21"/>
                <w:highlight w:val="none"/>
              </w:rPr>
              <w:t>小时内提供书面解决方案）</w:t>
            </w:r>
            <w:r>
              <w:rPr>
                <w:rFonts w:hint="eastAsia" w:ascii="宋体" w:hAnsi="宋体" w:eastAsia="宋体" w:cs="宋体"/>
                <w:b w:val="0"/>
                <w:bCs w:val="0"/>
                <w:color w:val="auto"/>
                <w:kern w:val="0"/>
                <w:sz w:val="21"/>
                <w:szCs w:val="21"/>
                <w:highlight w:val="none"/>
                <w:lang w:eastAsia="zh-CN"/>
              </w:rPr>
              <w:t>、</w:t>
            </w:r>
          </w:p>
          <w:p w14:paraId="12603BF4">
            <w:pPr>
              <w:widowControl/>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，并在承诺时间内（如24小时内）派本项目专职设计代表到现场主动解决问题（确保代表具备专业设计资质）</w:t>
            </w:r>
            <w:r>
              <w:rPr>
                <w:rFonts w:hint="eastAsia" w:ascii="宋体" w:hAnsi="宋体" w:cs="宋体"/>
                <w:b w:val="0"/>
                <w:bCs w:val="0"/>
                <w:color w:val="auto"/>
                <w:kern w:val="0"/>
                <w:sz w:val="21"/>
                <w:szCs w:val="21"/>
                <w:highlight w:val="none"/>
                <w:lang w:val="en-US" w:eastAsia="zh-CN"/>
              </w:rPr>
              <w:t>等</w:t>
            </w:r>
            <w:r>
              <w:rPr>
                <w:rFonts w:hint="eastAsia" w:ascii="宋体" w:hAnsi="宋体" w:eastAsia="宋体" w:cs="宋体"/>
                <w:b w:val="0"/>
                <w:bCs w:val="0"/>
                <w:color w:val="auto"/>
                <w:kern w:val="0"/>
                <w:sz w:val="21"/>
                <w:szCs w:val="21"/>
                <w:highlight w:val="none"/>
              </w:rPr>
              <w:t>）。</w:t>
            </w:r>
          </w:p>
        </w:tc>
        <w:tc>
          <w:tcPr>
            <w:tcW w:w="845" w:type="dxa"/>
            <w:noWrap w:val="0"/>
            <w:vAlign w:val="center"/>
          </w:tcPr>
          <w:p w14:paraId="14837EB6">
            <w:pPr>
              <w:widowControl/>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5分</w:t>
            </w:r>
          </w:p>
        </w:tc>
      </w:tr>
      <w:tr w14:paraId="4C17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shd w:val="clear" w:color="auto" w:fill="auto"/>
            <w:noWrap w:val="0"/>
            <w:vAlign w:val="center"/>
          </w:tcPr>
          <w:p w14:paraId="1B79ADB1">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3.2</w:t>
            </w:r>
          </w:p>
        </w:tc>
        <w:tc>
          <w:tcPr>
            <w:tcW w:w="1945" w:type="dxa"/>
            <w:noWrap w:val="0"/>
            <w:vAlign w:val="center"/>
          </w:tcPr>
          <w:p w14:paraId="6107BBC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拟投入的人员配备</w:t>
            </w:r>
          </w:p>
          <w:p w14:paraId="56BC0DE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1"/>
                <w:highlight w:val="none"/>
              </w:rPr>
              <w:t>（满分</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c>
        <w:tc>
          <w:tcPr>
            <w:tcW w:w="5767" w:type="dxa"/>
            <w:noWrap w:val="0"/>
            <w:vAlign w:val="center"/>
          </w:tcPr>
          <w:p w14:paraId="4BA3A735">
            <w:pPr>
              <w:snapToGrid w:val="0"/>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（1）拟投入项目负责人：具有正高级职称的得4分，否则不得分。（满分4分）。</w:t>
            </w:r>
          </w:p>
          <w:p w14:paraId="4FB0C9A1">
            <w:pPr>
              <w:snapToGrid w:val="0"/>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拟投入本项目的专业设计人员中（除项目负责人），具备城乡规划专业、建筑专业、结构专业、电气专业、给排水专业、暖通专业等专业执业资格证书且同时具备高级工程师职称的，每有1人加1分。满分6分。</w:t>
            </w:r>
          </w:p>
          <w:p w14:paraId="0D3BCE61">
            <w:pPr>
              <w:widowControl/>
              <w:spacing w:line="360" w:lineRule="auto"/>
              <w:ind w:firstLine="422" w:firstLineChars="200"/>
              <w:jc w:val="left"/>
              <w:rPr>
                <w:rFonts w:hint="eastAsia" w:ascii="宋体" w:hAnsi="宋体" w:eastAsia="宋体" w:cs="宋体"/>
                <w:bCs w:val="0"/>
                <w:color w:val="auto"/>
                <w:kern w:val="2"/>
                <w:sz w:val="21"/>
                <w:szCs w:val="21"/>
                <w:highlight w:val="none"/>
              </w:rPr>
            </w:pPr>
            <w:r>
              <w:rPr>
                <w:rFonts w:hint="eastAsia" w:ascii="宋体" w:hAnsi="宋体" w:eastAsia="宋体" w:cs="宋体"/>
                <w:b/>
                <w:bCs w:val="0"/>
                <w:color w:val="auto"/>
                <w:sz w:val="21"/>
                <w:szCs w:val="21"/>
                <w:highlight w:val="none"/>
                <w:lang w:val="en-US" w:eastAsia="zh-CN"/>
              </w:rPr>
              <w:t>注：以上拟投入人员须提供相关职称或资格证书等扫描件并加盖供应商CA签章，否则不予计分。</w:t>
            </w:r>
          </w:p>
        </w:tc>
        <w:tc>
          <w:tcPr>
            <w:tcW w:w="845" w:type="dxa"/>
            <w:noWrap w:val="0"/>
            <w:vAlign w:val="center"/>
          </w:tcPr>
          <w:p w14:paraId="6E6EAFC5">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0"/>
                <w:highlight w:val="none"/>
                <w:lang w:val="en-US" w:eastAsia="zh-CN"/>
              </w:rPr>
              <w:t>1</w:t>
            </w:r>
            <w:r>
              <w:rPr>
                <w:rFonts w:hint="eastAsia" w:ascii="宋体" w:hAnsi="宋体" w:cs="宋体"/>
                <w:color w:val="auto"/>
                <w:szCs w:val="20"/>
                <w:highlight w:val="none"/>
                <w:lang w:val="en-US" w:eastAsia="zh-CN"/>
              </w:rPr>
              <w:t>0</w:t>
            </w:r>
            <w:r>
              <w:rPr>
                <w:rFonts w:hint="eastAsia" w:ascii="宋体" w:hAnsi="宋体" w:eastAsia="宋体" w:cs="宋体"/>
                <w:color w:val="auto"/>
                <w:szCs w:val="20"/>
                <w:highlight w:val="none"/>
              </w:rPr>
              <w:t>分</w:t>
            </w:r>
          </w:p>
        </w:tc>
      </w:tr>
      <w:tr w14:paraId="4092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805" w:type="dxa"/>
            <w:shd w:val="clear" w:color="auto" w:fill="auto"/>
            <w:noWrap w:val="0"/>
            <w:vAlign w:val="center"/>
          </w:tcPr>
          <w:p w14:paraId="2F02730C">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3.3</w:t>
            </w:r>
          </w:p>
        </w:tc>
        <w:tc>
          <w:tcPr>
            <w:tcW w:w="1945" w:type="dxa"/>
            <w:noWrap w:val="0"/>
            <w:vAlign w:val="center"/>
          </w:tcPr>
          <w:p w14:paraId="3F08D55E">
            <w:pPr>
              <w:widowControl/>
              <w:spacing w:line="360" w:lineRule="auto"/>
              <w:jc w:val="center"/>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业绩分</w:t>
            </w:r>
          </w:p>
          <w:p w14:paraId="2E37B1F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满分</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分）</w:t>
            </w:r>
          </w:p>
        </w:tc>
        <w:tc>
          <w:tcPr>
            <w:tcW w:w="5767" w:type="dxa"/>
            <w:noWrap w:val="0"/>
            <w:vAlign w:val="center"/>
          </w:tcPr>
          <w:p w14:paraId="7AF65D15">
            <w:pPr>
              <w:widowControl/>
              <w:spacing w:line="360" w:lineRule="auto"/>
              <w:ind w:firstLine="420" w:firstLineChars="200"/>
              <w:jc w:val="left"/>
              <w:rPr>
                <w:rFonts w:hint="eastAsia" w:ascii="宋体" w:hAnsi="宋体" w:eastAsia="宋体" w:cs="宋体"/>
                <w:i/>
                <w:iCs/>
                <w:color w:val="auto"/>
                <w:szCs w:val="20"/>
                <w:highlight w:val="none"/>
                <w:lang w:eastAsia="zh-CN"/>
              </w:rPr>
            </w:pPr>
            <w:r>
              <w:rPr>
                <w:rFonts w:hint="eastAsia" w:ascii="宋体" w:hAnsi="宋体" w:eastAsia="宋体" w:cs="宋体"/>
                <w:color w:val="auto"/>
                <w:szCs w:val="20"/>
                <w:highlight w:val="none"/>
              </w:rPr>
              <w:t>供应商20</w:t>
            </w:r>
            <w:r>
              <w:rPr>
                <w:rFonts w:hint="eastAsia" w:ascii="宋体" w:hAnsi="宋体" w:eastAsia="宋体" w:cs="宋体"/>
                <w:color w:val="auto"/>
                <w:szCs w:val="20"/>
                <w:highlight w:val="none"/>
                <w:lang w:val="en-US" w:eastAsia="zh-CN"/>
              </w:rPr>
              <w:t>22</w:t>
            </w:r>
            <w:r>
              <w:rPr>
                <w:rFonts w:hint="eastAsia" w:ascii="宋体" w:hAnsi="宋体" w:eastAsia="宋体" w:cs="宋体"/>
                <w:color w:val="auto"/>
                <w:szCs w:val="20"/>
                <w:highlight w:val="none"/>
              </w:rPr>
              <w:t>年1月1日以来完成</w:t>
            </w:r>
            <w:r>
              <w:rPr>
                <w:rFonts w:hint="eastAsia" w:ascii="宋体" w:hAnsi="宋体" w:eastAsia="宋体" w:cs="宋体"/>
                <w:color w:val="auto"/>
                <w:szCs w:val="20"/>
                <w:highlight w:val="none"/>
                <w:lang w:val="en-US" w:eastAsia="zh-CN"/>
              </w:rPr>
              <w:t>规划或建筑设计类</w:t>
            </w:r>
            <w:r>
              <w:rPr>
                <w:rFonts w:hint="eastAsia" w:ascii="宋体" w:hAnsi="宋体" w:eastAsia="宋体" w:cs="宋体"/>
                <w:color w:val="auto"/>
                <w:szCs w:val="20"/>
                <w:highlight w:val="none"/>
              </w:rPr>
              <w:t>项目的</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每</w:t>
            </w:r>
            <w:r>
              <w:rPr>
                <w:rFonts w:hint="eastAsia" w:ascii="宋体" w:hAnsi="宋体" w:eastAsia="宋体" w:cs="宋体"/>
                <w:color w:val="auto"/>
                <w:szCs w:val="20"/>
                <w:highlight w:val="none"/>
                <w:lang w:val="en-US" w:eastAsia="zh-CN"/>
              </w:rPr>
              <w:t>有一个</w:t>
            </w:r>
            <w:r>
              <w:rPr>
                <w:rFonts w:hint="eastAsia" w:ascii="宋体" w:hAnsi="宋体" w:eastAsia="宋体" w:cs="宋体"/>
                <w:color w:val="auto"/>
                <w:szCs w:val="20"/>
                <w:highlight w:val="none"/>
              </w:rPr>
              <w:t>得</w:t>
            </w:r>
            <w:r>
              <w:rPr>
                <w:rFonts w:hint="eastAsia" w:ascii="宋体" w:hAnsi="宋体" w:eastAsia="宋体" w:cs="宋体"/>
                <w:color w:val="auto"/>
                <w:szCs w:val="20"/>
                <w:highlight w:val="none"/>
                <w:lang w:val="en-US" w:eastAsia="zh-CN"/>
              </w:rPr>
              <w:t>1</w:t>
            </w:r>
            <w:r>
              <w:rPr>
                <w:rFonts w:hint="eastAsia" w:ascii="宋体" w:hAnsi="宋体" w:eastAsia="宋体" w:cs="宋体"/>
                <w:color w:val="auto"/>
                <w:szCs w:val="20"/>
                <w:highlight w:val="none"/>
              </w:rPr>
              <w:t>分</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满分5</w:t>
            </w:r>
            <w:r>
              <w:rPr>
                <w:rFonts w:hint="eastAsia" w:ascii="宋体" w:hAnsi="宋体" w:eastAsia="宋体" w:cs="宋体"/>
                <w:color w:val="auto"/>
                <w:szCs w:val="20"/>
                <w:highlight w:val="none"/>
              </w:rPr>
              <w:t>分</w:t>
            </w:r>
            <w:r>
              <w:rPr>
                <w:rFonts w:hint="eastAsia" w:ascii="宋体" w:hAnsi="宋体" w:eastAsia="宋体" w:cs="宋体"/>
                <w:i/>
                <w:iCs/>
                <w:color w:val="auto"/>
                <w:szCs w:val="20"/>
                <w:highlight w:val="none"/>
                <w:lang w:val="en-US" w:eastAsia="zh-CN"/>
              </w:rPr>
              <w:t>。</w:t>
            </w:r>
          </w:p>
          <w:p w14:paraId="36B05909">
            <w:pPr>
              <w:widowControl/>
              <w:spacing w:line="360" w:lineRule="auto"/>
              <w:ind w:firstLine="422" w:firstLineChars="200"/>
              <w:jc w:val="left"/>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b/>
                <w:bCs w:val="0"/>
                <w:color w:val="auto"/>
                <w:sz w:val="21"/>
                <w:szCs w:val="21"/>
                <w:highlight w:val="none"/>
                <w:lang w:val="en-US" w:eastAsia="zh-CN"/>
              </w:rPr>
              <w:t>注：</w:t>
            </w:r>
            <w:r>
              <w:rPr>
                <w:rFonts w:hint="eastAsia" w:ascii="宋体" w:hAnsi="宋体" w:eastAsia="宋体" w:cs="宋体"/>
                <w:b/>
                <w:bCs w:val="0"/>
                <w:color w:val="auto"/>
                <w:szCs w:val="20"/>
                <w:highlight w:val="none"/>
              </w:rPr>
              <w:t>以</w:t>
            </w:r>
            <w:r>
              <w:rPr>
                <w:rFonts w:hint="eastAsia" w:ascii="宋体" w:hAnsi="宋体" w:eastAsia="宋体" w:cs="宋体"/>
                <w:b/>
                <w:bCs w:val="0"/>
                <w:color w:val="auto"/>
                <w:szCs w:val="20"/>
                <w:highlight w:val="none"/>
                <w:lang w:val="en-US" w:eastAsia="zh-CN"/>
              </w:rPr>
              <w:t>上业绩分</w:t>
            </w:r>
            <w:r>
              <w:rPr>
                <w:rFonts w:hint="eastAsia" w:ascii="宋体" w:hAnsi="宋体" w:eastAsia="宋体" w:cs="宋体"/>
                <w:b/>
                <w:bCs w:val="0"/>
                <w:color w:val="auto"/>
                <w:szCs w:val="20"/>
                <w:highlight w:val="none"/>
              </w:rPr>
              <w:t>供应商</w:t>
            </w:r>
            <w:r>
              <w:rPr>
                <w:rFonts w:hint="eastAsia" w:ascii="宋体" w:hAnsi="宋体" w:eastAsia="宋体" w:cs="宋体"/>
                <w:b/>
                <w:bCs w:val="0"/>
                <w:color w:val="auto"/>
                <w:szCs w:val="20"/>
                <w:highlight w:val="none"/>
                <w:lang w:val="en-US" w:eastAsia="zh-CN"/>
              </w:rPr>
              <w:t>需</w:t>
            </w:r>
            <w:r>
              <w:rPr>
                <w:rFonts w:hint="eastAsia" w:ascii="宋体" w:hAnsi="宋体" w:eastAsia="宋体" w:cs="宋体"/>
                <w:b/>
                <w:bCs w:val="0"/>
                <w:color w:val="auto"/>
                <w:szCs w:val="20"/>
                <w:highlight w:val="none"/>
              </w:rPr>
              <w:t>于</w:t>
            </w:r>
            <w:r>
              <w:rPr>
                <w:rFonts w:hint="eastAsia" w:ascii="宋体" w:hAnsi="宋体" w:eastAsia="宋体" w:cs="宋体"/>
                <w:b/>
                <w:bCs w:val="0"/>
                <w:color w:val="auto"/>
                <w:szCs w:val="20"/>
                <w:highlight w:val="none"/>
                <w:lang w:val="en-US" w:eastAsia="zh-CN"/>
              </w:rPr>
              <w:t>响应</w:t>
            </w:r>
            <w:r>
              <w:rPr>
                <w:rFonts w:hint="eastAsia" w:ascii="宋体" w:hAnsi="宋体" w:eastAsia="宋体" w:cs="宋体"/>
                <w:b/>
                <w:bCs w:val="0"/>
                <w:color w:val="auto"/>
                <w:szCs w:val="20"/>
                <w:highlight w:val="none"/>
              </w:rPr>
              <w:t>文件中提供的合同或者中标/成交通知书</w:t>
            </w:r>
            <w:r>
              <w:rPr>
                <w:rFonts w:hint="eastAsia" w:ascii="宋体" w:hAnsi="宋体" w:eastAsia="宋体" w:cs="宋体"/>
                <w:b/>
                <w:bCs w:val="0"/>
                <w:color w:val="auto"/>
                <w:szCs w:val="20"/>
                <w:highlight w:val="none"/>
                <w:lang w:val="en-US" w:eastAsia="zh-CN"/>
              </w:rPr>
              <w:t>扫描件</w:t>
            </w:r>
            <w:r>
              <w:rPr>
                <w:rFonts w:hint="eastAsia" w:ascii="宋体" w:hAnsi="宋体" w:eastAsia="宋体" w:cs="宋体"/>
                <w:b/>
                <w:bCs w:val="0"/>
                <w:color w:val="auto"/>
                <w:szCs w:val="20"/>
                <w:highlight w:val="none"/>
              </w:rPr>
              <w:t>并加盖</w:t>
            </w:r>
            <w:r>
              <w:rPr>
                <w:rFonts w:hint="eastAsia" w:ascii="宋体" w:hAnsi="宋体" w:eastAsia="宋体" w:cs="宋体"/>
                <w:b/>
                <w:bCs w:val="0"/>
                <w:color w:val="auto"/>
                <w:szCs w:val="20"/>
                <w:highlight w:val="none"/>
                <w:lang w:val="en-US" w:eastAsia="zh-CN"/>
              </w:rPr>
              <w:t>供应商</w:t>
            </w:r>
            <w:r>
              <w:rPr>
                <w:rFonts w:hint="eastAsia" w:ascii="宋体" w:hAnsi="宋体" w:eastAsia="宋体" w:cs="宋体"/>
                <w:b/>
                <w:bCs w:val="0"/>
                <w:color w:val="auto"/>
                <w:sz w:val="21"/>
                <w:szCs w:val="21"/>
                <w:highlight w:val="none"/>
                <w:lang w:val="en-US" w:eastAsia="zh-CN"/>
              </w:rPr>
              <w:t>CA签章</w:t>
            </w:r>
            <w:r>
              <w:rPr>
                <w:rFonts w:hint="eastAsia" w:ascii="宋体" w:hAnsi="宋体" w:eastAsia="宋体" w:cs="宋体"/>
                <w:b/>
                <w:bCs w:val="0"/>
                <w:color w:val="auto"/>
                <w:szCs w:val="20"/>
                <w:highlight w:val="none"/>
              </w:rPr>
              <w:t>，能清晰反映合同标的或中标/成交内容，</w:t>
            </w:r>
            <w:r>
              <w:rPr>
                <w:rFonts w:hint="eastAsia" w:ascii="宋体" w:hAnsi="宋体" w:eastAsia="宋体" w:cs="宋体"/>
                <w:b/>
                <w:bCs w:val="0"/>
                <w:color w:val="auto"/>
                <w:sz w:val="21"/>
                <w:szCs w:val="21"/>
                <w:highlight w:val="none"/>
                <w:lang w:val="zh-CN"/>
              </w:rPr>
              <w:t>未提供不得分</w:t>
            </w:r>
            <w:r>
              <w:rPr>
                <w:rFonts w:hint="eastAsia" w:ascii="宋体" w:hAnsi="宋体" w:eastAsia="宋体" w:cs="宋体"/>
                <w:b/>
                <w:bCs w:val="0"/>
                <w:color w:val="auto"/>
                <w:szCs w:val="20"/>
                <w:highlight w:val="none"/>
              </w:rPr>
              <w:t>。</w:t>
            </w:r>
          </w:p>
        </w:tc>
        <w:tc>
          <w:tcPr>
            <w:tcW w:w="845" w:type="dxa"/>
            <w:noWrap w:val="0"/>
            <w:vAlign w:val="center"/>
          </w:tcPr>
          <w:p w14:paraId="7B5AE9CA">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0"/>
                <w:highlight w:val="none"/>
                <w:lang w:val="en-US" w:eastAsia="zh-CN"/>
              </w:rPr>
              <w:t>5</w:t>
            </w:r>
            <w:r>
              <w:rPr>
                <w:rFonts w:hint="eastAsia" w:ascii="宋体" w:hAnsi="宋体" w:eastAsia="宋体" w:cs="宋体"/>
                <w:color w:val="auto"/>
                <w:szCs w:val="20"/>
                <w:highlight w:val="none"/>
              </w:rPr>
              <w:t>分</w:t>
            </w:r>
          </w:p>
        </w:tc>
      </w:tr>
      <w:tr w14:paraId="2C67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805" w:type="dxa"/>
            <w:noWrap w:val="0"/>
            <w:vAlign w:val="center"/>
          </w:tcPr>
          <w:p w14:paraId="0F3A1B41">
            <w:pPr>
              <w:widowControl/>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945" w:type="dxa"/>
            <w:noWrap w:val="0"/>
            <w:vAlign w:val="center"/>
          </w:tcPr>
          <w:p w14:paraId="0D682935">
            <w:pPr>
              <w:widowControl/>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企业信誉</w:t>
            </w:r>
            <w:r>
              <w:rPr>
                <w:rFonts w:hint="eastAsia" w:ascii="宋体" w:hAnsi="宋体" w:eastAsia="宋体" w:cs="宋体"/>
                <w:b/>
                <w:bCs/>
                <w:color w:val="auto"/>
                <w:szCs w:val="21"/>
                <w:highlight w:val="none"/>
              </w:rPr>
              <w:t>分</w:t>
            </w:r>
          </w:p>
          <w:p w14:paraId="496FD386">
            <w:pPr>
              <w:widowControl/>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分）</w:t>
            </w:r>
          </w:p>
        </w:tc>
        <w:tc>
          <w:tcPr>
            <w:tcW w:w="5767" w:type="dxa"/>
            <w:noWrap w:val="0"/>
            <w:vAlign w:val="center"/>
          </w:tcPr>
          <w:p w14:paraId="2F858E47">
            <w:pPr>
              <w:widowControl/>
              <w:spacing w:line="360" w:lineRule="auto"/>
              <w:ind w:firstLine="420" w:firstLineChars="200"/>
              <w:jc w:val="left"/>
              <w:rPr>
                <w:rFonts w:hint="eastAsia" w:ascii="宋体" w:hAnsi="宋体" w:eastAsia="宋体" w:cs="宋体"/>
                <w:i/>
                <w:iCs/>
                <w:color w:val="auto"/>
                <w:szCs w:val="20"/>
                <w:highlight w:val="none"/>
              </w:rPr>
            </w:pP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1</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供应商20</w:t>
            </w:r>
            <w:r>
              <w:rPr>
                <w:rFonts w:hint="eastAsia" w:ascii="宋体" w:hAnsi="宋体" w:eastAsia="宋体" w:cs="宋体"/>
                <w:color w:val="auto"/>
                <w:szCs w:val="20"/>
                <w:highlight w:val="none"/>
                <w:lang w:val="en-US" w:eastAsia="zh-CN"/>
              </w:rPr>
              <w:t>22</w:t>
            </w:r>
            <w:r>
              <w:rPr>
                <w:rFonts w:hint="eastAsia" w:ascii="宋体" w:hAnsi="宋体" w:eastAsia="宋体" w:cs="宋体"/>
                <w:color w:val="auto"/>
                <w:szCs w:val="20"/>
                <w:highlight w:val="none"/>
              </w:rPr>
              <w:t>年1月1日以来完成</w:t>
            </w:r>
            <w:r>
              <w:rPr>
                <w:rFonts w:hint="eastAsia" w:ascii="宋体" w:hAnsi="宋体" w:eastAsia="宋体" w:cs="宋体"/>
                <w:color w:val="auto"/>
                <w:szCs w:val="20"/>
                <w:highlight w:val="none"/>
                <w:lang w:val="en-US" w:eastAsia="zh-CN"/>
              </w:rPr>
              <w:t>规划或建筑设计类</w:t>
            </w:r>
            <w:r>
              <w:rPr>
                <w:rFonts w:hint="eastAsia" w:ascii="宋体" w:hAnsi="宋体" w:eastAsia="宋体" w:cs="宋体"/>
                <w:color w:val="auto"/>
                <w:szCs w:val="20"/>
                <w:highlight w:val="none"/>
              </w:rPr>
              <w:t>项目获得</w:t>
            </w:r>
            <w:r>
              <w:rPr>
                <w:rFonts w:hint="eastAsia" w:ascii="宋体" w:hAnsi="宋体" w:eastAsia="宋体" w:cs="宋体"/>
                <w:color w:val="auto"/>
                <w:szCs w:val="20"/>
                <w:highlight w:val="none"/>
                <w:lang w:eastAsia="zh-CN"/>
              </w:rPr>
              <w:t>市（厅）级以上</w:t>
            </w:r>
            <w:r>
              <w:rPr>
                <w:rFonts w:hint="eastAsia" w:ascii="宋体" w:hAnsi="宋体" w:eastAsia="宋体" w:cs="宋体"/>
                <w:color w:val="auto"/>
                <w:szCs w:val="20"/>
                <w:highlight w:val="none"/>
              </w:rPr>
              <w:t>的</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每项得</w:t>
            </w:r>
            <w:r>
              <w:rPr>
                <w:rFonts w:hint="eastAsia" w:ascii="宋体" w:hAnsi="宋体" w:eastAsia="宋体" w:cs="宋体"/>
                <w:color w:val="auto"/>
                <w:szCs w:val="20"/>
                <w:highlight w:val="none"/>
                <w:lang w:val="en-US" w:eastAsia="zh-CN"/>
              </w:rPr>
              <w:t>1</w:t>
            </w:r>
            <w:r>
              <w:rPr>
                <w:rFonts w:hint="eastAsia" w:ascii="宋体" w:hAnsi="宋体" w:eastAsia="宋体" w:cs="宋体"/>
                <w:color w:val="auto"/>
                <w:szCs w:val="20"/>
                <w:highlight w:val="none"/>
              </w:rPr>
              <w:t>分</w:t>
            </w:r>
            <w:r>
              <w:rPr>
                <w:rFonts w:hint="eastAsia" w:ascii="宋体" w:hAnsi="宋体" w:eastAsia="宋体" w:cs="宋体"/>
                <w:color w:val="auto"/>
                <w:szCs w:val="20"/>
                <w:highlight w:val="none"/>
                <w:lang w:eastAsia="zh-CN"/>
              </w:rPr>
              <w:t>，同一项目取最高奖项，不重复得分。</w:t>
            </w:r>
            <w:r>
              <w:rPr>
                <w:rFonts w:hint="eastAsia" w:ascii="宋体" w:hAnsi="宋体" w:eastAsia="宋体" w:cs="宋体"/>
                <w:color w:val="auto"/>
                <w:szCs w:val="20"/>
                <w:highlight w:val="none"/>
              </w:rPr>
              <w:t>提供获奖证书复印件，最多得</w:t>
            </w:r>
            <w:r>
              <w:rPr>
                <w:rFonts w:hint="eastAsia" w:ascii="宋体" w:hAnsi="宋体" w:eastAsia="宋体" w:cs="宋体"/>
                <w:color w:val="auto"/>
                <w:szCs w:val="20"/>
                <w:highlight w:val="none"/>
                <w:lang w:val="en-US" w:eastAsia="zh-CN"/>
              </w:rPr>
              <w:t>5</w:t>
            </w:r>
            <w:r>
              <w:rPr>
                <w:rFonts w:hint="eastAsia" w:ascii="宋体" w:hAnsi="宋体" w:eastAsia="宋体" w:cs="宋体"/>
                <w:color w:val="auto"/>
                <w:szCs w:val="20"/>
                <w:highlight w:val="none"/>
              </w:rPr>
              <w:t>分</w:t>
            </w:r>
            <w:r>
              <w:rPr>
                <w:rFonts w:hint="eastAsia" w:ascii="宋体" w:hAnsi="宋体" w:eastAsia="宋体" w:cs="宋体"/>
                <w:i/>
                <w:iCs/>
                <w:color w:val="auto"/>
                <w:szCs w:val="20"/>
                <w:highlight w:val="none"/>
              </w:rPr>
              <w:t>。</w:t>
            </w:r>
          </w:p>
          <w:p w14:paraId="332C77FA">
            <w:pPr>
              <w:widowControl/>
              <w:spacing w:line="360" w:lineRule="auto"/>
              <w:ind w:firstLine="420" w:firstLineChars="200"/>
              <w:jc w:val="left"/>
              <w:rPr>
                <w:rFonts w:hint="eastAsia" w:ascii="宋体" w:hAnsi="宋体" w:eastAsia="宋体" w:cs="宋体"/>
                <w:i w:val="0"/>
                <w:iCs w:val="0"/>
                <w:color w:val="auto"/>
                <w:szCs w:val="20"/>
                <w:highlight w:val="none"/>
                <w:lang w:val="en-US" w:eastAsia="zh-CN"/>
              </w:rPr>
            </w:pPr>
            <w:r>
              <w:rPr>
                <w:rFonts w:hint="eastAsia" w:ascii="宋体" w:hAnsi="宋体" w:eastAsia="宋体" w:cs="宋体"/>
                <w:i w:val="0"/>
                <w:iCs w:val="0"/>
                <w:color w:val="auto"/>
                <w:szCs w:val="20"/>
                <w:highlight w:val="none"/>
                <w:lang w:val="en-US" w:eastAsia="zh-CN"/>
              </w:rPr>
              <w:t>（2）供应商同时具备ISO 9001质量管理体系认证、ISO 14001环境管理体系认证以及ISO 45001职业健康安全管理体系认证的，得5分，否则不得分。</w:t>
            </w:r>
          </w:p>
          <w:p w14:paraId="19589F5A">
            <w:pPr>
              <w:widowControl/>
              <w:spacing w:line="360" w:lineRule="auto"/>
              <w:ind w:firstLine="420" w:firstLineChars="200"/>
              <w:jc w:val="left"/>
              <w:rPr>
                <w:rFonts w:hint="eastAsia" w:ascii="宋体" w:hAnsi="宋体" w:eastAsia="宋体" w:cs="宋体"/>
                <w:i w:val="0"/>
                <w:iCs w:val="0"/>
                <w:color w:val="auto"/>
                <w:szCs w:val="20"/>
                <w:highlight w:val="none"/>
                <w:lang w:val="en-US" w:eastAsia="zh-CN"/>
              </w:rPr>
            </w:pPr>
            <w:r>
              <w:rPr>
                <w:rFonts w:hint="eastAsia" w:ascii="宋体" w:hAnsi="宋体" w:eastAsia="宋体" w:cs="宋体"/>
                <w:i w:val="0"/>
                <w:iCs w:val="0"/>
                <w:color w:val="auto"/>
                <w:szCs w:val="20"/>
                <w:highlight w:val="none"/>
                <w:lang w:val="en-US" w:eastAsia="zh-CN"/>
              </w:rPr>
              <w:t>注：提供证书扫描件并加盖供应商CA签章，否则不予计分。</w:t>
            </w:r>
          </w:p>
        </w:tc>
        <w:tc>
          <w:tcPr>
            <w:tcW w:w="845" w:type="dxa"/>
            <w:noWrap w:val="0"/>
            <w:vAlign w:val="center"/>
          </w:tcPr>
          <w:p w14:paraId="4E6A4BAB">
            <w:pPr>
              <w:widowControl/>
              <w:spacing w:line="360" w:lineRule="auto"/>
              <w:jc w:val="center"/>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color w:val="auto"/>
                <w:szCs w:val="20"/>
                <w:highlight w:val="none"/>
                <w:lang w:val="en-US" w:eastAsia="zh-CN"/>
              </w:rPr>
              <w:t>10</w:t>
            </w:r>
            <w:r>
              <w:rPr>
                <w:rFonts w:hint="eastAsia" w:ascii="宋体" w:hAnsi="宋体" w:eastAsia="宋体" w:cs="宋体"/>
                <w:color w:val="auto"/>
                <w:szCs w:val="20"/>
                <w:highlight w:val="none"/>
              </w:rPr>
              <w:t>分</w:t>
            </w:r>
          </w:p>
        </w:tc>
      </w:tr>
      <w:tr w14:paraId="3A21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2" w:type="dxa"/>
            <w:gridSpan w:val="4"/>
            <w:noWrap w:val="0"/>
            <w:vAlign w:val="top"/>
          </w:tcPr>
          <w:p w14:paraId="3AF55F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val="0"/>
                <w:color w:val="auto"/>
                <w:kern w:val="2"/>
                <w:sz w:val="21"/>
                <w:szCs w:val="21"/>
                <w:highlight w:val="none"/>
              </w:rPr>
              <w:t>总得分＝1＋2＋3</w:t>
            </w:r>
          </w:p>
        </w:tc>
      </w:tr>
      <w:tr w14:paraId="7EA9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2" w:type="dxa"/>
            <w:gridSpan w:val="4"/>
            <w:noWrap w:val="0"/>
            <w:vAlign w:val="top"/>
          </w:tcPr>
          <w:p w14:paraId="2163F271">
            <w:pPr>
              <w:widowControl/>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4C5BBD1B">
            <w:pPr>
              <w:pStyle w:val="7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服务采购项目，不属于财政部规定的节能产品和环境标志产品范畴，不适用财库〔2019〕9号及财库〔2019〕19号文件规定，也不适用《广西壮族自治区人民政府办公厅关于印发招标采购促进广西工业产品产销对接实施细则的通知》（桂政办发【2015】78号）的相关规定。</w:t>
            </w:r>
          </w:p>
        </w:tc>
      </w:tr>
    </w:tbl>
    <w:p w14:paraId="1E63D81C">
      <w:pPr>
        <w:pStyle w:val="4"/>
        <w:keepNext w:val="0"/>
        <w:keepLines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四、中标候选人推荐原则</w:t>
      </w:r>
    </w:p>
    <w:p w14:paraId="411902B7">
      <w:pPr>
        <w:pStyle w:val="25"/>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1.评标委员会根据原始评标记录和评标结果编写评标报告，并通过电子交易平台向采购人、采购代理机构提交。</w:t>
      </w:r>
    </w:p>
    <w:p w14:paraId="19BE3414">
      <w:pPr>
        <w:pStyle w:val="25"/>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2.评标委员会将根据总得分由高到低排列次序并推荐中标候选人。得分相同的，以投标报价由低到高顺序排列。得分相同且投标报价相同的，</w:t>
      </w:r>
      <w:r>
        <w:rPr>
          <w:rFonts w:hint="eastAsia" w:ascii="宋体" w:hAnsi="宋体" w:eastAsia="宋体" w:cs="宋体"/>
          <w:color w:val="auto"/>
          <w:kern w:val="0"/>
          <w:sz w:val="21"/>
          <w:szCs w:val="21"/>
          <w:highlight w:val="none"/>
          <w:lang w:val="en-US" w:eastAsia="zh-CN"/>
        </w:rPr>
        <w:t>按技术得分由高到低排列。</w:t>
      </w:r>
      <w:r>
        <w:rPr>
          <w:rFonts w:hint="eastAsia" w:ascii="宋体" w:hAnsi="宋体" w:eastAsia="宋体" w:cs="宋体"/>
          <w:color w:val="auto"/>
          <w:sz w:val="21"/>
          <w:highlight w:val="none"/>
        </w:rPr>
        <w:t>得分相同</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投标报价相同</w:t>
      </w:r>
      <w:r>
        <w:rPr>
          <w:rFonts w:hint="eastAsia" w:ascii="宋体" w:hAnsi="宋体" w:eastAsia="宋体" w:cs="宋体"/>
          <w:color w:val="auto"/>
          <w:sz w:val="21"/>
          <w:highlight w:val="none"/>
          <w:lang w:val="en-US" w:eastAsia="zh-CN"/>
        </w:rPr>
        <w:t>且技术得分相同的</w:t>
      </w:r>
      <w:r>
        <w:rPr>
          <w:rFonts w:hint="eastAsia" w:ascii="宋体" w:hAnsi="宋体" w:eastAsia="宋体" w:cs="宋体"/>
          <w:color w:val="auto"/>
          <w:sz w:val="21"/>
          <w:highlight w:val="none"/>
        </w:rPr>
        <w:t>，投标文件满足招标文件全部实质性要求，且按照评审因素的量化指标评审得分最高的投标人为排名第一的中标候选人。</w:t>
      </w:r>
    </w:p>
    <w:p w14:paraId="404713FF">
      <w:pPr>
        <w:pStyle w:val="25"/>
        <w:spacing w:line="360" w:lineRule="auto"/>
        <w:ind w:firstLine="420" w:firstLineChars="200"/>
        <w:rPr>
          <w:rFonts w:hint="eastAsia" w:ascii="宋体" w:hAnsi="宋体" w:eastAsia="宋体" w:cs="宋体"/>
          <w:color w:val="auto"/>
          <w:sz w:val="21"/>
          <w:highlight w:val="none"/>
        </w:rPr>
      </w:pPr>
    </w:p>
    <w:p w14:paraId="7BAD6289">
      <w:pPr>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br w:type="page"/>
      </w:r>
    </w:p>
    <w:p w14:paraId="1B9D9A8A">
      <w:pPr>
        <w:pStyle w:val="71"/>
        <w:ind w:firstLine="640"/>
        <w:rPr>
          <w:rFonts w:hint="eastAsia" w:ascii="宋体" w:hAnsi="宋体" w:eastAsia="宋体" w:cs="宋体"/>
          <w:color w:val="auto"/>
          <w:highlight w:val="none"/>
        </w:rPr>
      </w:pPr>
    </w:p>
    <w:p w14:paraId="22A1EC96">
      <w:pPr>
        <w:spacing w:beforeLines="50" w:afterLines="50" w:line="400" w:lineRule="exact"/>
        <w:rPr>
          <w:rFonts w:hint="eastAsia" w:ascii="宋体" w:hAnsi="宋体" w:eastAsia="宋体" w:cs="宋体"/>
          <w:b/>
          <w:color w:val="auto"/>
          <w:sz w:val="24"/>
          <w:highlight w:val="none"/>
        </w:rPr>
      </w:pPr>
    </w:p>
    <w:p w14:paraId="7B3C6738">
      <w:pPr>
        <w:spacing w:beforeLines="50" w:afterLines="50" w:line="400" w:lineRule="exact"/>
        <w:rPr>
          <w:rFonts w:hint="eastAsia" w:ascii="宋体" w:hAnsi="宋体" w:eastAsia="宋体" w:cs="宋体"/>
          <w:b/>
          <w:color w:val="auto"/>
          <w:sz w:val="24"/>
          <w:highlight w:val="none"/>
        </w:rPr>
      </w:pPr>
    </w:p>
    <w:p w14:paraId="391E0166">
      <w:pPr>
        <w:pStyle w:val="20"/>
        <w:rPr>
          <w:rFonts w:hint="eastAsia" w:ascii="宋体" w:hAnsi="宋体" w:eastAsia="宋体" w:cs="宋体"/>
          <w:b/>
          <w:color w:val="auto"/>
          <w:sz w:val="24"/>
          <w:highlight w:val="none"/>
        </w:rPr>
      </w:pPr>
    </w:p>
    <w:p w14:paraId="2EA0CF13">
      <w:pPr>
        <w:rPr>
          <w:rFonts w:hint="eastAsia" w:ascii="宋体" w:hAnsi="宋体" w:eastAsia="宋体" w:cs="宋体"/>
          <w:b/>
          <w:color w:val="auto"/>
          <w:sz w:val="24"/>
          <w:highlight w:val="none"/>
        </w:rPr>
      </w:pPr>
    </w:p>
    <w:p w14:paraId="3C38AD4F">
      <w:pPr>
        <w:pStyle w:val="20"/>
        <w:rPr>
          <w:rFonts w:hint="eastAsia" w:ascii="宋体" w:hAnsi="宋体" w:eastAsia="宋体" w:cs="宋体"/>
          <w:b/>
          <w:color w:val="auto"/>
          <w:sz w:val="24"/>
          <w:highlight w:val="none"/>
        </w:rPr>
      </w:pPr>
    </w:p>
    <w:p w14:paraId="4EFB13FD">
      <w:pPr>
        <w:rPr>
          <w:rFonts w:hint="eastAsia" w:ascii="宋体" w:hAnsi="宋体" w:eastAsia="宋体" w:cs="宋体"/>
          <w:b/>
          <w:color w:val="auto"/>
          <w:sz w:val="24"/>
          <w:highlight w:val="none"/>
        </w:rPr>
      </w:pPr>
    </w:p>
    <w:p w14:paraId="26389748">
      <w:pPr>
        <w:pStyle w:val="20"/>
        <w:rPr>
          <w:rFonts w:hint="eastAsia" w:ascii="宋体" w:hAnsi="宋体" w:eastAsia="宋体" w:cs="宋体"/>
          <w:b/>
          <w:color w:val="auto"/>
          <w:sz w:val="24"/>
          <w:highlight w:val="none"/>
        </w:rPr>
      </w:pPr>
    </w:p>
    <w:p w14:paraId="57664760">
      <w:pPr>
        <w:rPr>
          <w:rFonts w:hint="eastAsia" w:ascii="宋体" w:hAnsi="宋体" w:eastAsia="宋体" w:cs="宋体"/>
          <w:b/>
          <w:color w:val="auto"/>
          <w:sz w:val="24"/>
          <w:highlight w:val="none"/>
        </w:rPr>
      </w:pPr>
    </w:p>
    <w:p w14:paraId="2BF48474">
      <w:pPr>
        <w:pStyle w:val="20"/>
        <w:rPr>
          <w:rFonts w:hint="eastAsia" w:ascii="宋体" w:hAnsi="宋体" w:eastAsia="宋体" w:cs="宋体"/>
          <w:b/>
          <w:color w:val="auto"/>
          <w:sz w:val="24"/>
          <w:highlight w:val="none"/>
        </w:rPr>
      </w:pPr>
    </w:p>
    <w:p w14:paraId="63D1016E">
      <w:pPr>
        <w:rPr>
          <w:rFonts w:hint="eastAsia" w:ascii="宋体" w:hAnsi="宋体" w:eastAsia="宋体" w:cs="宋体"/>
          <w:b/>
          <w:color w:val="auto"/>
          <w:sz w:val="24"/>
          <w:highlight w:val="none"/>
        </w:rPr>
      </w:pPr>
    </w:p>
    <w:p w14:paraId="14DE063A">
      <w:pPr>
        <w:pStyle w:val="20"/>
        <w:rPr>
          <w:rFonts w:hint="eastAsia" w:ascii="宋体" w:hAnsi="宋体" w:eastAsia="宋体" w:cs="宋体"/>
          <w:b/>
          <w:color w:val="auto"/>
          <w:sz w:val="24"/>
          <w:highlight w:val="none"/>
        </w:rPr>
      </w:pPr>
    </w:p>
    <w:p w14:paraId="2C1C152A">
      <w:pPr>
        <w:rPr>
          <w:rFonts w:hint="eastAsia" w:ascii="宋体" w:hAnsi="宋体" w:eastAsia="宋体" w:cs="宋体"/>
          <w:color w:val="auto"/>
          <w:highlight w:val="none"/>
        </w:rPr>
      </w:pPr>
    </w:p>
    <w:p w14:paraId="7B66F115">
      <w:pPr>
        <w:pStyle w:val="2"/>
        <w:keepNext w:val="0"/>
        <w:keepLines w:val="0"/>
        <w:jc w:val="center"/>
        <w:rPr>
          <w:rFonts w:hint="eastAsia" w:ascii="宋体" w:hAnsi="宋体" w:eastAsia="宋体" w:cs="宋体"/>
          <w:color w:val="auto"/>
          <w:highlight w:val="none"/>
        </w:rPr>
      </w:pPr>
      <w:bookmarkStart w:id="153" w:name="_Toc27205"/>
      <w:bookmarkStart w:id="154" w:name="_Toc18451"/>
      <w:bookmarkStart w:id="155" w:name="_Toc22305"/>
      <w:bookmarkStart w:id="156" w:name="_Toc19686833"/>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拟签订的合同文本</w:t>
      </w:r>
      <w:bookmarkEnd w:id="153"/>
      <w:bookmarkEnd w:id="154"/>
      <w:bookmarkEnd w:id="155"/>
      <w:bookmarkEnd w:id="156"/>
    </w:p>
    <w:p w14:paraId="259A0469">
      <w:pPr>
        <w:snapToGrid w:val="0"/>
        <w:jc w:val="center"/>
        <w:rPr>
          <w:rFonts w:hint="eastAsia" w:ascii="宋体" w:hAnsi="宋体" w:eastAsia="宋体" w:cs="宋体"/>
          <w:bCs/>
          <w:color w:val="auto"/>
          <w:sz w:val="32"/>
          <w:szCs w:val="32"/>
          <w:highlight w:val="none"/>
        </w:rPr>
      </w:pPr>
    </w:p>
    <w:p w14:paraId="561FB926">
      <w:pPr>
        <w:snapToGrid w:val="0"/>
        <w:jc w:val="center"/>
        <w:rPr>
          <w:rFonts w:hint="eastAsia" w:ascii="宋体" w:hAnsi="宋体" w:eastAsia="宋体" w:cs="宋体"/>
          <w:bCs/>
          <w:color w:val="auto"/>
          <w:sz w:val="32"/>
          <w:szCs w:val="32"/>
          <w:highlight w:val="none"/>
        </w:rPr>
      </w:pPr>
    </w:p>
    <w:p w14:paraId="33E4BB23">
      <w:pPr>
        <w:snapToGrid w:val="0"/>
        <w:jc w:val="center"/>
        <w:rPr>
          <w:rFonts w:hint="eastAsia" w:ascii="宋体" w:hAnsi="宋体" w:eastAsia="宋体" w:cs="宋体"/>
          <w:bCs/>
          <w:color w:val="auto"/>
          <w:sz w:val="32"/>
          <w:szCs w:val="32"/>
          <w:highlight w:val="none"/>
        </w:rPr>
      </w:pPr>
    </w:p>
    <w:p w14:paraId="6D26261C">
      <w:pPr>
        <w:snapToGrid w:val="0"/>
        <w:jc w:val="center"/>
        <w:rPr>
          <w:rFonts w:hint="eastAsia" w:ascii="宋体" w:hAnsi="宋体" w:eastAsia="宋体" w:cs="宋体"/>
          <w:bCs/>
          <w:color w:val="auto"/>
          <w:sz w:val="32"/>
          <w:szCs w:val="32"/>
          <w:highlight w:val="none"/>
        </w:rPr>
      </w:pPr>
    </w:p>
    <w:p w14:paraId="4F508668">
      <w:pPr>
        <w:snapToGrid w:val="0"/>
        <w:jc w:val="center"/>
        <w:rPr>
          <w:rFonts w:hint="eastAsia" w:ascii="宋体" w:hAnsi="宋体" w:eastAsia="宋体" w:cs="宋体"/>
          <w:bCs/>
          <w:color w:val="auto"/>
          <w:sz w:val="32"/>
          <w:szCs w:val="32"/>
          <w:highlight w:val="none"/>
        </w:rPr>
      </w:pPr>
    </w:p>
    <w:p w14:paraId="72F833F8">
      <w:pPr>
        <w:snapToGrid/>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0302F094">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0"/>
          <w:szCs w:val="30"/>
          <w:highlight w:val="none"/>
        </w:rPr>
        <w:t>GF—</w:t>
      </w:r>
      <w:r>
        <w:rPr>
          <w:rFonts w:hint="eastAsia" w:ascii="宋体" w:hAnsi="宋体" w:eastAsia="宋体" w:cs="宋体"/>
          <w:bCs/>
          <w:color w:val="auto"/>
          <w:sz w:val="30"/>
          <w:szCs w:val="30"/>
          <w:highlight w:val="none"/>
          <w:lang w:val="en-US" w:eastAsia="zh-CN"/>
        </w:rPr>
        <w:t>2015</w:t>
      </w:r>
      <w:r>
        <w:rPr>
          <w:rFonts w:hint="eastAsia" w:ascii="宋体" w:hAnsi="宋体" w:eastAsia="宋体" w:cs="宋体"/>
          <w:bCs/>
          <w:color w:val="auto"/>
          <w:sz w:val="30"/>
          <w:szCs w:val="30"/>
          <w:highlight w:val="none"/>
        </w:rPr>
        <w:t>—</w:t>
      </w:r>
      <w:r>
        <w:rPr>
          <w:rFonts w:hint="eastAsia" w:ascii="宋体" w:hAnsi="宋体" w:eastAsia="宋体" w:cs="宋体"/>
          <w:bCs/>
          <w:color w:val="auto"/>
          <w:sz w:val="30"/>
          <w:szCs w:val="30"/>
          <w:highlight w:val="none"/>
          <w:lang w:val="en-US" w:eastAsia="zh-CN"/>
        </w:rPr>
        <w:t>0209</w:t>
      </w:r>
    </w:p>
    <w:p w14:paraId="40CA244D">
      <w:pPr>
        <w:ind w:firstLine="5737" w:firstLineChars="190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合同编号：</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14:paraId="323A9A84">
      <w:pPr>
        <w:rPr>
          <w:rFonts w:hint="eastAsia" w:ascii="宋体" w:hAnsi="宋体" w:eastAsia="宋体" w:cs="宋体"/>
          <w:b/>
          <w:color w:val="auto"/>
          <w:sz w:val="52"/>
          <w:szCs w:val="52"/>
          <w:highlight w:val="none"/>
        </w:rPr>
      </w:pPr>
    </w:p>
    <w:p w14:paraId="6594EC20">
      <w:pPr>
        <w:jc w:val="center"/>
        <w:rPr>
          <w:rFonts w:hint="eastAsia" w:ascii="宋体" w:hAnsi="宋体" w:eastAsia="宋体" w:cs="宋体"/>
          <w:b/>
          <w:color w:val="auto"/>
          <w:sz w:val="52"/>
          <w:szCs w:val="52"/>
          <w:highlight w:val="none"/>
        </w:rPr>
      </w:pPr>
    </w:p>
    <w:p w14:paraId="687F709B">
      <w:pPr>
        <w:jc w:val="center"/>
        <w:rPr>
          <w:rFonts w:hint="eastAsia" w:ascii="宋体" w:hAnsi="宋体" w:eastAsia="宋体" w:cs="宋体"/>
          <w:b/>
          <w:color w:val="auto"/>
          <w:sz w:val="52"/>
          <w:szCs w:val="52"/>
          <w:highlight w:val="none"/>
        </w:rPr>
      </w:pPr>
    </w:p>
    <w:p w14:paraId="3F9FFF41">
      <w:pPr>
        <w:jc w:val="center"/>
        <w:rPr>
          <w:rFonts w:hint="eastAsia" w:ascii="宋体" w:hAnsi="宋体" w:eastAsia="宋体" w:cs="宋体"/>
          <w:b/>
          <w:color w:val="auto"/>
          <w:sz w:val="52"/>
          <w:szCs w:val="52"/>
          <w:highlight w:val="none"/>
        </w:rPr>
      </w:pPr>
    </w:p>
    <w:p w14:paraId="6920D05D">
      <w:pPr>
        <w:jc w:val="center"/>
        <w:rPr>
          <w:rFonts w:hint="eastAsia" w:ascii="宋体" w:hAnsi="宋体" w:eastAsia="宋体" w:cs="宋体"/>
          <w:b/>
          <w:color w:val="auto"/>
          <w:sz w:val="72"/>
          <w:szCs w:val="52"/>
          <w:highlight w:val="none"/>
        </w:rPr>
      </w:pPr>
      <w:r>
        <w:rPr>
          <w:rFonts w:hint="eastAsia" w:ascii="宋体" w:hAnsi="宋体" w:eastAsia="宋体" w:cs="宋体"/>
          <w:b/>
          <w:color w:val="auto"/>
          <w:sz w:val="72"/>
          <w:szCs w:val="52"/>
          <w:highlight w:val="none"/>
        </w:rPr>
        <w:t>设计合同</w:t>
      </w:r>
    </w:p>
    <w:p w14:paraId="3FD8B386">
      <w:pPr>
        <w:jc w:val="center"/>
        <w:rPr>
          <w:rFonts w:hint="eastAsia" w:ascii="宋体" w:hAnsi="宋体" w:eastAsia="宋体" w:cs="宋体"/>
          <w:b/>
          <w:color w:val="auto"/>
          <w:sz w:val="52"/>
          <w:szCs w:val="52"/>
          <w:highlight w:val="none"/>
        </w:rPr>
      </w:pPr>
    </w:p>
    <w:p w14:paraId="403EFD85">
      <w:pPr>
        <w:jc w:val="center"/>
        <w:rPr>
          <w:rFonts w:hint="eastAsia" w:ascii="宋体" w:hAnsi="宋体" w:eastAsia="宋体" w:cs="宋体"/>
          <w:b/>
          <w:color w:val="auto"/>
          <w:sz w:val="72"/>
          <w:szCs w:val="72"/>
          <w:highlight w:val="none"/>
        </w:rPr>
      </w:pPr>
    </w:p>
    <w:p w14:paraId="53F60040">
      <w:pPr>
        <w:jc w:val="center"/>
        <w:rPr>
          <w:rFonts w:hint="eastAsia" w:ascii="宋体" w:hAnsi="宋体" w:eastAsia="宋体" w:cs="宋体"/>
          <w:b/>
          <w:color w:val="auto"/>
          <w:sz w:val="72"/>
          <w:szCs w:val="72"/>
          <w:highlight w:val="none"/>
        </w:rPr>
      </w:pPr>
    </w:p>
    <w:p w14:paraId="6E13D83B">
      <w:pPr>
        <w:rPr>
          <w:rFonts w:hint="eastAsia" w:ascii="宋体" w:hAnsi="宋体" w:eastAsia="宋体" w:cs="宋体"/>
          <w:b/>
          <w:color w:val="auto"/>
          <w:sz w:val="28"/>
          <w:szCs w:val="28"/>
          <w:highlight w:val="none"/>
        </w:rPr>
      </w:pPr>
    </w:p>
    <w:p w14:paraId="780ADBD2">
      <w:pPr>
        <w:rPr>
          <w:rFonts w:hint="eastAsia" w:ascii="宋体" w:hAnsi="宋体" w:eastAsia="宋体" w:cs="宋体"/>
          <w:b/>
          <w:color w:val="auto"/>
          <w:sz w:val="28"/>
          <w:szCs w:val="28"/>
          <w:highlight w:val="none"/>
        </w:rPr>
      </w:pPr>
    </w:p>
    <w:p w14:paraId="3263A1A0">
      <w:pPr>
        <w:rPr>
          <w:rFonts w:hint="eastAsia" w:ascii="宋体" w:hAnsi="宋体" w:eastAsia="宋体" w:cs="宋体"/>
          <w:b/>
          <w:color w:val="auto"/>
          <w:sz w:val="28"/>
          <w:szCs w:val="28"/>
          <w:highlight w:val="none"/>
        </w:rPr>
      </w:pPr>
    </w:p>
    <w:p w14:paraId="51427E85">
      <w:pPr>
        <w:ind w:left="0" w:leftChars="0" w:right="3559" w:rightChars="1695" w:firstLine="2100" w:firstLineChars="1000"/>
        <w:jc w:val="distribute"/>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3962400</wp:posOffset>
                </wp:positionH>
                <wp:positionV relativeFrom="paragraph">
                  <wp:posOffset>135255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F7F5AFA">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pt;margin-top:10.65pt;height:36pt;width:57pt;z-index:251659264;mso-width-relative:page;mso-height-relative:page;" filled="f" stroked="t" coordsize="21600,21600" o:gfxdata="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6x0GNkAAAAJAQAADwAAAAAAAAABACAAAAAi&#10;AAAAZHJzL2Rvd25yZXYueG1sUEsBAhQAFAAAAAgAh07iQOSHZIoJAgAAGgQAAA4AAAAAAAAAAQAg&#10;AAAAKAEAAGRycy9lMm9Eb2MueG1sUEsFBgAAAAAGAAYAWQEAAKMFAAAAAA==&#10;">
                <v:fill on="f" focussize="0,0"/>
                <v:stroke color="#FFFFFF" joinstyle="miter"/>
                <v:imagedata o:title=""/>
                <o:lock v:ext="edit" aspectratio="f"/>
                <v:textbox>
                  <w:txbxContent>
                    <w:p w14:paraId="7F7F5AFA">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rPr>
        <w:t>住房和城乡建设部</w:t>
      </w:r>
    </w:p>
    <w:p w14:paraId="7FDC54EA">
      <w:pPr>
        <w:ind w:left="0" w:leftChars="0" w:right="3360" w:rightChars="1600" w:firstLine="2107" w:firstLineChars="656"/>
        <w:jc w:val="both"/>
        <w:rPr>
          <w:rFonts w:hint="eastAsia" w:ascii="宋体" w:hAnsi="宋体" w:eastAsia="宋体" w:cs="宋体"/>
          <w:b/>
          <w:color w:val="auto"/>
          <w:sz w:val="32"/>
          <w:highlight w:val="none"/>
        </w:rPr>
      </w:pPr>
      <w:r>
        <w:rPr>
          <w:rFonts w:hint="eastAsia" w:ascii="宋体" w:hAnsi="宋体" w:eastAsia="宋体" w:cs="宋体"/>
          <w:b/>
          <w:color w:val="auto"/>
          <w:sz w:val="32"/>
          <w:szCs w:val="28"/>
          <w:highlight w:val="none"/>
        </w:rPr>
        <w:t>国家工商行政管理总局</w:t>
      </w:r>
    </w:p>
    <w:p w14:paraId="32403442">
      <w:pPr>
        <w:rPr>
          <w:rFonts w:hint="eastAsia" w:ascii="宋体" w:hAnsi="宋体" w:eastAsia="宋体" w:cs="宋体"/>
          <w:b/>
          <w:bCs/>
          <w:color w:val="auto"/>
          <w:spacing w:val="11"/>
          <w:highlight w:val="none"/>
        </w:rPr>
      </w:pPr>
    </w:p>
    <w:p w14:paraId="61B5B244">
      <w:pPr>
        <w:jc w:val="center"/>
        <w:outlineLvl w:val="1"/>
        <w:rPr>
          <w:rFonts w:hint="eastAsia" w:ascii="宋体" w:hAnsi="宋体" w:eastAsia="宋体" w:cs="宋体"/>
          <w:color w:val="auto"/>
          <w:highlight w:val="none"/>
        </w:rPr>
      </w:pPr>
      <w:bookmarkStart w:id="157" w:name="_Toc18711"/>
      <w:r>
        <w:rPr>
          <w:rFonts w:hint="eastAsia" w:ascii="宋体" w:hAnsi="宋体" w:eastAsia="宋体" w:cs="宋体"/>
          <w:color w:val="auto"/>
          <w:highlight w:val="none"/>
        </w:rPr>
        <w:br w:type="page"/>
      </w:r>
    </w:p>
    <w:p w14:paraId="6C7D3DF0">
      <w:pPr>
        <w:pStyle w:val="2"/>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第一部分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合同协议书</w:t>
      </w:r>
      <w:bookmarkEnd w:id="157"/>
    </w:p>
    <w:p w14:paraId="76EA281B">
      <w:pPr>
        <w:widowControl w:val="0"/>
        <w:kinsoku/>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桂林市漓江美谷医美产业技术研发有限责任公司</w:t>
      </w:r>
    </w:p>
    <w:p w14:paraId="215C8968">
      <w:pPr>
        <w:widowControl w:val="0"/>
        <w:kinsoku/>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w:t>
      </w:r>
    </w:p>
    <w:p w14:paraId="3A47850A">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根据《中华人民共和国民法典》、《中华人民共和国建筑法》及有关法律规定，</w:t>
      </w:r>
      <w:r>
        <w:rPr>
          <w:rFonts w:hint="eastAsia" w:ascii="宋体" w:hAnsi="宋体" w:eastAsia="宋体" w:cs="宋体"/>
          <w:color w:val="auto"/>
          <w:highlight w:val="none"/>
          <w:lang w:eastAsia="zh-CN"/>
        </w:rPr>
        <w:t>按照</w:t>
      </w:r>
      <w:r>
        <w:rPr>
          <w:rFonts w:hint="eastAsia" w:ascii="宋体" w:hAnsi="宋体" w:eastAsia="宋体" w:cs="宋体"/>
          <w:color w:val="auto"/>
          <w:highlight w:val="none"/>
          <w:lang w:val="en-US" w:eastAsia="zh-CN"/>
        </w:rPr>
        <w:t>招标</w:t>
      </w:r>
      <w:r>
        <w:rPr>
          <w:rFonts w:hint="eastAsia" w:ascii="宋体" w:hAnsi="宋体" w:eastAsia="宋体" w:cs="宋体"/>
          <w:color w:val="auto"/>
          <w:szCs w:val="21"/>
          <w:highlight w:val="none"/>
        </w:rPr>
        <w:t>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文件及</w:t>
      </w:r>
      <w:r>
        <w:rPr>
          <w:rFonts w:hint="eastAsia" w:ascii="宋体" w:hAnsi="宋体" w:eastAsia="宋体" w:cs="宋体"/>
          <w:color w:val="auto"/>
          <w:highlight w:val="none"/>
          <w:lang w:val="en-US" w:eastAsia="zh-CN"/>
        </w:rPr>
        <w:t>中标</w:t>
      </w:r>
      <w:r>
        <w:rPr>
          <w:rFonts w:hint="eastAsia" w:ascii="宋体" w:hAnsi="宋体" w:eastAsia="宋体" w:cs="宋体"/>
          <w:color w:val="auto"/>
          <w:sz w:val="21"/>
          <w:szCs w:val="21"/>
          <w:highlight w:val="none"/>
          <w:lang w:val="en-US" w:eastAsia="zh-CN"/>
        </w:rPr>
        <w:t>通知书的内容，</w:t>
      </w:r>
      <w:r>
        <w:rPr>
          <w:rFonts w:hint="eastAsia" w:ascii="宋体" w:hAnsi="宋体" w:eastAsia="宋体" w:cs="宋体"/>
          <w:color w:val="auto"/>
          <w:highlight w:val="none"/>
        </w:rPr>
        <w:t>双方就</w:t>
      </w:r>
      <w:r>
        <w:rPr>
          <w:rFonts w:hint="eastAsia" w:ascii="宋体" w:hAnsi="宋体" w:eastAsia="宋体" w:cs="宋体"/>
          <w:color w:val="auto"/>
          <w:highlight w:val="none"/>
          <w:u w:val="single"/>
          <w:lang w:eastAsia="zh-CN"/>
        </w:rPr>
        <w:t>叠彩区江东片区城市设计方案编制项目</w:t>
      </w:r>
      <w:r>
        <w:rPr>
          <w:rFonts w:hint="eastAsia" w:ascii="宋体" w:hAnsi="宋体" w:eastAsia="宋体" w:cs="宋体"/>
          <w:color w:val="auto"/>
          <w:highlight w:val="none"/>
        </w:rPr>
        <w:t>及有关事项协商一致，共同达成如下协议：</w:t>
      </w:r>
      <w:bookmarkStart w:id="158" w:name="_Toc351203481"/>
    </w:p>
    <w:p w14:paraId="6E915D8F">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b/>
          <w:bCs/>
          <w:color w:val="auto"/>
          <w:highlight w:val="none"/>
        </w:rPr>
        <w:t>工程概况</w:t>
      </w:r>
    </w:p>
    <w:p w14:paraId="79D5267D">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11.工程名称：</w:t>
      </w:r>
      <w:r>
        <w:rPr>
          <w:rFonts w:hint="eastAsia" w:ascii="宋体" w:hAnsi="宋体" w:eastAsia="宋体" w:cs="宋体"/>
          <w:color w:val="auto"/>
          <w:highlight w:val="none"/>
          <w:u w:val="single"/>
          <w:lang w:eastAsia="zh-CN"/>
        </w:rPr>
        <w:t>叠彩区江东片区城市设计方案编制项目</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58813FCE">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2.工程地点：</w:t>
      </w:r>
      <w:r>
        <w:rPr>
          <w:rFonts w:hint="eastAsia" w:ascii="宋体" w:hAnsi="宋体" w:eastAsia="宋体" w:cs="宋体"/>
          <w:color w:val="auto"/>
          <w:spacing w:val="-4"/>
          <w:sz w:val="21"/>
          <w:szCs w:val="21"/>
          <w:highlight w:val="none"/>
          <w:u w:val="single" w:color="auto"/>
          <w:lang w:val="en-US" w:eastAsia="zh-CN"/>
        </w:rPr>
        <w:t xml:space="preserve">桂林市叠彩区 </w:t>
      </w:r>
      <w:r>
        <w:rPr>
          <w:rFonts w:hint="eastAsia" w:ascii="宋体" w:hAnsi="宋体" w:eastAsia="宋体" w:cs="宋体"/>
          <w:color w:val="auto"/>
          <w:highlight w:val="none"/>
        </w:rPr>
        <w:t>。</w:t>
      </w:r>
    </w:p>
    <w:p w14:paraId="5440B438">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none"/>
        </w:rPr>
        <w:t>项目范围及规模：</w:t>
      </w:r>
      <w:r>
        <w:rPr>
          <w:rFonts w:hint="eastAsia" w:ascii="宋体" w:hAnsi="宋体" w:eastAsia="宋体" w:cs="宋体"/>
          <w:color w:val="auto"/>
          <w:spacing w:val="-4"/>
          <w:sz w:val="21"/>
          <w:szCs w:val="21"/>
          <w:highlight w:val="none"/>
          <w:u w:val="single" w:color="auto"/>
          <w:lang w:val="en-US" w:eastAsia="zh-CN"/>
        </w:rPr>
        <w:t xml:space="preserve">规划项目用地位于桂林市叠彩区漓江东岸片区，东二环路两侧。控规范围西至漓江东岸绿地，北至站前路过江延长线，南至市人民警察训练学校，东至规划东三环路并以道路红线为界。项目总用地面积约 532公顷。 </w:t>
      </w:r>
    </w:p>
    <w:p w14:paraId="671CFAAF">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二、工程设计范围、阶段与服务内容</w:t>
      </w:r>
    </w:p>
    <w:p w14:paraId="6B3775DD">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1.工程设计服务内容：</w:t>
      </w:r>
      <w:r>
        <w:rPr>
          <w:rFonts w:hint="eastAsia" w:ascii="宋体" w:hAnsi="宋体" w:eastAsia="宋体" w:cs="宋体"/>
          <w:color w:val="auto"/>
          <w:spacing w:val="6"/>
          <w:sz w:val="21"/>
          <w:szCs w:val="21"/>
          <w:highlight w:val="none"/>
          <w:u w:val="none" w:color="auto"/>
          <w:lang w:eastAsia="zh-CN"/>
        </w:rPr>
        <w:t>叠彩区江东片区城市设计方案编制项目，</w:t>
      </w:r>
      <w:r>
        <w:rPr>
          <w:rFonts w:hint="eastAsia" w:ascii="宋体" w:hAnsi="宋体" w:eastAsia="宋体" w:cs="宋体"/>
          <w:color w:val="auto"/>
          <w:spacing w:val="6"/>
          <w:sz w:val="21"/>
          <w:szCs w:val="21"/>
          <w:highlight w:val="none"/>
          <w:u w:val="none" w:color="auto"/>
          <w:lang w:val="en-US" w:eastAsia="zh-CN"/>
        </w:rPr>
        <w:t>包括</w:t>
      </w:r>
      <w:r>
        <w:rPr>
          <w:rFonts w:hint="eastAsia" w:ascii="宋体" w:hAnsi="宋体" w:eastAsia="宋体" w:cs="宋体"/>
          <w:color w:val="auto"/>
          <w:spacing w:val="-4"/>
          <w:sz w:val="21"/>
          <w:szCs w:val="21"/>
          <w:highlight w:val="none"/>
          <w:lang w:eastAsia="zh-CN"/>
        </w:rPr>
        <w:t>城市设计方案编制、城市设计导则编制</w:t>
      </w:r>
      <w:r>
        <w:rPr>
          <w:rFonts w:hint="eastAsia" w:ascii="宋体" w:hAnsi="宋体" w:eastAsia="宋体" w:cs="宋体"/>
          <w:color w:val="auto"/>
          <w:spacing w:val="12"/>
          <w:sz w:val="21"/>
          <w:szCs w:val="21"/>
          <w:highlight w:val="none"/>
          <w:lang w:val="en-US" w:eastAsia="zh-CN"/>
        </w:rPr>
        <w:t>。</w:t>
      </w:r>
    </w:p>
    <w:p w14:paraId="350404A3">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工程设计范围、阶段与服务内容详见专用合同条款附件1。</w:t>
      </w:r>
    </w:p>
    <w:p w14:paraId="4212CD7B">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三、工程设计周期</w:t>
      </w:r>
    </w:p>
    <w:p w14:paraId="1630A10F">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1.计划开始设计日期：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p>
    <w:p w14:paraId="0CFE3818">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2.计划完成设计日期：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p>
    <w:p w14:paraId="5308D9C1">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3.实际日期按照发包人在《开始设计通知》中载明的开始设计日期为准。</w:t>
      </w:r>
    </w:p>
    <w:p w14:paraId="5973B1DA">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4.具体设计周期以专用合同条款及其附件的约定为准。</w:t>
      </w:r>
    </w:p>
    <w:p w14:paraId="416894B2">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四、合同价格形式与签约合同价</w:t>
      </w:r>
    </w:p>
    <w:p w14:paraId="3231795A">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1.合同价格形式：</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固定总价</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73EFF49C">
      <w:pPr>
        <w:widowControl w:val="0"/>
        <w:kinsoku/>
        <w:spacing w:line="360" w:lineRule="auto"/>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2.签约合同价为：人民币（大写</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元）。</w:t>
      </w:r>
    </w:p>
    <w:p w14:paraId="6A9D60C5">
      <w:pPr>
        <w:widowControl w:val="0"/>
        <w:kinsoku/>
        <w:spacing w:line="360" w:lineRule="auto"/>
        <w:ind w:firstLine="422" w:firstLineChars="200"/>
        <w:textAlignment w:val="auto"/>
        <w:rPr>
          <w:rFonts w:hint="eastAsia" w:ascii="宋体" w:hAnsi="宋体" w:eastAsia="宋体" w:cs="宋体"/>
          <w:b/>
          <w:bCs/>
          <w:color w:val="auto"/>
          <w:highlight w:val="none"/>
        </w:rPr>
      </w:pPr>
      <w:bookmarkStart w:id="159" w:name="_Toc351203485"/>
      <w:r>
        <w:rPr>
          <w:rFonts w:hint="eastAsia" w:ascii="宋体" w:hAnsi="宋体" w:eastAsia="宋体" w:cs="宋体"/>
          <w:b/>
          <w:bCs/>
          <w:color w:val="auto"/>
          <w:highlight w:val="none"/>
        </w:rPr>
        <w:t>五、</w:t>
      </w:r>
      <w:bookmarkEnd w:id="159"/>
      <w:r>
        <w:rPr>
          <w:rFonts w:hint="eastAsia" w:ascii="宋体" w:hAnsi="宋体" w:eastAsia="宋体" w:cs="宋体"/>
          <w:b/>
          <w:bCs/>
          <w:color w:val="auto"/>
          <w:highlight w:val="none"/>
        </w:rPr>
        <w:t>发包人代表与设计人项目负责人</w:t>
      </w:r>
    </w:p>
    <w:p w14:paraId="77E9648A">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1.发包人代表：</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4EE96676">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2.设计项目负责人：</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1112DF2B">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六、合同文件构成</w:t>
      </w:r>
    </w:p>
    <w:p w14:paraId="250E8AB7">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1.本协议书与下列文件一起构成合同文件：</w:t>
      </w:r>
    </w:p>
    <w:p w14:paraId="2F596E02">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（1）专用合同条款及其附件；</w:t>
      </w:r>
    </w:p>
    <w:p w14:paraId="1D6F80E9">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（2）通用合同条款；</w:t>
      </w:r>
    </w:p>
    <w:p w14:paraId="1F28F38F">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通知书；</w:t>
      </w:r>
    </w:p>
    <w:p w14:paraId="5D2F65BB">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投标报价表</w:t>
      </w:r>
      <w:r>
        <w:rPr>
          <w:rFonts w:hint="eastAsia" w:ascii="宋体" w:hAnsi="宋体" w:eastAsia="宋体" w:cs="宋体"/>
          <w:color w:val="auto"/>
          <w:highlight w:val="none"/>
        </w:rPr>
        <w:t>；</w:t>
      </w:r>
    </w:p>
    <w:p w14:paraId="636CE674">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w:t>
      </w:r>
    </w:p>
    <w:p w14:paraId="5954EF6D">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）其他合同文件。</w:t>
      </w:r>
    </w:p>
    <w:p w14:paraId="4B97CEE6">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2.上述合同文件互相补充和解释。如果合同文件之间存在矛盾或不一致之处，以上述文件的排列顺序在先者为准。</w:t>
      </w:r>
    </w:p>
    <w:p w14:paraId="018FEC3E">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3.上述各项合同文件包括合同当事人就该项合同文件所作出的补充和修改，属于同一类内容的文件，应以最新签署的为准。</w:t>
      </w:r>
    </w:p>
    <w:p w14:paraId="000A3A29">
      <w:pPr>
        <w:widowControl w:val="0"/>
        <w:kinsoku/>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七、质量标准和要求</w:t>
      </w:r>
    </w:p>
    <w:p w14:paraId="43FD7543">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设计工作质量符合的标准和要求：</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7629A74D">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八、承诺</w:t>
      </w:r>
    </w:p>
    <w:p w14:paraId="3A17A0FE">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1.发包人承诺按照法律规定履行项目审批手续，按照合同约定提供设计依据，并按合同约定的条件、期限和方式支付合同价款。</w:t>
      </w:r>
    </w:p>
    <w:p w14:paraId="3A38C081">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2.设计人承诺按照法律和技术标准规定及合同约定提供工程设计服务。</w:t>
      </w:r>
    </w:p>
    <w:p w14:paraId="6687BD34">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九、词语含义</w:t>
      </w:r>
    </w:p>
    <w:p w14:paraId="69FD2E9B">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本协议书中词语含义与第二部分通用合同条款中赋予的含义相同。</w:t>
      </w:r>
    </w:p>
    <w:p w14:paraId="455B345C">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十、签订地点</w:t>
      </w:r>
    </w:p>
    <w:p w14:paraId="30C08C3A">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本合同在</w:t>
      </w:r>
      <w:r>
        <w:rPr>
          <w:rFonts w:hint="eastAsia" w:ascii="宋体" w:hAnsi="宋体" w:eastAsia="宋体" w:cs="宋体"/>
          <w:color w:val="auto"/>
          <w:highlight w:val="none"/>
          <w:u w:val="single"/>
        </w:rPr>
        <w:t>桂林市</w:t>
      </w:r>
      <w:r>
        <w:rPr>
          <w:rFonts w:hint="eastAsia" w:ascii="宋体" w:hAnsi="宋体" w:eastAsia="宋体" w:cs="宋体"/>
          <w:color w:val="auto"/>
          <w:highlight w:val="none"/>
        </w:rPr>
        <w:t>签订。</w:t>
      </w:r>
    </w:p>
    <w:p w14:paraId="562C96B2">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十一、补充协议</w:t>
      </w:r>
    </w:p>
    <w:p w14:paraId="654796C9">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合同未尽事宜，合同当事人另行签订补充协议，补充协议是合同的组成部分。</w:t>
      </w:r>
    </w:p>
    <w:p w14:paraId="245D5939">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十二、合同生效</w:t>
      </w:r>
    </w:p>
    <w:p w14:paraId="2C46019D">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本合同自</w:t>
      </w:r>
      <w:r>
        <w:rPr>
          <w:rFonts w:hint="eastAsia" w:ascii="宋体" w:hAnsi="宋体" w:eastAsia="宋体" w:cs="宋体"/>
          <w:color w:val="auto"/>
          <w:highlight w:val="none"/>
          <w:u w:val="single"/>
        </w:rPr>
        <w:t>双方签字盖章</w:t>
      </w:r>
      <w:r>
        <w:rPr>
          <w:rFonts w:hint="eastAsia" w:ascii="宋体" w:hAnsi="宋体" w:eastAsia="宋体" w:cs="宋体"/>
          <w:color w:val="auto"/>
          <w:highlight w:val="none"/>
        </w:rPr>
        <w:t>生效。</w:t>
      </w:r>
    </w:p>
    <w:p w14:paraId="0EDD74C3">
      <w:pPr>
        <w:widowControl w:val="0"/>
        <w:kinsoku/>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十三、合同份数</w:t>
      </w:r>
    </w:p>
    <w:p w14:paraId="51ED13B0">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本合同正本一式</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份、副本一式</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份，均具有同等法律效力，发包人执正本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份、副本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份，设计人执正本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份、副本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份。</w:t>
      </w:r>
    </w:p>
    <w:bookmarkEnd w:id="158"/>
    <w:p w14:paraId="1030202B">
      <w:pPr>
        <w:widowControl/>
        <w:kinsoku/>
        <w:spacing w:line="24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发包人：（公章）</w:t>
      </w:r>
      <w:r>
        <w:rPr>
          <w:rFonts w:hint="eastAsia" w:ascii="宋体" w:hAnsi="宋体" w:eastAsia="宋体" w:cs="宋体"/>
          <w:color w:val="auto"/>
          <w:highlight w:val="none"/>
          <w:u w:val="single"/>
        </w:rPr>
        <w:t></w:t>
      </w:r>
      <w:r>
        <w:rPr>
          <w:rFonts w:hint="eastAsia" w:ascii="宋体" w:hAnsi="宋体" w:eastAsia="宋体" w:cs="宋体"/>
          <w:color w:val="auto"/>
          <w:highlight w:val="none"/>
        </w:rPr>
        <w:t>设计人：（公章）</w:t>
      </w:r>
      <w:r>
        <w:rPr>
          <w:rFonts w:hint="eastAsia" w:ascii="宋体" w:hAnsi="宋体" w:eastAsia="宋体" w:cs="宋体"/>
          <w:color w:val="auto"/>
          <w:highlight w:val="none"/>
          <w:u w:val="single"/>
        </w:rPr>
        <w:t></w:t>
      </w:r>
    </w:p>
    <w:p w14:paraId="1305E2C2">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w:t>
      </w: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w:t>
      </w:r>
    </w:p>
    <w:p w14:paraId="212C0703">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（签字）</w:t>
      </w:r>
      <w:r>
        <w:rPr>
          <w:rFonts w:hint="eastAsia" w:ascii="宋体" w:hAnsi="宋体" w:eastAsia="宋体" w:cs="宋体"/>
          <w:color w:val="auto"/>
          <w:highlight w:val="none"/>
          <w:u w:val="single"/>
        </w:rPr>
        <w:t></w:t>
      </w:r>
      <w:r>
        <w:rPr>
          <w:rFonts w:hint="eastAsia" w:ascii="宋体" w:hAnsi="宋体" w:eastAsia="宋体" w:cs="宋体"/>
          <w:color w:val="auto"/>
          <w:highlight w:val="none"/>
        </w:rPr>
        <w:t>（签字）</w:t>
      </w:r>
      <w:r>
        <w:rPr>
          <w:rFonts w:hint="eastAsia" w:ascii="宋体" w:hAnsi="宋体" w:eastAsia="宋体" w:cs="宋体"/>
          <w:color w:val="auto"/>
          <w:highlight w:val="none"/>
          <w:u w:val="single"/>
        </w:rPr>
        <w:t></w:t>
      </w:r>
    </w:p>
    <w:p w14:paraId="40E7C1C0">
      <w:pPr>
        <w:widowControl w:val="0"/>
        <w:kinsoku/>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社会信用代码</w:t>
      </w:r>
      <w:r>
        <w:rPr>
          <w:rFonts w:hint="eastAsia" w:ascii="宋体" w:hAnsi="宋体" w:eastAsia="宋体" w:cs="宋体"/>
          <w:color w:val="auto"/>
          <w:highlight w:val="none"/>
          <w:u w:val="single"/>
        </w:rPr>
        <w:t></w:t>
      </w:r>
      <w:r>
        <w:rPr>
          <w:rFonts w:hint="eastAsia" w:ascii="宋体" w:hAnsi="宋体" w:eastAsia="宋体" w:cs="宋体"/>
          <w:color w:val="auto"/>
          <w:highlight w:val="none"/>
        </w:rPr>
        <w:t>社会信用代码：</w:t>
      </w:r>
      <w:r>
        <w:rPr>
          <w:rFonts w:hint="eastAsia" w:ascii="宋体" w:hAnsi="宋体" w:eastAsia="宋体" w:cs="宋体"/>
          <w:color w:val="auto"/>
          <w:highlight w:val="none"/>
          <w:u w:val="single"/>
        </w:rPr>
        <w:t></w:t>
      </w:r>
    </w:p>
    <w:p w14:paraId="06112724">
      <w:pPr>
        <w:widowControl w:val="0"/>
        <w:kinsoku/>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w:t>
      </w:r>
      <w:r>
        <w:rPr>
          <w:rFonts w:hint="eastAsia" w:ascii="宋体" w:hAnsi="宋体" w:eastAsia="宋体" w:cs="宋体"/>
          <w:color w:val="auto"/>
          <w:highlight w:val="none"/>
        </w:rPr>
        <w:t>地址：</w:t>
      </w:r>
      <w:r>
        <w:rPr>
          <w:rFonts w:hint="eastAsia" w:ascii="宋体" w:hAnsi="宋体" w:eastAsia="宋体" w:cs="宋体"/>
          <w:color w:val="auto"/>
          <w:highlight w:val="none"/>
          <w:u w:val="single"/>
        </w:rPr>
        <w:t></w:t>
      </w:r>
    </w:p>
    <w:p w14:paraId="0DFAA624">
      <w:pPr>
        <w:widowControl w:val="0"/>
        <w:kinsoku/>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w:t>
      </w: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w:t>
      </w:r>
    </w:p>
    <w:p w14:paraId="7EE0EF0F">
      <w:pPr>
        <w:widowControl w:val="0"/>
        <w:kinsoku/>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w:t>
      </w: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w:t>
      </w:r>
    </w:p>
    <w:p w14:paraId="7BD813C0">
      <w:pPr>
        <w:widowControl w:val="0"/>
        <w:kinsoku/>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w:t>
      </w: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w:t>
      </w:r>
    </w:p>
    <w:p w14:paraId="02C0C1F8">
      <w:pPr>
        <w:widowControl w:val="0"/>
        <w:kinsoku/>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w:t>
      </w:r>
    </w:p>
    <w:p w14:paraId="7EE42C59">
      <w:pPr>
        <w:widowControl w:val="0"/>
        <w:kinsoku/>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w:t>
      </w:r>
      <w:r>
        <w:rPr>
          <w:rFonts w:hint="eastAsia" w:ascii="宋体" w:hAnsi="宋体" w:eastAsia="宋体" w:cs="宋体"/>
          <w:color w:val="auto"/>
          <w:highlight w:val="none"/>
        </w:rPr>
        <w:t>传真：</w:t>
      </w:r>
      <w:r>
        <w:rPr>
          <w:rFonts w:hint="eastAsia" w:ascii="宋体" w:hAnsi="宋体" w:eastAsia="宋体" w:cs="宋体"/>
          <w:color w:val="auto"/>
          <w:highlight w:val="none"/>
          <w:u w:val="single"/>
        </w:rPr>
        <w:t></w:t>
      </w:r>
    </w:p>
    <w:p w14:paraId="01B7DBF8">
      <w:pPr>
        <w:widowControl w:val="0"/>
        <w:kinsoku/>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w:t>
      </w: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w:t>
      </w:r>
    </w:p>
    <w:p w14:paraId="02CCB997">
      <w:pPr>
        <w:widowControl w:val="0"/>
        <w:kinsoku/>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w:t>
      </w: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w:t>
      </w:r>
    </w:p>
    <w:p w14:paraId="5D6E58B6">
      <w:pPr>
        <w:widowControl w:val="0"/>
        <w:kinsoku/>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开户账号：</w:t>
      </w:r>
      <w:r>
        <w:rPr>
          <w:rFonts w:hint="eastAsia" w:ascii="宋体" w:hAnsi="宋体" w:eastAsia="宋体" w:cs="宋体"/>
          <w:color w:val="auto"/>
          <w:highlight w:val="none"/>
          <w:u w:val="single"/>
        </w:rPr>
        <w:t></w:t>
      </w:r>
      <w:r>
        <w:rPr>
          <w:rFonts w:hint="eastAsia" w:ascii="宋体" w:hAnsi="宋体" w:eastAsia="宋体" w:cs="宋体"/>
          <w:color w:val="auto"/>
          <w:highlight w:val="none"/>
        </w:rPr>
        <w:t>开户账号：</w:t>
      </w:r>
      <w:r>
        <w:rPr>
          <w:rFonts w:hint="eastAsia" w:ascii="宋体" w:hAnsi="宋体" w:eastAsia="宋体" w:cs="宋体"/>
          <w:color w:val="auto"/>
          <w:highlight w:val="none"/>
          <w:u w:val="single"/>
        </w:rPr>
        <w:t></w:t>
      </w:r>
    </w:p>
    <w:p w14:paraId="56A2429A">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r>
        <w:rPr>
          <w:rFonts w:hint="eastAsia" w:ascii="宋体" w:hAnsi="宋体" w:eastAsia="宋体" w:cs="宋体"/>
          <w:color w:val="auto"/>
          <w:highlight w:val="none"/>
          <w:u w:val="none"/>
        </w:rPr>
        <w:t></w:t>
      </w:r>
      <w:r>
        <w:rPr>
          <w:rFonts w:hint="eastAsia" w:ascii="宋体" w:hAnsi="宋体" w:eastAsia="宋体" w:cs="宋体"/>
          <w:color w:val="auto"/>
          <w:highlight w:val="none"/>
        </w:rPr>
        <w:t>签订时间：</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p>
    <w:p w14:paraId="6D7913FE">
      <w:pPr>
        <w:pStyle w:val="2"/>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0" w:name="_Toc5014"/>
      <w:bookmarkStart w:id="161" w:name="_Toc5885"/>
      <w:bookmarkStart w:id="162" w:name="_Toc19799"/>
      <w:bookmarkStart w:id="163" w:name="_Toc389065256"/>
      <w:bookmarkStart w:id="164" w:name="_Toc7322"/>
      <w:bookmarkStart w:id="165" w:name="_Toc373227691"/>
      <w:bookmarkStart w:id="166" w:name="_Toc373478338"/>
      <w:bookmarkStart w:id="167" w:name="_Toc351203632"/>
      <w:r>
        <w:rPr>
          <w:rFonts w:hint="eastAsia" w:ascii="宋体" w:hAnsi="宋体" w:eastAsia="宋体" w:cs="宋体"/>
          <w:color w:val="auto"/>
          <w:highlight w:val="none"/>
        </w:rPr>
        <w:t>第二部分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通用合同条款</w:t>
      </w:r>
      <w:bookmarkEnd w:id="160"/>
      <w:bookmarkEnd w:id="161"/>
      <w:bookmarkEnd w:id="162"/>
      <w:bookmarkEnd w:id="163"/>
      <w:bookmarkEnd w:id="164"/>
    </w:p>
    <w:p w14:paraId="3C414355">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bookmarkStart w:id="168" w:name="_Toc351203495"/>
      <w:bookmarkStart w:id="169" w:name="_Toc337558727"/>
      <w:r>
        <w:rPr>
          <w:rFonts w:hint="eastAsia" w:ascii="宋体" w:hAnsi="宋体" w:eastAsia="宋体" w:cs="宋体"/>
          <w:b w:val="0"/>
          <w:color w:val="auto"/>
          <w:sz w:val="21"/>
          <w:szCs w:val="21"/>
          <w:highlight w:val="none"/>
        </w:rPr>
        <w:t>1.</w:t>
      </w:r>
      <w:bookmarkStart w:id="170" w:name="_Toc303538973"/>
      <w:bookmarkEnd w:id="170"/>
      <w:bookmarkStart w:id="171" w:name="_Toc303538976"/>
      <w:bookmarkEnd w:id="171"/>
      <w:bookmarkStart w:id="172" w:name="_Toc303538972"/>
      <w:bookmarkEnd w:id="172"/>
      <w:bookmarkStart w:id="173" w:name="_Toc303538975"/>
      <w:bookmarkEnd w:id="173"/>
      <w:bookmarkStart w:id="174" w:name="_Toc303538974"/>
      <w:bookmarkEnd w:id="174"/>
      <w:bookmarkStart w:id="175" w:name="_Toc296346528"/>
      <w:bookmarkStart w:id="176" w:name="_Toc296503027"/>
      <w:r>
        <w:rPr>
          <w:rFonts w:hint="eastAsia" w:ascii="宋体" w:hAnsi="宋体" w:eastAsia="宋体" w:cs="宋体"/>
          <w:b w:val="0"/>
          <w:color w:val="auto"/>
          <w:sz w:val="21"/>
          <w:szCs w:val="21"/>
          <w:highlight w:val="none"/>
        </w:rPr>
        <w:t xml:space="preserve"> 一般约定</w:t>
      </w:r>
      <w:bookmarkEnd w:id="168"/>
      <w:bookmarkEnd w:id="169"/>
      <w:bookmarkEnd w:id="175"/>
      <w:bookmarkEnd w:id="176"/>
    </w:p>
    <w:p w14:paraId="48688C3B">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177" w:name="_Toc296346529"/>
      <w:bookmarkStart w:id="178" w:name="_Toc296503028"/>
      <w:bookmarkStart w:id="179" w:name="_Toc337558728"/>
      <w:bookmarkStart w:id="180" w:name="_Toc351203496"/>
      <w:r>
        <w:rPr>
          <w:rFonts w:hint="eastAsia" w:ascii="宋体" w:hAnsi="宋体" w:eastAsia="宋体" w:cs="宋体"/>
          <w:b w:val="0"/>
          <w:color w:val="auto"/>
          <w:sz w:val="21"/>
          <w:szCs w:val="21"/>
          <w:highlight w:val="none"/>
        </w:rPr>
        <w:t>1.1 词语定义</w:t>
      </w:r>
      <w:bookmarkEnd w:id="177"/>
      <w:bookmarkEnd w:id="178"/>
      <w:bookmarkEnd w:id="179"/>
      <w:r>
        <w:rPr>
          <w:rFonts w:hint="eastAsia" w:ascii="宋体" w:hAnsi="宋体" w:eastAsia="宋体" w:cs="宋体"/>
          <w:b w:val="0"/>
          <w:color w:val="auto"/>
          <w:sz w:val="21"/>
          <w:szCs w:val="21"/>
          <w:highlight w:val="none"/>
        </w:rPr>
        <w:t>与解释</w:t>
      </w:r>
      <w:bookmarkEnd w:id="180"/>
    </w:p>
    <w:p w14:paraId="0849C4C0">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合同协议书、通用合同条款、专用合同条款中的下列词语具有本款所赋予的含义：</w:t>
      </w:r>
    </w:p>
    <w:p w14:paraId="39F55F6E">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合同</w:t>
      </w:r>
    </w:p>
    <w:p w14:paraId="780B5906">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合同：是指根据法律规定和合同当事人约定具有约束力的文件，构成合同的文件包括合同协议书、专用合同条款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、通用合同条款、中标通知书（如果有）、投标函及其附录（如果有）、发包人要求、技术标准、发包人提供的上一阶段图纸（如果有）以及其他合同文件。</w:t>
      </w:r>
    </w:p>
    <w:p w14:paraId="7AB3561C">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合同协议书：是指构成合同的由发包人和设计人共同签署的称为“合同协议书”的书面文件。</w:t>
      </w:r>
    </w:p>
    <w:p w14:paraId="2DADE13C">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中标通知书：是指构成合同的由发包人通知设计人中标的书面文件。</w:t>
      </w:r>
    </w:p>
    <w:p w14:paraId="3845D0FF">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投标函：是指构成合同的由设计人填写并签署的用于投标的称为“投标函”的文件。</w:t>
      </w:r>
    </w:p>
    <w:p w14:paraId="55BAAAFF">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1.1.1.5 投标函附录：是指构成合同的附在投标函后的称为“投标函附录”的文件。</w:t>
      </w:r>
    </w:p>
    <w:p w14:paraId="6BF78F5D">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1.1.1.6 发包人要求：</w:t>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指构成合同文件组成部分的，由发包人就工程项目的目的、范围、功能要求及工程设计文件审查的范围和内容等提出相应要求的书面文件，又称设计任务书。</w:t>
      </w:r>
    </w:p>
    <w:p w14:paraId="2A50DCCA">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1.1.1.7 技术标准：是指构成合同的设计应当遵守的或指导设计的国家、行业或地方的技术标准和要求，以及合同约定的技术标准和要求。</w:t>
      </w:r>
    </w:p>
    <w:p w14:paraId="52848F24">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1.1.1.8 其他合同文件：是指经合同当事人约定的与工程设计有关的具有合同约束力的文件或书面协议。合同当事人可以在专用合同条款中进行约定。</w:t>
      </w:r>
    </w:p>
    <w:p w14:paraId="55411227">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合同当事人及其他相关方</w:t>
      </w:r>
    </w:p>
    <w:p w14:paraId="5E679CF8">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1.1.2.1 合同当事人：是指发包人和（或）设计人。</w:t>
      </w:r>
    </w:p>
    <w:p w14:paraId="3654C446">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1.1.2.2 发包人：是指与设计人签订合同协议书的当事人及取得该当事人资格的合法继承人。</w:t>
      </w:r>
    </w:p>
    <w:p w14:paraId="1163A3DF">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1.1.2.3 设计人：是指与发包人签订合同协议书的，具有相应工程设计资质的当事人及取得该当事人资格的合法继承人。</w:t>
      </w:r>
    </w:p>
    <w:p w14:paraId="5576A1E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分包人：</w:t>
      </w:r>
      <w:bookmarkStart w:id="181" w:name="#go5"/>
      <w:bookmarkEnd w:id="181"/>
      <w:r>
        <w:rPr>
          <w:rFonts w:hint="eastAsia" w:ascii="宋体" w:hAnsi="宋体" w:eastAsia="宋体" w:cs="宋体"/>
          <w:color w:val="auto"/>
          <w:kern w:val="0"/>
          <w:sz w:val="21"/>
          <w:szCs w:val="21"/>
          <w:highlight w:val="none"/>
        </w:rPr>
        <w:t>是指按照法律规定和合同约定，分包部分工程设计工作，并与设计人签订分包合同的具有相应资质的法人。</w:t>
      </w:r>
    </w:p>
    <w:p w14:paraId="2D3B4C06">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发包人代表：是指由发包人指定负责工程设计方面在发包人授权范围内行使发包人权利的人。</w:t>
      </w:r>
    </w:p>
    <w:p w14:paraId="7DDBBE6E">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1.1.2.6 项目负责人：是指由设计人任命负责工程设计，在设计人授权范围内负责合同履行，且按照法律规定具有相应资格的项目主持人。</w:t>
      </w:r>
    </w:p>
    <w:p w14:paraId="339216D6">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1.1.2.7 联合体：是指两个以上设计人联合，以一个设计人身份为发包人提供工程设计服务的临时性组织。</w:t>
      </w:r>
    </w:p>
    <w:p w14:paraId="070B0141">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工程设计服务、资料与文件</w:t>
      </w:r>
    </w:p>
    <w:p w14:paraId="2FA367D6">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工程设计服务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是指设计人按照合同约定履行的服务，包括工程设计基本服务、工程设计其他服务。</w:t>
      </w:r>
    </w:p>
    <w:p w14:paraId="5A02E040">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工程设计基本服务：是指设计人根据发包人的委托，提供编制房屋建筑工程</w:t>
      </w:r>
      <w:r>
        <w:rPr>
          <w:rFonts w:hint="eastAsia" w:ascii="宋体" w:hAnsi="宋体" w:eastAsia="宋体" w:cs="宋体"/>
          <w:color w:val="auto"/>
          <w:kern w:val="0"/>
          <w:sz w:val="21"/>
          <w:szCs w:val="21"/>
          <w:highlight w:val="none"/>
          <w:lang w:eastAsia="zh-CN"/>
        </w:rPr>
        <w:t>方案设计（含估算）</w:t>
      </w:r>
      <w:r>
        <w:rPr>
          <w:rFonts w:hint="eastAsia" w:ascii="宋体" w:hAnsi="宋体" w:eastAsia="宋体" w:cs="宋体"/>
          <w:color w:val="auto"/>
          <w:kern w:val="0"/>
          <w:sz w:val="21"/>
          <w:szCs w:val="21"/>
          <w:highlight w:val="none"/>
        </w:rPr>
        <w:t>文件、初步设计文件（含初步设计概算）、施工图设计文件服务，并相应提供设计技术交底、解决施工中的设计技术问题、参加竣工验收等服务。基本服务费用包含在设计费中。</w:t>
      </w:r>
    </w:p>
    <w:p w14:paraId="37334A4B">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17D8B381">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1.1.3.4 暂停设计：是指发生设计人不能按照合同约定履行全部或部分义务情形而暂时中断工程设计服务的行为。</w:t>
      </w:r>
    </w:p>
    <w:p w14:paraId="05600902">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1.1.3.5 工程设计资料：是指</w:t>
      </w:r>
      <w:r>
        <w:rPr>
          <w:rFonts w:hint="eastAsia" w:ascii="宋体" w:hAnsi="宋体" w:eastAsia="宋体" w:cs="宋体"/>
          <w:color w:val="auto"/>
          <w:sz w:val="21"/>
          <w:szCs w:val="21"/>
          <w:highlight w:val="none"/>
        </w:rPr>
        <w:t>根据合同约定，发包人向设计人提供的用于完成工程设计范围与内容所需要的资料。</w:t>
      </w:r>
    </w:p>
    <w:p w14:paraId="663A62DD">
      <w:pPr>
        <w:pStyle w:val="28"/>
        <w:pageBreakBefore w:val="0"/>
        <w:wordWrap/>
        <w:overflowPunct/>
        <w:topLinePunct w:val="0"/>
        <w:bidi w:val="0"/>
        <w:spacing w:after="0" w:afterLines="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1.1.3.6 </w:t>
      </w:r>
      <w:r>
        <w:rPr>
          <w:rFonts w:hint="eastAsia" w:ascii="宋体" w:hAnsi="宋体" w:eastAsia="宋体" w:cs="宋体"/>
          <w:color w:val="auto"/>
          <w:sz w:val="21"/>
          <w:szCs w:val="21"/>
          <w:highlight w:val="none"/>
        </w:rPr>
        <w:t>工程设计文件：指按照合同约定和技术要求，由设计人向发包人提供的阶段性成果、最终工作成果等，且应当采用合同中双方约定的载体。</w:t>
      </w:r>
    </w:p>
    <w:p w14:paraId="1F4DAED1">
      <w:pPr>
        <w:pStyle w:val="28"/>
        <w:pageBreakBefore w:val="0"/>
        <w:wordWrap/>
        <w:overflowPunct/>
        <w:topLinePunct w:val="0"/>
        <w:bidi w:val="0"/>
        <w:spacing w:after="0" w:afterLines="0" w:line="360"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日期和期限</w:t>
      </w:r>
    </w:p>
    <w:p w14:paraId="6BE111F0">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1.1.4.1 开始设计日期：包括计划开始设计日期和实际开始设计日期。计划开始设计日期是指合同协议书约定的开始设计日期；实际开始设计日期是指发包人发出的开始设计通知中载明的开始设计日期。</w:t>
      </w:r>
    </w:p>
    <w:p w14:paraId="41DB681E">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626C7B9E">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1.1.4.3 设计周期又称设计工期：是指在合同协议书约定的设计人完成工程设计及相关服务所需的期限，包括按照合同约定所作的期限变更。</w:t>
      </w:r>
    </w:p>
    <w:p w14:paraId="4518E6C2">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1.1.4.4 基准日期：招标发包的工程设计以投标截止日前28天的日期为基准日期，直接发包的工程设计以合同签订日前28天的日期为基准日期。</w:t>
      </w:r>
    </w:p>
    <w:p w14:paraId="2925554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1.1.4.5 天：除特别指明外，均指日历天。合同中按天计算时间的，开始当天不计入，从次日开始计算，期限最后一天的截止时间为当天24:00时。</w:t>
      </w:r>
    </w:p>
    <w:p w14:paraId="312F375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 合同价格</w:t>
      </w:r>
    </w:p>
    <w:p w14:paraId="7DC19939">
      <w:pPr>
        <w:pageBreakBefore w:val="0"/>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1.1.5.1 签约合同价：是指</w:t>
      </w:r>
      <w:r>
        <w:rPr>
          <w:rFonts w:hint="eastAsia" w:ascii="宋体" w:hAnsi="宋体" w:eastAsia="宋体" w:cs="宋体"/>
          <w:color w:val="auto"/>
          <w:sz w:val="21"/>
          <w:szCs w:val="21"/>
          <w:highlight w:val="none"/>
        </w:rPr>
        <w:t>发包人和设计人在合同协议书中确定的总金额。</w:t>
      </w:r>
    </w:p>
    <w:p w14:paraId="464C1BA1">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1.1.5.2 合同价格又称设计费：是指发包人用于支付设计人按照合同约定完成工程设计范围内全部工作的金额，包括合同履行过程中按合同约定发生的价格变化。</w:t>
      </w:r>
    </w:p>
    <w:p w14:paraId="016F2CE3">
      <w:pPr>
        <w:pageBreakBefore w:val="0"/>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76EF7146">
      <w:pPr>
        <w:pageBreakBefore w:val="0"/>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1.1.6.1 书面形式：是指合同书、信件和数据电文（包括电报、电传、传真、电子数据交换和电子邮件）等可以有形地表现所载内容的形式。</w:t>
      </w:r>
    </w:p>
    <w:p w14:paraId="446B4E0D">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182" w:name="_Toc337558729"/>
      <w:bookmarkStart w:id="183" w:name="_Toc296503029"/>
      <w:bookmarkStart w:id="184" w:name="_Toc351203497"/>
      <w:bookmarkStart w:id="185" w:name="_Toc296346530"/>
      <w:r>
        <w:rPr>
          <w:rFonts w:hint="eastAsia" w:ascii="宋体" w:hAnsi="宋体" w:eastAsia="宋体" w:cs="宋体"/>
          <w:b w:val="0"/>
          <w:color w:val="auto"/>
          <w:sz w:val="21"/>
          <w:szCs w:val="21"/>
          <w:highlight w:val="none"/>
        </w:rPr>
        <w:t>1.2</w:t>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语言文字</w:t>
      </w:r>
      <w:bookmarkEnd w:id="182"/>
      <w:bookmarkEnd w:id="183"/>
      <w:bookmarkEnd w:id="184"/>
      <w:bookmarkEnd w:id="185"/>
    </w:p>
    <w:p w14:paraId="75A326DD">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合同以中国的汉语简体文字编写、解释和说明。合同当事人在专用合同条款中约定使用两种以上语言时，汉语为优先解释和说明合同的语言。</w:t>
      </w:r>
    </w:p>
    <w:p w14:paraId="7C6A569F">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186" w:name="_Toc337558730"/>
      <w:bookmarkStart w:id="187" w:name="_Toc296346531"/>
      <w:bookmarkStart w:id="188" w:name="_Toc351203498"/>
      <w:bookmarkStart w:id="189" w:name="_Toc296503030"/>
      <w:r>
        <w:rPr>
          <w:rFonts w:hint="eastAsia" w:ascii="宋体" w:hAnsi="宋体" w:eastAsia="宋体" w:cs="宋体"/>
          <w:b w:val="0"/>
          <w:color w:val="auto"/>
          <w:sz w:val="21"/>
          <w:szCs w:val="21"/>
          <w:highlight w:val="none"/>
        </w:rPr>
        <w:t>1.3</w:t>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法律</w:t>
      </w:r>
      <w:bookmarkEnd w:id="186"/>
      <w:bookmarkEnd w:id="187"/>
      <w:bookmarkEnd w:id="188"/>
      <w:bookmarkEnd w:id="189"/>
    </w:p>
    <w:p w14:paraId="3B3F3929">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合同所称法律是指中华人民共和国法律、行政法规、部门规章，以及工程所在地的地方性法规、自治条例、单行条例和地方政府规章等。</w:t>
      </w:r>
    </w:p>
    <w:p w14:paraId="339AE681">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合同当事人可以在专用合同条款中约定合同适用的其他规范性文件。</w:t>
      </w:r>
    </w:p>
    <w:p w14:paraId="7394095F">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190" w:name="_Toc351203499"/>
      <w:r>
        <w:rPr>
          <w:rFonts w:hint="eastAsia" w:ascii="宋体" w:hAnsi="宋体" w:eastAsia="宋体" w:cs="宋体"/>
          <w:b w:val="0"/>
          <w:color w:val="auto"/>
          <w:sz w:val="21"/>
          <w:szCs w:val="21"/>
          <w:highlight w:val="none"/>
        </w:rPr>
        <w:t>1.4 技术标准</w:t>
      </w:r>
      <w:bookmarkEnd w:id="190"/>
    </w:p>
    <w:p w14:paraId="7472CDA7">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适用于工程的现行有效的国家标准、行业标准、工程所在地的地方性标准，以及相应的规范、规程等，合同当事人有特别要求的，应在专用合同条款中约定。</w:t>
      </w:r>
    </w:p>
    <w:p w14:paraId="39272AB0">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发包人要求使用国外技术标准的，发包人与设计人在专用合同条款中约定原文版本和中文译本提供方及提供标准的名称、份数、时间及费用承担等事项。</w:t>
      </w:r>
    </w:p>
    <w:p w14:paraId="5ACC59D8">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5A88E7AE">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191" w:name="_Toc351203500"/>
      <w:r>
        <w:rPr>
          <w:rFonts w:hint="eastAsia" w:ascii="宋体" w:hAnsi="宋体" w:eastAsia="宋体" w:cs="宋体"/>
          <w:b w:val="0"/>
          <w:color w:val="auto"/>
          <w:sz w:val="21"/>
          <w:szCs w:val="21"/>
          <w:highlight w:val="none"/>
        </w:rPr>
        <w:t>1</w:t>
      </w:r>
      <w:bookmarkStart w:id="192" w:name="_Toc296503031"/>
      <w:bookmarkStart w:id="193" w:name="_Toc296346532"/>
      <w:bookmarkStart w:id="194" w:name="_Toc337558731"/>
      <w:r>
        <w:rPr>
          <w:rFonts w:hint="eastAsia" w:ascii="宋体" w:hAnsi="宋体" w:eastAsia="宋体" w:cs="宋体"/>
          <w:b w:val="0"/>
          <w:color w:val="auto"/>
          <w:sz w:val="21"/>
          <w:szCs w:val="21"/>
          <w:highlight w:val="none"/>
        </w:rPr>
        <w:t>.5 合同文件的优先顺序</w:t>
      </w:r>
      <w:bookmarkEnd w:id="191"/>
    </w:p>
    <w:bookmarkEnd w:id="192"/>
    <w:bookmarkEnd w:id="193"/>
    <w:bookmarkEnd w:id="194"/>
    <w:p w14:paraId="531F62D1">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组成合同的各项文件应互相解释，互为说明。除专用合同条款另有约定外，解释合同文件的优先顺序如下：</w:t>
      </w:r>
    </w:p>
    <w:p w14:paraId="31CF577B">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14:paraId="1C18A433">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 xml:space="preserve">； </w:t>
      </w:r>
    </w:p>
    <w:p w14:paraId="2D615F77">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（3）通用合同条款； </w:t>
      </w:r>
    </w:p>
    <w:p w14:paraId="7F709035">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（4）中标通知书（如果有）；</w:t>
      </w:r>
    </w:p>
    <w:p w14:paraId="4BD75772">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（5）投标函及其附录（如果有）；</w:t>
      </w:r>
    </w:p>
    <w:p w14:paraId="5AE0C679">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（6）发包人要求；</w:t>
      </w:r>
    </w:p>
    <w:p w14:paraId="07A42C27">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（7）技术标准；</w:t>
      </w:r>
    </w:p>
    <w:p w14:paraId="78FF8134">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（8）发包人提供的上一阶段图纸（如果有）；</w:t>
      </w:r>
    </w:p>
    <w:p w14:paraId="7A9835A5">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（9）其他合同文件。</w:t>
      </w:r>
    </w:p>
    <w:p w14:paraId="1DACE935">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w:t>
      </w:r>
    </w:p>
    <w:p w14:paraId="21D55C0F">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在合同履行过程中形成的与合同有关的文件均构成合同文件组成部分，并根据其性质确定优先解释顺序。</w:t>
      </w:r>
    </w:p>
    <w:p w14:paraId="3C1F6C13">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195" w:name="_Toc351203502"/>
      <w:r>
        <w:rPr>
          <w:rFonts w:hint="eastAsia" w:ascii="宋体" w:hAnsi="宋体" w:eastAsia="宋体" w:cs="宋体"/>
          <w:b w:val="0"/>
          <w:color w:val="auto"/>
          <w:sz w:val="21"/>
          <w:szCs w:val="21"/>
          <w:highlight w:val="none"/>
        </w:rPr>
        <w:t>1</w:t>
      </w:r>
      <w:bookmarkStart w:id="196" w:name="_Toc296503033"/>
      <w:bookmarkStart w:id="197" w:name="_Toc296346534"/>
      <w:bookmarkStart w:id="198" w:name="_Toc337558733"/>
      <w:r>
        <w:rPr>
          <w:rFonts w:hint="eastAsia" w:ascii="宋体" w:hAnsi="宋体" w:eastAsia="宋体" w:cs="宋体"/>
          <w:b w:val="0"/>
          <w:color w:val="auto"/>
          <w:sz w:val="21"/>
          <w:szCs w:val="21"/>
          <w:highlight w:val="none"/>
        </w:rPr>
        <w:t>.6 联络</w:t>
      </w:r>
      <w:bookmarkEnd w:id="195"/>
    </w:p>
    <w:bookmarkEnd w:id="196"/>
    <w:bookmarkEnd w:id="197"/>
    <w:bookmarkEnd w:id="198"/>
    <w:p w14:paraId="1D2AF0DF">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与合同有关的通知、批准、证明、证书、指示、指令、要求、请求、同意、确定和决定等，均应采用书面形式，并应在合同约定的期限内送达接收人和送达地点。</w:t>
      </w:r>
    </w:p>
    <w:p w14:paraId="1944ACB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7C7717CD">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 发包人和设计人应当及时签收另一方送达至送达地点和指定接收人的来往信函，如确有充分证据证明一方无正当理由拒不签收的，视为拒绝签收一方认可往来信函的内容。</w:t>
      </w:r>
    </w:p>
    <w:p w14:paraId="6F282C2F">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199" w:name="_Toc351203503"/>
      <w:r>
        <w:rPr>
          <w:rFonts w:hint="eastAsia" w:ascii="宋体" w:hAnsi="宋体" w:eastAsia="宋体" w:cs="宋体"/>
          <w:b w:val="0"/>
          <w:color w:val="auto"/>
          <w:sz w:val="21"/>
          <w:szCs w:val="21"/>
          <w:highlight w:val="none"/>
        </w:rPr>
        <w:t>1</w:t>
      </w:r>
      <w:bookmarkStart w:id="200" w:name="_Toc296503035"/>
      <w:bookmarkStart w:id="201" w:name="_Toc337558734"/>
      <w:bookmarkStart w:id="202" w:name="_Toc296346536"/>
      <w:r>
        <w:rPr>
          <w:rFonts w:hint="eastAsia" w:ascii="宋体" w:hAnsi="宋体" w:eastAsia="宋体" w:cs="宋体"/>
          <w:b w:val="0"/>
          <w:color w:val="auto"/>
          <w:sz w:val="21"/>
          <w:szCs w:val="21"/>
          <w:highlight w:val="none"/>
        </w:rPr>
        <w:t>.7 严禁贿赂</w:t>
      </w:r>
      <w:bookmarkEnd w:id="199"/>
    </w:p>
    <w:bookmarkEnd w:id="200"/>
    <w:bookmarkEnd w:id="201"/>
    <w:bookmarkEnd w:id="202"/>
    <w:p w14:paraId="2802C658">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合同当事人不得以贿赂或变相贿赂的方式，谋取非法利益或损害对方权益。因一方合同当事人的贿赂造成对方损失的，应赔偿损失，</w:t>
      </w:r>
      <w:r>
        <w:rPr>
          <w:rFonts w:hint="eastAsia" w:ascii="宋体" w:hAnsi="宋体" w:eastAsia="宋体" w:cs="宋体"/>
          <w:color w:val="auto"/>
          <w:kern w:val="0"/>
          <w:sz w:val="21"/>
          <w:szCs w:val="21"/>
          <w:highlight w:val="none"/>
          <w:lang w:eastAsia="zh-CN"/>
        </w:rPr>
        <w:t>并</w:t>
      </w:r>
      <w:r>
        <w:rPr>
          <w:rFonts w:hint="eastAsia" w:ascii="宋体" w:hAnsi="宋体" w:eastAsia="宋体" w:cs="宋体"/>
          <w:color w:val="auto"/>
          <w:kern w:val="0"/>
          <w:sz w:val="21"/>
          <w:szCs w:val="21"/>
          <w:highlight w:val="none"/>
        </w:rPr>
        <w:t>承担相应的法律责任。</w:t>
      </w:r>
    </w:p>
    <w:p w14:paraId="641CBF8F">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bookmarkStart w:id="203" w:name="_Toc337558738"/>
      <w:r>
        <w:rPr>
          <w:rFonts w:hint="eastAsia" w:ascii="宋体" w:hAnsi="宋体" w:eastAsia="宋体" w:cs="宋体"/>
          <w:b w:val="0"/>
          <w:color w:val="auto"/>
          <w:sz w:val="21"/>
          <w:szCs w:val="21"/>
          <w:highlight w:val="none"/>
        </w:rPr>
        <w:t>.8 保密</w:t>
      </w:r>
    </w:p>
    <w:bookmarkEnd w:id="203"/>
    <w:p w14:paraId="3EB80244">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除法律规定或合同另有约定外，未经发包人同意，设计人不得将发包人提供的图纸、文件以及声明需要保密的资料信息等商业秘密泄露给第三方。</w:t>
      </w:r>
    </w:p>
    <w:p w14:paraId="2EDC05A9">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除法律规定或合同另有约定外，未经设计人同意，发包人不得将设计人提供的技术文件、技术成果、技术秘密及声明需要保密的资料信息等商业秘密泄露给第三方。</w:t>
      </w:r>
    </w:p>
    <w:p w14:paraId="7B1BB4EA">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保密期限由发包人与设计人在专用合同条款中约定。</w:t>
      </w:r>
    </w:p>
    <w:p w14:paraId="7B8AB89A">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bookmarkStart w:id="204" w:name="_Toc351203509"/>
      <w:r>
        <w:rPr>
          <w:rFonts w:hint="eastAsia" w:ascii="宋体" w:hAnsi="宋体" w:eastAsia="宋体" w:cs="宋体"/>
          <w:b w:val="0"/>
          <w:color w:val="auto"/>
          <w:sz w:val="21"/>
          <w:szCs w:val="21"/>
          <w:highlight w:val="none"/>
        </w:rPr>
        <w:t>2</w:t>
      </w:r>
      <w:bookmarkStart w:id="205" w:name="_Toc337558739"/>
      <w:bookmarkStart w:id="206" w:name="_Toc296346539"/>
      <w:bookmarkStart w:id="207" w:name="_Toc296503038"/>
      <w:bookmarkStart w:id="208" w:name="OLE_LINK1"/>
      <w:bookmarkStart w:id="209" w:name="OLE_LINK2"/>
      <w:r>
        <w:rPr>
          <w:rFonts w:hint="eastAsia" w:ascii="宋体" w:hAnsi="宋体" w:eastAsia="宋体" w:cs="宋体"/>
          <w:b w:val="0"/>
          <w:color w:val="auto"/>
          <w:sz w:val="21"/>
          <w:szCs w:val="21"/>
          <w:highlight w:val="none"/>
        </w:rPr>
        <w:t>. 发包人</w:t>
      </w:r>
      <w:bookmarkEnd w:id="204"/>
    </w:p>
    <w:bookmarkEnd w:id="205"/>
    <w:bookmarkEnd w:id="206"/>
    <w:bookmarkEnd w:id="207"/>
    <w:p w14:paraId="4205584B">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10" w:name="_Toc351203510"/>
      <w:r>
        <w:rPr>
          <w:rFonts w:hint="eastAsia" w:ascii="宋体" w:hAnsi="宋体" w:eastAsia="宋体" w:cs="宋体"/>
          <w:b w:val="0"/>
          <w:color w:val="auto"/>
          <w:sz w:val="21"/>
          <w:szCs w:val="21"/>
          <w:highlight w:val="none"/>
        </w:rPr>
        <w:t>2</w:t>
      </w:r>
      <w:bookmarkStart w:id="211" w:name="_Toc337558740"/>
      <w:bookmarkStart w:id="212" w:name="_Toc296346540"/>
      <w:bookmarkStart w:id="213" w:name="_Toc296503039"/>
      <w:r>
        <w:rPr>
          <w:rFonts w:hint="eastAsia" w:ascii="宋体" w:hAnsi="宋体" w:eastAsia="宋体" w:cs="宋体"/>
          <w:b w:val="0"/>
          <w:color w:val="auto"/>
          <w:sz w:val="21"/>
          <w:szCs w:val="21"/>
          <w:highlight w:val="none"/>
        </w:rPr>
        <w:t xml:space="preserve">.1 </w:t>
      </w:r>
      <w:bookmarkEnd w:id="210"/>
      <w:r>
        <w:rPr>
          <w:rFonts w:hint="eastAsia" w:ascii="宋体" w:hAnsi="宋体" w:eastAsia="宋体" w:cs="宋体"/>
          <w:b w:val="0"/>
          <w:color w:val="auto"/>
          <w:sz w:val="21"/>
          <w:szCs w:val="21"/>
          <w:highlight w:val="none"/>
        </w:rPr>
        <w:t>发包人一般义务</w:t>
      </w:r>
    </w:p>
    <w:p w14:paraId="1EB69200">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 发包人应遵守法律，并办理法律规定由其办理的许可、核准或备案，包括但不限于建设用地规划许可证、建设工程规划许可证、建设工程</w:t>
      </w:r>
      <w:r>
        <w:rPr>
          <w:rFonts w:hint="eastAsia" w:ascii="宋体" w:hAnsi="宋体" w:eastAsia="宋体" w:cs="宋体"/>
          <w:color w:val="auto"/>
          <w:kern w:val="0"/>
          <w:sz w:val="21"/>
          <w:szCs w:val="21"/>
          <w:highlight w:val="none"/>
          <w:lang w:eastAsia="zh-CN"/>
        </w:rPr>
        <w:t>方案设计（含估算）</w:t>
      </w:r>
      <w:r>
        <w:rPr>
          <w:rFonts w:hint="eastAsia" w:ascii="宋体" w:hAnsi="宋体" w:eastAsia="宋体" w:cs="宋体"/>
          <w:color w:val="auto"/>
          <w:kern w:val="0"/>
          <w:sz w:val="21"/>
          <w:szCs w:val="21"/>
          <w:highlight w:val="none"/>
        </w:rPr>
        <w:t>批准、施工图设计审查等许可、核准或备案。</w:t>
      </w:r>
    </w:p>
    <w:p w14:paraId="432417B8">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发包人负责本项目各阶段设计文件向规划设计管理部门的送审报批工作，并负责将报批结果书面通知设计人。</w:t>
      </w:r>
      <w:r>
        <w:rPr>
          <w:rFonts w:hint="eastAsia" w:ascii="宋体" w:hAnsi="宋体" w:eastAsia="宋体" w:cs="宋体"/>
          <w:color w:val="auto"/>
          <w:kern w:val="0"/>
          <w:sz w:val="21"/>
          <w:szCs w:val="21"/>
          <w:highlight w:val="none"/>
        </w:rPr>
        <w:t>因发包人原因未能及时办理完毕前述许可、核准或备案手续，导致设计工作量增加和（或）设计周期延长时，由发包人承担由此增加的设计费用和（或）延长的设计周期。</w:t>
      </w:r>
    </w:p>
    <w:p w14:paraId="004ED7BE">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 发包人应当负责工程设计的所有外部关系（包括但不限于当地政府主管部门等）的协调，为设计人履行合同提供必要的外部条件。</w:t>
      </w:r>
    </w:p>
    <w:p w14:paraId="08E6F07D">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 专用合同条款约定的其他义务。</w:t>
      </w:r>
    </w:p>
    <w:p w14:paraId="3F3C68B7">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14" w:name="_Toc351203511"/>
      <w:r>
        <w:rPr>
          <w:rFonts w:hint="eastAsia" w:ascii="宋体" w:hAnsi="宋体" w:eastAsia="宋体" w:cs="宋体"/>
          <w:b w:val="0"/>
          <w:color w:val="auto"/>
          <w:sz w:val="21"/>
          <w:szCs w:val="21"/>
          <w:highlight w:val="none"/>
        </w:rPr>
        <w:t>2.2 发包人代表</w:t>
      </w:r>
      <w:bookmarkEnd w:id="214"/>
    </w:p>
    <w:p w14:paraId="01CA50EA">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66E66A16">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发包人代表不能按照合同约定履行其职责及义务，并导致合同无法继续正常履行的，设计人可以要求发包人撤换发包人代表。</w:t>
      </w:r>
    </w:p>
    <w:p w14:paraId="1C24DFAB">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 发包人决定</w:t>
      </w:r>
    </w:p>
    <w:p w14:paraId="63266F1A">
      <w:pPr>
        <w:pageBreakBefore w:val="0"/>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2.3.1 </w:t>
      </w:r>
      <w:r>
        <w:rPr>
          <w:rFonts w:hint="eastAsia" w:ascii="宋体" w:hAnsi="宋体" w:eastAsia="宋体" w:cs="宋体"/>
          <w:color w:val="auto"/>
          <w:sz w:val="21"/>
          <w:szCs w:val="21"/>
          <w:highlight w:val="none"/>
        </w:rPr>
        <w:t>发包人在法律允许的范围内有权对设计人的设计工作、设计项目和/或设计文件作出处理决定，设计人应按照发包人的决定执行，涉及设计周期和（或）设计费用等问题按本合同第11条〔工程设计变更与索赔〕的</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定处理。</w:t>
      </w:r>
    </w:p>
    <w:p w14:paraId="67C5DD80">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2.3.2 发包人应在专用合同条款约定的期限内对设计人书面提出的事项作出书面决定，如发包人不在确定时间内作出书面决定，设计人的设计周期相应延长。</w:t>
      </w:r>
    </w:p>
    <w:bookmarkEnd w:id="208"/>
    <w:bookmarkEnd w:id="209"/>
    <w:bookmarkEnd w:id="211"/>
    <w:bookmarkEnd w:id="212"/>
    <w:bookmarkEnd w:id="213"/>
    <w:p w14:paraId="35D488E7">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bookmarkStart w:id="215" w:name="_Toc296346543"/>
      <w:bookmarkStart w:id="216" w:name="_Toc337558745"/>
      <w:bookmarkStart w:id="217" w:name="_Toc296503042"/>
      <w:r>
        <w:rPr>
          <w:rFonts w:hint="eastAsia" w:ascii="宋体" w:hAnsi="宋体" w:eastAsia="宋体" w:cs="宋体"/>
          <w:b w:val="0"/>
          <w:color w:val="auto"/>
          <w:sz w:val="21"/>
          <w:szCs w:val="21"/>
          <w:highlight w:val="none"/>
        </w:rPr>
        <w:t xml:space="preserve">.4 </w:t>
      </w:r>
      <w:bookmarkEnd w:id="215"/>
      <w:bookmarkEnd w:id="216"/>
      <w:bookmarkEnd w:id="217"/>
      <w:bookmarkStart w:id="218" w:name="_Toc351203515"/>
      <w:r>
        <w:rPr>
          <w:rFonts w:hint="eastAsia" w:ascii="宋体" w:hAnsi="宋体" w:eastAsia="宋体" w:cs="宋体"/>
          <w:b w:val="0"/>
          <w:color w:val="auto"/>
          <w:sz w:val="21"/>
          <w:szCs w:val="21"/>
          <w:highlight w:val="none"/>
        </w:rPr>
        <w:t>支付合同价款</w:t>
      </w:r>
      <w:bookmarkEnd w:id="218"/>
    </w:p>
    <w:p w14:paraId="7D8CA301">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发包人应按合同约定向设计人及时足额支付合同价款。</w:t>
      </w:r>
    </w:p>
    <w:p w14:paraId="75C725E4">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19" w:name="_Toc351203516"/>
      <w:r>
        <w:rPr>
          <w:rFonts w:hint="eastAsia" w:ascii="宋体" w:hAnsi="宋体" w:eastAsia="宋体" w:cs="宋体"/>
          <w:b w:val="0"/>
          <w:color w:val="auto"/>
          <w:sz w:val="21"/>
          <w:szCs w:val="21"/>
          <w:highlight w:val="none"/>
        </w:rPr>
        <w:t xml:space="preserve">2.5 </w:t>
      </w:r>
      <w:bookmarkEnd w:id="219"/>
      <w:r>
        <w:rPr>
          <w:rFonts w:hint="eastAsia" w:ascii="宋体" w:hAnsi="宋体" w:eastAsia="宋体" w:cs="宋体"/>
          <w:b w:val="0"/>
          <w:color w:val="auto"/>
          <w:sz w:val="21"/>
          <w:szCs w:val="21"/>
          <w:highlight w:val="none"/>
        </w:rPr>
        <w:t>设计文件接收</w:t>
      </w:r>
    </w:p>
    <w:p w14:paraId="6ECD5D01">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发包人应按合同约定及时接收设计人提交的工程设计文件。</w:t>
      </w:r>
    </w:p>
    <w:p w14:paraId="1F27F439">
      <w:pPr>
        <w:pStyle w:val="5"/>
        <w:keepNext w:val="0"/>
        <w:keepLines w:val="0"/>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bookmarkStart w:id="220" w:name="_Toc351203518"/>
      <w:r>
        <w:rPr>
          <w:rFonts w:hint="eastAsia" w:ascii="宋体" w:hAnsi="宋体" w:eastAsia="宋体" w:cs="宋体"/>
          <w:b w:val="0"/>
          <w:color w:val="auto"/>
          <w:sz w:val="21"/>
          <w:szCs w:val="21"/>
          <w:highlight w:val="none"/>
        </w:rPr>
        <w:t>3</w:t>
      </w:r>
      <w:bookmarkStart w:id="221" w:name="_Toc337558746"/>
      <w:bookmarkStart w:id="222" w:name="_Toc296503045"/>
      <w:bookmarkStart w:id="223" w:name="_Toc296346546"/>
      <w:r>
        <w:rPr>
          <w:rFonts w:hint="eastAsia" w:ascii="宋体" w:hAnsi="宋体" w:eastAsia="宋体" w:cs="宋体"/>
          <w:b w:val="0"/>
          <w:color w:val="auto"/>
          <w:sz w:val="21"/>
          <w:szCs w:val="21"/>
          <w:highlight w:val="none"/>
        </w:rPr>
        <w:t>. 设计人</w:t>
      </w:r>
      <w:bookmarkEnd w:id="220"/>
    </w:p>
    <w:bookmarkEnd w:id="221"/>
    <w:bookmarkEnd w:id="222"/>
    <w:bookmarkEnd w:id="223"/>
    <w:p w14:paraId="2EF6E698">
      <w:pPr>
        <w:pStyle w:val="6"/>
        <w:keepNext w:val="0"/>
        <w:keepLines w:val="0"/>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24" w:name="_Toc351203519"/>
      <w:r>
        <w:rPr>
          <w:rFonts w:hint="eastAsia" w:ascii="宋体" w:hAnsi="宋体" w:eastAsia="宋体" w:cs="宋体"/>
          <w:b w:val="0"/>
          <w:color w:val="auto"/>
          <w:sz w:val="21"/>
          <w:szCs w:val="21"/>
          <w:highlight w:val="none"/>
        </w:rPr>
        <w:t>3</w:t>
      </w:r>
      <w:bookmarkStart w:id="225" w:name="_Toc337558747"/>
      <w:bookmarkStart w:id="226" w:name="_Toc296503046"/>
      <w:bookmarkStart w:id="227" w:name="_Toc296346547"/>
      <w:r>
        <w:rPr>
          <w:rFonts w:hint="eastAsia" w:ascii="宋体" w:hAnsi="宋体" w:eastAsia="宋体" w:cs="宋体"/>
          <w:b w:val="0"/>
          <w:color w:val="auto"/>
          <w:sz w:val="21"/>
          <w:szCs w:val="21"/>
          <w:highlight w:val="none"/>
        </w:rPr>
        <w:t>.1 设计人一般义务</w:t>
      </w:r>
      <w:bookmarkEnd w:id="224"/>
    </w:p>
    <w:bookmarkEnd w:id="225"/>
    <w:bookmarkEnd w:id="226"/>
    <w:bookmarkEnd w:id="227"/>
    <w:p w14:paraId="23CDE1FA">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3.1.1 设计人应遵守法律和有关技术标准的强制性规定，完成合同约定范围内的房屋建筑工程</w:t>
      </w:r>
      <w:r>
        <w:rPr>
          <w:rFonts w:hint="eastAsia" w:ascii="宋体" w:hAnsi="宋体" w:eastAsia="宋体" w:cs="宋体"/>
          <w:color w:val="auto"/>
          <w:kern w:val="0"/>
          <w:sz w:val="21"/>
          <w:szCs w:val="21"/>
          <w:highlight w:val="none"/>
          <w:lang w:eastAsia="zh-CN"/>
        </w:rPr>
        <w:t>方案设计（含估算）</w:t>
      </w:r>
      <w:r>
        <w:rPr>
          <w:rFonts w:hint="eastAsia" w:ascii="宋体" w:hAnsi="宋体" w:eastAsia="宋体" w:cs="宋体"/>
          <w:color w:val="auto"/>
          <w:kern w:val="0"/>
          <w:sz w:val="21"/>
          <w:szCs w:val="21"/>
          <w:highlight w:val="none"/>
        </w:rPr>
        <w:t>、初步设计、施工图设计，提供符合技术标准及合同要求的工程设计文件，提供施工配合服务。</w:t>
      </w:r>
    </w:p>
    <w:p w14:paraId="275C4AA4">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11FBB0AB">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3.1.2 设计人应当完成合同约定的工程设计其他服务。</w:t>
      </w:r>
    </w:p>
    <w:p w14:paraId="44762403">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3.1.3 专用合同条款约定的其他义务。</w:t>
      </w:r>
    </w:p>
    <w:p w14:paraId="0A10E100">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28" w:name="_Toc351203520"/>
      <w:r>
        <w:rPr>
          <w:rFonts w:hint="eastAsia" w:ascii="宋体" w:hAnsi="宋体" w:eastAsia="宋体" w:cs="宋体"/>
          <w:b w:val="0"/>
          <w:color w:val="auto"/>
          <w:sz w:val="21"/>
          <w:szCs w:val="21"/>
          <w:highlight w:val="none"/>
        </w:rPr>
        <w:t>3</w:t>
      </w:r>
      <w:bookmarkStart w:id="229" w:name="_Toc296503047"/>
      <w:bookmarkStart w:id="230" w:name="_Toc296346548"/>
      <w:bookmarkStart w:id="231" w:name="_Toc337558748"/>
      <w:r>
        <w:rPr>
          <w:rFonts w:hint="eastAsia" w:ascii="宋体" w:hAnsi="宋体" w:eastAsia="宋体" w:cs="宋体"/>
          <w:b w:val="0"/>
          <w:color w:val="auto"/>
          <w:sz w:val="21"/>
          <w:szCs w:val="21"/>
          <w:highlight w:val="none"/>
        </w:rPr>
        <w:t xml:space="preserve">.2 </w:t>
      </w:r>
      <w:bookmarkEnd w:id="228"/>
      <w:r>
        <w:rPr>
          <w:rFonts w:hint="eastAsia" w:ascii="宋体" w:hAnsi="宋体" w:eastAsia="宋体" w:cs="宋体"/>
          <w:b w:val="0"/>
          <w:color w:val="auto"/>
          <w:sz w:val="21"/>
          <w:szCs w:val="21"/>
          <w:highlight w:val="none"/>
        </w:rPr>
        <w:t>项目负责人</w:t>
      </w:r>
    </w:p>
    <w:bookmarkEnd w:id="229"/>
    <w:bookmarkEnd w:id="230"/>
    <w:bookmarkEnd w:id="231"/>
    <w:p w14:paraId="42D891BE">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63FAD4B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w:t>
      </w:r>
      <w:r>
        <w:rPr>
          <w:rFonts w:hint="eastAsia" w:ascii="宋体" w:hAnsi="宋体" w:eastAsia="宋体" w:cs="宋体"/>
          <w:color w:val="auto"/>
          <w:kern w:val="0"/>
          <w:sz w:val="21"/>
          <w:szCs w:val="21"/>
          <w:highlight w:val="none"/>
          <w:lang w:eastAsia="zh-CN"/>
        </w:rPr>
        <w:t>无正当理由不得拒绝更换</w:t>
      </w:r>
      <w:r>
        <w:rPr>
          <w:rFonts w:hint="eastAsia" w:ascii="宋体" w:hAnsi="宋体" w:eastAsia="宋体" w:cs="宋体"/>
          <w:color w:val="auto"/>
          <w:kern w:val="0"/>
          <w:sz w:val="21"/>
          <w:szCs w:val="21"/>
          <w:highlight w:val="none"/>
        </w:rPr>
        <w:t>。</w:t>
      </w:r>
    </w:p>
    <w:p w14:paraId="11DEE98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04CB6BFF">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32" w:name="_Toc351203521"/>
      <w:r>
        <w:rPr>
          <w:rFonts w:hint="eastAsia" w:ascii="宋体" w:hAnsi="宋体" w:eastAsia="宋体" w:cs="宋体"/>
          <w:b w:val="0"/>
          <w:color w:val="auto"/>
          <w:sz w:val="21"/>
          <w:szCs w:val="21"/>
          <w:highlight w:val="none"/>
        </w:rPr>
        <w:t>3</w:t>
      </w:r>
      <w:bookmarkStart w:id="233" w:name="_Toc296503048"/>
      <w:bookmarkStart w:id="234" w:name="_Toc296346549"/>
      <w:bookmarkStart w:id="235" w:name="_Toc337558749"/>
      <w:r>
        <w:rPr>
          <w:rFonts w:hint="eastAsia" w:ascii="宋体" w:hAnsi="宋体" w:eastAsia="宋体" w:cs="宋体"/>
          <w:b w:val="0"/>
          <w:color w:val="auto"/>
          <w:sz w:val="21"/>
          <w:szCs w:val="21"/>
          <w:highlight w:val="none"/>
        </w:rPr>
        <w:t xml:space="preserve">.3 </w:t>
      </w:r>
      <w:bookmarkEnd w:id="233"/>
      <w:bookmarkEnd w:id="234"/>
      <w:r>
        <w:rPr>
          <w:rFonts w:hint="eastAsia" w:ascii="宋体" w:hAnsi="宋体" w:eastAsia="宋体" w:cs="宋体"/>
          <w:b w:val="0"/>
          <w:color w:val="auto"/>
          <w:sz w:val="21"/>
          <w:szCs w:val="21"/>
          <w:highlight w:val="none"/>
        </w:rPr>
        <w:t>设计人人员</w:t>
      </w:r>
      <w:bookmarkEnd w:id="232"/>
    </w:p>
    <w:bookmarkEnd w:id="235"/>
    <w:p w14:paraId="4777CF11">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除专用合同条款</w:t>
      </w:r>
      <w:r>
        <w:rPr>
          <w:rFonts w:hint="eastAsia" w:ascii="宋体" w:hAnsi="宋体" w:eastAsia="宋体" w:cs="宋体"/>
          <w:color w:val="auto"/>
          <w:kern w:val="0"/>
          <w:sz w:val="21"/>
          <w:szCs w:val="21"/>
          <w:highlight w:val="none"/>
          <w:lang w:eastAsia="zh-CN"/>
        </w:rPr>
        <w:t>对期限</w:t>
      </w:r>
      <w:r>
        <w:rPr>
          <w:rFonts w:hint="eastAsia" w:ascii="宋体" w:hAnsi="宋体" w:eastAsia="宋体" w:cs="宋体"/>
          <w:color w:val="auto"/>
          <w:kern w:val="0"/>
          <w:sz w:val="21"/>
          <w:szCs w:val="21"/>
          <w:highlight w:val="none"/>
        </w:rPr>
        <w:t>另有约定外，设计人应在接到开始设计通知后7天内，向发包人提交设计人项目管理机构及人员安排的报告，其内容应包括建筑、结构、给排水、暖通、电气等专业负责人名单及其岗位、注册执业资格等。</w:t>
      </w:r>
    </w:p>
    <w:p w14:paraId="04D1F2D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7C2A9F11">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5DAA4520">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36" w:name="_Toc351203523"/>
      <w:r>
        <w:rPr>
          <w:rFonts w:hint="eastAsia" w:ascii="宋体" w:hAnsi="宋体" w:eastAsia="宋体" w:cs="宋体"/>
          <w:b w:val="0"/>
          <w:color w:val="auto"/>
          <w:sz w:val="21"/>
          <w:szCs w:val="21"/>
          <w:highlight w:val="none"/>
        </w:rPr>
        <w:t>3</w:t>
      </w:r>
      <w:bookmarkStart w:id="237" w:name="_Toc296503051"/>
      <w:bookmarkStart w:id="238" w:name="_Toc337558751"/>
      <w:bookmarkStart w:id="239" w:name="_Toc296346552"/>
      <w:r>
        <w:rPr>
          <w:rFonts w:hint="eastAsia" w:ascii="宋体" w:hAnsi="宋体" w:eastAsia="宋体" w:cs="宋体"/>
          <w:b w:val="0"/>
          <w:color w:val="auto"/>
          <w:sz w:val="21"/>
          <w:szCs w:val="21"/>
          <w:highlight w:val="none"/>
        </w:rPr>
        <w:t>.4 设计分包</w:t>
      </w:r>
      <w:bookmarkEnd w:id="236"/>
    </w:p>
    <w:bookmarkEnd w:id="237"/>
    <w:bookmarkEnd w:id="238"/>
    <w:bookmarkEnd w:id="239"/>
    <w:p w14:paraId="5DE5218B">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 设计分包的一般约定</w:t>
      </w:r>
    </w:p>
    <w:p w14:paraId="022264B4">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6B1692C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 设计分包的确定</w:t>
      </w:r>
    </w:p>
    <w:p w14:paraId="1442E3F0">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54AAE425">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 设计分包管理</w:t>
      </w:r>
    </w:p>
    <w:p w14:paraId="2D4BC00F">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设计人应按照专用合同条款的约定向发包人提交分包人的主要工程设计人员名单、注册执业资格及执业经历等。</w:t>
      </w:r>
    </w:p>
    <w:p w14:paraId="09BC92CA">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 分包工程设计费</w:t>
      </w:r>
    </w:p>
    <w:p w14:paraId="6F544E1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（1）除本项第（2）目约定的情况或专用合同条款另有约定外，分包工程设计费由设计人与分包人结算，未经设计人同意，发包人不得向分包人支付分包工程设计费；</w:t>
      </w:r>
    </w:p>
    <w:p w14:paraId="1279EF38">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（2）生效的法院判决书或仲裁裁决书要求发包人向分包人支付分包工程设计费的，发包人有权从应付设计人合同价款中扣除该部分费用。</w:t>
      </w:r>
    </w:p>
    <w:p w14:paraId="100E2506">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40" w:name="_Toc351203526"/>
      <w:r>
        <w:rPr>
          <w:rFonts w:hint="eastAsia" w:ascii="宋体" w:hAnsi="宋体" w:eastAsia="宋体" w:cs="宋体"/>
          <w:b w:val="0"/>
          <w:color w:val="auto"/>
          <w:sz w:val="21"/>
          <w:szCs w:val="21"/>
          <w:highlight w:val="none"/>
        </w:rPr>
        <w:t>3.5 联合体</w:t>
      </w:r>
      <w:bookmarkEnd w:id="240"/>
    </w:p>
    <w:p w14:paraId="3884D86E">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联合体各方应共同与发包人签订合同协议书。联合体各方应为履行合同向发包人承担连带责任。</w:t>
      </w:r>
    </w:p>
    <w:p w14:paraId="2A475B73">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联合体协议，应当约定联合体各成员工作分工，经发包人确认后作为合同附件。在履行合同过程中，未经发包人同意，不得修改联合体协议。</w:t>
      </w:r>
    </w:p>
    <w:p w14:paraId="18E941D2">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 联合体牵头人负责与发包人联系，并接受指示，负责组织联合体各成员全面履行合同。</w:t>
      </w:r>
    </w:p>
    <w:p w14:paraId="603343E3">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发包人向联合体支付设计费用的方式在专用合同条款中约定。</w:t>
      </w:r>
    </w:p>
    <w:p w14:paraId="2098C29E">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 工程设计资料</w:t>
      </w:r>
    </w:p>
    <w:p w14:paraId="6B4711C8">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4.1 提供工程设计资料</w:t>
      </w:r>
    </w:p>
    <w:p w14:paraId="18A9A4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发包人应当在工程设计前或专用合同条款附件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约定的时间向设计人提供工程设计所必需的工程设计资料，并对所提供资料的真实性、准确性和完整性负责。</w:t>
      </w:r>
    </w:p>
    <w:p w14:paraId="12DE15DA">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按照法律规定确需在工程设计开始后方能提供的设计资料，发包人应及时地在相应工程设计文件提交给发包人前的合理期限内提供，合理期限应以不影响设计人的正常设计为限。</w:t>
      </w:r>
    </w:p>
    <w:p w14:paraId="3120AE8A">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4.2 逾期提供的责任</w:t>
      </w:r>
    </w:p>
    <w:p w14:paraId="74053B5C">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发包人提交上述文件和资料超过</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定期限的，超过</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定期限15天以内，设计人按本合同约定的交付工程设计文件时间相应顺延；超过</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定期限15天以</w:t>
      </w:r>
      <w:r>
        <w:rPr>
          <w:rFonts w:hint="eastAsia" w:ascii="宋体" w:hAnsi="宋体" w:eastAsia="宋体" w:cs="宋体"/>
          <w:color w:val="auto"/>
          <w:sz w:val="21"/>
          <w:szCs w:val="21"/>
          <w:highlight w:val="none"/>
          <w:lang w:eastAsia="zh-CN"/>
        </w:rPr>
        <w:t>外</w:t>
      </w:r>
      <w:r>
        <w:rPr>
          <w:rFonts w:hint="eastAsia" w:ascii="宋体" w:hAnsi="宋体" w:eastAsia="宋体" w:cs="宋体"/>
          <w:color w:val="auto"/>
          <w:sz w:val="21"/>
          <w:szCs w:val="21"/>
          <w:highlight w:val="none"/>
        </w:rPr>
        <w:t>时，设计人有权重新确定提交工程设计文件的时间。工程设计资料逾期提供导致增加了设计工作量的，设计人可以要求发包人另行支付相应设计费用，并相应延长设计周期。</w:t>
      </w:r>
    </w:p>
    <w:p w14:paraId="0E2E863D">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bookmarkStart w:id="241" w:name="_Toc351203532"/>
      <w:bookmarkStart w:id="242" w:name="_Toc337558758"/>
      <w:r>
        <w:rPr>
          <w:rFonts w:hint="eastAsia" w:ascii="宋体" w:hAnsi="宋体" w:eastAsia="宋体" w:cs="宋体"/>
          <w:b w:val="0"/>
          <w:color w:val="auto"/>
          <w:sz w:val="21"/>
          <w:szCs w:val="21"/>
          <w:highlight w:val="none"/>
        </w:rPr>
        <w:t>5. 工程设计</w:t>
      </w:r>
      <w:bookmarkEnd w:id="241"/>
      <w:r>
        <w:rPr>
          <w:rFonts w:hint="eastAsia" w:ascii="宋体" w:hAnsi="宋体" w:eastAsia="宋体" w:cs="宋体"/>
          <w:b w:val="0"/>
          <w:color w:val="auto"/>
          <w:sz w:val="21"/>
          <w:szCs w:val="21"/>
          <w:highlight w:val="none"/>
        </w:rPr>
        <w:t>要求</w:t>
      </w:r>
    </w:p>
    <w:bookmarkEnd w:id="242"/>
    <w:p w14:paraId="6375DD00">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bookmarkStart w:id="243" w:name="_Toc351203533"/>
      <w:bookmarkStart w:id="244" w:name="_Toc337558759"/>
      <w:r>
        <w:rPr>
          <w:rFonts w:hint="eastAsia" w:ascii="宋体" w:hAnsi="宋体" w:eastAsia="宋体" w:cs="宋体"/>
          <w:b w:val="0"/>
          <w:color w:val="auto"/>
          <w:sz w:val="21"/>
          <w:szCs w:val="21"/>
          <w:highlight w:val="none"/>
        </w:rPr>
        <w:t>5.1 工程设计一般要求</w:t>
      </w:r>
    </w:p>
    <w:p w14:paraId="5E582420">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5.1.1 对发包人的要求</w:t>
      </w:r>
    </w:p>
    <w:p w14:paraId="57185B75">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5.1.1.1 发包人应当遵守法律和技术标准，不得以任何理由要求设计人违反法律和工程质量、安全标准进行工程设计，降低工程质量。</w:t>
      </w:r>
    </w:p>
    <w:p w14:paraId="6699B647">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0F297013">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5.1.1.3 发包人应当严格遵守主要技术指标控制的前提条件，由于发包人的原因导致工程设计文件超出主要技术指标控制值的，发包人承担相应责任。</w:t>
      </w:r>
    </w:p>
    <w:p w14:paraId="18062956">
      <w:pPr>
        <w:pStyle w:val="6"/>
        <w:keepNext w:val="0"/>
        <w:keepLines w:val="0"/>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5.1.2 对设计人的要求</w:t>
      </w:r>
    </w:p>
    <w:p w14:paraId="7EF6BF70">
      <w:pPr>
        <w:pStyle w:val="6"/>
        <w:keepNext w:val="0"/>
        <w:keepLines w:val="0"/>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5.1.2.1 设计人应当按法律和技术标准的强制性规定及发包人要求进行工程设计。有关工程设计的特殊标准或要求由合同当事人在专用合同条款中约定。</w:t>
      </w:r>
      <w:bookmarkEnd w:id="243"/>
    </w:p>
    <w:p w14:paraId="14F82167">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设计人发现发包人提供的工程设计资料有问题的，设计人应当及时通知发包人并经发包人确认。</w:t>
      </w:r>
    </w:p>
    <w:bookmarkEnd w:id="244"/>
    <w:p w14:paraId="49D17DB1">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7D5A68C9">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5.1.2.3 设计人应当根据建筑工程的使用功能和专业技术协调要求，合理确定基础类型、结构体系、结构布置、使用荷载及综合管线等。</w:t>
      </w:r>
    </w:p>
    <w:p w14:paraId="6D883D66">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5.1.2.4 设计人应当严格执行其双方书面确认的主要技术指标控制值，由于设计人的原因导致工程设计文件超出在专用合同条款中约定的主要技术指标控制值比例的，设计人应当承担相应的违约责任。</w:t>
      </w:r>
    </w:p>
    <w:p w14:paraId="2620501B">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5.1.2.5 设计人在工程设计中选用的材料、设备，应当注明其规格、型号、性能等技术指标及适应性，满足</w:t>
      </w:r>
      <w:r>
        <w:rPr>
          <w:rFonts w:hint="eastAsia" w:ascii="宋体" w:hAnsi="宋体" w:eastAsia="宋体" w:cs="宋体"/>
          <w:color w:val="auto"/>
          <w:kern w:val="0"/>
          <w:sz w:val="21"/>
          <w:szCs w:val="21"/>
          <w:highlight w:val="none"/>
          <w:lang w:eastAsia="zh-CN"/>
        </w:rPr>
        <w:t>质量、安全、</w:t>
      </w:r>
      <w:r>
        <w:rPr>
          <w:rFonts w:hint="eastAsia" w:ascii="宋体" w:hAnsi="宋体" w:eastAsia="宋体" w:cs="宋体"/>
          <w:color w:val="auto"/>
          <w:kern w:val="0"/>
          <w:sz w:val="21"/>
          <w:szCs w:val="21"/>
          <w:highlight w:val="none"/>
        </w:rPr>
        <w:t>节能、环保</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要求。</w:t>
      </w:r>
    </w:p>
    <w:p w14:paraId="475F1657">
      <w:pPr>
        <w:pStyle w:val="6"/>
        <w:keepNext w:val="0"/>
        <w:keepLines w:val="0"/>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5.2 工程设计保证措施</w:t>
      </w:r>
    </w:p>
    <w:p w14:paraId="3DD667D9">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5.2.1 发包人的保证措施</w:t>
      </w:r>
    </w:p>
    <w:p w14:paraId="7B92120D">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发包人应按照法律规定及合同约定完成与工程设计有关的各项工作。</w:t>
      </w:r>
    </w:p>
    <w:p w14:paraId="5CA5BE61">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5.2.2 设计人的保证措施</w:t>
      </w:r>
    </w:p>
    <w:p w14:paraId="500FF58E">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设计人应做好工程设计的质量与技术管理工作，建立健全工程设计质量保证体系，加强工程设计全过程的质量控制，建立完整的设计文件的设计、复核、审核、会签和批准制度，明确各阶段的责任人。</w:t>
      </w:r>
    </w:p>
    <w:p w14:paraId="37876D2F">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color w:val="auto"/>
          <w:sz w:val="21"/>
          <w:szCs w:val="21"/>
          <w:highlight w:val="none"/>
        </w:rPr>
        <w:t>5.3 工程设计文件的要求</w:t>
      </w:r>
    </w:p>
    <w:p w14:paraId="1ED7F0E5">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5.3.1 工程设计文件的编制应符合法律、技术标准的强制性规定及合同的要求。</w:t>
      </w:r>
    </w:p>
    <w:p w14:paraId="79379AA8">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5.3.2 工程设计依据应完整、准确、可靠，设计方案论证充分，计算成果可靠，并能够实施。</w:t>
      </w:r>
    </w:p>
    <w:p w14:paraId="044022F3">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5.3.3 工程设计文件的深度应满足本合同相应设计阶段的规定要求，并符合国家和行业现行有效的相关规定。</w:t>
      </w:r>
    </w:p>
    <w:p w14:paraId="7943FF92">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5.3.4 工程设计文件必须保证工程质量和施工安全等方面的要求，按照有关法律法规规定在工程设计文件中提出保障施工作业人员安全和预防生产安全事故的措施建议。</w:t>
      </w:r>
    </w:p>
    <w:p w14:paraId="251D6FD5">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5.3.5 应根据法律、技术标准要求，保证房屋建筑工程的合理使用寿命年限，并应在工程设计文件中注明相应的合理使用寿命年限。</w:t>
      </w:r>
    </w:p>
    <w:p w14:paraId="6EFD36CB">
      <w:pPr>
        <w:pStyle w:val="6"/>
        <w:keepNext w:val="0"/>
        <w:keepLines w:val="0"/>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bookmarkStart w:id="245" w:name="_Toc351203536"/>
      <w:bookmarkStart w:id="246" w:name="_Toc337558762"/>
      <w:r>
        <w:rPr>
          <w:rFonts w:hint="eastAsia" w:ascii="宋体" w:hAnsi="宋体" w:eastAsia="宋体" w:cs="宋体"/>
          <w:b w:val="0"/>
          <w:color w:val="auto"/>
          <w:sz w:val="21"/>
          <w:szCs w:val="21"/>
          <w:highlight w:val="none"/>
        </w:rPr>
        <w:t>5.4 不合格工程设计文件的处理</w:t>
      </w:r>
      <w:bookmarkEnd w:id="245"/>
    </w:p>
    <w:bookmarkEnd w:id="246"/>
    <w:p w14:paraId="2BA05CED">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5.4.1 因设计人原因造成工程设计文件不合格的，发包人有权要求设计人采取补救措施，直至达到合同要求的质量标准，并按第14.2款〔设计人违约责任〕的约定承担责任。 </w:t>
      </w:r>
    </w:p>
    <w:p w14:paraId="6F8FCA60">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5.4.2 因发包人原因造成工程设计文件不合格的，设计人应当采取补救措施，直至达到合同要求的质量标准，由此增加的设计费用和（或）设计周期的延长由发包人承担。</w:t>
      </w:r>
    </w:p>
    <w:p w14:paraId="30AF3E45">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bookmarkStart w:id="247" w:name="_Toc351203542"/>
      <w:bookmarkStart w:id="248" w:name="_Toc337558767"/>
      <w:r>
        <w:rPr>
          <w:rFonts w:hint="eastAsia" w:ascii="宋体" w:hAnsi="宋体" w:eastAsia="宋体" w:cs="宋体"/>
          <w:b w:val="0"/>
          <w:color w:val="auto"/>
          <w:sz w:val="21"/>
          <w:szCs w:val="21"/>
          <w:highlight w:val="none"/>
        </w:rPr>
        <w:t>6. 工程设计进度</w:t>
      </w:r>
      <w:bookmarkEnd w:id="247"/>
      <w:r>
        <w:rPr>
          <w:rFonts w:hint="eastAsia" w:ascii="宋体" w:hAnsi="宋体" w:eastAsia="宋体" w:cs="宋体"/>
          <w:b w:val="0"/>
          <w:color w:val="auto"/>
          <w:sz w:val="21"/>
          <w:szCs w:val="21"/>
          <w:highlight w:val="none"/>
        </w:rPr>
        <w:t>与周期</w:t>
      </w:r>
    </w:p>
    <w:bookmarkEnd w:id="248"/>
    <w:p w14:paraId="70B0DF54">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49" w:name="_Toc351203544"/>
      <w:bookmarkStart w:id="250" w:name="_Toc337558769"/>
      <w:bookmarkStart w:id="251" w:name="_Toc296346567"/>
      <w:bookmarkStart w:id="252" w:name="_Toc296503066"/>
      <w:r>
        <w:rPr>
          <w:rFonts w:hint="eastAsia" w:ascii="宋体" w:hAnsi="宋体" w:eastAsia="宋体" w:cs="宋体"/>
          <w:b w:val="0"/>
          <w:color w:val="auto"/>
          <w:sz w:val="21"/>
          <w:szCs w:val="21"/>
          <w:highlight w:val="none"/>
        </w:rPr>
        <w:t>6.1 工程设计进度计划</w:t>
      </w:r>
      <w:bookmarkEnd w:id="249"/>
    </w:p>
    <w:bookmarkEnd w:id="250"/>
    <w:p w14:paraId="7AF07222">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6.1.1 工程设计进度计划的编制</w:t>
      </w:r>
    </w:p>
    <w:p w14:paraId="560EE1CA">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0E342E24">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工程设计进度计划中的设计周期应由发包人与设计人协商确定，明确约定各阶段设计任务的完成时间区间，</w:t>
      </w:r>
      <w:r>
        <w:rPr>
          <w:rFonts w:hint="eastAsia" w:ascii="宋体" w:hAnsi="宋体" w:eastAsia="宋体" w:cs="宋体"/>
          <w:color w:val="auto"/>
          <w:sz w:val="21"/>
          <w:szCs w:val="21"/>
          <w:highlight w:val="none"/>
        </w:rPr>
        <w:t>包括各阶段设计过程中设计人与发包人的交流时间，但不包括相关政府部门对设计成果的审批时间及发包人的审查时间。</w:t>
      </w:r>
    </w:p>
    <w:p w14:paraId="6470C991">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6.1.2 工程设计进度计划的修订</w:t>
      </w:r>
    </w:p>
    <w:p w14:paraId="32871AE8">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工程设计进度计划不符合合同要求或与工程设计的实际进度不一致的，设计人应向发包人提交修订的工程设计进度计划，并附具有关措施和相关资料。除专用合同条款</w:t>
      </w:r>
      <w:r>
        <w:rPr>
          <w:rFonts w:hint="eastAsia" w:ascii="宋体" w:hAnsi="宋体" w:eastAsia="宋体" w:cs="宋体"/>
          <w:color w:val="auto"/>
          <w:kern w:val="0"/>
          <w:sz w:val="21"/>
          <w:szCs w:val="21"/>
          <w:highlight w:val="none"/>
          <w:lang w:eastAsia="zh-CN"/>
        </w:rPr>
        <w:t>对期限</w:t>
      </w:r>
      <w:r>
        <w:rPr>
          <w:rFonts w:hint="eastAsia" w:ascii="宋体" w:hAnsi="宋体" w:eastAsia="宋体" w:cs="宋体"/>
          <w:color w:val="auto"/>
          <w:kern w:val="0"/>
          <w:sz w:val="21"/>
          <w:szCs w:val="21"/>
          <w:highlight w:val="none"/>
        </w:rPr>
        <w:t>另有约定外，发包人应在收到修订的工程设计进度计划后5天内完成审核和批准或提出修改意见，否则视为发包人同意设计人提交的修订的工程设计进度计划。</w:t>
      </w:r>
    </w:p>
    <w:p w14:paraId="2848D432">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53" w:name="_Toc351203545"/>
      <w:bookmarkStart w:id="254" w:name="_Toc337558770"/>
      <w:r>
        <w:rPr>
          <w:rFonts w:hint="eastAsia" w:ascii="宋体" w:hAnsi="宋体" w:eastAsia="宋体" w:cs="宋体"/>
          <w:b w:val="0"/>
          <w:color w:val="auto"/>
          <w:sz w:val="21"/>
          <w:szCs w:val="21"/>
          <w:highlight w:val="none"/>
        </w:rPr>
        <w:t xml:space="preserve">6.2 </w:t>
      </w:r>
      <w:bookmarkEnd w:id="253"/>
      <w:r>
        <w:rPr>
          <w:rFonts w:hint="eastAsia" w:ascii="宋体" w:hAnsi="宋体" w:eastAsia="宋体" w:cs="宋体"/>
          <w:b w:val="0"/>
          <w:color w:val="auto"/>
          <w:sz w:val="21"/>
          <w:szCs w:val="21"/>
          <w:highlight w:val="none"/>
        </w:rPr>
        <w:t>工程设计开始</w:t>
      </w:r>
    </w:p>
    <w:bookmarkEnd w:id="254"/>
    <w:p w14:paraId="2A12B12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发包人应按照法律规定获得工程设计所需的许可。发包人发出的开始设计通知应符合法律规定，</w:t>
      </w:r>
      <w:r>
        <w:rPr>
          <w:rFonts w:hint="eastAsia" w:ascii="宋体" w:hAnsi="宋体" w:eastAsia="宋体" w:cs="宋体"/>
          <w:color w:val="auto"/>
          <w:kern w:val="0"/>
          <w:sz w:val="21"/>
          <w:szCs w:val="21"/>
          <w:highlight w:val="none"/>
          <w:lang w:eastAsia="zh-CN"/>
        </w:rPr>
        <w:t>一般</w:t>
      </w:r>
      <w:r>
        <w:rPr>
          <w:rFonts w:hint="eastAsia" w:ascii="宋体" w:hAnsi="宋体" w:eastAsia="宋体" w:cs="宋体"/>
          <w:color w:val="auto"/>
          <w:kern w:val="0"/>
          <w:sz w:val="21"/>
          <w:szCs w:val="21"/>
          <w:highlight w:val="none"/>
        </w:rPr>
        <w:t>应在计划开始设计日期7天前向设计人发出开始工程设计工作通知，工程设计周期自开始设计通知中载明的开始设计的日期起算。</w:t>
      </w:r>
    </w:p>
    <w:p w14:paraId="0885060D">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设计人应当在收到发包人提供的工程设计资料及专用合同条款约定的定金或预付款后，开始工程设计工作。</w:t>
      </w:r>
    </w:p>
    <w:p w14:paraId="71C188C6">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各设计阶段的开始时间均以设计人收到的发包人发出开始设计工作的书面通知书中载明的</w:t>
      </w:r>
      <w:r>
        <w:rPr>
          <w:rFonts w:hint="eastAsia" w:ascii="宋体" w:hAnsi="宋体" w:eastAsia="宋体" w:cs="宋体"/>
          <w:color w:val="auto"/>
          <w:kern w:val="0"/>
          <w:sz w:val="21"/>
          <w:szCs w:val="21"/>
          <w:highlight w:val="none"/>
        </w:rPr>
        <w:t>开始设计的日期起算。</w:t>
      </w:r>
    </w:p>
    <w:bookmarkEnd w:id="251"/>
    <w:bookmarkEnd w:id="252"/>
    <w:p w14:paraId="4312F7E7">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55" w:name="_Toc351203547"/>
      <w:bookmarkStart w:id="256" w:name="_Toc296503073"/>
      <w:bookmarkStart w:id="257" w:name="_Toc337558772"/>
      <w:bookmarkStart w:id="258" w:name="_Toc296346574"/>
      <w:r>
        <w:rPr>
          <w:rFonts w:hint="eastAsia" w:ascii="宋体" w:hAnsi="宋体" w:eastAsia="宋体" w:cs="宋体"/>
          <w:b w:val="0"/>
          <w:color w:val="auto"/>
          <w:sz w:val="21"/>
          <w:szCs w:val="21"/>
          <w:highlight w:val="none"/>
        </w:rPr>
        <w:t>6.3 工程设计进度延误</w:t>
      </w:r>
      <w:bookmarkEnd w:id="255"/>
    </w:p>
    <w:bookmarkEnd w:id="256"/>
    <w:bookmarkEnd w:id="257"/>
    <w:bookmarkEnd w:id="258"/>
    <w:p w14:paraId="09DB9217">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6.3.1 因发包人原因导致工程设计进度延误</w:t>
      </w:r>
    </w:p>
    <w:p w14:paraId="4970E34D">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在合同履行过程中，发包人导致工程设计进度延误的情形主要有： </w:t>
      </w:r>
    </w:p>
    <w:p w14:paraId="1B7D043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（1）发包人未能按合同约定提供工程设计资料或所提供的工程设计资料不符合合同约定或存在错误或疏漏的；</w:t>
      </w:r>
    </w:p>
    <w:p w14:paraId="30A1D3B1">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（2）发包人未能按合同约定日期足额支付定金或预付款、进度款的；</w:t>
      </w:r>
    </w:p>
    <w:p w14:paraId="00D7F123">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（3）发包人提出影响设计周期的设计变更要求的；</w:t>
      </w:r>
    </w:p>
    <w:p w14:paraId="471DF6B2">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（4）专用合同条款中约定的其他情形。</w:t>
      </w:r>
    </w:p>
    <w:p w14:paraId="3A16A6B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因发包人原因未按计划开始设计日期开始设计的，发包人应按实际开始设计日期顺延完成设计日期。</w:t>
      </w:r>
    </w:p>
    <w:p w14:paraId="29A4ACC9">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除专用合同条款</w:t>
      </w:r>
      <w:r>
        <w:rPr>
          <w:rFonts w:hint="eastAsia" w:ascii="宋体" w:hAnsi="宋体" w:eastAsia="宋体" w:cs="宋体"/>
          <w:color w:val="auto"/>
          <w:kern w:val="0"/>
          <w:sz w:val="21"/>
          <w:szCs w:val="21"/>
          <w:highlight w:val="none"/>
          <w:lang w:eastAsia="zh-CN"/>
        </w:rPr>
        <w:t>对期限</w:t>
      </w:r>
      <w:r>
        <w:rPr>
          <w:rFonts w:hint="eastAsia" w:ascii="宋体" w:hAnsi="宋体" w:eastAsia="宋体" w:cs="宋体"/>
          <w:color w:val="auto"/>
          <w:kern w:val="0"/>
          <w:sz w:val="21"/>
          <w:szCs w:val="21"/>
          <w:highlight w:val="none"/>
        </w:rPr>
        <w:t>另有约定外，</w:t>
      </w:r>
      <w:r>
        <w:rPr>
          <w:rFonts w:hint="eastAsia" w:ascii="宋体" w:hAnsi="宋体" w:eastAsia="宋体" w:cs="宋体"/>
          <w:color w:val="auto"/>
          <w:sz w:val="21"/>
          <w:szCs w:val="21"/>
          <w:highlight w:val="none"/>
        </w:rPr>
        <w:t>设计人应在发生上述情</w:t>
      </w:r>
      <w:r>
        <w:rPr>
          <w:rFonts w:hint="eastAsia" w:ascii="宋体" w:hAnsi="宋体" w:eastAsia="宋体" w:cs="宋体"/>
          <w:color w:val="auto"/>
          <w:sz w:val="21"/>
          <w:szCs w:val="21"/>
          <w:highlight w:val="none"/>
          <w:lang w:eastAsia="zh-CN"/>
        </w:rPr>
        <w:t>形</w:t>
      </w:r>
      <w:r>
        <w:rPr>
          <w:rFonts w:hint="eastAsia" w:ascii="宋体" w:hAnsi="宋体" w:eastAsia="宋体" w:cs="宋体"/>
          <w:color w:val="auto"/>
          <w:sz w:val="21"/>
          <w:szCs w:val="21"/>
          <w:highlight w:val="none"/>
        </w:rPr>
        <w:t>后5天内向发包人发出要求延期的书面通知，</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发生</w:t>
      </w:r>
      <w:r>
        <w:rPr>
          <w:rFonts w:hint="eastAsia" w:ascii="宋体" w:hAnsi="宋体" w:eastAsia="宋体" w:cs="宋体"/>
          <w:color w:val="auto"/>
          <w:sz w:val="21"/>
          <w:szCs w:val="21"/>
          <w:highlight w:val="none"/>
          <w:lang w:eastAsia="zh-CN"/>
        </w:rPr>
        <w:t>该</w:t>
      </w:r>
      <w:r>
        <w:rPr>
          <w:rFonts w:hint="eastAsia" w:ascii="宋体" w:hAnsi="宋体" w:eastAsia="宋体" w:cs="宋体"/>
          <w:color w:val="auto"/>
          <w:sz w:val="21"/>
          <w:szCs w:val="21"/>
          <w:highlight w:val="none"/>
        </w:rPr>
        <w:t>情</w:t>
      </w:r>
      <w:r>
        <w:rPr>
          <w:rFonts w:hint="eastAsia" w:ascii="宋体" w:hAnsi="宋体" w:eastAsia="宋体" w:cs="宋体"/>
          <w:color w:val="auto"/>
          <w:sz w:val="21"/>
          <w:szCs w:val="21"/>
          <w:highlight w:val="none"/>
          <w:lang w:eastAsia="zh-CN"/>
        </w:rPr>
        <w:t>形</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天内提交要求延期的详细说明供发包人审查。</w:t>
      </w:r>
      <w:r>
        <w:rPr>
          <w:rFonts w:hint="eastAsia" w:ascii="宋体" w:hAnsi="宋体" w:eastAsia="宋体" w:cs="宋体"/>
          <w:color w:val="auto"/>
          <w:kern w:val="0"/>
          <w:sz w:val="21"/>
          <w:szCs w:val="21"/>
          <w:highlight w:val="none"/>
        </w:rPr>
        <w:t>除专用合同条款</w:t>
      </w:r>
      <w:r>
        <w:rPr>
          <w:rFonts w:hint="eastAsia" w:ascii="宋体" w:hAnsi="宋体" w:eastAsia="宋体" w:cs="宋体"/>
          <w:color w:val="auto"/>
          <w:kern w:val="0"/>
          <w:sz w:val="21"/>
          <w:szCs w:val="21"/>
          <w:highlight w:val="none"/>
          <w:lang w:eastAsia="zh-CN"/>
        </w:rPr>
        <w:t>对期限</w:t>
      </w:r>
      <w:r>
        <w:rPr>
          <w:rFonts w:hint="eastAsia" w:ascii="宋体" w:hAnsi="宋体" w:eastAsia="宋体" w:cs="宋体"/>
          <w:color w:val="auto"/>
          <w:kern w:val="0"/>
          <w:sz w:val="21"/>
          <w:szCs w:val="21"/>
          <w:highlight w:val="none"/>
        </w:rPr>
        <w:t>另有约定外，</w:t>
      </w:r>
      <w:r>
        <w:rPr>
          <w:rFonts w:hint="eastAsia" w:ascii="宋体" w:hAnsi="宋体" w:eastAsia="宋体" w:cs="宋体"/>
          <w:color w:val="auto"/>
          <w:sz w:val="21"/>
          <w:szCs w:val="21"/>
          <w:highlight w:val="none"/>
        </w:rPr>
        <w:t>发包人收到设计人要求延期的详细说明后，应在5天内进行审查并就是否延长设计周期及延期天数向设计人进行书面答复。</w:t>
      </w:r>
    </w:p>
    <w:p w14:paraId="4A9F77EC">
      <w:pPr>
        <w:pageBreakBefore w:val="0"/>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如果发包人在收到设计人</w:t>
      </w:r>
      <w:r>
        <w:rPr>
          <w:rFonts w:hint="eastAsia" w:ascii="宋体" w:hAnsi="宋体" w:eastAsia="宋体" w:cs="宋体"/>
          <w:color w:val="auto"/>
          <w:kern w:val="0"/>
          <w:sz w:val="21"/>
          <w:szCs w:val="21"/>
          <w:highlight w:val="none"/>
        </w:rPr>
        <w:t>提交要求</w:t>
      </w:r>
      <w:r>
        <w:rPr>
          <w:rFonts w:hint="eastAsia" w:ascii="宋体" w:hAnsi="宋体" w:eastAsia="宋体" w:cs="宋体"/>
          <w:color w:val="auto"/>
          <w:sz w:val="21"/>
          <w:szCs w:val="21"/>
          <w:highlight w:val="none"/>
        </w:rPr>
        <w:t>延期的详细说明后</w:t>
      </w:r>
      <w:r>
        <w:rPr>
          <w:rFonts w:hint="eastAsia" w:ascii="宋体" w:hAnsi="宋体" w:eastAsia="宋体" w:cs="宋体"/>
          <w:color w:val="auto"/>
          <w:sz w:val="21"/>
          <w:szCs w:val="21"/>
          <w:highlight w:val="none"/>
          <w:lang w:eastAsia="zh-CN"/>
        </w:rPr>
        <w:t>，在约定的期限内</w:t>
      </w:r>
      <w:r>
        <w:rPr>
          <w:rFonts w:hint="eastAsia" w:ascii="宋体" w:hAnsi="宋体" w:eastAsia="宋体" w:cs="宋体"/>
          <w:color w:val="auto"/>
          <w:sz w:val="21"/>
          <w:szCs w:val="21"/>
          <w:highlight w:val="none"/>
        </w:rPr>
        <w:t>未予答复，则视为设计人要求的延期已被发包人批准。如果设计人未能按本款</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定的时间内发出要求延期的通知并提交详细资料，则发包人可拒绝作出任何延期的决定。</w:t>
      </w:r>
    </w:p>
    <w:p w14:paraId="34CADF6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发包人上述工程设计进度延误情形</w:t>
      </w:r>
      <w:r>
        <w:rPr>
          <w:rFonts w:hint="eastAsia" w:ascii="宋体" w:hAnsi="宋体" w:eastAsia="宋体" w:cs="宋体"/>
          <w:color w:val="auto"/>
          <w:sz w:val="21"/>
          <w:szCs w:val="21"/>
          <w:highlight w:val="none"/>
        </w:rPr>
        <w:t>导致增加了设计工作量的，发包人应当另行支付相应设计费用。</w:t>
      </w:r>
    </w:p>
    <w:p w14:paraId="6E22C0FF">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6.3.2 因设计人原因导致工程设计进度延误</w:t>
      </w:r>
    </w:p>
    <w:p w14:paraId="6602692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bookmarkStart w:id="259" w:name="_Toc296346577"/>
      <w:bookmarkStart w:id="260" w:name="_Toc296503076"/>
      <w:r>
        <w:rPr>
          <w:rFonts w:hint="eastAsia" w:ascii="宋体" w:hAnsi="宋体" w:eastAsia="宋体" w:cs="宋体"/>
          <w:color w:val="auto"/>
          <w:kern w:val="0"/>
          <w:sz w:val="21"/>
          <w:szCs w:val="21"/>
          <w:highlight w:val="none"/>
        </w:rPr>
        <w:t>因</w:t>
      </w:r>
      <w:bookmarkEnd w:id="259"/>
      <w:bookmarkEnd w:id="260"/>
      <w:r>
        <w:rPr>
          <w:rFonts w:hint="eastAsia" w:ascii="宋体" w:hAnsi="宋体" w:eastAsia="宋体" w:cs="宋体"/>
          <w:color w:val="auto"/>
          <w:kern w:val="0"/>
          <w:sz w:val="21"/>
          <w:szCs w:val="21"/>
          <w:highlight w:val="none"/>
        </w:rPr>
        <w:t>设计人原因导致工程设计进度延误的，设计人应当按照第14.2款〔设计人违约责任〕承担责任。设计人支付逾期完成工程设计违约金后，不免除设计人继续完成工程设计的义务。</w:t>
      </w:r>
    </w:p>
    <w:p w14:paraId="0FD06100">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61" w:name="_Toc351203550"/>
      <w:bookmarkStart w:id="262" w:name="_Toc296503077"/>
      <w:bookmarkStart w:id="263" w:name="_Toc337558775"/>
      <w:bookmarkStart w:id="264" w:name="_Toc296346578"/>
      <w:r>
        <w:rPr>
          <w:rFonts w:hint="eastAsia" w:ascii="宋体" w:hAnsi="宋体" w:eastAsia="宋体" w:cs="宋体"/>
          <w:b w:val="0"/>
          <w:color w:val="auto"/>
          <w:sz w:val="21"/>
          <w:szCs w:val="21"/>
          <w:highlight w:val="none"/>
        </w:rPr>
        <w:t>6.4 暂停</w:t>
      </w:r>
      <w:bookmarkEnd w:id="261"/>
      <w:r>
        <w:rPr>
          <w:rFonts w:hint="eastAsia" w:ascii="宋体" w:hAnsi="宋体" w:eastAsia="宋体" w:cs="宋体"/>
          <w:b w:val="0"/>
          <w:color w:val="auto"/>
          <w:sz w:val="21"/>
          <w:szCs w:val="21"/>
          <w:highlight w:val="none"/>
        </w:rPr>
        <w:t>设计</w:t>
      </w:r>
    </w:p>
    <w:bookmarkEnd w:id="262"/>
    <w:bookmarkEnd w:id="263"/>
    <w:bookmarkEnd w:id="264"/>
    <w:p w14:paraId="2C23523F">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6.4.1 发包人原因引起的暂停设计</w:t>
      </w:r>
    </w:p>
    <w:p w14:paraId="0F50F111">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因发包人原因引起暂停设计的，发包人应及时下达暂停设计指示。</w:t>
      </w:r>
    </w:p>
    <w:p w14:paraId="560B7BC9">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因发包人原因引起的暂停设计，发包人应承担由此增加的设计费用和（或）延长的设计周期。</w:t>
      </w:r>
    </w:p>
    <w:p w14:paraId="0BA6768B">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6.4.2 设计人原因引起的暂停设计</w:t>
      </w:r>
    </w:p>
    <w:p w14:paraId="0BEFAB23">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27D5858B">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6.4.3 其他原因引起的暂停设计</w:t>
      </w:r>
    </w:p>
    <w:p w14:paraId="7E471FA9">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当出现非设计人原因造成的暂停设计，设计人应当尽快向发包人发出书面通知。</w:t>
      </w:r>
    </w:p>
    <w:p w14:paraId="192366E9">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在上述情形下设计人的设计服务暂停，设计人的设计周期应当相应延长，复工应有发包人与设计人共同确认的合理期限。</w:t>
      </w:r>
    </w:p>
    <w:p w14:paraId="7D4287CA">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当发生本项</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定的情况，导致设计人增加设计工作量的，发包人应当另行支付相应设计费用。</w:t>
      </w:r>
    </w:p>
    <w:p w14:paraId="54D4EA47">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6.4.4 暂停设计后的复工</w:t>
      </w:r>
    </w:p>
    <w:p w14:paraId="003608FF">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暂停设计后，发包人和设计人应采取有效措施积极消除暂停设计的影响。当工程具备复工条件时，发包人向设计人发出复工通知，设计人应按照复工通知要求复工。</w:t>
      </w:r>
    </w:p>
    <w:p w14:paraId="74113E41">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除设计人原因导致暂停设计外，设计人暂停设计后复工所增加的设计工作量，发包人应当另行支付相应设计费用。</w:t>
      </w:r>
    </w:p>
    <w:p w14:paraId="6645BB26">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65" w:name="_Toc351203551"/>
      <w:r>
        <w:rPr>
          <w:rFonts w:hint="eastAsia" w:ascii="宋体" w:hAnsi="宋体" w:eastAsia="宋体" w:cs="宋体"/>
          <w:b w:val="0"/>
          <w:color w:val="auto"/>
          <w:sz w:val="21"/>
          <w:szCs w:val="21"/>
          <w:highlight w:val="none"/>
        </w:rPr>
        <w:t>6.5 提前</w:t>
      </w:r>
      <w:bookmarkEnd w:id="265"/>
      <w:r>
        <w:rPr>
          <w:rFonts w:hint="eastAsia" w:ascii="宋体" w:hAnsi="宋体" w:eastAsia="宋体" w:cs="宋体"/>
          <w:b w:val="0"/>
          <w:color w:val="auto"/>
          <w:sz w:val="21"/>
          <w:szCs w:val="21"/>
          <w:highlight w:val="none"/>
        </w:rPr>
        <w:t>交付工程设计文件</w:t>
      </w:r>
    </w:p>
    <w:p w14:paraId="507B6B40">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7A51B61F">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6.5.2 发包人要求设计人提前交付工程设计文件，或设计人提出提前交付工程设计文件的建议能够给发包人带来效益的，合同当事人可以在专用合同条款中约定提前交付工程设计文件的奖励。</w:t>
      </w:r>
    </w:p>
    <w:p w14:paraId="6844EA67">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bookmarkStart w:id="266" w:name="_Toc296503083"/>
      <w:bookmarkStart w:id="267" w:name="_Toc296346584"/>
      <w:r>
        <w:rPr>
          <w:rFonts w:hint="eastAsia" w:ascii="宋体" w:hAnsi="宋体" w:eastAsia="宋体" w:cs="宋体"/>
          <w:b w:val="0"/>
          <w:color w:val="auto"/>
          <w:sz w:val="21"/>
          <w:szCs w:val="21"/>
          <w:highlight w:val="none"/>
        </w:rPr>
        <w:t>7. 工程设计文件交付</w:t>
      </w:r>
    </w:p>
    <w:p w14:paraId="397CBDB9">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 工程设计文件交付的内容</w:t>
      </w:r>
    </w:p>
    <w:p w14:paraId="73489A1A">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7.1.1 工程设计图纸及设计说明。</w:t>
      </w:r>
    </w:p>
    <w:p w14:paraId="4EA5A02F">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7.1.2 发包人可以要求设计人提交专用合同条款约定的具体形式的</w:t>
      </w:r>
      <w:r>
        <w:rPr>
          <w:rFonts w:hint="eastAsia" w:ascii="宋体" w:hAnsi="宋体" w:eastAsia="宋体" w:cs="宋体"/>
          <w:color w:val="auto"/>
          <w:sz w:val="21"/>
          <w:szCs w:val="21"/>
          <w:highlight w:val="none"/>
        </w:rPr>
        <w:t>电子版设计文件</w:t>
      </w:r>
      <w:r>
        <w:rPr>
          <w:rFonts w:hint="eastAsia" w:ascii="宋体" w:hAnsi="宋体" w:eastAsia="宋体" w:cs="宋体"/>
          <w:color w:val="auto"/>
          <w:kern w:val="0"/>
          <w:sz w:val="21"/>
          <w:szCs w:val="21"/>
          <w:highlight w:val="none"/>
        </w:rPr>
        <w:t>。</w:t>
      </w:r>
    </w:p>
    <w:p w14:paraId="72A76887">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7.2 工程设计文件的交付方式</w:t>
      </w:r>
    </w:p>
    <w:p w14:paraId="15660F92">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设计人交付工程设计文件给发包人，发包人应当出具书面签收单，内容包括图纸名称、图纸内容、图纸形式、份数、提交和签收日期、提交人与接收人的亲笔签名。</w:t>
      </w:r>
    </w:p>
    <w:p w14:paraId="7B26637F">
      <w:pPr>
        <w:pStyle w:val="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7.3 工程设计文件交付的时间和份数</w:t>
      </w:r>
    </w:p>
    <w:p w14:paraId="1E62DB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工程设计文件交付的名称、时间和份数在专用合同条款附件3中约定。</w:t>
      </w:r>
    </w:p>
    <w:p w14:paraId="214E4F00">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 工程设计文件审查</w:t>
      </w:r>
    </w:p>
    <w:p w14:paraId="427D75CB">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设计人的工程设计文件应报发包人审查同意。审查的范围和内容在发包人要求中约定。审查的具体标准应符合法律规定、技术标准要求和本合同约定。</w:t>
      </w:r>
    </w:p>
    <w:p w14:paraId="0873500D">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w:t>
      </w:r>
      <w:r>
        <w:rPr>
          <w:rFonts w:hint="eastAsia" w:ascii="宋体" w:hAnsi="宋体" w:eastAsia="宋体" w:cs="宋体"/>
          <w:color w:val="auto"/>
          <w:sz w:val="21"/>
          <w:szCs w:val="21"/>
          <w:highlight w:val="none"/>
          <w:lang w:eastAsia="zh-CN"/>
        </w:rPr>
        <w:t>对期限</w:t>
      </w:r>
      <w:r>
        <w:rPr>
          <w:rFonts w:hint="eastAsia" w:ascii="宋体" w:hAnsi="宋体" w:eastAsia="宋体" w:cs="宋体"/>
          <w:color w:val="auto"/>
          <w:sz w:val="21"/>
          <w:szCs w:val="21"/>
          <w:highlight w:val="none"/>
        </w:rPr>
        <w:t>另有约定外，自发包人收到设计人的工程设计文件以及设计人的通知之日起，发包人对设计人的工程设计文件审查期不超过15天。</w:t>
      </w:r>
    </w:p>
    <w:p w14:paraId="48088175">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发包人不同意工程设计文件的，应以书面形式通知设计人，并说明不符合合同要求的具体内容。设计人应根据发包人的书面说明，对工程设计文件进行修改后重新报送发包人审查，审查期重新起算。</w:t>
      </w:r>
    </w:p>
    <w:p w14:paraId="3B206660">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合同约定的审查期满，发包人没有做出审查结论也没有提出异议的，视为设计人的工程设计文件已获发包人同意。</w:t>
      </w:r>
    </w:p>
    <w:p w14:paraId="1E4E004A">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5E384FF4">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工程</w:t>
      </w:r>
      <w:r>
        <w:rPr>
          <w:rStyle w:val="58"/>
          <w:rFonts w:hint="eastAsia" w:ascii="宋体" w:hAnsi="宋体" w:eastAsia="宋体" w:cs="宋体"/>
          <w:vanish/>
          <w:color w:val="auto"/>
          <w:sz w:val="21"/>
          <w:szCs w:val="21"/>
          <w:highlight w:val="none"/>
        </w:rPr>
        <w:t>（</w:t>
      </w:r>
      <w:r>
        <w:rPr>
          <w:rFonts w:hint="eastAsia" w:ascii="宋体" w:hAnsi="宋体" w:eastAsia="宋体" w:cs="宋体"/>
          <w:color w:val="auto"/>
          <w:sz w:val="21"/>
          <w:szCs w:val="21"/>
          <w:highlight w:val="none"/>
        </w:rPr>
        <w:t>设计文件需政府有关部门审查或批准的，发包人应在审查同意设计人的工程设计文件后在专用合同条款约定的期限内，向政府有关部门报送工程设计文件，设计人应予以协助。</w:t>
      </w:r>
    </w:p>
    <w:p w14:paraId="5251B97C">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5A98AE91">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0A846BD5">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设计人按第7条〔工程设计</w:t>
      </w:r>
      <w:r>
        <w:rPr>
          <w:rFonts w:hint="eastAsia" w:ascii="宋体" w:hAnsi="宋体" w:eastAsia="宋体" w:cs="宋体"/>
          <w:color w:val="auto"/>
          <w:sz w:val="21"/>
          <w:szCs w:val="21"/>
          <w:highlight w:val="none"/>
          <w:lang w:eastAsia="zh-CN"/>
        </w:rPr>
        <w:t>文件交付</w:t>
      </w:r>
      <w:r>
        <w:rPr>
          <w:rFonts w:hint="eastAsia" w:ascii="宋体" w:hAnsi="宋体" w:eastAsia="宋体" w:cs="宋体"/>
          <w:color w:val="auto"/>
          <w:sz w:val="21"/>
          <w:szCs w:val="21"/>
          <w:highlight w:val="none"/>
        </w:rPr>
        <w:t>〕的约定向发包人提交工程设计文件，有义务参加发包人组织的设计审查会议，向审查者介绍、解答、解释其工程设计文件，并提供有关补充资料。</w:t>
      </w:r>
    </w:p>
    <w:p w14:paraId="7BE3D7E5">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发包人有义务向设计人提供设计审查会议的批准文件和纪要。设计人有义务按照相关设计审查会议批准的文件和纪要，并依据合同约定及相关技术标准，对工程设计文件进行修改、补充和完善。</w:t>
      </w:r>
    </w:p>
    <w:p w14:paraId="2D71D17D">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 因设计人原因，未能按第7条〔工程设计</w:t>
      </w:r>
      <w:r>
        <w:rPr>
          <w:rFonts w:hint="eastAsia" w:ascii="宋体" w:hAnsi="宋体" w:eastAsia="宋体" w:cs="宋体"/>
          <w:color w:val="auto"/>
          <w:sz w:val="21"/>
          <w:szCs w:val="21"/>
          <w:highlight w:val="none"/>
          <w:lang w:eastAsia="zh-CN"/>
        </w:rPr>
        <w:t>文件交付</w:t>
      </w:r>
      <w:r>
        <w:rPr>
          <w:rFonts w:hint="eastAsia" w:ascii="宋体" w:hAnsi="宋体" w:eastAsia="宋体" w:cs="宋体"/>
          <w:color w:val="auto"/>
          <w:sz w:val="21"/>
          <w:szCs w:val="21"/>
          <w:highlight w:val="none"/>
        </w:rPr>
        <w:t>〕约定的时间向发包人提交工程设计文件，致使工程设计文件审查无法进行或无法按期进行，造成设计周期延长、窝工损失及发包人增加费用的，设计人应</w:t>
      </w:r>
      <w:r>
        <w:rPr>
          <w:rFonts w:hint="eastAsia" w:ascii="宋体" w:hAnsi="宋体" w:eastAsia="宋体" w:cs="宋体"/>
          <w:color w:val="auto"/>
          <w:kern w:val="0"/>
          <w:sz w:val="21"/>
          <w:szCs w:val="21"/>
          <w:highlight w:val="none"/>
        </w:rPr>
        <w:t>按第14.2款〔设计人违约责任〕的约定承担责任</w:t>
      </w:r>
      <w:r>
        <w:rPr>
          <w:rFonts w:hint="eastAsia" w:ascii="宋体" w:hAnsi="宋体" w:eastAsia="宋体" w:cs="宋体"/>
          <w:color w:val="auto"/>
          <w:sz w:val="21"/>
          <w:szCs w:val="21"/>
          <w:highlight w:val="none"/>
        </w:rPr>
        <w:t>。</w:t>
      </w:r>
    </w:p>
    <w:p w14:paraId="40C86F92">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因发包人原因，致使工程设计文件审查无法进行或无法按期进行，造成设计周期延长、窝工损失及设计人增加的费用，由发包人承担。</w:t>
      </w:r>
    </w:p>
    <w:p w14:paraId="18541DCC">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8.6 </w:t>
      </w:r>
      <w:r>
        <w:rPr>
          <w:rFonts w:hint="eastAsia" w:ascii="宋体" w:hAnsi="宋体" w:eastAsia="宋体" w:cs="宋体"/>
          <w:color w:val="auto"/>
          <w:kern w:val="0"/>
          <w:sz w:val="21"/>
          <w:szCs w:val="21"/>
          <w:highlight w:val="none"/>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7FE8739F">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因发包人原因造成工程设计文件不合格致使工程设计文件审查无法通过的，由此增加的设计费用和（或）延长的设计周期由发包人承担。</w:t>
      </w:r>
    </w:p>
    <w:p w14:paraId="7E1884D5">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8.7 工程设计文件的审查，不减轻或免除设计人依据法律应当承担的责任。</w:t>
      </w:r>
    </w:p>
    <w:p w14:paraId="5B6784CD">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 施工现场配合服务</w:t>
      </w:r>
    </w:p>
    <w:p w14:paraId="5FAF73B6">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 除专用合同条款另有约定外，发包人应为设计人派赴现场的工作人员提供工作、生活及交通等方面的便利条件。</w:t>
      </w:r>
    </w:p>
    <w:p w14:paraId="0B430C37">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48054947">
      <w:pPr>
        <w:pStyle w:val="5"/>
        <w:keepNext w:val="0"/>
        <w:keepLines w:val="0"/>
        <w:pageBreakBefore w:val="0"/>
        <w:wordWrap/>
        <w:overflowPunct/>
        <w:topLinePunct w:val="0"/>
        <w:autoSpaceDE w:val="0"/>
        <w:autoSpaceDN w:val="0"/>
        <w:bidi w:val="0"/>
        <w:spacing w:line="360" w:lineRule="auto"/>
        <w:ind w:firstLine="420" w:firstLineChars="200"/>
        <w:rPr>
          <w:rFonts w:hint="eastAsia" w:ascii="宋体" w:hAnsi="宋体" w:eastAsia="宋体" w:cs="宋体"/>
          <w:b w:val="0"/>
          <w:color w:val="auto"/>
          <w:sz w:val="21"/>
          <w:szCs w:val="21"/>
          <w:highlight w:val="none"/>
        </w:rPr>
      </w:pPr>
      <w:bookmarkStart w:id="268" w:name="_Toc351203567"/>
      <w:r>
        <w:rPr>
          <w:rFonts w:hint="eastAsia" w:ascii="宋体" w:hAnsi="宋体" w:eastAsia="宋体" w:cs="宋体"/>
          <w:b w:val="0"/>
          <w:color w:val="auto"/>
          <w:sz w:val="21"/>
          <w:szCs w:val="21"/>
          <w:highlight w:val="none"/>
        </w:rPr>
        <w:t>10. 合同价款与支付</w:t>
      </w:r>
    </w:p>
    <w:p w14:paraId="5394FB6A">
      <w:pPr>
        <w:pStyle w:val="6"/>
        <w:keepNext w:val="0"/>
        <w:keepLines w:val="0"/>
        <w:pageBreakBefore w:val="0"/>
        <w:wordWrap/>
        <w:overflowPunct/>
        <w:topLinePunct w:val="0"/>
        <w:autoSpaceDE w:val="0"/>
        <w:autoSpaceDN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color w:val="auto"/>
          <w:sz w:val="21"/>
          <w:szCs w:val="21"/>
          <w:highlight w:val="none"/>
        </w:rPr>
        <w:t>10.1 合同价款组成</w:t>
      </w:r>
    </w:p>
    <w:p w14:paraId="33C82112">
      <w:pPr>
        <w:pStyle w:val="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4"/>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发包人和设计人应当在专用合同条款附件6中明确约定合同价款各组成部分的具体数额</w:t>
      </w:r>
      <w:r>
        <w:rPr>
          <w:rFonts w:hint="eastAsia" w:ascii="宋体" w:hAnsi="宋体" w:eastAsia="宋体" w:cs="宋体"/>
          <w:b w:val="0"/>
          <w:bCs w:val="0"/>
          <w:color w:val="auto"/>
          <w:kern w:val="0"/>
          <w:sz w:val="21"/>
          <w:szCs w:val="21"/>
          <w:highlight w:val="none"/>
          <w:lang w:eastAsia="zh-CN"/>
        </w:rPr>
        <w:t>，主要包括：</w:t>
      </w:r>
    </w:p>
    <w:p w14:paraId="717820B9">
      <w:pPr>
        <w:pStyle w:val="6"/>
        <w:keepNext w:val="0"/>
        <w:keepLines w:val="0"/>
        <w:pageBreakBefore w:val="0"/>
        <w:wordWrap/>
        <w:overflowPunct/>
        <w:topLinePunct w:val="0"/>
        <w:autoSpaceDE w:val="0"/>
        <w:autoSpaceDN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（1）工程设计基本服务费用</w:t>
      </w:r>
      <w:r>
        <w:rPr>
          <w:rFonts w:hint="eastAsia" w:ascii="宋体" w:hAnsi="宋体" w:eastAsia="宋体" w:cs="宋体"/>
          <w:b w:val="0"/>
          <w:bCs w:val="0"/>
          <w:color w:val="auto"/>
          <w:kern w:val="0"/>
          <w:sz w:val="21"/>
          <w:szCs w:val="21"/>
          <w:highlight w:val="none"/>
          <w:lang w:eastAsia="zh-CN"/>
        </w:rPr>
        <w:t>；</w:t>
      </w:r>
    </w:p>
    <w:p w14:paraId="55F84ABC">
      <w:pPr>
        <w:pStyle w:val="6"/>
        <w:keepNext w:val="0"/>
        <w:keepLines w:val="0"/>
        <w:pageBreakBefore w:val="0"/>
        <w:wordWrap/>
        <w:overflowPunct/>
        <w:topLinePunct w:val="0"/>
        <w:autoSpaceDE w:val="0"/>
        <w:autoSpaceDN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（2）工程设计其他服务费用</w:t>
      </w:r>
      <w:r>
        <w:rPr>
          <w:rFonts w:hint="eastAsia" w:ascii="宋体" w:hAnsi="宋体" w:eastAsia="宋体" w:cs="宋体"/>
          <w:b w:val="0"/>
          <w:bCs w:val="0"/>
          <w:color w:val="auto"/>
          <w:kern w:val="0"/>
          <w:sz w:val="21"/>
          <w:szCs w:val="21"/>
          <w:highlight w:val="none"/>
          <w:lang w:eastAsia="zh-CN"/>
        </w:rPr>
        <w:t>；</w:t>
      </w:r>
    </w:p>
    <w:p w14:paraId="37DD3BEC">
      <w:pPr>
        <w:pageBreakBefore w:val="0"/>
        <w:wordWrap/>
        <w:overflowPunct/>
        <w:topLinePunct w:val="0"/>
        <w:autoSpaceDE w:val="0"/>
        <w:autoSpaceDN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在未签订合同前发包人已经同意或接受或已经使用的设计人为发包人所做的各项工作的相应费用</w:t>
      </w:r>
      <w:r>
        <w:rPr>
          <w:rFonts w:hint="eastAsia" w:ascii="宋体" w:hAnsi="宋体" w:eastAsia="宋体" w:cs="宋体"/>
          <w:color w:val="auto"/>
          <w:kern w:val="0"/>
          <w:sz w:val="21"/>
          <w:szCs w:val="21"/>
          <w:highlight w:val="none"/>
          <w:lang w:eastAsia="zh-CN"/>
        </w:rPr>
        <w:t>等。</w:t>
      </w:r>
    </w:p>
    <w:p w14:paraId="0E4B127A">
      <w:pPr>
        <w:pStyle w:val="6"/>
        <w:keepNext w:val="0"/>
        <w:keepLines w:val="0"/>
        <w:pageBreakBefore w:val="0"/>
        <w:wordWrap/>
        <w:overflowPunct/>
        <w:topLinePunct w:val="0"/>
        <w:autoSpaceDE w:val="0"/>
        <w:autoSpaceDN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10.2 合同价格形式</w:t>
      </w:r>
    </w:p>
    <w:p w14:paraId="5FBD975B">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发包人和设计人应在合同协议书中选择下列一种合同价格形式： </w:t>
      </w:r>
    </w:p>
    <w:p w14:paraId="3601E2BD">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w:t>
      </w:r>
    </w:p>
    <w:p w14:paraId="5A68EC9D">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eastAsia="宋体" w:cs="宋体"/>
          <w:color w:val="auto"/>
          <w:sz w:val="21"/>
          <w:szCs w:val="21"/>
          <w:highlight w:val="none"/>
        </w:rPr>
        <w:t>在约定的范围内合同单价不作调整</w:t>
      </w:r>
      <w:r>
        <w:rPr>
          <w:rFonts w:hint="eastAsia" w:ascii="宋体" w:hAnsi="宋体" w:eastAsia="宋体" w:cs="宋体"/>
          <w:color w:val="auto"/>
          <w:kern w:val="0"/>
          <w:sz w:val="21"/>
          <w:szCs w:val="21"/>
          <w:highlight w:val="none"/>
        </w:rPr>
        <w:t>。合同当事人应在专用合同条款中约定单价包含的风险范围和风险费用的计算方法</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并约定风险范围以外的合同价格的调整方法。</w:t>
      </w:r>
    </w:p>
    <w:p w14:paraId="1B6C7562">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w:t>
      </w:r>
    </w:p>
    <w:p w14:paraId="764DB5CF">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总价合同是指合同当事人约定以发包人提供的上一阶段工程设计文件及有关条件进行合同价格计算、调整和确认的建设工程设计合同，</w:t>
      </w:r>
      <w:r>
        <w:rPr>
          <w:rFonts w:hint="eastAsia" w:ascii="宋体" w:hAnsi="宋体" w:eastAsia="宋体" w:cs="宋体"/>
          <w:color w:val="auto"/>
          <w:sz w:val="21"/>
          <w:szCs w:val="21"/>
          <w:highlight w:val="none"/>
        </w:rPr>
        <w:t>在约定的范围内合同总价不作调整</w:t>
      </w:r>
      <w:r>
        <w:rPr>
          <w:rFonts w:hint="eastAsia" w:ascii="宋体" w:hAnsi="宋体" w:eastAsia="宋体" w:cs="宋体"/>
          <w:color w:val="auto"/>
          <w:kern w:val="0"/>
          <w:sz w:val="21"/>
          <w:szCs w:val="21"/>
          <w:highlight w:val="none"/>
        </w:rPr>
        <w:t>。合同当事人应在专用合同条款中约定总价包含的风险范围和风险费用的计算方法，并约定风险范围以外的合同价格的调整方法。</w:t>
      </w:r>
    </w:p>
    <w:p w14:paraId="60F9FFEB">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（3）其它价格形式</w:t>
      </w:r>
    </w:p>
    <w:p w14:paraId="3582169B">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合同当事人可在专用合同条款中约定其他合同价格形式。</w:t>
      </w:r>
    </w:p>
    <w:p w14:paraId="72A2201F">
      <w:pPr>
        <w:pStyle w:val="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10.3 定金或预付款</w:t>
      </w:r>
    </w:p>
    <w:p w14:paraId="40958B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10.3.1 </w:t>
      </w:r>
      <w:r>
        <w:rPr>
          <w:rFonts w:hint="eastAsia" w:ascii="宋体" w:hAnsi="宋体" w:eastAsia="宋体" w:cs="宋体"/>
          <w:color w:val="auto"/>
          <w:kern w:val="0"/>
          <w:sz w:val="21"/>
          <w:szCs w:val="21"/>
          <w:highlight w:val="none"/>
        </w:rPr>
        <w:t>定金或预付款的比例</w:t>
      </w:r>
    </w:p>
    <w:p w14:paraId="50ECC4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定金的比例不应超过合同总价款的20%。预付款的比例由发包人与设计人协商确定，一般不低于合同总价款的20%。</w:t>
      </w:r>
    </w:p>
    <w:p w14:paraId="54BEF8DD">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10.3.2 定金或预付款的支付</w:t>
      </w:r>
    </w:p>
    <w:p w14:paraId="31039B4E">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定金或预付款的支付按照专用合同条款约定执行，但最迟应在开始设计通知载明的开始设计日期前专用合同条款约定的期限内支付。</w:t>
      </w:r>
    </w:p>
    <w:p w14:paraId="7F3A6F9B">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721600BD">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10.4 进度款支付</w:t>
      </w:r>
    </w:p>
    <w:p w14:paraId="6413F27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10.4.1 发包人应当按照专用合同条款附件</w:t>
      </w: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约定的付款条件及时向设计人支付进度款。</w:t>
      </w:r>
    </w:p>
    <w:p w14:paraId="3EBD10CB">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10.4.2 进度付款的修正</w:t>
      </w:r>
    </w:p>
    <w:p w14:paraId="1D8C96EB">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在对已付进度款进行汇总和复核中发现错误、遗漏或重复的，发包人和设计人均有权提出修正申请。经发包人和设计人同意的修正，应在下期进度付款中支付或扣除。</w:t>
      </w:r>
    </w:p>
    <w:p w14:paraId="24821FE8">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10.5 合同价款的结算与支付</w:t>
      </w:r>
    </w:p>
    <w:p w14:paraId="381D21F8">
      <w:pPr>
        <w:pageBreakBefore w:val="0"/>
        <w:wordWrap/>
        <w:overflowPunct/>
        <w:topLinePunct w:val="0"/>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10.5.1 对于采取固定总价形式的合同，发包人应当按照专用合同条款附件6的约定及时支付尾款。</w:t>
      </w:r>
    </w:p>
    <w:p w14:paraId="1FD4D05B">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10.5.2 对于采取固定单价形式的合同，发包人与设计人应当按照专用合同条款附件6约定的结算方式及时结清工程设计费，并将结清未支付的款项一次性支付给设计人。</w:t>
      </w:r>
    </w:p>
    <w:p w14:paraId="6273D696">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10.5.3 对于采取其他价格形式的，也应按专用合同条款的约定及时结算和支付。</w:t>
      </w:r>
    </w:p>
    <w:p w14:paraId="3D6CA86B">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10.6 支付账户</w:t>
      </w:r>
    </w:p>
    <w:p w14:paraId="314674C7">
      <w:pPr>
        <w:pageBreakBefore w:val="0"/>
        <w:wordWrap/>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发包人应将合同价款支付至合同协议书中约定的设计人账户。</w:t>
      </w:r>
    </w:p>
    <w:p w14:paraId="17B163C7">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 工程设计变更与索赔</w:t>
      </w:r>
    </w:p>
    <w:p w14:paraId="39E174ED">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发包人变更工程设计的内容、规模、功能、条件等，应当向设计人提供书面要求，设计人在不违反法律规定以及技术标准强制性规定的前提下应当按照发包人要求变更工程设计。</w:t>
      </w:r>
    </w:p>
    <w:p w14:paraId="19A65674">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发包人变更工程设计的内容、规模、功能、条件或因提交的设计资料存在错误或作较大修改时，发包人应按设计人所耗工作量向设计人增付设计费，设计人可按本条约定和专用合同条款附件7的</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定，与发包人协商对合同价格和/或完工时间做可共同接受的修改。</w:t>
      </w:r>
    </w:p>
    <w:p w14:paraId="3DDF12EE">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11.3 </w:t>
      </w:r>
      <w:r>
        <w:rPr>
          <w:rFonts w:hint="eastAsia" w:ascii="宋体" w:hAnsi="宋体" w:eastAsia="宋体" w:cs="宋体"/>
          <w:color w:val="auto"/>
          <w:sz w:val="21"/>
          <w:szCs w:val="21"/>
          <w:highlight w:val="none"/>
        </w:rPr>
        <w:t>如果由于发包人要求更改而造成的项目复杂性的变更或性质的变更使得设计人的设计工作减少，发包人</w:t>
      </w:r>
      <w:r>
        <w:rPr>
          <w:rFonts w:hint="eastAsia" w:ascii="宋体" w:hAnsi="宋体" w:eastAsia="宋体" w:cs="宋体"/>
          <w:color w:val="auto"/>
          <w:kern w:val="0"/>
          <w:sz w:val="21"/>
          <w:szCs w:val="21"/>
          <w:highlight w:val="none"/>
        </w:rPr>
        <w:t>可按本条约定和专用合同条款附件7的</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定，与设计人协商对合同价格和/或完工时间做可共同接受的修改。</w:t>
      </w:r>
    </w:p>
    <w:p w14:paraId="0AFACA52">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基准日期后，与工程设计服务有关的法律、技术标准的强制性规定的颁布及修改，由此增加的设计费用和（或）延长的设计周期由发包人承担。</w:t>
      </w:r>
    </w:p>
    <w:p w14:paraId="36129FA6">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 如果发生设计人认为有理由提出增加合同价款或延长设计周期的要求事项，除专用合同条款</w:t>
      </w:r>
      <w:r>
        <w:rPr>
          <w:rFonts w:hint="eastAsia" w:ascii="宋体" w:hAnsi="宋体" w:eastAsia="宋体" w:cs="宋体"/>
          <w:color w:val="auto"/>
          <w:kern w:val="0"/>
          <w:sz w:val="21"/>
          <w:szCs w:val="21"/>
          <w:highlight w:val="none"/>
          <w:lang w:eastAsia="zh-CN"/>
        </w:rPr>
        <w:t>对期限</w:t>
      </w:r>
      <w:r>
        <w:rPr>
          <w:rFonts w:hint="eastAsia" w:ascii="宋体" w:hAnsi="宋体" w:eastAsia="宋体" w:cs="宋体"/>
          <w:color w:val="auto"/>
          <w:kern w:val="0"/>
          <w:sz w:val="21"/>
          <w:szCs w:val="21"/>
          <w:highlight w:val="none"/>
        </w:rPr>
        <w:t>另有约定外，设计人应于该事项发生后5天内书面通知发包人。除专用合同条款</w:t>
      </w:r>
      <w:r>
        <w:rPr>
          <w:rFonts w:hint="eastAsia" w:ascii="宋体" w:hAnsi="宋体" w:eastAsia="宋体" w:cs="宋体"/>
          <w:color w:val="auto"/>
          <w:kern w:val="0"/>
          <w:sz w:val="21"/>
          <w:szCs w:val="21"/>
          <w:highlight w:val="none"/>
          <w:lang w:eastAsia="zh-CN"/>
        </w:rPr>
        <w:t>对期限</w:t>
      </w:r>
      <w:r>
        <w:rPr>
          <w:rFonts w:hint="eastAsia" w:ascii="宋体" w:hAnsi="宋体" w:eastAsia="宋体" w:cs="宋体"/>
          <w:color w:val="auto"/>
          <w:kern w:val="0"/>
          <w:sz w:val="21"/>
          <w:szCs w:val="21"/>
          <w:highlight w:val="none"/>
        </w:rPr>
        <w:t>另有约定外，在该事项发生后</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天内，设计人应向发包人提供证明设计人要求的书面声明，其中包括设计人关于因该事项引起的合同价款和设计周期的变化的详细计算。除专用合同条款</w:t>
      </w:r>
      <w:r>
        <w:rPr>
          <w:rFonts w:hint="eastAsia" w:ascii="宋体" w:hAnsi="宋体" w:eastAsia="宋体" w:cs="宋体"/>
          <w:color w:val="auto"/>
          <w:kern w:val="0"/>
          <w:sz w:val="21"/>
          <w:szCs w:val="21"/>
          <w:highlight w:val="none"/>
          <w:lang w:eastAsia="zh-CN"/>
        </w:rPr>
        <w:t>对期限</w:t>
      </w:r>
      <w:r>
        <w:rPr>
          <w:rFonts w:hint="eastAsia" w:ascii="宋体" w:hAnsi="宋体" w:eastAsia="宋体" w:cs="宋体"/>
          <w:color w:val="auto"/>
          <w:kern w:val="0"/>
          <w:sz w:val="21"/>
          <w:szCs w:val="21"/>
          <w:highlight w:val="none"/>
        </w:rPr>
        <w:t>另有约定外，发包人应在接到设计人书面声明后的5天内，予以书面答复。逾期未答复的，视为发包人同意设计人关于增加合同价款或延长设计周期的要求。</w:t>
      </w:r>
    </w:p>
    <w:p w14:paraId="7D42AE97">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12. 专业责任与保险</w:t>
      </w:r>
    </w:p>
    <w:p w14:paraId="2CF5CCAB">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设计人应运用一切合理的专业技术和经验知识，按照公认的职业标准尽其全部职责和谨慎、勤勉地履行其在本合同项下的责任和义务。</w:t>
      </w:r>
    </w:p>
    <w:p w14:paraId="2B1CFD5C">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除专用合同条款另有约定外，设计人应具有发包人认可的、履行本合同所需要的工程设计责任保险并使其于合同责任期内保持有效。</w:t>
      </w:r>
    </w:p>
    <w:p w14:paraId="6CC2F4CA">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工程设计责任保险应承担由于设计人的疏忽或过失而引发的工程质量事故所造成的建设工程本身的物质损失以及第三者人身伤亡、财产损失或费用的赔偿责任。</w:t>
      </w:r>
    </w:p>
    <w:p w14:paraId="36CBEC4A">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 知识产权</w:t>
      </w:r>
    </w:p>
    <w:p w14:paraId="35E3C0DF">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5F252065">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1233D55">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10699B5A">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合同当事人双方均有权在不损害对方利益和保密约定的前提下，在自己宣传用的印刷品或其他出版物上，或申报奖项时等情形下公布有关项目的文字和图片材料。</w:t>
      </w:r>
    </w:p>
    <w:p w14:paraId="4B696EEC">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除专用合同条款另有约定外，设计人在合同签订前和签订时已确定采用的专利、专有技术的使用费应包含在签约合同价中。</w:t>
      </w:r>
    </w:p>
    <w:bookmarkEnd w:id="266"/>
    <w:bookmarkEnd w:id="267"/>
    <w:bookmarkEnd w:id="268"/>
    <w:p w14:paraId="19DD6DDA">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bookmarkStart w:id="269" w:name="_Toc351203603"/>
      <w:bookmarkStart w:id="270" w:name="_Toc337558820"/>
      <w:r>
        <w:rPr>
          <w:rFonts w:hint="eastAsia" w:ascii="宋体" w:hAnsi="宋体" w:eastAsia="宋体" w:cs="宋体"/>
          <w:b w:val="0"/>
          <w:color w:val="auto"/>
          <w:sz w:val="21"/>
          <w:szCs w:val="21"/>
          <w:highlight w:val="none"/>
        </w:rPr>
        <w:t>14. 违约</w:t>
      </w:r>
      <w:bookmarkEnd w:id="269"/>
      <w:r>
        <w:rPr>
          <w:rFonts w:hint="eastAsia" w:ascii="宋体" w:hAnsi="宋体" w:eastAsia="宋体" w:cs="宋体"/>
          <w:b w:val="0"/>
          <w:color w:val="auto"/>
          <w:sz w:val="21"/>
          <w:szCs w:val="21"/>
          <w:highlight w:val="none"/>
        </w:rPr>
        <w:t>责任</w:t>
      </w:r>
    </w:p>
    <w:bookmarkEnd w:id="270"/>
    <w:p w14:paraId="6510099E">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71" w:name="_Toc296503129"/>
      <w:bookmarkStart w:id="272" w:name="_Toc296346630"/>
      <w:bookmarkStart w:id="273" w:name="_Toc351203604"/>
      <w:bookmarkStart w:id="274" w:name="_Toc337558821"/>
      <w:r>
        <w:rPr>
          <w:rFonts w:hint="eastAsia" w:ascii="宋体" w:hAnsi="宋体" w:eastAsia="宋体" w:cs="宋体"/>
          <w:b w:val="0"/>
          <w:color w:val="auto"/>
          <w:sz w:val="21"/>
          <w:szCs w:val="21"/>
          <w:highlight w:val="none"/>
        </w:rPr>
        <w:t>14.1 发</w:t>
      </w:r>
      <w:bookmarkEnd w:id="271"/>
      <w:bookmarkEnd w:id="272"/>
      <w:r>
        <w:rPr>
          <w:rFonts w:hint="eastAsia" w:ascii="宋体" w:hAnsi="宋体" w:eastAsia="宋体" w:cs="宋体"/>
          <w:b w:val="0"/>
          <w:color w:val="auto"/>
          <w:sz w:val="21"/>
          <w:szCs w:val="21"/>
          <w:highlight w:val="none"/>
        </w:rPr>
        <w:t>包人违约</w:t>
      </w:r>
      <w:bookmarkEnd w:id="273"/>
      <w:r>
        <w:rPr>
          <w:rFonts w:hint="eastAsia" w:ascii="宋体" w:hAnsi="宋体" w:eastAsia="宋体" w:cs="宋体"/>
          <w:b w:val="0"/>
          <w:color w:val="auto"/>
          <w:sz w:val="21"/>
          <w:szCs w:val="21"/>
          <w:highlight w:val="none"/>
        </w:rPr>
        <w:t>责任</w:t>
      </w:r>
    </w:p>
    <w:bookmarkEnd w:id="274"/>
    <w:p w14:paraId="5AA738D3">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35993CF3">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14.1.2 发包人未按专用合同条款附件6</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定的金额和期限向设计人支付设计费</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77822B73">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14.1.3 发包人的上级或设计审批部门对设计文件不进行审批或本合同工程停建、缓建，发包人应在事件发生之日起15天内按本合同第16条</w:t>
      </w:r>
      <w:r>
        <w:rPr>
          <w:rFonts w:hint="eastAsia" w:ascii="宋体" w:hAnsi="宋体" w:eastAsia="宋体" w:cs="宋体"/>
          <w:color w:val="auto"/>
          <w:sz w:val="21"/>
          <w:szCs w:val="21"/>
          <w:highlight w:val="none"/>
        </w:rPr>
        <w:t>〔合同解除〕</w:t>
      </w:r>
      <w:r>
        <w:rPr>
          <w:rFonts w:hint="eastAsia" w:ascii="宋体" w:hAnsi="宋体" w:eastAsia="宋体" w:cs="宋体"/>
          <w:color w:val="auto"/>
          <w:kern w:val="0"/>
          <w:sz w:val="21"/>
          <w:szCs w:val="21"/>
          <w:highlight w:val="none"/>
        </w:rPr>
        <w:t>的约定向设计人结算并支付设计费。</w:t>
      </w:r>
    </w:p>
    <w:p w14:paraId="303C1FDB">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14.1.4 发包人擅自将设计人的设计文件用于本工程以外的工程或交第三方使用时，应承担相应法律责任，并应赔偿设计人因此遭受的损失。</w:t>
      </w:r>
    </w:p>
    <w:p w14:paraId="7AD804E8">
      <w:pPr>
        <w:pStyle w:val="6"/>
        <w:keepNext w:val="0"/>
        <w:keepLines w:val="0"/>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75" w:name="_Toc351203605"/>
      <w:bookmarkStart w:id="276" w:name="_Toc296346632"/>
      <w:bookmarkStart w:id="277" w:name="_Toc296503131"/>
      <w:bookmarkStart w:id="278" w:name="_Toc337558822"/>
      <w:r>
        <w:rPr>
          <w:rFonts w:hint="eastAsia" w:ascii="宋体" w:hAnsi="宋体" w:eastAsia="宋体" w:cs="宋体"/>
          <w:b w:val="0"/>
          <w:color w:val="auto"/>
          <w:sz w:val="21"/>
          <w:szCs w:val="21"/>
          <w:highlight w:val="none"/>
        </w:rPr>
        <w:t>14.2 设计人违约</w:t>
      </w:r>
      <w:bookmarkEnd w:id="275"/>
      <w:r>
        <w:rPr>
          <w:rFonts w:hint="eastAsia" w:ascii="宋体" w:hAnsi="宋体" w:eastAsia="宋体" w:cs="宋体"/>
          <w:b w:val="0"/>
          <w:color w:val="auto"/>
          <w:sz w:val="21"/>
          <w:szCs w:val="21"/>
          <w:highlight w:val="none"/>
        </w:rPr>
        <w:t>责任</w:t>
      </w:r>
    </w:p>
    <w:bookmarkEnd w:id="276"/>
    <w:bookmarkEnd w:id="277"/>
    <w:bookmarkEnd w:id="278"/>
    <w:p w14:paraId="7E9AAC09">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14.2.1 合同生效后，设计人因自身原因要求终止或解除合同，设计人应按发包人已支付的定金金额双倍返还给发包人或设计人按照专用合同条款约定向发包人支付违约金。</w:t>
      </w:r>
    </w:p>
    <w:p w14:paraId="39EAC844">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14.2.2 由于设计人原因，未按专用合同条款附件3</w:t>
      </w:r>
      <w:r>
        <w:rPr>
          <w:rFonts w:hint="eastAsia" w:ascii="宋体" w:hAnsi="宋体" w:eastAsia="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定的时间交付工程设计文件的，应按专用合同条款的约定向发包人支付违约金，前述违约金经双方确认后可在发包人应付设计费中扣减。</w:t>
      </w:r>
    </w:p>
    <w:p w14:paraId="56DB7A69">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3F35C9BE">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14.2.4 由于设计人原因，工程设计文件超出发包人与设计人书面约定的主要技术指标控制值比例的，设计人应当按照专用合同条款的约定承担违约责任。</w:t>
      </w:r>
    </w:p>
    <w:p w14:paraId="62F83DAD">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14.2.5 设计人未经发包人同意擅自对工程设计进行分包的，发包人有权要求设计人解除未经发包人同意的设计分包合同，设计人应当按照专用合同条款的约定承担违约责任。</w:t>
      </w:r>
    </w:p>
    <w:p w14:paraId="39251E5C">
      <w:pPr>
        <w:pStyle w:val="5"/>
        <w:keepNext w:val="0"/>
        <w:keepLines w:val="0"/>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bookmarkStart w:id="279" w:name="_Toc351203607"/>
      <w:bookmarkStart w:id="280" w:name="_Toc296503116"/>
      <w:bookmarkStart w:id="281" w:name="_Toc296346617"/>
      <w:bookmarkStart w:id="282" w:name="_Toc337558823"/>
      <w:r>
        <w:rPr>
          <w:rFonts w:hint="eastAsia" w:ascii="宋体" w:hAnsi="宋体" w:eastAsia="宋体" w:cs="宋体"/>
          <w:b w:val="0"/>
          <w:color w:val="auto"/>
          <w:sz w:val="21"/>
          <w:szCs w:val="21"/>
          <w:highlight w:val="none"/>
        </w:rPr>
        <w:t>15. 不可抗力</w:t>
      </w:r>
      <w:bookmarkEnd w:id="279"/>
      <w:r>
        <w:rPr>
          <w:rFonts w:hint="eastAsia" w:ascii="宋体" w:hAnsi="宋体" w:eastAsia="宋体" w:cs="宋体"/>
          <w:b w:val="0"/>
          <w:color w:val="auto"/>
          <w:sz w:val="21"/>
          <w:szCs w:val="21"/>
          <w:highlight w:val="none"/>
        </w:rPr>
        <w:t xml:space="preserve"> </w:t>
      </w:r>
      <w:bookmarkEnd w:id="280"/>
      <w:bookmarkEnd w:id="281"/>
      <w:bookmarkEnd w:id="282"/>
    </w:p>
    <w:p w14:paraId="1FED1631">
      <w:pPr>
        <w:pStyle w:val="6"/>
        <w:keepNext w:val="0"/>
        <w:keepLines w:val="0"/>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bookmarkStart w:id="283" w:name="_Toc351203608"/>
      <w:bookmarkStart w:id="284" w:name="_Toc296346618"/>
      <w:bookmarkStart w:id="285" w:name="_Toc296503117"/>
      <w:bookmarkStart w:id="286" w:name="_Toc337558824"/>
      <w:r>
        <w:rPr>
          <w:rFonts w:hint="eastAsia" w:ascii="宋体" w:hAnsi="宋体" w:eastAsia="宋体" w:cs="宋体"/>
          <w:b w:val="0"/>
          <w:color w:val="auto"/>
          <w:sz w:val="21"/>
          <w:szCs w:val="21"/>
          <w:highlight w:val="none"/>
        </w:rPr>
        <w:t>15.1 不可抗力的确认</w:t>
      </w:r>
      <w:bookmarkEnd w:id="283"/>
    </w:p>
    <w:bookmarkEnd w:id="284"/>
    <w:bookmarkEnd w:id="285"/>
    <w:bookmarkEnd w:id="286"/>
    <w:p w14:paraId="2A8BCC5E">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C53DEE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0F8A0A10">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bCs w:val="0"/>
          <w:color w:val="auto"/>
          <w:kern w:val="0"/>
          <w:sz w:val="21"/>
          <w:szCs w:val="21"/>
          <w:highlight w:val="none"/>
        </w:rPr>
      </w:pPr>
      <w:bookmarkStart w:id="287" w:name="_Toc351203609"/>
      <w:bookmarkStart w:id="288" w:name="_Toc296346619"/>
      <w:bookmarkStart w:id="289" w:name="_Toc296503118"/>
      <w:bookmarkStart w:id="290" w:name="_Toc337558825"/>
      <w:r>
        <w:rPr>
          <w:rFonts w:hint="eastAsia" w:ascii="宋体" w:hAnsi="宋体" w:eastAsia="宋体" w:cs="宋体"/>
          <w:b w:val="0"/>
          <w:color w:val="auto"/>
          <w:sz w:val="21"/>
          <w:szCs w:val="21"/>
          <w:highlight w:val="none"/>
        </w:rPr>
        <w:t>15.2 不可抗力的通知</w:t>
      </w:r>
      <w:bookmarkEnd w:id="287"/>
    </w:p>
    <w:bookmarkEnd w:id="288"/>
    <w:bookmarkEnd w:id="289"/>
    <w:bookmarkEnd w:id="290"/>
    <w:p w14:paraId="5E2790F8">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合同一方当事人遇到不可抗力事件，使其履行合同义务受到阻碍时，应立即通知合同另一方当事人，书面说明不可抗力和受阻碍的详细情况，并在合理期限内提供必要的证明。</w:t>
      </w:r>
    </w:p>
    <w:p w14:paraId="092259F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不可抗力持续发生的，合同一方当事人应及时向合同另一方当事人提交中间报告，说明不可抗力和履行合同受阻的情况，并于不可抗力事件结束后28天内提交最终报告及有关资料。</w:t>
      </w:r>
    </w:p>
    <w:p w14:paraId="0D927F73">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291" w:name="_Toc351203610"/>
      <w:bookmarkStart w:id="292" w:name="_Toc296503119"/>
      <w:bookmarkStart w:id="293" w:name="_Toc296346620"/>
      <w:bookmarkStart w:id="294" w:name="_Toc337558826"/>
      <w:r>
        <w:rPr>
          <w:rFonts w:hint="eastAsia" w:ascii="宋体" w:hAnsi="宋体" w:eastAsia="宋体" w:cs="宋体"/>
          <w:b w:val="0"/>
          <w:color w:val="auto"/>
          <w:sz w:val="21"/>
          <w:szCs w:val="21"/>
          <w:highlight w:val="none"/>
        </w:rPr>
        <w:t>15.3 不可抗力后果的承担</w:t>
      </w:r>
      <w:bookmarkEnd w:id="291"/>
    </w:p>
    <w:bookmarkEnd w:id="292"/>
    <w:bookmarkEnd w:id="293"/>
    <w:bookmarkEnd w:id="294"/>
    <w:p w14:paraId="067D9348">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不可抗力引起的后果及造成的损失由合同当事人按照法律规定及合同约定各自承担。不可抗力发生前已完成的工程设计应当按照合同约定进行支付。</w:t>
      </w:r>
    </w:p>
    <w:p w14:paraId="022715D6">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不可抗力发生后，合同当事人均应采取措施尽量避免和减少损失的扩大，任何一方当事人没有采取有效措施导致损失扩大的，应对扩大的损失承担责任。</w:t>
      </w:r>
    </w:p>
    <w:p w14:paraId="2B9ACB48">
      <w:pPr>
        <w:pageBreakBefore w:val="0"/>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因合同一方迟延履行合同义务，在迟延履行期间遭遇不可抗力的，不免除其违约责任。</w:t>
      </w:r>
    </w:p>
    <w:p w14:paraId="3A60C97B">
      <w:pPr>
        <w:pStyle w:val="5"/>
        <w:pageBreakBefore w:val="0"/>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 合同解除</w:t>
      </w:r>
    </w:p>
    <w:p w14:paraId="4C9697D5">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发包人与设计人协商一致，可以解除合同。</w:t>
      </w:r>
    </w:p>
    <w:p w14:paraId="7F3CE0FA">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有下列情形之一的，</w:t>
      </w:r>
      <w:r>
        <w:rPr>
          <w:rFonts w:hint="eastAsia" w:ascii="宋体" w:hAnsi="宋体" w:eastAsia="宋体" w:cs="宋体"/>
          <w:color w:val="auto"/>
          <w:sz w:val="21"/>
          <w:szCs w:val="21"/>
          <w:highlight w:val="none"/>
          <w:lang w:eastAsia="zh-CN"/>
        </w:rPr>
        <w:t>合同当事人一方或双方</w:t>
      </w:r>
      <w:r>
        <w:rPr>
          <w:rFonts w:hint="eastAsia" w:ascii="宋体" w:hAnsi="宋体" w:eastAsia="宋体" w:cs="宋体"/>
          <w:color w:val="auto"/>
          <w:sz w:val="21"/>
          <w:szCs w:val="21"/>
          <w:highlight w:val="none"/>
        </w:rPr>
        <w:t>可以解除合同：</w:t>
      </w:r>
    </w:p>
    <w:p w14:paraId="0B835F2A">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（1）设计人工程设计文件存在重大质量问题，经发包人催告后,在合理期限内修改后仍不能满足国家现行深度要求或不能达到合同约定的设计质量要求的，发包人可以解除合同；</w:t>
      </w:r>
    </w:p>
    <w:p w14:paraId="7819CA83">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（2）发包人未按合同约定支付设计费用，经设计人催告后，在30天内仍未支付的，设计人可以解除合同；</w:t>
      </w:r>
    </w:p>
    <w:p w14:paraId="4079548D">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（3）暂停设计期限已连续超过180天，专用合同条款另有约定的除外；</w:t>
      </w:r>
    </w:p>
    <w:p w14:paraId="170DD5AF">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（4）因不可抗力致使合同无法履行；</w:t>
      </w:r>
    </w:p>
    <w:p w14:paraId="6A1D644D">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（5）因一方违约致使合同无法实际履行或实际履行已无必要；</w:t>
      </w:r>
    </w:p>
    <w:p w14:paraId="3D541C04">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（6）因本工程项目条件发生重大变化，使合同无法继续履行。</w:t>
      </w:r>
    </w:p>
    <w:p w14:paraId="5BFD057C">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任何一方因故需解除合同时，应提前30天书面通知对方，对合同中的遗留问题应取得一致意见并形成书面协议。</w:t>
      </w:r>
    </w:p>
    <w:p w14:paraId="7F6D5D90">
      <w:pPr>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合同解除后，发包人除应按</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rPr>
        <w:t>14.1.1</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的约定及专用合同条款约定期限内向设计人支付已完工作的设计费外，应当向设计人支付由于非设计人原因合同解除导致设计人增加的设计费用，违约一方应当承担相应的违约责任。</w:t>
      </w:r>
    </w:p>
    <w:p w14:paraId="062DA977">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color w:val="auto"/>
          <w:sz w:val="21"/>
          <w:szCs w:val="21"/>
          <w:highlight w:val="none"/>
        </w:rPr>
      </w:pPr>
      <w:bookmarkStart w:id="295" w:name="_Toc351203626"/>
      <w:bookmarkStart w:id="296" w:name="_Toc337558840"/>
      <w:bookmarkStart w:id="297" w:name="_Toc296346647"/>
      <w:bookmarkStart w:id="298" w:name="_Toc296503146"/>
      <w:r>
        <w:rPr>
          <w:rFonts w:hint="eastAsia" w:ascii="宋体" w:hAnsi="宋体" w:eastAsia="宋体" w:cs="宋体"/>
          <w:b w:val="0"/>
          <w:color w:val="auto"/>
          <w:sz w:val="21"/>
          <w:szCs w:val="21"/>
          <w:highlight w:val="none"/>
        </w:rPr>
        <w:t>17. 争议解决</w:t>
      </w:r>
      <w:bookmarkEnd w:id="295"/>
    </w:p>
    <w:bookmarkEnd w:id="296"/>
    <w:bookmarkEnd w:id="297"/>
    <w:bookmarkEnd w:id="298"/>
    <w:p w14:paraId="409CDEDD">
      <w:pPr>
        <w:pStyle w:val="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b w:val="0"/>
          <w:color w:val="auto"/>
          <w:sz w:val="21"/>
          <w:szCs w:val="21"/>
          <w:highlight w:val="none"/>
        </w:rPr>
      </w:pPr>
      <w:bookmarkStart w:id="299" w:name="_Toc351203627"/>
      <w:bookmarkStart w:id="300" w:name="_Toc337558841"/>
      <w:bookmarkStart w:id="301" w:name="_Toc296346648"/>
      <w:bookmarkStart w:id="302" w:name="_Toc296503147"/>
      <w:r>
        <w:rPr>
          <w:rFonts w:hint="eastAsia" w:ascii="宋体" w:hAnsi="宋体" w:eastAsia="宋体" w:cs="宋体"/>
          <w:b w:val="0"/>
          <w:color w:val="auto"/>
          <w:sz w:val="21"/>
          <w:szCs w:val="21"/>
          <w:highlight w:val="none"/>
        </w:rPr>
        <w:t>17.1 和解</w:t>
      </w:r>
      <w:bookmarkEnd w:id="299"/>
    </w:p>
    <w:bookmarkEnd w:id="300"/>
    <w:bookmarkEnd w:id="301"/>
    <w:bookmarkEnd w:id="302"/>
    <w:p w14:paraId="5AF6C5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合同当事人可以就争议自行和解，自行和解达成协议的经双方签字并盖章后作为合同补充文件，双方均应遵照执行。</w:t>
      </w:r>
    </w:p>
    <w:p w14:paraId="17BA32A3">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bookmarkStart w:id="303" w:name="_Toc351203628"/>
      <w:bookmarkStart w:id="304" w:name="_Toc296503148"/>
      <w:bookmarkStart w:id="305" w:name="_Toc296346649"/>
      <w:bookmarkStart w:id="306" w:name="_Toc337558842"/>
      <w:r>
        <w:rPr>
          <w:rFonts w:hint="eastAsia" w:ascii="宋体" w:hAnsi="宋体" w:eastAsia="宋体" w:cs="宋体"/>
          <w:bCs/>
          <w:color w:val="auto"/>
          <w:sz w:val="21"/>
          <w:szCs w:val="21"/>
          <w:highlight w:val="none"/>
        </w:rPr>
        <w:t>17.2 调解</w:t>
      </w:r>
      <w:bookmarkEnd w:id="303"/>
    </w:p>
    <w:bookmarkEnd w:id="304"/>
    <w:bookmarkEnd w:id="305"/>
    <w:bookmarkEnd w:id="306"/>
    <w:p w14:paraId="0F30703E">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合同当事人可以就争议请求相关行政主管部门、行业协会或其他第三方进行调解，调解达成协议的，经双方签字并盖章后作为合同补充文件，双方均应遵照执行。</w:t>
      </w:r>
    </w:p>
    <w:p w14:paraId="200B0A7A">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bookmarkStart w:id="307" w:name="_Toc351203629"/>
      <w:bookmarkStart w:id="308" w:name="_Toc296503149"/>
      <w:bookmarkStart w:id="309" w:name="_Toc296346650"/>
      <w:bookmarkStart w:id="310" w:name="_Toc337558843"/>
      <w:r>
        <w:rPr>
          <w:rFonts w:hint="eastAsia" w:ascii="宋体" w:hAnsi="宋体" w:eastAsia="宋体" w:cs="宋体"/>
          <w:bCs/>
          <w:color w:val="auto"/>
          <w:sz w:val="21"/>
          <w:szCs w:val="21"/>
          <w:highlight w:val="none"/>
        </w:rPr>
        <w:t>17.3 争议评审</w:t>
      </w:r>
      <w:bookmarkEnd w:id="307"/>
    </w:p>
    <w:bookmarkEnd w:id="308"/>
    <w:bookmarkEnd w:id="309"/>
    <w:bookmarkEnd w:id="310"/>
    <w:p w14:paraId="4851F51D">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合同当事人在专用合同条款中约定采取争议评审方式解决争议以及评审规则，并按下列约定执行： </w:t>
      </w:r>
    </w:p>
    <w:p w14:paraId="619E67F1">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17.3.1 争议评审小组的确定</w:t>
      </w:r>
    </w:p>
    <w:p w14:paraId="050AF79A">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43FA5508">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30611C3">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除专用合同条款另有约定外，评审所发生的费用由发包人和设计人各承担一半。</w:t>
      </w:r>
    </w:p>
    <w:p w14:paraId="777870F9">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争议评审小组的决定</w:t>
      </w:r>
    </w:p>
    <w:p w14:paraId="0E6CEF7D">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697426C0">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17.3.3 争议评审小组决定的效力</w:t>
      </w:r>
    </w:p>
    <w:p w14:paraId="00D608CB">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争议评审小组作出的书面决定经合同当事人签字确认后，对双方具有约束力，双方应遵照执行。</w:t>
      </w:r>
    </w:p>
    <w:p w14:paraId="2F490A80">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任何一方当事人不接受争议评审小组决定或不履行争议评审小组决定的，双方可选择采用其他争议解决方式。</w:t>
      </w:r>
    </w:p>
    <w:p w14:paraId="39172031">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bookmarkStart w:id="311" w:name="_Toc351203630"/>
      <w:bookmarkStart w:id="312" w:name="_Toc337558844"/>
      <w:bookmarkStart w:id="313" w:name="_Toc296346651"/>
      <w:bookmarkStart w:id="314" w:name="_Toc296503150"/>
      <w:r>
        <w:rPr>
          <w:rFonts w:hint="eastAsia" w:ascii="宋体" w:hAnsi="宋体" w:eastAsia="宋体" w:cs="宋体"/>
          <w:bCs/>
          <w:color w:val="auto"/>
          <w:sz w:val="21"/>
          <w:szCs w:val="21"/>
          <w:highlight w:val="none"/>
        </w:rPr>
        <w:t>17.4 仲裁或诉讼</w:t>
      </w:r>
      <w:bookmarkEnd w:id="311"/>
    </w:p>
    <w:bookmarkEnd w:id="312"/>
    <w:bookmarkEnd w:id="313"/>
    <w:bookmarkEnd w:id="314"/>
    <w:p w14:paraId="7591ED91">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因合同及合同有关事项产生的争议，合同当事人可以在专用合同条款中约定以下一种方式解决争议：</w:t>
      </w:r>
    </w:p>
    <w:p w14:paraId="0CE7DC45">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（1）向约定的仲裁委员会申请仲裁；</w:t>
      </w:r>
    </w:p>
    <w:p w14:paraId="715DEB83">
      <w:pPr>
        <w:pageBreakBefore w:val="0"/>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（2）向有管辖权的人民法院起诉。</w:t>
      </w:r>
    </w:p>
    <w:p w14:paraId="18CF7D84">
      <w:pPr>
        <w:pStyle w:val="6"/>
        <w:pageBreakBefore w:val="0"/>
        <w:wordWrap/>
        <w:overflowPunct/>
        <w:topLinePunct w:val="0"/>
        <w:bidi w:val="0"/>
        <w:spacing w:before="0" w:beforeLines="0" w:after="0" w:afterLines="0" w:line="360" w:lineRule="auto"/>
        <w:ind w:firstLine="420" w:firstLineChars="200"/>
        <w:rPr>
          <w:rFonts w:hint="eastAsia" w:ascii="宋体" w:hAnsi="宋体" w:eastAsia="宋体" w:cs="宋体"/>
          <w:b w:val="0"/>
          <w:color w:val="auto"/>
          <w:sz w:val="21"/>
          <w:szCs w:val="21"/>
          <w:highlight w:val="none"/>
        </w:rPr>
      </w:pPr>
      <w:bookmarkStart w:id="315" w:name="_Toc351203631"/>
      <w:bookmarkStart w:id="316" w:name="_Toc296503152"/>
      <w:bookmarkStart w:id="317" w:name="_Toc337558845"/>
      <w:bookmarkStart w:id="318" w:name="_Toc296346653"/>
      <w:r>
        <w:rPr>
          <w:rFonts w:hint="eastAsia" w:ascii="宋体" w:hAnsi="宋体" w:eastAsia="宋体" w:cs="宋体"/>
          <w:b w:val="0"/>
          <w:color w:val="auto"/>
          <w:sz w:val="21"/>
          <w:szCs w:val="21"/>
          <w:highlight w:val="none"/>
        </w:rPr>
        <w:t>17.5争议解决条款效力</w:t>
      </w:r>
      <w:bookmarkEnd w:id="315"/>
    </w:p>
    <w:bookmarkEnd w:id="316"/>
    <w:bookmarkEnd w:id="317"/>
    <w:bookmarkEnd w:id="318"/>
    <w:p w14:paraId="464F7D1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rPr>
        <w:t xml:space="preserve">合同有关争议解决的条款独立存在，合同的变更、解除、终止、无效或者被撤销均不影响其效力。 </w:t>
      </w:r>
      <w:r>
        <w:rPr>
          <w:rFonts w:hint="eastAsia" w:ascii="宋体" w:hAnsi="宋体" w:eastAsia="宋体" w:cs="宋体"/>
          <w:color w:val="auto"/>
          <w:sz w:val="21"/>
          <w:szCs w:val="21"/>
          <w:highlight w:val="none"/>
        </w:rPr>
        <w:br w:type="page"/>
      </w:r>
    </w:p>
    <w:p w14:paraId="55BE6526">
      <w:pPr>
        <w:pStyle w:val="2"/>
        <w:keepNext w:val="0"/>
        <w:keepLines w:val="0"/>
        <w:jc w:val="center"/>
        <w:outlineLvl w:val="1"/>
        <w:rPr>
          <w:rFonts w:hint="eastAsia" w:ascii="宋体" w:hAnsi="宋体" w:eastAsia="宋体" w:cs="宋体"/>
          <w:color w:val="auto"/>
          <w:sz w:val="30"/>
          <w:szCs w:val="30"/>
          <w:highlight w:val="none"/>
        </w:rPr>
      </w:pPr>
      <w:bookmarkStart w:id="319" w:name="_Toc389065257"/>
      <w:bookmarkStart w:id="320" w:name="_Toc21593"/>
      <w:bookmarkStart w:id="321" w:name="_Toc20942"/>
      <w:bookmarkStart w:id="322" w:name="_Toc25517"/>
      <w:r>
        <w:rPr>
          <w:rFonts w:hint="eastAsia" w:ascii="宋体" w:hAnsi="宋体" w:eastAsia="宋体" w:cs="宋体"/>
          <w:color w:val="auto"/>
          <w:sz w:val="30"/>
          <w:szCs w:val="30"/>
          <w:highlight w:val="none"/>
        </w:rPr>
        <w:t>第三部分</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专用合同条款</w:t>
      </w:r>
      <w:bookmarkEnd w:id="165"/>
      <w:bookmarkEnd w:id="166"/>
      <w:bookmarkEnd w:id="167"/>
      <w:bookmarkEnd w:id="319"/>
      <w:bookmarkEnd w:id="320"/>
      <w:bookmarkEnd w:id="321"/>
      <w:bookmarkEnd w:id="322"/>
    </w:p>
    <w:p w14:paraId="1ABF71C9">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1.一般约定</w:t>
      </w:r>
    </w:p>
    <w:p w14:paraId="72195602">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1.1词语定义与解释</w:t>
      </w:r>
    </w:p>
    <w:p w14:paraId="2C478A1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1.1.1合同</w:t>
      </w:r>
    </w:p>
    <w:p w14:paraId="1C20055E">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1.1.1.8其他合同文件包括：</w:t>
      </w:r>
      <w:r>
        <w:rPr>
          <w:rFonts w:hint="eastAsia" w:ascii="宋体" w:hAnsi="宋体" w:eastAsia="宋体" w:cs="宋体"/>
          <w:color w:val="auto"/>
          <w:sz w:val="21"/>
          <w:szCs w:val="21"/>
          <w:highlight w:val="none"/>
          <w:u w:val="none"/>
          <w:lang w:val="en-US" w:eastAsia="zh-CN"/>
        </w:rPr>
        <w:t>(1)合同协议书；(2)专用合同条款及其附件；(3)通用合同条款；(4)中标通知书;；(5)投标报价表；(6)采购需求；(7)其他合同文件</w:t>
      </w:r>
      <w:r>
        <w:rPr>
          <w:rFonts w:hint="eastAsia" w:ascii="宋体" w:hAnsi="宋体" w:eastAsia="宋体" w:cs="宋体"/>
          <w:color w:val="auto"/>
          <w:highlight w:val="none"/>
          <w:u w:val="none"/>
        </w:rPr>
        <w:t>。</w:t>
      </w:r>
    </w:p>
    <w:p w14:paraId="15C171B1">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rPr>
        <w:t>1.3法律</w:t>
      </w:r>
    </w:p>
    <w:p w14:paraId="34A37947">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相关的行业标准。</w:t>
      </w:r>
    </w:p>
    <w:p w14:paraId="28EDC634">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1.4技术标准</w:t>
      </w:r>
    </w:p>
    <w:p w14:paraId="2C5F102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1.4.1适用于工程的技术标准包括：</w:t>
      </w:r>
      <w:r>
        <w:rPr>
          <w:rFonts w:hint="eastAsia" w:ascii="宋体" w:hAnsi="宋体" w:eastAsia="宋体" w:cs="宋体"/>
          <w:color w:val="auto"/>
          <w:highlight w:val="none"/>
          <w:u w:val="single"/>
        </w:rPr>
        <w:t>现行国家及地方标准规范、规程和规定。</w:t>
      </w:r>
    </w:p>
    <w:p w14:paraId="2791F26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1.4.2国外技术标准原文版本和中文译本的提供方：</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29ECE232">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提供国外技术标准的名称：</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67AC587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提供国外技术标准的份数：</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1A6297A1">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提供国外技术标准的时间：</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4CD93A92">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提供国外技术标准的费用承担：</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6047675A">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4B140C41">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1.5合同文件的优先顺序</w:t>
      </w:r>
    </w:p>
    <w:p w14:paraId="022CA14B">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合同文件组成及优先顺序为：</w:t>
      </w:r>
      <w:r>
        <w:rPr>
          <w:rFonts w:hint="eastAsia" w:ascii="宋体" w:hAnsi="宋体" w:eastAsia="宋体" w:cs="宋体"/>
          <w:color w:val="auto"/>
          <w:highlight w:val="none"/>
          <w:u w:val="single"/>
        </w:rPr>
        <w:t></w:t>
      </w:r>
      <w:r>
        <w:rPr>
          <w:rFonts w:hint="eastAsia" w:ascii="宋体" w:hAnsi="宋体" w:eastAsia="宋体" w:cs="宋体"/>
          <w:color w:val="auto"/>
          <w:sz w:val="21"/>
          <w:szCs w:val="21"/>
          <w:highlight w:val="none"/>
          <w:u w:val="none"/>
          <w:lang w:val="en-US" w:eastAsia="zh-CN"/>
        </w:rPr>
        <w:t>(1)合同协议书；(2)专用合同条款及其附件；(3)通用合同条款；(4)中标通知书;；(5)投标报价表；(6)采购需求；(7)其他合同文件</w:t>
      </w:r>
      <w:r>
        <w:rPr>
          <w:rFonts w:hint="eastAsia" w:ascii="宋体" w:hAnsi="宋体" w:eastAsia="宋体" w:cs="宋体"/>
          <w:color w:val="auto"/>
          <w:highlight w:val="none"/>
          <w:u w:val="none"/>
        </w:rPr>
        <w:t>。</w:t>
      </w:r>
    </w:p>
    <w:p w14:paraId="57FC2D65">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1.6联络</w:t>
      </w:r>
    </w:p>
    <w:p w14:paraId="0DE95F56">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1.6.1发包人和设计人应当在</w:t>
      </w:r>
      <w:r>
        <w:rPr>
          <w:rFonts w:hint="eastAsia" w:ascii="宋体" w:hAnsi="宋体" w:eastAsia="宋体" w:cs="宋体"/>
          <w:color w:val="auto"/>
          <w:highlight w:val="none"/>
          <w:u w:val="single"/>
        </w:rPr>
        <w:t>7</w:t>
      </w:r>
      <w:r>
        <w:rPr>
          <w:rFonts w:hint="eastAsia" w:ascii="宋体" w:hAnsi="宋体" w:eastAsia="宋体" w:cs="宋体"/>
          <w:color w:val="auto"/>
          <w:highlight w:val="none"/>
        </w:rPr>
        <w:t>天内将与合同有关的通知、批准、证明、证书、指示、指令、要求、请求、同意、确定和决定等书面函件送达对方当事人。</w:t>
      </w:r>
    </w:p>
    <w:p w14:paraId="4295DD0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1.6.2发包人与设计人联系信息</w:t>
      </w:r>
    </w:p>
    <w:p w14:paraId="54654ED7">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发包人接收文件的地点：</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4649C91">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发包人指定的接收人为：</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51F1F50B">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发包人指定的联系电话及传真号码：</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42269BAA">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发包人指定的电子邮箱：。</w:t>
      </w:r>
    </w:p>
    <w:p w14:paraId="4330E417">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设计人接收文件的地点：</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6AC0FD24">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设计人指定的接收人为：</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59FDEDA9">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设计人指定的联系电话及传真号码：</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7F6D2B49">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设计人指定的电子邮箱：。</w:t>
      </w:r>
    </w:p>
    <w:p w14:paraId="748D2861">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1.8保密</w:t>
      </w:r>
    </w:p>
    <w:p w14:paraId="102DAC29">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保密期限：</w:t>
      </w:r>
      <w:r>
        <w:rPr>
          <w:rFonts w:hint="eastAsia" w:ascii="宋体" w:hAnsi="宋体" w:eastAsia="宋体" w:cs="宋体"/>
          <w:color w:val="auto"/>
          <w:highlight w:val="none"/>
          <w:u w:val="single"/>
        </w:rPr>
        <w:t>按设计使用年限。</w:t>
      </w:r>
    </w:p>
    <w:p w14:paraId="3D1CBF35">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2.发包人</w:t>
      </w:r>
    </w:p>
    <w:p w14:paraId="66A62A45">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2.1发包人一般义务</w:t>
      </w:r>
    </w:p>
    <w:p w14:paraId="6577E6FF">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2.1.3发包人其他义务：。</w:t>
      </w:r>
    </w:p>
    <w:p w14:paraId="0F4516A6">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2.2发包人代表</w:t>
      </w:r>
    </w:p>
    <w:p w14:paraId="65A868F7">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0FFDB56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5ADFC134">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5EC64E1">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1BB93807">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1DBD51B8">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62E24E3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4A9E68C3">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46723754">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发包人更换发包人代表的，应当提前天书面通知设计人。</w:t>
      </w:r>
    </w:p>
    <w:p w14:paraId="36D8EBF1">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2.3发包人决定</w:t>
      </w:r>
    </w:p>
    <w:p w14:paraId="015F6E0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2.3.2发包人应在</w:t>
      </w:r>
      <w:r>
        <w:rPr>
          <w:rFonts w:hint="eastAsia" w:ascii="宋体" w:hAnsi="宋体" w:eastAsia="宋体" w:cs="宋体"/>
          <w:color w:val="auto"/>
          <w:highlight w:val="none"/>
          <w:u w:val="single"/>
        </w:rPr>
        <w:t></w:t>
      </w:r>
      <w:r>
        <w:rPr>
          <w:rFonts w:hint="eastAsia" w:ascii="宋体" w:hAnsi="宋体" w:eastAsia="宋体" w:cs="宋体"/>
          <w:color w:val="auto"/>
          <w:highlight w:val="none"/>
        </w:rPr>
        <w:t>天内对设计人书面提出的事项作出书面决定。</w:t>
      </w:r>
    </w:p>
    <w:p w14:paraId="3AA469AA">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3.设计人</w:t>
      </w:r>
    </w:p>
    <w:p w14:paraId="600F0CC5">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3.1设计人一般义务</w:t>
      </w:r>
    </w:p>
    <w:p w14:paraId="228E0867">
      <w:pPr>
        <w:keepNext/>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3.1.1设计人</w:t>
      </w:r>
      <w:r>
        <w:rPr>
          <w:rFonts w:hint="eastAsia" w:ascii="宋体" w:hAnsi="宋体" w:eastAsia="宋体" w:cs="宋体"/>
          <w:color w:val="auto"/>
          <w:highlight w:val="none"/>
          <w:u w:val="single"/>
        </w:rPr>
        <w:t>需</w:t>
      </w:r>
      <w:r>
        <w:rPr>
          <w:rFonts w:hint="eastAsia" w:ascii="宋体" w:hAnsi="宋体" w:eastAsia="宋体" w:cs="宋体"/>
          <w:color w:val="auto"/>
          <w:highlight w:val="none"/>
        </w:rPr>
        <w:t>（需/不需）配合发包人办理有关许可、批准或备案手续。</w:t>
      </w:r>
    </w:p>
    <w:p w14:paraId="3FF94766">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3.1.3设计人其他义务：</w:t>
      </w:r>
    </w:p>
    <w:p w14:paraId="1CC1F310">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(1)设计人应按国家技术规范、标准、规程及发包人提出的设计要求进行工程设计，按合同规定的进度要求及时提交质量合格的设计文件，并对其负责。</w:t>
      </w:r>
    </w:p>
    <w:p w14:paraId="6F335C8C">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(2)设计人按本合同规定的内容、进度及份数向发包人交付资料及文件。</w:t>
      </w:r>
    </w:p>
    <w:p w14:paraId="5B2F28F2">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设计人交付设计资料及文件后，按规定参加有关设计审查，并根据审查结论负责对不超出原定范围的内容做必要调整补充。设计人不得以任何理由拒绝发包人提出对设计内容进行修改调整。设计人按合同规定时限交付设计资料及文件后，设计人配合发包人向有关单位进行设计交底、处理有关问题。</w:t>
      </w:r>
    </w:p>
    <w:p w14:paraId="7D4F5ECE">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(4)设计人应保护发包人的知识产权，不得向第三人泄露、转让发包人提交的产品图纸等技术经济资料。如发生以上情况并给发包人造成经济损失，发包人有权向设计人索赔。</w:t>
      </w:r>
    </w:p>
    <w:p w14:paraId="1ADC08DE">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(5)设计人不得擅自转让或以其他方式出让合同或合同的任何权益，设计人须视履行合同为本身的责任。</w:t>
      </w:r>
    </w:p>
    <w:p w14:paraId="6B8BFD03">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设计人提交的设计资料及文件如不符合合同要求的，设计人应及时认真修改，直至完全符合合同要求或发包人的修改要求，如因修改导致交付设计资料及文件延误的，设计人应承担延迟交付设计资料及文件的违约责任。</w:t>
      </w:r>
    </w:p>
    <w:p w14:paraId="4AB9DA18">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(7)设计人应免费为其他二次设计（如需）提供技术支持与服务，协助其通过政府有关部门的设计审查。</w:t>
      </w:r>
    </w:p>
    <w:p w14:paraId="5F98C70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(8)设计人应加强各专业设计过程中的协调统一工作，避免因设计质量原因而发生的设计变更。</w:t>
      </w:r>
    </w:p>
    <w:p w14:paraId="095DC488">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3.2项目负责人</w:t>
      </w:r>
    </w:p>
    <w:p w14:paraId="06AE0F92">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3.2.1项目负责人</w:t>
      </w:r>
    </w:p>
    <w:p w14:paraId="4E03D360">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51D68BCA">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执业资格及等级：</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8C81D95">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注册证书号：</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4DC932E7">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6D586966">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6838C81D">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55AA40D4">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设计人对项目负责人的授权范围如下：</w:t>
      </w:r>
      <w:r>
        <w:rPr>
          <w:rFonts w:hint="eastAsia" w:ascii="宋体" w:hAnsi="宋体" w:eastAsia="宋体" w:cs="宋体"/>
          <w:color w:val="auto"/>
          <w:highlight w:val="none"/>
          <w:u w:val="single"/>
        </w:rPr>
        <w:t>项目负责人所作出的任何承诺、保证、函件、签字、确认等均视为设计人的行为，均由设计人承担责任。主持本项目</w:t>
      </w:r>
      <w:r>
        <w:rPr>
          <w:rFonts w:hint="eastAsia" w:ascii="宋体" w:hAnsi="宋体" w:eastAsia="宋体" w:cs="宋体"/>
          <w:color w:val="auto"/>
          <w:highlight w:val="none"/>
          <w:u w:val="single"/>
          <w:lang w:val="en-US" w:eastAsia="zh-CN"/>
        </w:rPr>
        <w:t>方案设计（含估算）、</w:t>
      </w:r>
      <w:r>
        <w:rPr>
          <w:rFonts w:hint="eastAsia" w:ascii="宋体" w:hAnsi="宋体" w:eastAsia="宋体" w:cs="宋体"/>
          <w:color w:val="auto"/>
          <w:highlight w:val="none"/>
          <w:u w:val="single"/>
        </w:rPr>
        <w:t>初步设计阶段</w:t>
      </w:r>
      <w:r>
        <w:rPr>
          <w:rFonts w:hint="eastAsia" w:ascii="宋体" w:hAnsi="宋体" w:eastAsia="宋体" w:cs="宋体"/>
          <w:color w:val="auto"/>
          <w:highlight w:val="none"/>
          <w:u w:val="single"/>
          <w:lang w:val="en-US" w:eastAsia="zh-CN"/>
        </w:rPr>
        <w:t>全</w:t>
      </w:r>
      <w:r>
        <w:rPr>
          <w:rFonts w:hint="eastAsia" w:ascii="宋体" w:hAnsi="宋体" w:eastAsia="宋体" w:cs="宋体"/>
          <w:color w:val="auto"/>
          <w:highlight w:val="none"/>
          <w:u w:val="single"/>
        </w:rPr>
        <w:t>过程的质量控制、进度安排和各专业之间的协调沟通等与该项目有关的所有事项。</w:t>
      </w:r>
    </w:p>
    <w:p w14:paraId="0875D59D">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3.2.2设计人更换项目负责人的，应提前</w:t>
      </w:r>
      <w:r>
        <w:rPr>
          <w:rFonts w:hint="eastAsia" w:ascii="宋体" w:hAnsi="宋体" w:eastAsia="宋体" w:cs="宋体"/>
          <w:color w:val="auto"/>
          <w:highlight w:val="none"/>
          <w:u w:val="single"/>
        </w:rPr>
        <w:t>7</w:t>
      </w:r>
      <w:r>
        <w:rPr>
          <w:rFonts w:hint="eastAsia" w:ascii="宋体" w:hAnsi="宋体" w:eastAsia="宋体" w:cs="宋体"/>
          <w:color w:val="auto"/>
          <w:highlight w:val="none"/>
        </w:rPr>
        <w:t>天书面通知发包人。</w:t>
      </w:r>
    </w:p>
    <w:p w14:paraId="2E99A665">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设计人擅自更换项目负责人的违约责任：</w:t>
      </w:r>
      <w:r>
        <w:rPr>
          <w:rFonts w:hint="eastAsia" w:ascii="宋体" w:hAnsi="宋体" w:eastAsia="宋体" w:cs="宋体"/>
          <w:color w:val="auto"/>
          <w:highlight w:val="none"/>
          <w:u w:val="single"/>
        </w:rPr>
        <w:t>除不可抗因素外，不可擅自更换。如因设计人原因需更换项目负责人的，</w:t>
      </w:r>
      <w:r>
        <w:rPr>
          <w:rFonts w:hint="eastAsia" w:ascii="宋体" w:hAnsi="宋体" w:eastAsia="宋体" w:cs="宋体"/>
          <w:color w:val="auto"/>
          <w:highlight w:val="none"/>
          <w:u w:val="single"/>
          <w:lang w:val="en-US" w:eastAsia="zh-CN"/>
        </w:rPr>
        <w:t>需经发包人书面同意，并且</w:t>
      </w:r>
      <w:r>
        <w:rPr>
          <w:rFonts w:hint="eastAsia" w:ascii="宋体" w:hAnsi="宋体" w:eastAsia="宋体" w:cs="宋体"/>
          <w:color w:val="auto"/>
          <w:highlight w:val="none"/>
          <w:u w:val="single"/>
        </w:rPr>
        <w:t>替换人员资格</w:t>
      </w:r>
      <w:r>
        <w:rPr>
          <w:rFonts w:hint="eastAsia" w:ascii="宋体" w:hAnsi="宋体" w:eastAsia="宋体" w:cs="宋体"/>
          <w:color w:val="auto"/>
          <w:highlight w:val="none"/>
          <w:u w:val="single"/>
          <w:lang w:val="en-US" w:eastAsia="zh-CN"/>
        </w:rPr>
        <w:t>能力</w:t>
      </w:r>
      <w:r>
        <w:rPr>
          <w:rFonts w:hint="eastAsia" w:ascii="宋体" w:hAnsi="宋体" w:eastAsia="宋体" w:cs="宋体"/>
          <w:color w:val="auto"/>
          <w:highlight w:val="none"/>
          <w:u w:val="single"/>
        </w:rPr>
        <w:t>不得低于原项目负责人，</w:t>
      </w:r>
      <w:r>
        <w:rPr>
          <w:rFonts w:hint="eastAsia" w:ascii="宋体" w:hAnsi="宋体" w:eastAsia="宋体" w:cs="宋体"/>
          <w:color w:val="auto"/>
          <w:highlight w:val="none"/>
          <w:u w:val="single"/>
          <w:lang w:val="en-US" w:eastAsia="zh-CN"/>
        </w:rPr>
        <w:t>否则</w:t>
      </w:r>
      <w:r>
        <w:rPr>
          <w:rFonts w:hint="eastAsia" w:ascii="宋体" w:hAnsi="宋体" w:eastAsia="宋体" w:cs="宋体"/>
          <w:color w:val="auto"/>
          <w:highlight w:val="none"/>
          <w:u w:val="single"/>
        </w:rPr>
        <w:t>处违约金</w:t>
      </w:r>
      <w:r>
        <w:rPr>
          <w:rFonts w:hint="eastAsia" w:ascii="宋体" w:hAnsi="宋体" w:eastAsia="宋体" w:cs="宋体"/>
          <w:color w:val="auto"/>
          <w:highlight w:val="none"/>
          <w:u w:val="single"/>
          <w:lang w:val="en-US" w:eastAsia="zh-CN"/>
        </w:rPr>
        <w:t xml:space="preserve"> 5 </w:t>
      </w:r>
      <w:r>
        <w:rPr>
          <w:rFonts w:hint="eastAsia" w:ascii="宋体" w:hAnsi="宋体" w:eastAsia="宋体" w:cs="宋体"/>
          <w:color w:val="auto"/>
          <w:highlight w:val="none"/>
          <w:u w:val="single"/>
        </w:rPr>
        <w:t>万元整；情节严重的，发包人有权</w:t>
      </w:r>
      <w:r>
        <w:rPr>
          <w:rFonts w:hint="eastAsia" w:ascii="宋体" w:hAnsi="宋体" w:eastAsia="宋体" w:cs="宋体"/>
          <w:color w:val="auto"/>
          <w:highlight w:val="none"/>
          <w:u w:val="single"/>
          <w:lang w:val="en-US" w:eastAsia="zh-CN"/>
        </w:rPr>
        <w:t>单方</w:t>
      </w:r>
      <w:r>
        <w:rPr>
          <w:rFonts w:hint="eastAsia" w:ascii="宋体" w:hAnsi="宋体" w:eastAsia="宋体" w:cs="宋体"/>
          <w:color w:val="auto"/>
          <w:highlight w:val="none"/>
          <w:u w:val="single"/>
        </w:rPr>
        <w:t>解除合同，设计人承担违约责任。</w:t>
      </w:r>
    </w:p>
    <w:p w14:paraId="0F4DF0B1">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3.2.3设计人应在收到书面更换通知后</w:t>
      </w:r>
      <w:r>
        <w:rPr>
          <w:rFonts w:hint="eastAsia" w:ascii="宋体" w:hAnsi="宋体" w:eastAsia="宋体" w:cs="宋体"/>
          <w:color w:val="auto"/>
          <w:highlight w:val="none"/>
          <w:u w:val="single"/>
        </w:rPr>
        <w:t>7</w:t>
      </w:r>
      <w:r>
        <w:rPr>
          <w:rFonts w:hint="eastAsia" w:ascii="宋体" w:hAnsi="宋体" w:eastAsia="宋体" w:cs="宋体"/>
          <w:color w:val="auto"/>
          <w:highlight w:val="none"/>
        </w:rPr>
        <w:t>天内更换项目负责人。</w:t>
      </w:r>
    </w:p>
    <w:p w14:paraId="714AACAD">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设计人无正当理由拒绝更换项目负责人的违约责任：</w:t>
      </w:r>
      <w:r>
        <w:rPr>
          <w:rFonts w:hint="eastAsia" w:ascii="宋体" w:hAnsi="宋体" w:eastAsia="宋体" w:cs="宋体"/>
          <w:color w:val="auto"/>
          <w:highlight w:val="none"/>
          <w:u w:val="single"/>
        </w:rPr>
        <w:t>由设计人支付违约金</w:t>
      </w:r>
      <w:r>
        <w:rPr>
          <w:rFonts w:hint="eastAsia" w:ascii="宋体" w:hAnsi="宋体" w:eastAsia="宋体" w:cs="宋体"/>
          <w:color w:val="auto"/>
          <w:highlight w:val="none"/>
          <w:u w:val="single"/>
          <w:lang w:val="en-US" w:eastAsia="zh-CN"/>
        </w:rPr>
        <w:t xml:space="preserve"> 5 </w:t>
      </w:r>
      <w:r>
        <w:rPr>
          <w:rFonts w:hint="eastAsia" w:ascii="宋体" w:hAnsi="宋体" w:eastAsia="宋体" w:cs="宋体"/>
          <w:color w:val="auto"/>
          <w:highlight w:val="none"/>
          <w:u w:val="single"/>
        </w:rPr>
        <w:t>万元整；情节严重的，发包人有权</w:t>
      </w:r>
      <w:r>
        <w:rPr>
          <w:rFonts w:hint="eastAsia" w:ascii="宋体" w:hAnsi="宋体" w:eastAsia="宋体" w:cs="宋体"/>
          <w:color w:val="auto"/>
          <w:highlight w:val="none"/>
          <w:u w:val="single"/>
          <w:lang w:val="en-US" w:eastAsia="zh-CN"/>
        </w:rPr>
        <w:t>单方</w:t>
      </w:r>
      <w:r>
        <w:rPr>
          <w:rFonts w:hint="eastAsia" w:ascii="宋体" w:hAnsi="宋体" w:eastAsia="宋体" w:cs="宋体"/>
          <w:color w:val="auto"/>
          <w:highlight w:val="none"/>
          <w:u w:val="single"/>
        </w:rPr>
        <w:t>解除合同，设计人承担违约责任。</w:t>
      </w:r>
    </w:p>
    <w:p w14:paraId="48257F50">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3.3设计人人员</w:t>
      </w:r>
    </w:p>
    <w:p w14:paraId="0FF4C435">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3.3.1设计人提交项目管理机构及人员安排报告的期限</w:t>
      </w:r>
      <w:r>
        <w:rPr>
          <w:rFonts w:hint="eastAsia" w:ascii="宋体" w:hAnsi="宋体" w:eastAsia="宋体" w:cs="宋体"/>
          <w:color w:val="auto"/>
          <w:highlight w:val="none"/>
          <w:u w:val="single"/>
        </w:rPr>
        <w:t>按通用条款。</w:t>
      </w:r>
    </w:p>
    <w:p w14:paraId="03D4DDBE">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3.3.3设计人无正当理由拒绝撤换主要设计人员的违约责任：</w:t>
      </w:r>
      <w:r>
        <w:rPr>
          <w:rFonts w:hint="eastAsia" w:ascii="宋体" w:hAnsi="宋体" w:eastAsia="宋体" w:cs="宋体"/>
          <w:color w:val="auto"/>
          <w:highlight w:val="none"/>
          <w:u w:val="single"/>
        </w:rPr>
        <w:t>每发生一次处以每人每次人民币</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万元的违约金；情节严重的，发包人有权解除合同，设计人承担违约责任。</w:t>
      </w:r>
    </w:p>
    <w:p w14:paraId="0B84EC2A">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3.4设计分包</w:t>
      </w:r>
    </w:p>
    <w:p w14:paraId="6ABD2CC0">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3.4.1设计分包的一般约定</w:t>
      </w:r>
    </w:p>
    <w:p w14:paraId="22A6A03F">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禁止设计分包的工程包括：</w:t>
      </w:r>
      <w:r>
        <w:rPr>
          <w:rFonts w:hint="eastAsia" w:ascii="宋体" w:hAnsi="宋体" w:eastAsia="宋体" w:cs="宋体"/>
          <w:color w:val="auto"/>
          <w:highlight w:val="none"/>
          <w:u w:val="single"/>
        </w:rPr>
        <w:t>按通用条款执行。</w:t>
      </w:r>
    </w:p>
    <w:p w14:paraId="5194A25C">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主体结构、关键性工作的范围：</w:t>
      </w:r>
      <w:r>
        <w:rPr>
          <w:rFonts w:hint="eastAsia" w:ascii="宋体" w:hAnsi="宋体" w:eastAsia="宋体" w:cs="宋体"/>
          <w:color w:val="auto"/>
          <w:highlight w:val="none"/>
          <w:u w:val="single"/>
        </w:rPr>
        <w:t>按国家行业相关规定执行。</w:t>
      </w:r>
    </w:p>
    <w:p w14:paraId="7FA24AAA">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3.4.2设计分包的确定：允许分包的专业工程包括：</w:t>
      </w:r>
      <w:r>
        <w:rPr>
          <w:rFonts w:hint="eastAsia" w:ascii="宋体" w:hAnsi="宋体" w:eastAsia="宋体" w:cs="宋体"/>
          <w:color w:val="auto"/>
          <w:highlight w:val="none"/>
          <w:u w:val="single"/>
        </w:rPr>
        <w:t>不允许分包。</w:t>
      </w:r>
    </w:p>
    <w:p w14:paraId="16C23F06">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3.4.3设计人向发包人提交有关分包人资料包括：</w:t>
      </w:r>
      <w:r>
        <w:rPr>
          <w:rFonts w:hint="eastAsia" w:ascii="宋体" w:hAnsi="宋体" w:eastAsia="宋体" w:cs="宋体"/>
          <w:color w:val="auto"/>
          <w:highlight w:val="none"/>
          <w:u w:val="single"/>
        </w:rPr>
        <w:t>/</w:t>
      </w:r>
    </w:p>
    <w:p w14:paraId="229F1610">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3.4.4分包工程设计费支付方式：</w:t>
      </w:r>
      <w:r>
        <w:rPr>
          <w:rFonts w:hint="eastAsia" w:ascii="宋体" w:hAnsi="宋体" w:eastAsia="宋体" w:cs="宋体"/>
          <w:color w:val="auto"/>
          <w:highlight w:val="none"/>
          <w:u w:val="single"/>
        </w:rPr>
        <w:t>/</w:t>
      </w:r>
    </w:p>
    <w:p w14:paraId="7E874347">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3.5联合体</w:t>
      </w:r>
    </w:p>
    <w:p w14:paraId="22E2CC1E">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3.5.4发包人向联合体支付设计费用的方式：</w:t>
      </w:r>
      <w:r>
        <w:rPr>
          <w:rFonts w:hint="eastAsia" w:ascii="宋体" w:hAnsi="宋体" w:eastAsia="宋体" w:cs="宋体"/>
          <w:color w:val="auto"/>
          <w:highlight w:val="none"/>
          <w:u w:val="single"/>
        </w:rPr>
        <w:t>/</w:t>
      </w:r>
    </w:p>
    <w:p w14:paraId="73F3DD0B">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3.6履约担保</w:t>
      </w:r>
    </w:p>
    <w:p w14:paraId="10920A2B">
      <w:pPr>
        <w:widowControl w:val="0"/>
        <w:kinsoku/>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p w14:paraId="4808713B">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5.工程设计要求</w:t>
      </w:r>
    </w:p>
    <w:p w14:paraId="1A5C2F63">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5.1工程设计一般要求</w:t>
      </w:r>
    </w:p>
    <w:p w14:paraId="532A1EFF">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5.1.2.1工程设计的特殊标准或要求：</w:t>
      </w:r>
      <w:r>
        <w:rPr>
          <w:rFonts w:hint="eastAsia" w:ascii="宋体" w:hAnsi="宋体" w:eastAsia="宋体" w:cs="宋体"/>
          <w:color w:val="auto"/>
          <w:highlight w:val="none"/>
          <w:u w:val="single"/>
        </w:rPr>
        <w:t>(1)符合国家、省、市有关设计规范和技术规定，及上位规划要求。(2)紧扣叠彩区发展主线，以江东片区医美、漓江美谷为主题、立意明确、构思巧妙、表达规范，鼓励具有创造性、现代感与文化文创结合的思维与方法。(3)符合上位规划要求，规划设计总平面布局合理，功能区块分区明确，结构清晰、流线顺畅、联系便捷。(4)充分考虑周边主干道的整体风貌效应；(5)城市设计考虑整体城市的风貌设计，依托桂林山水环境，及周边的营造完整的能够体现地方建筑文脉与城市发展的城市空间；(6)合理考虑整个规划区域的建筑高度、建筑空间形象；</w:t>
      </w:r>
    </w:p>
    <w:p w14:paraId="2E702588">
      <w:pPr>
        <w:widowControl w:val="0"/>
        <w:kinsoku/>
        <w:snapToGrid/>
        <w:spacing w:line="360" w:lineRule="auto"/>
        <w:ind w:firstLine="0" w:firstLineChars="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(7)形成连续的统一性的场地景观，营建完善的室外空间、绿化休息系统。</w:t>
      </w:r>
    </w:p>
    <w:p w14:paraId="0260802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5.1.2.2工程设计适用的技术标准：</w:t>
      </w:r>
      <w:r>
        <w:rPr>
          <w:rFonts w:hint="eastAsia" w:ascii="宋体" w:hAnsi="宋体" w:eastAsia="宋体" w:cs="宋体"/>
          <w:color w:val="auto"/>
          <w:highlight w:val="none"/>
          <w:u w:val="single"/>
        </w:rPr>
        <w:t>（1）国家现行的设计规范；（2）国家现行的施工规范；（3）国家现行的验收规范；（4）国家现行的质量验评标准；（5）国家及地方现行施工验收及施工安全技术规范；（6）设计图纸明确的其他标准及规范；（7）国家、广西壮族自治区、桂林市颁布的其他标准及文件。在合同签署生效后，如果上述标准规范及文件作了修改或新的规范标准被颁布实施，则承包人应遵守上述修改后或颁布的规范标准。如本合同未列入，但适用于本工程的现行国家标准、规范同样适用。</w:t>
      </w:r>
    </w:p>
    <w:p w14:paraId="483B60E0">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5.1.2.4工程设计文件的主要技术指标控制值及比例：</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w:t>
      </w:r>
    </w:p>
    <w:p w14:paraId="1A311344">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5.3工程设计文件的要求</w:t>
      </w:r>
    </w:p>
    <w:p w14:paraId="78C80783">
      <w:pPr>
        <w:widowControl w:val="0"/>
        <w:kinsoku/>
        <w:snapToGrid/>
        <w:spacing w:line="360" w:lineRule="auto"/>
        <w:ind w:left="399" w:leftChars="19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5.3.3工程设计文件深度规定：</w:t>
      </w:r>
      <w:r>
        <w:rPr>
          <w:rFonts w:hint="eastAsia" w:ascii="宋体" w:hAnsi="宋体" w:eastAsia="宋体" w:cs="宋体"/>
          <w:color w:val="auto"/>
          <w:highlight w:val="none"/>
          <w:u w:val="single"/>
        </w:rPr>
        <w:t>（1）城市设计成果内容须符合设计任务书的有关要求和国家有关标准。（2）国土空间规划中的城市设计成果内容需满足相应国土空间规划的成果要求，其他内容可根据现实条件及工作需求，灵活采用多种形式，以更好地展示城市设计成果，便于规划建设管理人员使用和公众监督。</w:t>
      </w:r>
    </w:p>
    <w:p w14:paraId="0ABB4299">
      <w:pPr>
        <w:widowControl w:val="0"/>
        <w:kinsoku/>
        <w:snapToGrid/>
        <w:spacing w:line="360" w:lineRule="auto"/>
        <w:ind w:left="399" w:leftChars="19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5.3.5建筑物及其功能设施的合理使用寿命年限：</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w:t>
      </w:r>
    </w:p>
    <w:p w14:paraId="27282AFA">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6.工程设计进度与周期</w:t>
      </w:r>
    </w:p>
    <w:p w14:paraId="5E3104DB">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6.1工程设计进度计划</w:t>
      </w:r>
    </w:p>
    <w:p w14:paraId="47CFA6BF">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6.1.1工程设计进度计划的编制</w:t>
      </w:r>
    </w:p>
    <w:p w14:paraId="4CD20271">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合同当事人约定的工程设计进度计划提交的时间：</w:t>
      </w:r>
      <w:r>
        <w:rPr>
          <w:rFonts w:hint="eastAsia" w:ascii="宋体" w:hAnsi="宋体" w:eastAsia="宋体" w:cs="宋体"/>
          <w:color w:val="auto"/>
          <w:highlight w:val="none"/>
          <w:u w:val="single"/>
        </w:rPr>
        <w:t>合同签订</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u w:val="single"/>
        </w:rPr>
        <w:t>天内。</w:t>
      </w:r>
    </w:p>
    <w:p w14:paraId="7FD32060">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合同当事人约定的工程设计进度计划应包括的内容：</w:t>
      </w:r>
      <w:r>
        <w:rPr>
          <w:rFonts w:hint="eastAsia" w:ascii="宋体" w:hAnsi="宋体" w:eastAsia="宋体" w:cs="宋体"/>
          <w:color w:val="auto"/>
          <w:highlight w:val="none"/>
          <w:u w:val="single"/>
        </w:rPr>
        <w:t>按通用条款。</w:t>
      </w:r>
    </w:p>
    <w:p w14:paraId="3F193F5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6.1.2工程设计进度计划的修订</w:t>
      </w:r>
    </w:p>
    <w:p w14:paraId="77249E65">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发包人在收到工程设计进度计划后确认或提出修改意见的期限：</w:t>
      </w:r>
      <w:r>
        <w:rPr>
          <w:rFonts w:hint="eastAsia" w:ascii="宋体" w:hAnsi="宋体" w:eastAsia="宋体" w:cs="宋体"/>
          <w:color w:val="auto"/>
          <w:highlight w:val="none"/>
          <w:u w:val="single"/>
        </w:rPr>
        <w:t>7天。</w:t>
      </w:r>
    </w:p>
    <w:p w14:paraId="5763379A">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6.3工程设计进度延误</w:t>
      </w:r>
    </w:p>
    <w:p w14:paraId="6D9506E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6.3.1因发包人原因导致工程设计进度延误</w:t>
      </w:r>
    </w:p>
    <w:p w14:paraId="08408682">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（4）因发包人原因导致工程设计进度延误的其他情形：</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57536521">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设计人应在发生进度延误的情形后</w:t>
      </w:r>
      <w:r>
        <w:rPr>
          <w:rFonts w:hint="eastAsia" w:ascii="宋体" w:hAnsi="宋体" w:eastAsia="宋体" w:cs="宋体"/>
          <w:color w:val="auto"/>
          <w:highlight w:val="none"/>
          <w:u w:val="single"/>
        </w:rPr>
        <w:t>3</w:t>
      </w:r>
      <w:r>
        <w:rPr>
          <w:rFonts w:hint="eastAsia" w:ascii="宋体" w:hAnsi="宋体" w:eastAsia="宋体" w:cs="宋体"/>
          <w:color w:val="auto"/>
          <w:highlight w:val="none"/>
        </w:rPr>
        <w:t>天内向发包人发出要求延期的书面通知，在发生该情形后</w:t>
      </w:r>
      <w:r>
        <w:rPr>
          <w:rFonts w:hint="eastAsia" w:ascii="宋体" w:hAnsi="宋体" w:eastAsia="宋体" w:cs="宋体"/>
          <w:color w:val="auto"/>
          <w:highlight w:val="none"/>
          <w:u w:val="single"/>
        </w:rPr>
        <w:t>3</w:t>
      </w:r>
      <w:r>
        <w:rPr>
          <w:rFonts w:hint="eastAsia" w:ascii="宋体" w:hAnsi="宋体" w:eastAsia="宋体" w:cs="宋体"/>
          <w:color w:val="auto"/>
          <w:highlight w:val="none"/>
        </w:rPr>
        <w:t>天内提交要求延期的详细说明。</w:t>
      </w:r>
    </w:p>
    <w:p w14:paraId="541F5EE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发包人收到设计人要求延期的详细说明后，应在</w:t>
      </w:r>
      <w:r>
        <w:rPr>
          <w:rFonts w:hint="eastAsia" w:ascii="宋体" w:hAnsi="宋体" w:eastAsia="宋体" w:cs="宋体"/>
          <w:color w:val="auto"/>
          <w:highlight w:val="none"/>
          <w:u w:val="single"/>
        </w:rPr>
        <w:t>7</w:t>
      </w:r>
      <w:r>
        <w:rPr>
          <w:rFonts w:hint="eastAsia" w:ascii="宋体" w:hAnsi="宋体" w:eastAsia="宋体" w:cs="宋体"/>
          <w:color w:val="auto"/>
          <w:highlight w:val="none"/>
        </w:rPr>
        <w:t>天内进行审查并书面答复。</w:t>
      </w:r>
    </w:p>
    <w:p w14:paraId="11B8C8A7">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6.5提前交付工程设计文件</w:t>
      </w:r>
    </w:p>
    <w:p w14:paraId="2F438B3C">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6.5.2提前交付工程设计文件的奖励：</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20B79EF8">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7.工程设计文件交付</w:t>
      </w:r>
    </w:p>
    <w:p w14:paraId="2E7A296D">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7.1工程设计文件交付的内容</w:t>
      </w:r>
    </w:p>
    <w:p w14:paraId="61E721B3">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7.1.2发包人要求设计人提交电子版设计文件的具体形式为：</w:t>
      </w:r>
      <w:r>
        <w:rPr>
          <w:rFonts w:hint="eastAsia" w:ascii="宋体" w:hAnsi="宋体" w:eastAsia="宋体" w:cs="宋体"/>
          <w:color w:val="auto"/>
          <w:highlight w:val="none"/>
          <w:lang w:val="en-US" w:eastAsia="zh-CN"/>
        </w:rPr>
        <w:t>按发包人要求，电子文本采用CAD或PPT或pdf格式文件</w:t>
      </w:r>
      <w:r>
        <w:rPr>
          <w:rFonts w:hint="eastAsia" w:ascii="宋体" w:hAnsi="宋体" w:eastAsia="宋体" w:cs="宋体"/>
          <w:color w:val="auto"/>
          <w:highlight w:val="none"/>
          <w:u w:val="single"/>
        </w:rPr>
        <w:t>。</w:t>
      </w:r>
    </w:p>
    <w:p w14:paraId="38C68851">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发包人要求设计人提交</w:t>
      </w:r>
      <w:r>
        <w:rPr>
          <w:rFonts w:hint="eastAsia" w:ascii="宋体" w:hAnsi="宋体" w:eastAsia="宋体" w:cs="宋体"/>
          <w:color w:val="auto"/>
          <w:highlight w:val="none"/>
          <w:lang w:eastAsia="zh-CN"/>
        </w:rPr>
        <w:t>纸质版</w:t>
      </w:r>
      <w:r>
        <w:rPr>
          <w:rFonts w:hint="eastAsia" w:ascii="宋体" w:hAnsi="宋体" w:eastAsia="宋体" w:cs="宋体"/>
          <w:color w:val="auto"/>
          <w:highlight w:val="none"/>
        </w:rPr>
        <w:t>的具体形式为：城市设计方案文本（含图件），A3规格</w:t>
      </w:r>
      <w:r>
        <w:rPr>
          <w:rFonts w:hint="eastAsia" w:ascii="宋体" w:hAnsi="宋体" w:eastAsia="宋体" w:cs="宋体"/>
          <w:color w:val="auto"/>
          <w:highlight w:val="none"/>
          <w:u w:val="single"/>
        </w:rPr>
        <w:t>。</w:t>
      </w:r>
    </w:p>
    <w:p w14:paraId="0F36758F">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7.3工程设计文件交付的名称、时间和份数：纸质</w:t>
      </w:r>
      <w:r>
        <w:rPr>
          <w:rFonts w:hint="eastAsia" w:ascii="宋体" w:hAnsi="宋体" w:eastAsia="宋体" w:cs="宋体"/>
          <w:color w:val="auto"/>
          <w:highlight w:val="none"/>
          <w:lang w:eastAsia="zh-CN"/>
        </w:rPr>
        <w:t>陆</w:t>
      </w:r>
      <w:r>
        <w:rPr>
          <w:rFonts w:hint="eastAsia" w:ascii="宋体" w:hAnsi="宋体" w:eastAsia="宋体" w:cs="宋体"/>
          <w:color w:val="auto"/>
          <w:highlight w:val="none"/>
          <w:lang w:val="en-GB"/>
        </w:rPr>
        <w:t>套、</w:t>
      </w:r>
      <w:r>
        <w:rPr>
          <w:rFonts w:hint="eastAsia" w:ascii="宋体" w:hAnsi="宋体" w:eastAsia="宋体" w:cs="宋体"/>
          <w:color w:val="auto"/>
          <w:highlight w:val="none"/>
        </w:rPr>
        <w:t>电子版壹套。</w:t>
      </w:r>
    </w:p>
    <w:p w14:paraId="289E9EC2">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设计人完成设计成果文件并通过相关部门审查，且按7.1、7.2、7.3款交付给发包人之日为设计阶段完成日。发包人签收设计文件后的7日内，发包人应出具设计阶段完成证明；如发包人未在约定的期限内出具证明，视为发包人认可该设计阶段完成的日期。</w:t>
      </w:r>
    </w:p>
    <w:p w14:paraId="0D85B184">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工程竣工验收日为设计服务完成日。工程竣工验收后的7日内，发包人应出具设计服务完成证明。如发包人未在约定的期限内出具证明，视为发包人认可该设计服务阶段完成的日期。</w:t>
      </w:r>
    </w:p>
    <w:p w14:paraId="37E5C300">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8.工程设计文件审查</w:t>
      </w:r>
    </w:p>
    <w:p w14:paraId="17C398DD">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8.1发包人对设计人的设计文件审查期限不超过</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天。</w:t>
      </w:r>
    </w:p>
    <w:p w14:paraId="0532D7B8">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8.3发包人应在审查同意设计人的工程设计文件后在天内，向政府有关部门报送工程设计文件。</w:t>
      </w:r>
    </w:p>
    <w:p w14:paraId="0A778695">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8.4工程设计审查形式及时间安排：</w:t>
      </w:r>
      <w:r>
        <w:rPr>
          <w:rFonts w:hint="eastAsia" w:ascii="宋体" w:hAnsi="宋体" w:eastAsia="宋体" w:cs="宋体"/>
          <w:color w:val="auto"/>
          <w:highlight w:val="none"/>
          <w:u w:val="single"/>
        </w:rPr>
        <w:t>由发包人委托具有资质的第三方机构审查。</w:t>
      </w:r>
    </w:p>
    <w:p w14:paraId="462FBB3B">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9.施工现场配合服务</w:t>
      </w:r>
    </w:p>
    <w:p w14:paraId="71B6D669">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9.1发包人为设计人派赴现场的工作人员提供便利条件的内容包括：</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2EBC70C8">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10.合同价款与支付</w:t>
      </w:r>
    </w:p>
    <w:p w14:paraId="3411C608">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10.2合同价格形式</w:t>
      </w:r>
    </w:p>
    <w:p w14:paraId="59A2E261">
      <w:pPr>
        <w:widowControl w:val="0"/>
        <w:kinsoku/>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（3）合同价格形式：</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固定总价</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3B3FDBE">
      <w:pPr>
        <w:widowControl w:val="0"/>
        <w:kinsoku/>
        <w:spacing w:line="360" w:lineRule="auto"/>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.签约合同价为：人民币（大写</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元）。</w:t>
      </w:r>
    </w:p>
    <w:p w14:paraId="28B0D1F6">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（4）其他价格形式：</w:t>
      </w:r>
      <w:r>
        <w:rPr>
          <w:rFonts w:hint="eastAsia" w:ascii="宋体" w:hAnsi="宋体" w:eastAsia="宋体" w:cs="宋体"/>
          <w:color w:val="auto"/>
          <w:highlight w:val="none"/>
          <w:u w:val="single"/>
        </w:rPr>
        <w:t>无。</w:t>
      </w:r>
    </w:p>
    <w:p w14:paraId="0C64D99F">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10.3定金或预付款</w:t>
      </w:r>
    </w:p>
    <w:p w14:paraId="19C09A17">
      <w:pPr>
        <w:widowControl w:val="0"/>
        <w:kinsoku/>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10.3.1</w:t>
      </w:r>
      <w:r>
        <w:rPr>
          <w:rFonts w:hint="eastAsia" w:ascii="宋体" w:hAnsi="宋体" w:eastAsia="宋体" w:cs="宋体"/>
          <w:color w:val="auto"/>
          <w:highlight w:val="none"/>
          <w:lang w:val="en-US" w:eastAsia="zh-CN"/>
        </w:rPr>
        <w:t>定金或</w:t>
      </w:r>
      <w:r>
        <w:rPr>
          <w:rFonts w:hint="eastAsia" w:ascii="宋体" w:hAnsi="宋体" w:eastAsia="宋体" w:cs="宋体"/>
          <w:color w:val="auto"/>
          <w:highlight w:val="none"/>
        </w:rPr>
        <w:t>预付款的比例</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eastAsia="宋体" w:cs="宋体"/>
          <w:color w:val="auto"/>
          <w:highlight w:val="none"/>
          <w:u w:val="single"/>
          <w:lang w:val="en-US" w:eastAsia="zh-CN"/>
        </w:rPr>
        <w:t>。</w:t>
      </w:r>
    </w:p>
    <w:p w14:paraId="107EB67E">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10.3.2定金或预付款的支付</w:t>
      </w:r>
    </w:p>
    <w:p w14:paraId="64DB49D0">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预付款的支付时间：</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rPr>
        <w:t>。</w:t>
      </w:r>
    </w:p>
    <w:p w14:paraId="047E51E2">
      <w:pPr>
        <w:pStyle w:val="6"/>
        <w:widowControl w:val="0"/>
        <w:kinsoku/>
        <w:snapToGrid/>
        <w:spacing w:before="0" w:beforeLines="0" w:after="0" w:afterLines="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10.4进度款支付</w:t>
      </w:r>
    </w:p>
    <w:p w14:paraId="6D1630AA">
      <w:pPr>
        <w:pStyle w:val="147"/>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（1）自签订合同之日起15个工作日内支付合同金额的5%；</w:t>
      </w:r>
    </w:p>
    <w:p w14:paraId="088E611C">
      <w:pPr>
        <w:pStyle w:val="147"/>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（2）城市设计初稿提交，并通过发包人及城区政府同意，开始上报市规划主管部门时的15个工作日内支付同总金额的35%；</w:t>
      </w:r>
    </w:p>
    <w:p w14:paraId="4B9B0FEB">
      <w:pPr>
        <w:pStyle w:val="147"/>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（3）城市设计成果通过市相关规划部门初步审查，并出具初步审查意见后15个工作日内支付同总金额的30%；</w:t>
      </w:r>
    </w:p>
    <w:p w14:paraId="5BBC6A50">
      <w:pPr>
        <w:pStyle w:val="147"/>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（4）城市设计成果修改完善，相关规划部门审查合格并提交最终成果后15个工作日内支付合同金额的30%；</w:t>
      </w:r>
    </w:p>
    <w:p w14:paraId="699CD19F">
      <w:pPr>
        <w:pStyle w:val="147"/>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设计人每次申请款项时，应向发包人开具同等金额的增值税发票。</w:t>
      </w:r>
    </w:p>
    <w:p w14:paraId="2AAFCB04">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11.工程设计变更与索赔</w:t>
      </w:r>
    </w:p>
    <w:p w14:paraId="77075CAC">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11.5设计人应于认为有正当理由提出增加合同价款或延长设计周期的要求事项发生后</w:t>
      </w:r>
      <w:r>
        <w:rPr>
          <w:rFonts w:hint="eastAsia" w:ascii="宋体" w:hAnsi="宋体" w:eastAsia="宋体" w:cs="宋体"/>
          <w:color w:val="auto"/>
          <w:highlight w:val="none"/>
          <w:u w:val="single"/>
        </w:rPr>
        <w:t>7</w:t>
      </w:r>
      <w:r>
        <w:rPr>
          <w:rFonts w:hint="eastAsia" w:ascii="宋体" w:hAnsi="宋体" w:eastAsia="宋体" w:cs="宋体"/>
          <w:color w:val="auto"/>
          <w:highlight w:val="none"/>
        </w:rPr>
        <w:t>天内书面通知发包人。</w:t>
      </w:r>
    </w:p>
    <w:p w14:paraId="32EED63A">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设计人应在该事项发生后</w:t>
      </w:r>
      <w:r>
        <w:rPr>
          <w:rFonts w:hint="eastAsia" w:ascii="宋体" w:hAnsi="宋体" w:eastAsia="宋体" w:cs="宋体"/>
          <w:color w:val="auto"/>
          <w:highlight w:val="none"/>
          <w:u w:val="single"/>
        </w:rPr>
        <w:t>7</w:t>
      </w:r>
      <w:r>
        <w:rPr>
          <w:rFonts w:hint="eastAsia" w:ascii="宋体" w:hAnsi="宋体" w:eastAsia="宋体" w:cs="宋体"/>
          <w:color w:val="auto"/>
          <w:highlight w:val="none"/>
        </w:rPr>
        <w:t>天内向发包人提供证明设计人要求的书面声明。</w:t>
      </w:r>
    </w:p>
    <w:p w14:paraId="42EC081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发包人应在接到设计人书面声明后的</w:t>
      </w:r>
      <w:r>
        <w:rPr>
          <w:rFonts w:hint="eastAsia" w:ascii="宋体" w:hAnsi="宋体" w:eastAsia="宋体" w:cs="宋体"/>
          <w:color w:val="auto"/>
          <w:highlight w:val="none"/>
          <w:u w:val="single"/>
        </w:rPr>
        <w:t>7</w:t>
      </w:r>
      <w:r>
        <w:rPr>
          <w:rFonts w:hint="eastAsia" w:ascii="宋体" w:hAnsi="宋体" w:eastAsia="宋体" w:cs="宋体"/>
          <w:color w:val="auto"/>
          <w:highlight w:val="none"/>
        </w:rPr>
        <w:t>天内，予以书面答复。</w:t>
      </w:r>
    </w:p>
    <w:p w14:paraId="5CAD57A7">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12.专业责任与保险</w:t>
      </w:r>
    </w:p>
    <w:p w14:paraId="5A25504F">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12.2设计人不需有发包人认可的工程设计责任保险。</w:t>
      </w:r>
    </w:p>
    <w:p w14:paraId="044D7AD2">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13.知识产权</w:t>
      </w:r>
    </w:p>
    <w:p w14:paraId="28F74C13">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13.1关于发包人提供给设计人的图纸、发包人为实施工程自行编制或委托编制的技术规格以及反映发包人关于合同要求或其他类似性质的文件的著作权的归属：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auto"/>
          <w:highlight w:val="none"/>
          <w:u w:val="single"/>
        </w:rPr>
        <w:t>著作权属于发包人。</w:t>
      </w:r>
    </w:p>
    <w:p w14:paraId="6B565B96">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设计人可以为实现合同目的而复制、使用此类文件，但不能用于与合同无关的其他事项。未经发包人书面同意，设计人不得为了合同以外的目的而复制、使用上述文件或将之提供给任何第三方。</w:t>
      </w:r>
    </w:p>
    <w:p w14:paraId="16608F9C">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13.2关于设计人为实施工程所编制文件的著作权的归属：</w:t>
      </w:r>
      <w:r>
        <w:rPr>
          <w:rFonts w:hint="eastAsia" w:ascii="宋体" w:hAnsi="宋体" w:eastAsia="宋体" w:cs="宋体"/>
          <w:color w:val="auto"/>
          <w:highlight w:val="none"/>
          <w:u w:val="single"/>
        </w:rPr>
        <w:t>著作权属于设计人。</w:t>
      </w:r>
    </w:p>
    <w:p w14:paraId="7BB32372">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关于设计人提供的上述文件的使用限制的要求：</w:t>
      </w:r>
      <w:r>
        <w:rPr>
          <w:rFonts w:hint="eastAsia" w:ascii="宋体" w:hAnsi="宋体" w:eastAsia="宋体" w:cs="宋体"/>
          <w:color w:val="auto"/>
          <w:highlight w:val="none"/>
          <w:u w:val="single"/>
        </w:rPr>
        <w:t>发包人可因实施工程的规划、设计、施工、运行、调试、维修、改造等目的而复制、使用此类文件。</w:t>
      </w:r>
    </w:p>
    <w:p w14:paraId="118BB21E">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13.5设计人在设计过程中所采用的专利、专有技术的使用费的承担方式：</w:t>
      </w:r>
      <w:r>
        <w:rPr>
          <w:rFonts w:hint="eastAsia" w:ascii="宋体" w:hAnsi="宋体" w:eastAsia="宋体" w:cs="宋体"/>
          <w:color w:val="auto"/>
          <w:highlight w:val="none"/>
          <w:u w:val="single"/>
        </w:rPr>
        <w:t>由设计人承担。</w:t>
      </w:r>
    </w:p>
    <w:p w14:paraId="373DD915">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14.违约责任</w:t>
      </w:r>
    </w:p>
    <w:p w14:paraId="67FB5DA0">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14.1发包人违约责任</w:t>
      </w:r>
    </w:p>
    <w:p w14:paraId="5165D6E5">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14.1.1发包人支付设计人的违约金：</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5DDB7ABE">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14.1.2发包人逾期支付设计费的违约金：</w:t>
      </w:r>
      <w:r>
        <w:rPr>
          <w:rFonts w:hint="eastAsia" w:ascii="宋体" w:hAnsi="宋体" w:eastAsia="宋体" w:cs="宋体"/>
          <w:color w:val="auto"/>
          <w:highlight w:val="none"/>
          <w:u w:val="single"/>
        </w:rPr>
        <w:t>/。</w:t>
      </w:r>
    </w:p>
    <w:p w14:paraId="64F21696">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rPr>
        <w:t>14.2设计人违约责任</w:t>
      </w:r>
    </w:p>
    <w:p w14:paraId="213A16F6">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14.2.1设计人支付发包人的违约金：</w:t>
      </w:r>
      <w:r>
        <w:rPr>
          <w:rFonts w:hint="eastAsia" w:ascii="宋体" w:hAnsi="宋体" w:eastAsia="宋体" w:cs="宋体"/>
          <w:color w:val="auto"/>
          <w:highlight w:val="none"/>
          <w:u w:val="single"/>
        </w:rPr>
        <w:t>/%</w:t>
      </w:r>
    </w:p>
    <w:p w14:paraId="469629E9">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14.2.2设计人逾期交付工程设计文件的违约金：</w:t>
      </w:r>
      <w:r>
        <w:rPr>
          <w:rFonts w:hint="eastAsia" w:ascii="宋体" w:hAnsi="宋体" w:eastAsia="宋体" w:cs="宋体"/>
          <w:color w:val="auto"/>
          <w:highlight w:val="none"/>
          <w:u w:val="single"/>
        </w:rPr>
        <w:t>每逾期交付一天，应减收延误部分设计费的万分之</w:t>
      </w:r>
      <w:r>
        <w:rPr>
          <w:rFonts w:hint="eastAsia" w:ascii="宋体" w:hAnsi="宋体" w:eastAsia="宋体" w:cs="宋体"/>
          <w:color w:val="auto"/>
          <w:highlight w:val="none"/>
          <w:u w:val="single"/>
          <w:lang w:eastAsia="zh-CN"/>
        </w:rPr>
        <w:t>一</w:t>
      </w:r>
      <w:r>
        <w:rPr>
          <w:rFonts w:hint="eastAsia" w:ascii="宋体" w:hAnsi="宋体" w:eastAsia="宋体" w:cs="宋体"/>
          <w:color w:val="auto"/>
          <w:highlight w:val="none"/>
          <w:u w:val="single"/>
        </w:rPr>
        <w:t>的逾期违约金。</w:t>
      </w:r>
    </w:p>
    <w:p w14:paraId="58B6891F">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设计人逾期交付工程设计文件的违约金的上限：</w:t>
      </w:r>
      <w:r>
        <w:rPr>
          <w:rFonts w:hint="eastAsia" w:ascii="宋体" w:hAnsi="宋体" w:eastAsia="宋体" w:cs="宋体"/>
          <w:color w:val="auto"/>
          <w:highlight w:val="none"/>
          <w:lang w:val="en-US" w:eastAsia="zh-CN"/>
        </w:rPr>
        <w:t>本阶段</w:t>
      </w:r>
      <w:r>
        <w:rPr>
          <w:rFonts w:hint="eastAsia" w:ascii="宋体" w:hAnsi="宋体" w:eastAsia="宋体" w:cs="宋体"/>
          <w:color w:val="auto"/>
          <w:highlight w:val="none"/>
          <w:u w:val="single"/>
        </w:rPr>
        <w:t>合同价的</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w:t>
      </w:r>
    </w:p>
    <w:p w14:paraId="6EE7D3A2">
      <w:pPr>
        <w:widowControl w:val="0"/>
        <w:kinsoku/>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14.2.3设计人设计文件不合格的损失赔偿金的上限：</w:t>
      </w:r>
      <w:r>
        <w:rPr>
          <w:rFonts w:hint="eastAsia" w:ascii="宋体" w:hAnsi="宋体" w:eastAsia="宋体" w:cs="宋体"/>
          <w:color w:val="auto"/>
          <w:highlight w:val="none"/>
          <w:lang w:val="en-US" w:eastAsia="zh-CN"/>
        </w:rPr>
        <w:t>本阶段</w:t>
      </w:r>
      <w:r>
        <w:rPr>
          <w:rFonts w:hint="eastAsia" w:ascii="宋体" w:hAnsi="宋体" w:eastAsia="宋体" w:cs="宋体"/>
          <w:color w:val="auto"/>
          <w:highlight w:val="none"/>
          <w:u w:val="single"/>
        </w:rPr>
        <w:t>合同价的</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w:t>
      </w:r>
    </w:p>
    <w:p w14:paraId="42CB1310">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14.2.4设计人工程设计文件超出主要技术指标控制值比例的违约责任：</w:t>
      </w:r>
      <w:r>
        <w:rPr>
          <w:rFonts w:hint="eastAsia" w:ascii="宋体" w:hAnsi="宋体" w:eastAsia="宋体" w:cs="宋体"/>
          <w:color w:val="auto"/>
          <w:highlight w:val="none"/>
          <w:u w:val="single"/>
        </w:rPr>
        <w:t>无偿修改直至满足控制指标，增加设计工期按14.2.2延误处罚</w:t>
      </w:r>
    </w:p>
    <w:p w14:paraId="6CD28E7B">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14.2.5设计人未经发包人同意擅自对工程设计进行分包的违约责任：</w:t>
      </w:r>
      <w:r>
        <w:rPr>
          <w:rFonts w:hint="eastAsia" w:ascii="宋体" w:hAnsi="宋体" w:eastAsia="宋体" w:cs="宋体"/>
          <w:color w:val="auto"/>
          <w:highlight w:val="none"/>
          <w:u w:val="single"/>
        </w:rPr>
        <w:t>扣罚分包设计价款的</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w:t>
      </w:r>
    </w:p>
    <w:p w14:paraId="38A79170">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 w:val="0"/>
          <w:color w:val="auto"/>
          <w:szCs w:val="21"/>
          <w:highlight w:val="none"/>
          <w:lang w:eastAsia="zh-CN"/>
        </w:rPr>
      </w:pPr>
      <w:r>
        <w:rPr>
          <w:rFonts w:hint="eastAsia" w:ascii="宋体" w:hAnsi="宋体" w:eastAsia="宋体" w:cs="宋体"/>
          <w:bCs w:val="0"/>
          <w:color w:val="auto"/>
          <w:sz w:val="24"/>
          <w:szCs w:val="24"/>
          <w:highlight w:val="none"/>
        </w:rPr>
        <w:t>15.不可抗力</w:t>
      </w:r>
    </w:p>
    <w:p w14:paraId="6B971AA2">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15.1不可抗力的确认</w:t>
      </w:r>
    </w:p>
    <w:p w14:paraId="0970CEA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091980B5">
      <w:pPr>
        <w:widowControl w:val="0"/>
        <w:kinsoku/>
        <w:snapToGrid/>
        <w:spacing w:line="360"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16.合同解除</w:t>
      </w:r>
    </w:p>
    <w:p w14:paraId="03F164F5">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16.2有下列情形之一的，可以解除合同：</w:t>
      </w:r>
    </w:p>
    <w:p w14:paraId="1A076F33">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（3）暂停设计期限已连续超过</w:t>
      </w:r>
      <w:r>
        <w:rPr>
          <w:rFonts w:hint="eastAsia" w:ascii="宋体" w:hAnsi="宋体" w:eastAsia="宋体" w:cs="宋体"/>
          <w:color w:val="auto"/>
          <w:highlight w:val="none"/>
          <w:u w:val="single"/>
        </w:rPr>
        <w:t>15</w:t>
      </w:r>
      <w:r>
        <w:rPr>
          <w:rFonts w:hint="eastAsia" w:ascii="宋体" w:hAnsi="宋体" w:eastAsia="宋体" w:cs="宋体"/>
          <w:color w:val="auto"/>
          <w:highlight w:val="none"/>
        </w:rPr>
        <w:t>天。</w:t>
      </w:r>
    </w:p>
    <w:p w14:paraId="064004C4">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16.4发包人向设计人支付已完工作设计费的期限为</w:t>
      </w:r>
      <w:r>
        <w:rPr>
          <w:rFonts w:hint="eastAsia" w:ascii="宋体" w:hAnsi="宋体" w:eastAsia="宋体" w:cs="宋体"/>
          <w:color w:val="auto"/>
          <w:highlight w:val="none"/>
          <w:u w:val="single"/>
        </w:rPr>
        <w:t>30</w:t>
      </w:r>
      <w:r>
        <w:rPr>
          <w:rFonts w:hint="eastAsia" w:ascii="宋体" w:hAnsi="宋体" w:eastAsia="宋体" w:cs="宋体"/>
          <w:color w:val="auto"/>
          <w:highlight w:val="none"/>
        </w:rPr>
        <w:t>天内。</w:t>
      </w:r>
    </w:p>
    <w:p w14:paraId="6017E291">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17.争议解决</w:t>
      </w:r>
    </w:p>
    <w:p w14:paraId="35FCB225">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17.3争议评审</w:t>
      </w:r>
    </w:p>
    <w:p w14:paraId="050292B7">
      <w:pPr>
        <w:widowControl w:val="0"/>
        <w:kinsoku/>
        <w:snapToGrid/>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不同意。</w:t>
      </w:r>
    </w:p>
    <w:p w14:paraId="0943E068">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17.3.1争议评审小组的确定</w:t>
      </w:r>
    </w:p>
    <w:p w14:paraId="49704C1E">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p>
    <w:p w14:paraId="766D96A6">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p>
    <w:p w14:paraId="5D1B2D6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评审所发生的费用承担方式：</w:t>
      </w:r>
    </w:p>
    <w:p w14:paraId="5965CB6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其他事项的约定：</w:t>
      </w:r>
    </w:p>
    <w:p w14:paraId="167D0C6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17.3.2争议评审小组的决定</w:t>
      </w:r>
    </w:p>
    <w:p w14:paraId="442A6988">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合同当事人关于本事项的约定：</w:t>
      </w:r>
    </w:p>
    <w:p w14:paraId="06B1EFA0">
      <w:pPr>
        <w:pStyle w:val="6"/>
        <w:widowControl w:val="0"/>
        <w:kinsoku/>
        <w:snapToGrid/>
        <w:spacing w:before="0" w:beforeLines="0" w:after="0" w:afterLines="0"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17.4仲裁或诉讼</w:t>
      </w:r>
    </w:p>
    <w:p w14:paraId="384A1067">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w:t>
      </w:r>
    </w:p>
    <w:p w14:paraId="2F74950A">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（1）向仲裁委员会申请仲裁；</w:t>
      </w:r>
    </w:p>
    <w:p w14:paraId="6729F61D">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lang w:val="en-US" w:eastAsia="zh-CN"/>
        </w:rPr>
        <w:t>项目所在地</w:t>
      </w:r>
      <w:r>
        <w:rPr>
          <w:rFonts w:hint="eastAsia" w:ascii="宋体" w:hAnsi="宋体" w:eastAsia="宋体" w:cs="宋体"/>
          <w:color w:val="auto"/>
          <w:highlight w:val="none"/>
        </w:rPr>
        <w:t>人民法院起诉。</w:t>
      </w:r>
    </w:p>
    <w:p w14:paraId="06DA578F">
      <w:pPr>
        <w:pStyle w:val="5"/>
        <w:widowControl w:val="0"/>
        <w:kinsoku/>
        <w:snapToGrid/>
        <w:spacing w:before="0" w:beforeLines="0" w:after="0" w:afterLines="0" w:line="377" w:lineRule="auto"/>
        <w:ind w:left="0" w:firstLine="0" w:firstLineChars="0"/>
        <w:textAlignment w:val="auto"/>
        <w:rPr>
          <w:rFonts w:hint="eastAsia" w:ascii="宋体" w:hAnsi="宋体" w:eastAsia="宋体" w:cs="宋体"/>
          <w:b w:val="0"/>
          <w:color w:val="auto"/>
          <w:szCs w:val="21"/>
          <w:highlight w:val="none"/>
        </w:rPr>
      </w:pPr>
      <w:r>
        <w:rPr>
          <w:rFonts w:hint="eastAsia" w:ascii="宋体" w:hAnsi="宋体" w:eastAsia="宋体" w:cs="宋体"/>
          <w:bCs w:val="0"/>
          <w:color w:val="auto"/>
          <w:sz w:val="24"/>
          <w:szCs w:val="24"/>
          <w:highlight w:val="none"/>
        </w:rPr>
        <w:t>18.其他</w:t>
      </w:r>
    </w:p>
    <w:p w14:paraId="222CDF44">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18.1发包人责任</w:t>
      </w:r>
    </w:p>
    <w:p w14:paraId="6D8A9B5D">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18.1.1发包人按本合同规定在规定的时间内向设计人提交基础资料及文件，并对其完整性、正确性及时限负责。发包人不得要求设计人违反国家有关标准进行设计。</w:t>
      </w:r>
    </w:p>
    <w:p w14:paraId="1347E6B0">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发包人提交上述资料及文件超过规定期限15天以内，设计人按本合同第六条规定的交付设计文件时间顺延；发包人交付上述资料及文件超过规定期限15天以上时，设计人有权重新确定提交设计文件的时间。</w:t>
      </w:r>
    </w:p>
    <w:p w14:paraId="425EFD15">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18.1.2发包人变更委托设计项目、规模、条件或因提交的资料错误，或所提交资料作较大修改，以致造成设计人设计返工时，双方除另行协商签订补充协议（或另订合同）、重新明确有关条款后，发包人应按设计人所耗工作量向设计人支付返工费。</w:t>
      </w:r>
    </w:p>
    <w:p w14:paraId="35326AEA">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18.1.3发包人要求设计人比合同规定时间提前交付设计文件时，在不严重背离合理设计周期前提下，发包人不予支付赶工费。</w:t>
      </w:r>
    </w:p>
    <w:p w14:paraId="34F363BE">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18.2设计人责任</w:t>
      </w:r>
    </w:p>
    <w:p w14:paraId="6D10F5B3">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18.2.1设计人对设计文件出现的遗漏或错误负责修改或补充。由于设计人勘察、设计错误造成工程质量事故损失，设计人除负责采取补救措施外，应免收损失部分的设计费，并根据损失程度向发包人支付赔偿金，</w:t>
      </w:r>
      <w:r>
        <w:rPr>
          <w:rFonts w:hint="eastAsia" w:ascii="宋体" w:hAnsi="宋体" w:eastAsia="宋体" w:cs="宋体"/>
          <w:color w:val="auto"/>
          <w:highlight w:val="none"/>
          <w:u w:val="single"/>
          <w:lang w:val="en-US" w:eastAsia="zh-CN"/>
        </w:rPr>
        <w:t>设计人应具备建设工程设计责任险，赔偿金由设计人的建设工程设计责任险进行赔偿，</w:t>
      </w:r>
      <w:r>
        <w:rPr>
          <w:rFonts w:hint="eastAsia" w:ascii="宋体" w:hAnsi="宋体" w:eastAsia="宋体" w:cs="宋体"/>
          <w:color w:val="auto"/>
          <w:highlight w:val="none"/>
          <w:u w:val="single"/>
        </w:rPr>
        <w:t>赔偿金数额由双方商定</w:t>
      </w:r>
      <w:r>
        <w:rPr>
          <w:rFonts w:hint="eastAsia" w:ascii="宋体" w:hAnsi="宋体" w:eastAsia="宋体" w:cs="宋体"/>
          <w:color w:val="auto"/>
          <w:highlight w:val="none"/>
          <w:u w:val="single"/>
          <w:lang w:eastAsia="zh-CN"/>
        </w:rPr>
        <w:t>。</w:t>
      </w:r>
    </w:p>
    <w:p w14:paraId="638082A3">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18.2.2设计人应对投资估算、设计概算准确计算，初步设计概算不得超过估算。若设计人在项目实施期间，因设计</w:t>
      </w:r>
      <w:r>
        <w:rPr>
          <w:rFonts w:hint="eastAsia" w:ascii="宋体" w:hAnsi="宋体" w:eastAsia="宋体" w:cs="宋体"/>
          <w:color w:val="auto"/>
          <w:highlight w:val="none"/>
          <w:u w:val="single"/>
          <w:lang w:val="en-US" w:eastAsia="zh-CN"/>
        </w:rPr>
        <w:t>人</w:t>
      </w:r>
      <w:r>
        <w:rPr>
          <w:rFonts w:hint="eastAsia" w:ascii="宋体" w:hAnsi="宋体" w:eastAsia="宋体" w:cs="宋体"/>
          <w:color w:val="auto"/>
          <w:highlight w:val="none"/>
          <w:u w:val="single"/>
        </w:rPr>
        <w:t>原因导致概算超估算、预算超概算、结算超预算的，发包人将处以本合同设计费的</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%的罚款并有权委托其他有相应资质的单位设计。如遇设计文件调整，设计人应配合发包人调整相应概算内容、协助发包人并参与概算评审工作，配合发包人完成概算审定工作。</w:t>
      </w:r>
    </w:p>
    <w:p w14:paraId="39B529F2">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如若发生涉及结构变动或其它重大</w:t>
      </w:r>
      <w:r>
        <w:rPr>
          <w:rFonts w:hint="eastAsia" w:ascii="宋体" w:hAnsi="宋体" w:eastAsia="宋体" w:cs="宋体"/>
          <w:color w:val="auto"/>
          <w:highlight w:val="none"/>
          <w:u w:val="single"/>
          <w:lang w:val="en-US" w:eastAsia="zh-CN"/>
        </w:rPr>
        <w:t>设计</w:t>
      </w:r>
      <w:r>
        <w:rPr>
          <w:rFonts w:hint="eastAsia" w:ascii="宋体" w:hAnsi="宋体" w:eastAsia="宋体" w:cs="宋体"/>
          <w:color w:val="auto"/>
          <w:highlight w:val="none"/>
          <w:u w:val="single"/>
        </w:rPr>
        <w:t>变更，</w:t>
      </w:r>
      <w:r>
        <w:rPr>
          <w:rFonts w:hint="eastAsia" w:ascii="宋体" w:hAnsi="宋体" w:eastAsia="宋体" w:cs="宋体"/>
          <w:color w:val="auto"/>
          <w:highlight w:val="none"/>
          <w:u w:val="single"/>
          <w:lang w:val="en-US" w:eastAsia="zh-CN"/>
        </w:rPr>
        <w:t>所增加工作量增补的设计费用双方另行协商</w:t>
      </w:r>
      <w:r>
        <w:rPr>
          <w:rFonts w:hint="eastAsia" w:ascii="宋体" w:hAnsi="宋体" w:eastAsia="宋体" w:cs="宋体"/>
          <w:color w:val="auto"/>
          <w:highlight w:val="none"/>
          <w:u w:val="single"/>
        </w:rPr>
        <w:t>。</w:t>
      </w:r>
    </w:p>
    <w:p w14:paraId="4C265CA0">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设计人应向发包人支付的违约金，发包人有权在应付未付款中扣除，违约金不足以弥补发包人损失的，发包人可继续向设计人追偿</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由设计人的建设工程设计责任险进行赔偿</w:t>
      </w:r>
      <w:r>
        <w:rPr>
          <w:rFonts w:hint="eastAsia" w:ascii="宋体" w:hAnsi="宋体" w:eastAsia="宋体" w:cs="宋体"/>
          <w:color w:val="auto"/>
          <w:highlight w:val="none"/>
          <w:u w:val="single"/>
        </w:rPr>
        <w:t>。</w:t>
      </w:r>
    </w:p>
    <w:p w14:paraId="381B4999">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设计人应按发包人要求进行初步设计、概算等调整工作及配合发包人进行报批工作。</w:t>
      </w:r>
    </w:p>
    <w:p w14:paraId="60CA4A54">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rPr>
        <w:t>配合接受发包人对项目设计管理的其他各项要求。</w:t>
      </w:r>
    </w:p>
    <w:p w14:paraId="04D28D26">
      <w:pPr>
        <w:widowControl w:val="0"/>
        <w:kinsoku/>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对于设计过程中出现的设计变更计费详见附件7。</w:t>
      </w:r>
    </w:p>
    <w:p w14:paraId="435F5F98">
      <w:pPr>
        <w:widowControl w:val="0"/>
        <w:kinsoku/>
        <w:snapToGrid/>
        <w:spacing w:line="360" w:lineRule="auto"/>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附件</w:t>
      </w:r>
    </w:p>
    <w:p w14:paraId="489FAE8F">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附件1：工程设计范围、阶段与服务内容</w:t>
      </w:r>
    </w:p>
    <w:p w14:paraId="6181085D">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附件2：发包人向设计人提交的有关资料及文件一览表</w:t>
      </w:r>
    </w:p>
    <w:p w14:paraId="52B7CF78">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附件3：设计人向发包人交付的工程设计文件目录</w:t>
      </w:r>
    </w:p>
    <w:p w14:paraId="580F40D5">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附件4：设计人主要设计人员表</w:t>
      </w:r>
    </w:p>
    <w:p w14:paraId="233BB8ED">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附件5:设计进度表</w:t>
      </w:r>
    </w:p>
    <w:p w14:paraId="41981BFE">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附件6:设计费明细及支付方式</w:t>
      </w:r>
    </w:p>
    <w:p w14:paraId="1A7591FB">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附件7:设计变更计费依据和方法</w:t>
      </w:r>
    </w:p>
    <w:p w14:paraId="327B4FB0">
      <w:pPr>
        <w:widowControl w:val="0"/>
        <w:kinsoku/>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附件8:履约担保格式</w:t>
      </w:r>
    </w:p>
    <w:p w14:paraId="4495B60F">
      <w:pPr>
        <w:rPr>
          <w:rFonts w:hint="eastAsia" w:ascii="宋体" w:hAnsi="宋体" w:eastAsia="宋体" w:cs="宋体"/>
          <w:b/>
          <w:color w:val="auto"/>
          <w:sz w:val="28"/>
          <w:szCs w:val="28"/>
          <w:highlight w:val="none"/>
        </w:rPr>
      </w:pPr>
      <w:bookmarkStart w:id="323" w:name="_Toc278231956"/>
      <w:bookmarkStart w:id="324" w:name="_Toc278309716"/>
      <w:r>
        <w:rPr>
          <w:rFonts w:hint="eastAsia" w:ascii="宋体" w:hAnsi="宋体" w:eastAsia="宋体" w:cs="宋体"/>
          <w:b/>
          <w:color w:val="auto"/>
          <w:sz w:val="28"/>
          <w:szCs w:val="28"/>
          <w:highlight w:val="none"/>
        </w:rPr>
        <w:br w:type="page"/>
      </w:r>
    </w:p>
    <w:p w14:paraId="1D8AD154">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14:paraId="4D69C82D">
      <w:pPr>
        <w:spacing w:line="360" w:lineRule="auto"/>
        <w:ind w:firstLine="20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工程设计范围、阶段与服务内容</w:t>
      </w:r>
      <w:bookmarkEnd w:id="323"/>
      <w:bookmarkEnd w:id="324"/>
      <w:r>
        <w:rPr>
          <w:rFonts w:hint="eastAsia" w:ascii="宋体" w:hAnsi="宋体" w:eastAsia="宋体" w:cs="宋体"/>
          <w:color w:val="auto"/>
          <w:sz w:val="28"/>
          <w:szCs w:val="28"/>
          <w:highlight w:val="none"/>
        </w:rPr>
        <w:t>（适用</w:t>
      </w:r>
      <w:r>
        <w:rPr>
          <w:rFonts w:hint="eastAsia" w:ascii="宋体" w:hAnsi="宋体" w:eastAsia="宋体" w:cs="宋体"/>
          <w:color w:val="auto"/>
          <w:sz w:val="28"/>
          <w:szCs w:val="28"/>
          <w:highlight w:val="none"/>
          <w:lang w:val="en-US" w:eastAsia="zh-CN"/>
        </w:rPr>
        <w:t>规划项目</w:t>
      </w:r>
      <w:r>
        <w:rPr>
          <w:rFonts w:hint="eastAsia" w:ascii="宋体" w:hAnsi="宋体" w:eastAsia="宋体" w:cs="宋体"/>
          <w:color w:val="auto"/>
          <w:sz w:val="28"/>
          <w:szCs w:val="28"/>
          <w:highlight w:val="none"/>
        </w:rPr>
        <w:t>工程）</w:t>
      </w:r>
    </w:p>
    <w:p w14:paraId="3C1EE4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发包人与设计人可根据项目的具体情况，选择确定本附件内容。</w:t>
      </w:r>
    </w:p>
    <w:p w14:paraId="528A0E71">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一、本工程设计范围</w:t>
      </w:r>
    </w:p>
    <w:p w14:paraId="4DBE43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设计范围：包括城市设计方案编制、城市设计导则编制。</w:t>
      </w:r>
    </w:p>
    <w:p w14:paraId="51BFEF9A">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二、本工程设计阶段划分</w:t>
      </w:r>
    </w:p>
    <w:p w14:paraId="72DDB3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城市设计方案和城市设计方案阶段的配合</w:t>
      </w:r>
      <w:r>
        <w:rPr>
          <w:rFonts w:hint="eastAsia" w:ascii="宋体" w:hAnsi="宋体" w:eastAsia="宋体" w:cs="宋体"/>
          <w:color w:val="auto"/>
          <w:highlight w:val="none"/>
        </w:rPr>
        <w:t>。</w:t>
      </w:r>
    </w:p>
    <w:p w14:paraId="28A9B73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三、各阶段服务内容</w:t>
      </w:r>
    </w:p>
    <w:p w14:paraId="09DC3832">
      <w:pPr>
        <w:spacing w:line="360" w:lineRule="auto"/>
        <w:ind w:firstLine="422" w:firstLineChars="20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 xml:space="preserve">1.城市设计方案设计阶段 </w:t>
      </w:r>
    </w:p>
    <w:p w14:paraId="344A054D">
      <w:pPr>
        <w:spacing w:line="360" w:lineRule="auto"/>
        <w:ind w:firstLine="422" w:firstLineChars="20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（1）完成城市设计方案编制设计，提供满足深度的成果文件。</w:t>
      </w:r>
    </w:p>
    <w:p w14:paraId="161C3658">
      <w:pPr>
        <w:spacing w:line="360" w:lineRule="auto"/>
        <w:ind w:firstLine="420" w:firstLineChars="200"/>
        <w:rPr>
          <w:rFonts w:hint="eastAsia" w:ascii="宋体" w:hAnsi="宋体" w:eastAsia="宋体" w:cs="宋体"/>
          <w:color w:val="auto"/>
          <w:highlight w:val="none"/>
          <w:lang w:val="en-US" w:eastAsia="zh-CN"/>
        </w:rPr>
      </w:pPr>
      <w:bookmarkStart w:id="325" w:name="_Toc278231958"/>
      <w:bookmarkStart w:id="326" w:name="_Toc278309718"/>
      <w:r>
        <w:rPr>
          <w:rFonts w:hint="eastAsia" w:ascii="宋体" w:hAnsi="宋体" w:eastAsia="宋体" w:cs="宋体"/>
          <w:color w:val="auto"/>
          <w:highlight w:val="none"/>
          <w:lang w:val="en-US" w:eastAsia="zh-CN"/>
        </w:rPr>
        <w:t xml:space="preserve"> </w:t>
      </w:r>
    </w:p>
    <w:p w14:paraId="4925B419">
      <w:pPr>
        <w:spacing w:line="360" w:lineRule="auto"/>
        <w:ind w:firstLine="210" w:firstLineChars="100"/>
        <w:rPr>
          <w:rFonts w:hint="eastAsia" w:ascii="宋体" w:hAnsi="宋体" w:eastAsia="宋体" w:cs="宋体"/>
          <w:color w:val="auto"/>
          <w:highlight w:val="none"/>
          <w:lang w:eastAsia="zh-CN"/>
        </w:rPr>
      </w:pPr>
    </w:p>
    <w:p w14:paraId="63348907">
      <w:pPr>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p>
    <w:p w14:paraId="1B8A83B9">
      <w:pPr>
        <w:spacing w:line="360" w:lineRule="auto"/>
        <w:ind w:firstLine="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w:t>
      </w:r>
    </w:p>
    <w:p w14:paraId="1CC46548">
      <w:pPr>
        <w:spacing w:line="360" w:lineRule="auto"/>
        <w:ind w:firstLine="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发包人向设计人提交有关资料及文件</w:t>
      </w:r>
      <w:bookmarkEnd w:id="325"/>
      <w:bookmarkEnd w:id="326"/>
      <w:r>
        <w:rPr>
          <w:rFonts w:hint="eastAsia" w:ascii="宋体" w:hAnsi="宋体" w:eastAsia="宋体" w:cs="宋体"/>
          <w:color w:val="auto"/>
          <w:sz w:val="28"/>
          <w:szCs w:val="28"/>
          <w:highlight w:val="none"/>
        </w:rPr>
        <w:t>一览表（适用</w:t>
      </w:r>
      <w:r>
        <w:rPr>
          <w:rFonts w:hint="eastAsia" w:ascii="宋体" w:hAnsi="宋体" w:eastAsia="宋体" w:cs="宋体"/>
          <w:color w:val="auto"/>
          <w:sz w:val="28"/>
          <w:szCs w:val="28"/>
          <w:highlight w:val="none"/>
          <w:lang w:eastAsia="zh-CN"/>
        </w:rPr>
        <w:t>规划项目</w:t>
      </w:r>
      <w:r>
        <w:rPr>
          <w:rFonts w:hint="eastAsia" w:ascii="宋体" w:hAnsi="宋体" w:eastAsia="宋体" w:cs="宋体"/>
          <w:color w:val="auto"/>
          <w:sz w:val="28"/>
          <w:szCs w:val="28"/>
          <w:highlight w:val="none"/>
        </w:rPr>
        <w:t>工程）</w:t>
      </w:r>
    </w:p>
    <w:p w14:paraId="365AD820">
      <w:pPr>
        <w:spacing w:line="360" w:lineRule="auto"/>
        <w:ind w:firstLine="200"/>
        <w:rPr>
          <w:rFonts w:hint="eastAsia" w:ascii="宋体" w:hAnsi="宋体" w:eastAsia="宋体" w:cs="宋体"/>
          <w:color w:val="auto"/>
          <w:highlight w:val="none"/>
        </w:rPr>
      </w:pPr>
    </w:p>
    <w:tbl>
      <w:tblPr>
        <w:tblStyle w:val="49"/>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3515"/>
        <w:gridCol w:w="668"/>
        <w:gridCol w:w="2254"/>
        <w:gridCol w:w="1009"/>
      </w:tblGrid>
      <w:tr w14:paraId="4A32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69036C4F">
            <w:pPr>
              <w:rPr>
                <w:rFonts w:hint="eastAsia" w:ascii="宋体" w:hAnsi="宋体" w:eastAsia="宋体" w:cs="宋体"/>
                <w:b/>
                <w:bCs/>
                <w:color w:val="auto"/>
                <w:highlight w:val="none"/>
              </w:rPr>
            </w:pPr>
            <w:bookmarkStart w:id="327" w:name="_Toc278231959"/>
            <w:bookmarkStart w:id="328" w:name="_Toc278309719"/>
            <w:r>
              <w:rPr>
                <w:rFonts w:hint="eastAsia" w:ascii="宋体" w:hAnsi="宋体" w:eastAsia="宋体" w:cs="宋体"/>
                <w:b/>
                <w:bCs/>
                <w:color w:val="auto"/>
                <w:highlight w:val="none"/>
              </w:rPr>
              <w:t>序号</w:t>
            </w:r>
          </w:p>
        </w:tc>
        <w:tc>
          <w:tcPr>
            <w:tcW w:w="3515" w:type="dxa"/>
            <w:tcBorders>
              <w:top w:val="single" w:color="auto" w:sz="4" w:space="0"/>
              <w:left w:val="single" w:color="auto" w:sz="4" w:space="0"/>
              <w:bottom w:val="single" w:color="auto" w:sz="4" w:space="0"/>
              <w:right w:val="single" w:color="auto" w:sz="4" w:space="0"/>
            </w:tcBorders>
            <w:noWrap w:val="0"/>
            <w:vAlign w:val="top"/>
          </w:tcPr>
          <w:p w14:paraId="11883EC2">
            <w:pPr>
              <w:rPr>
                <w:rFonts w:hint="eastAsia" w:ascii="宋体" w:hAnsi="宋体" w:eastAsia="宋体" w:cs="宋体"/>
                <w:b/>
                <w:bCs/>
                <w:color w:val="auto"/>
                <w:highlight w:val="none"/>
              </w:rPr>
            </w:pPr>
            <w:r>
              <w:rPr>
                <w:rFonts w:hint="eastAsia" w:ascii="宋体" w:hAnsi="宋体" w:eastAsia="宋体" w:cs="宋体"/>
                <w:b/>
                <w:bCs/>
                <w:color w:val="auto"/>
                <w:highlight w:val="none"/>
              </w:rPr>
              <w:t>资料及文件名称</w:t>
            </w:r>
          </w:p>
        </w:tc>
        <w:tc>
          <w:tcPr>
            <w:tcW w:w="668" w:type="dxa"/>
            <w:tcBorders>
              <w:top w:val="single" w:color="auto" w:sz="4" w:space="0"/>
              <w:left w:val="single" w:color="auto" w:sz="4" w:space="0"/>
              <w:bottom w:val="single" w:color="auto" w:sz="4" w:space="0"/>
              <w:right w:val="single" w:color="auto" w:sz="4" w:space="0"/>
            </w:tcBorders>
            <w:noWrap w:val="0"/>
            <w:vAlign w:val="top"/>
          </w:tcPr>
          <w:p w14:paraId="5FCA752E">
            <w:pPr>
              <w:rPr>
                <w:rFonts w:hint="eastAsia" w:ascii="宋体" w:hAnsi="宋体" w:eastAsia="宋体" w:cs="宋体"/>
                <w:b/>
                <w:bCs/>
                <w:color w:val="auto"/>
                <w:highlight w:val="none"/>
              </w:rPr>
            </w:pPr>
            <w:r>
              <w:rPr>
                <w:rFonts w:hint="eastAsia" w:ascii="宋体" w:hAnsi="宋体" w:eastAsia="宋体" w:cs="宋体"/>
                <w:b/>
                <w:bCs/>
                <w:color w:val="auto"/>
                <w:highlight w:val="none"/>
              </w:rPr>
              <w:t>份数</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743309A7">
            <w:pPr>
              <w:rPr>
                <w:rFonts w:hint="eastAsia" w:ascii="宋体" w:hAnsi="宋体" w:eastAsia="宋体" w:cs="宋体"/>
                <w:b/>
                <w:bCs/>
                <w:color w:val="auto"/>
                <w:highlight w:val="none"/>
              </w:rPr>
            </w:pPr>
            <w:r>
              <w:rPr>
                <w:rFonts w:hint="eastAsia" w:ascii="宋体" w:hAnsi="宋体" w:eastAsia="宋体" w:cs="宋体"/>
                <w:b/>
                <w:bCs/>
                <w:color w:val="auto"/>
                <w:highlight w:val="none"/>
              </w:rPr>
              <w:t>提交日期</w:t>
            </w:r>
          </w:p>
        </w:tc>
        <w:tc>
          <w:tcPr>
            <w:tcW w:w="1009" w:type="dxa"/>
            <w:tcBorders>
              <w:top w:val="single" w:color="auto" w:sz="4" w:space="0"/>
              <w:left w:val="single" w:color="auto" w:sz="4" w:space="0"/>
              <w:bottom w:val="single" w:color="auto" w:sz="4" w:space="0"/>
              <w:right w:val="single" w:color="auto" w:sz="4" w:space="0"/>
            </w:tcBorders>
            <w:noWrap w:val="0"/>
            <w:vAlign w:val="top"/>
          </w:tcPr>
          <w:p w14:paraId="6BC64DB6">
            <w:pPr>
              <w:rPr>
                <w:rFonts w:hint="eastAsia" w:ascii="宋体" w:hAnsi="宋体" w:eastAsia="宋体" w:cs="宋体"/>
                <w:b/>
                <w:bCs/>
                <w:color w:val="auto"/>
                <w:highlight w:val="none"/>
              </w:rPr>
            </w:pPr>
            <w:r>
              <w:rPr>
                <w:rFonts w:hint="eastAsia" w:ascii="宋体" w:hAnsi="宋体" w:eastAsia="宋体" w:cs="宋体"/>
                <w:b/>
                <w:bCs/>
                <w:color w:val="auto"/>
                <w:highlight w:val="none"/>
              </w:rPr>
              <w:t>有关事宜</w:t>
            </w:r>
          </w:p>
        </w:tc>
      </w:tr>
      <w:tr w14:paraId="2577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3DD5909D">
            <w:pP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77CB2049">
            <w:pPr>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56B68256">
            <w:pP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015B2229">
            <w:pPr>
              <w:rPr>
                <w:rFonts w:hint="eastAsia" w:ascii="宋体" w:hAnsi="宋体" w:eastAsia="宋体" w:cs="宋体"/>
                <w:color w:val="auto"/>
                <w:highlight w:val="none"/>
              </w:rPr>
            </w:pPr>
          </w:p>
        </w:tc>
        <w:tc>
          <w:tcPr>
            <w:tcW w:w="1009" w:type="dxa"/>
            <w:vMerge w:val="restart"/>
            <w:tcBorders>
              <w:top w:val="single" w:color="auto" w:sz="4" w:space="0"/>
              <w:left w:val="single" w:color="auto" w:sz="4" w:space="0"/>
              <w:bottom w:val="single" w:color="auto" w:sz="4" w:space="0"/>
              <w:right w:val="single" w:color="auto" w:sz="4" w:space="0"/>
            </w:tcBorders>
            <w:noWrap w:val="0"/>
            <w:vAlign w:val="top"/>
          </w:tcPr>
          <w:p w14:paraId="13D879BC">
            <w:pPr>
              <w:rPr>
                <w:rFonts w:hint="eastAsia" w:ascii="宋体" w:hAnsi="宋体" w:eastAsia="宋体" w:cs="宋体"/>
                <w:color w:val="auto"/>
                <w:highlight w:val="none"/>
              </w:rPr>
            </w:pPr>
          </w:p>
          <w:p w14:paraId="75346DE7">
            <w:pPr>
              <w:rPr>
                <w:rFonts w:hint="eastAsia" w:ascii="宋体" w:hAnsi="宋体" w:eastAsia="宋体" w:cs="宋体"/>
                <w:color w:val="auto"/>
                <w:highlight w:val="none"/>
              </w:rPr>
            </w:pPr>
          </w:p>
        </w:tc>
      </w:tr>
      <w:tr w14:paraId="12A9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4E7A1BD3">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0BEFE3A4">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258CC2AA">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3546387A">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1EC92770">
            <w:pPr>
              <w:rPr>
                <w:rFonts w:hint="eastAsia" w:ascii="宋体" w:hAnsi="宋体" w:eastAsia="宋体" w:cs="宋体"/>
                <w:color w:val="auto"/>
                <w:highlight w:val="none"/>
              </w:rPr>
            </w:pPr>
          </w:p>
        </w:tc>
      </w:tr>
      <w:tr w14:paraId="4B30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2807A292">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30574FD1">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333EF2E9">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289BF50E">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2EA53CEF">
            <w:pPr>
              <w:rPr>
                <w:rFonts w:hint="eastAsia" w:ascii="宋体" w:hAnsi="宋体" w:eastAsia="宋体" w:cs="宋体"/>
                <w:color w:val="auto"/>
                <w:highlight w:val="none"/>
              </w:rPr>
            </w:pPr>
          </w:p>
        </w:tc>
      </w:tr>
      <w:tr w14:paraId="0628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01D5BBFB">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4E269B65">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5E208FB7">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60FB5D2F">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71A109F4">
            <w:pPr>
              <w:rPr>
                <w:rFonts w:hint="eastAsia" w:ascii="宋体" w:hAnsi="宋体" w:eastAsia="宋体" w:cs="宋体"/>
                <w:color w:val="auto"/>
                <w:highlight w:val="none"/>
              </w:rPr>
            </w:pPr>
          </w:p>
        </w:tc>
      </w:tr>
      <w:tr w14:paraId="5FFB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52A6DE0B">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71168C8A">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6CE5BA2E">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37C39F3B">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74276DC5">
            <w:pPr>
              <w:rPr>
                <w:rFonts w:hint="eastAsia" w:ascii="宋体" w:hAnsi="宋体" w:eastAsia="宋体" w:cs="宋体"/>
                <w:color w:val="auto"/>
                <w:highlight w:val="none"/>
              </w:rPr>
            </w:pPr>
          </w:p>
        </w:tc>
      </w:tr>
      <w:tr w14:paraId="39EB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51A14593">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35060B55">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4938DF3A">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7A54AD9A">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73CE231E">
            <w:pPr>
              <w:rPr>
                <w:rFonts w:hint="eastAsia" w:ascii="宋体" w:hAnsi="宋体" w:eastAsia="宋体" w:cs="宋体"/>
                <w:color w:val="auto"/>
                <w:highlight w:val="none"/>
              </w:rPr>
            </w:pPr>
          </w:p>
        </w:tc>
      </w:tr>
      <w:tr w14:paraId="3AA7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56AD0FD4">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57F2757B">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5A17EC54">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0AAFC070">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25B45449">
            <w:pPr>
              <w:rPr>
                <w:rFonts w:hint="eastAsia" w:ascii="宋体" w:hAnsi="宋体" w:eastAsia="宋体" w:cs="宋体"/>
                <w:color w:val="auto"/>
                <w:highlight w:val="none"/>
              </w:rPr>
            </w:pPr>
          </w:p>
        </w:tc>
      </w:tr>
      <w:tr w14:paraId="79F6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50C960AC">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504D0EAC">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10B06DA4">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5112347A">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3392E91F">
            <w:pPr>
              <w:rPr>
                <w:rFonts w:hint="eastAsia" w:ascii="宋体" w:hAnsi="宋体" w:eastAsia="宋体" w:cs="宋体"/>
                <w:color w:val="auto"/>
                <w:highlight w:val="none"/>
              </w:rPr>
            </w:pPr>
          </w:p>
        </w:tc>
      </w:tr>
      <w:tr w14:paraId="76BC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0F160030">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1F5E13D0">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5F226A98">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364AA794">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66906A83">
            <w:pPr>
              <w:rPr>
                <w:rFonts w:hint="eastAsia" w:ascii="宋体" w:hAnsi="宋体" w:eastAsia="宋体" w:cs="宋体"/>
                <w:color w:val="auto"/>
                <w:highlight w:val="none"/>
              </w:rPr>
            </w:pPr>
          </w:p>
        </w:tc>
      </w:tr>
      <w:tr w14:paraId="087B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2CBEA908">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4AB47B16">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222FD9B3">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5788ED6E">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2631F882">
            <w:pPr>
              <w:rPr>
                <w:rFonts w:hint="eastAsia" w:ascii="宋体" w:hAnsi="宋体" w:eastAsia="宋体" w:cs="宋体"/>
                <w:color w:val="auto"/>
                <w:highlight w:val="none"/>
              </w:rPr>
            </w:pPr>
          </w:p>
        </w:tc>
      </w:tr>
      <w:tr w14:paraId="74AD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011D704F">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025C942F">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45E87C5C">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5AE582A1">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198B2E00">
            <w:pPr>
              <w:rPr>
                <w:rFonts w:hint="eastAsia" w:ascii="宋体" w:hAnsi="宋体" w:eastAsia="宋体" w:cs="宋体"/>
                <w:color w:val="auto"/>
                <w:highlight w:val="none"/>
              </w:rPr>
            </w:pPr>
          </w:p>
        </w:tc>
      </w:tr>
      <w:tr w14:paraId="1E29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28F8BCDD">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0407C633">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121D8264">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40402D00">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1D992FE2">
            <w:pPr>
              <w:rPr>
                <w:rFonts w:hint="eastAsia" w:ascii="宋体" w:hAnsi="宋体" w:eastAsia="宋体" w:cs="宋体"/>
                <w:color w:val="auto"/>
                <w:highlight w:val="none"/>
              </w:rPr>
            </w:pPr>
          </w:p>
        </w:tc>
      </w:tr>
      <w:tr w14:paraId="562F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92" w:type="dxa"/>
            <w:tcBorders>
              <w:top w:val="single" w:color="auto" w:sz="4" w:space="0"/>
              <w:left w:val="single" w:color="auto" w:sz="4" w:space="0"/>
              <w:bottom w:val="single" w:color="auto" w:sz="4" w:space="0"/>
              <w:right w:val="single" w:color="auto" w:sz="4" w:space="0"/>
            </w:tcBorders>
            <w:noWrap w:val="0"/>
            <w:vAlign w:val="top"/>
          </w:tcPr>
          <w:p w14:paraId="43807908">
            <w:pPr>
              <w:spacing w:line="360" w:lineRule="auto"/>
              <w:jc w:val="center"/>
              <w:rPr>
                <w:rFonts w:hint="eastAsia" w:ascii="宋体" w:hAnsi="宋体" w:eastAsia="宋体" w:cs="宋体"/>
                <w:color w:val="auto"/>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top"/>
          </w:tcPr>
          <w:p w14:paraId="074C7B3A">
            <w:pPr>
              <w:spacing w:line="360" w:lineRule="auto"/>
              <w:rPr>
                <w:rFonts w:hint="eastAsia" w:ascii="宋体" w:hAnsi="宋体" w:eastAsia="宋体" w:cs="宋体"/>
                <w:color w:val="auto"/>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14:paraId="5A6CD419">
            <w:pPr>
              <w:spacing w:line="360" w:lineRule="auto"/>
              <w:jc w:val="center"/>
              <w:rPr>
                <w:rFonts w:hint="eastAsia" w:ascii="宋体" w:hAnsi="宋体" w:eastAsia="宋体" w:cs="宋体"/>
                <w:color w:val="auto"/>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1BC8B1B8">
            <w:pPr>
              <w:spacing w:line="360" w:lineRule="auto"/>
              <w:rPr>
                <w:rFonts w:hint="eastAsia" w:ascii="宋体" w:hAnsi="宋体" w:eastAsia="宋体" w:cs="宋体"/>
                <w:color w:val="auto"/>
                <w:highlight w:val="none"/>
              </w:rPr>
            </w:pPr>
          </w:p>
        </w:tc>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52340E7C">
            <w:pPr>
              <w:rPr>
                <w:rFonts w:hint="eastAsia" w:ascii="宋体" w:hAnsi="宋体" w:eastAsia="宋体" w:cs="宋体"/>
                <w:color w:val="auto"/>
                <w:highlight w:val="none"/>
              </w:rPr>
            </w:pPr>
          </w:p>
        </w:tc>
      </w:tr>
    </w:tbl>
    <w:p w14:paraId="51F6F7DF">
      <w:pPr>
        <w:spacing w:line="360" w:lineRule="auto"/>
        <w:ind w:firstLine="200"/>
        <w:rPr>
          <w:rFonts w:hint="eastAsia" w:ascii="宋体" w:hAnsi="宋体" w:eastAsia="宋体" w:cs="宋体"/>
          <w:bCs/>
          <w:color w:val="auto"/>
          <w:highlight w:val="none"/>
        </w:rPr>
      </w:pPr>
      <w:r>
        <w:rPr>
          <w:rFonts w:hint="eastAsia" w:ascii="宋体" w:hAnsi="宋体" w:eastAsia="宋体" w:cs="宋体"/>
          <w:color w:val="auto"/>
          <w:highlight w:val="none"/>
        </w:rPr>
        <w:t>（上表内容仅供参考，发包人和设计人应当根据项目具体情况详细列举）</w:t>
      </w:r>
    </w:p>
    <w:p w14:paraId="4260B9BC">
      <w:pPr>
        <w:spacing w:line="360" w:lineRule="auto"/>
        <w:ind w:firstLine="200"/>
        <w:rPr>
          <w:rFonts w:hint="eastAsia" w:ascii="宋体" w:hAnsi="宋体" w:eastAsia="宋体" w:cs="宋体"/>
          <w:b/>
          <w:color w:val="auto"/>
          <w:highlight w:val="none"/>
        </w:rPr>
        <w:sectPr>
          <w:footerReference r:id="rId10" w:type="first"/>
          <w:footerReference r:id="rId9" w:type="default"/>
          <w:pgSz w:w="11906" w:h="16838"/>
          <w:pgMar w:top="1417" w:right="1029" w:bottom="1417" w:left="1417" w:header="851" w:footer="822" w:gutter="0"/>
          <w:pgNumType w:start="1"/>
          <w:cols w:space="720" w:num="1"/>
          <w:titlePg/>
          <w:rtlGutter w:val="0"/>
          <w:docGrid w:type="lines" w:linePitch="312" w:charSpace="0"/>
        </w:sectPr>
      </w:pPr>
    </w:p>
    <w:p w14:paraId="107F2622">
      <w:pPr>
        <w:spacing w:line="360" w:lineRule="auto"/>
        <w:ind w:firstLine="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附件3：</w:t>
      </w:r>
    </w:p>
    <w:p w14:paraId="47AC8B1D">
      <w:pPr>
        <w:spacing w:line="360" w:lineRule="auto"/>
        <w:ind w:firstLine="20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设计人向发包人交付的工程设计文件目录（适用</w:t>
      </w:r>
      <w:r>
        <w:rPr>
          <w:rFonts w:hint="eastAsia" w:ascii="宋体" w:hAnsi="宋体" w:eastAsia="宋体" w:cs="宋体"/>
          <w:color w:val="auto"/>
          <w:sz w:val="28"/>
          <w:szCs w:val="28"/>
          <w:highlight w:val="none"/>
          <w:lang w:eastAsia="zh-CN"/>
        </w:rPr>
        <w:t>规划项目</w:t>
      </w:r>
      <w:r>
        <w:rPr>
          <w:rFonts w:hint="eastAsia" w:ascii="宋体" w:hAnsi="宋体" w:eastAsia="宋体" w:cs="宋体"/>
          <w:color w:val="auto"/>
          <w:sz w:val="28"/>
          <w:szCs w:val="28"/>
          <w:highlight w:val="none"/>
        </w:rPr>
        <w:t>工程）</w:t>
      </w:r>
    </w:p>
    <w:p w14:paraId="48ABD3EA">
      <w:pPr>
        <w:spacing w:line="360" w:lineRule="auto"/>
        <w:ind w:firstLine="358" w:firstLineChars="170"/>
        <w:rPr>
          <w:rFonts w:hint="eastAsia" w:ascii="宋体" w:hAnsi="宋体" w:eastAsia="宋体" w:cs="宋体"/>
          <w:b/>
          <w:color w:val="auto"/>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699"/>
        <w:gridCol w:w="2467"/>
        <w:gridCol w:w="640"/>
        <w:gridCol w:w="1482"/>
        <w:gridCol w:w="1635"/>
      </w:tblGrid>
      <w:tr w14:paraId="76ED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1ADE22D5">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699" w:type="dxa"/>
            <w:tcBorders>
              <w:top w:val="single" w:color="auto" w:sz="4" w:space="0"/>
              <w:left w:val="single" w:color="auto" w:sz="4" w:space="0"/>
              <w:bottom w:val="single" w:color="auto" w:sz="4" w:space="0"/>
              <w:right w:val="single" w:color="auto" w:sz="4" w:space="0"/>
            </w:tcBorders>
            <w:noWrap w:val="0"/>
            <w:vAlign w:val="center"/>
          </w:tcPr>
          <w:p w14:paraId="07185A59">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设计阶段</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625AA0E3">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资料及文件名称</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3BB4248A">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份数</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558F4B88">
            <w:pPr>
              <w:spacing w:line="440" w:lineRule="exact"/>
              <w:ind w:left="-317" w:leftChars="-182" w:hanging="65" w:hangingChars="31"/>
              <w:jc w:val="cente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交付日期</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157CFC6">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有关事宜</w:t>
            </w:r>
          </w:p>
        </w:tc>
      </w:tr>
      <w:tr w14:paraId="6F2E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34" w:type="dxa"/>
            <w:tcBorders>
              <w:left w:val="single" w:color="auto" w:sz="4" w:space="0"/>
              <w:bottom w:val="single" w:color="auto" w:sz="4" w:space="0"/>
              <w:right w:val="single" w:color="auto" w:sz="4" w:space="0"/>
            </w:tcBorders>
            <w:noWrap w:val="0"/>
            <w:vAlign w:val="center"/>
          </w:tcPr>
          <w:p w14:paraId="2D62E63D">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699" w:type="dxa"/>
            <w:tcBorders>
              <w:left w:val="single" w:color="auto" w:sz="4" w:space="0"/>
              <w:bottom w:val="single" w:color="auto" w:sz="4" w:space="0"/>
              <w:right w:val="single" w:color="auto" w:sz="4" w:space="0"/>
            </w:tcBorders>
            <w:noWrap w:val="0"/>
            <w:vAlign w:val="center"/>
          </w:tcPr>
          <w:p w14:paraId="4937DBA1">
            <w:pPr>
              <w:spacing w:line="440" w:lineRule="exact"/>
              <w:jc w:val="center"/>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城市设计方案阶段</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6728BD01">
            <w:pPr>
              <w:spacing w:line="440" w:lineRule="exact"/>
              <w:jc w:val="center"/>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城市设计方案文本（含图件）</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554B06C5">
            <w:pPr>
              <w:spacing w:line="440" w:lineRule="exact"/>
              <w:jc w:val="center"/>
              <w:rPr>
                <w:rFonts w:hint="eastAsia" w:ascii="宋体" w:hAnsi="宋体" w:eastAsia="宋体" w:cs="宋体"/>
                <w:color w:val="auto"/>
                <w:highlight w:val="none"/>
                <w:u w:val="none"/>
                <w:lang w:val="en-US" w:eastAsia="zh-CN"/>
              </w:rPr>
            </w:pPr>
            <w:r>
              <w:rPr>
                <w:rFonts w:hint="eastAsia" w:ascii="宋体" w:hAnsi="宋体" w:eastAsia="宋体" w:cs="宋体"/>
                <w:bCs/>
                <w:color w:val="auto"/>
                <w:highlight w:val="none"/>
                <w:lang w:val="en-US" w:eastAsia="zh-CN"/>
              </w:rPr>
              <w:t>6</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449FCBD4">
            <w:pPr>
              <w:spacing w:line="440" w:lineRule="exact"/>
              <w:jc w:val="center"/>
              <w:rPr>
                <w:rFonts w:hint="eastAsia" w:ascii="宋体" w:hAnsi="宋体" w:eastAsia="宋体" w:cs="宋体"/>
                <w:color w:val="auto"/>
                <w:highlight w:val="none"/>
                <w:u w:val="none"/>
                <w:lang w:val="en-US" w:eastAsia="zh-CN"/>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578B3EA">
            <w:pPr>
              <w:spacing w:line="440" w:lineRule="exact"/>
              <w:jc w:val="center"/>
              <w:rPr>
                <w:rFonts w:hint="eastAsia" w:ascii="宋体" w:hAnsi="宋体" w:eastAsia="宋体" w:cs="宋体"/>
                <w:b/>
                <w:color w:val="auto"/>
                <w:highlight w:val="none"/>
              </w:rPr>
            </w:pPr>
          </w:p>
        </w:tc>
      </w:tr>
      <w:tr w14:paraId="4D99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34" w:type="dxa"/>
            <w:tcBorders>
              <w:left w:val="single" w:color="auto" w:sz="4" w:space="0"/>
              <w:bottom w:val="single" w:color="auto" w:sz="4" w:space="0"/>
              <w:right w:val="single" w:color="auto" w:sz="4" w:space="0"/>
            </w:tcBorders>
            <w:noWrap w:val="0"/>
            <w:vAlign w:val="center"/>
          </w:tcPr>
          <w:p w14:paraId="2D3A3353">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w:t>
            </w:r>
          </w:p>
        </w:tc>
        <w:tc>
          <w:tcPr>
            <w:tcW w:w="1699" w:type="dxa"/>
            <w:tcBorders>
              <w:left w:val="single" w:color="auto" w:sz="4" w:space="0"/>
              <w:bottom w:val="single" w:color="auto" w:sz="4" w:space="0"/>
              <w:right w:val="single" w:color="auto" w:sz="4" w:space="0"/>
            </w:tcBorders>
            <w:noWrap w:val="0"/>
            <w:vAlign w:val="center"/>
          </w:tcPr>
          <w:p w14:paraId="03F81A5D">
            <w:pPr>
              <w:spacing w:line="440" w:lineRule="exact"/>
              <w:jc w:val="center"/>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城市设计方案阶段</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070FB522">
            <w:pPr>
              <w:spacing w:line="440" w:lineRule="exact"/>
              <w:jc w:val="center"/>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eastAsia="zh-CN"/>
              </w:rPr>
              <w:t>设计成果</w:t>
            </w:r>
            <w:r>
              <w:rPr>
                <w:rFonts w:hint="eastAsia" w:ascii="宋体" w:hAnsi="宋体" w:eastAsia="宋体" w:cs="宋体"/>
                <w:color w:val="auto"/>
                <w:highlight w:val="none"/>
                <w:u w:val="none"/>
                <w:lang w:val="en-US" w:eastAsia="zh-CN"/>
              </w:rPr>
              <w:t>CAD或</w:t>
            </w:r>
            <w:r>
              <w:rPr>
                <w:rFonts w:hint="eastAsia" w:ascii="宋体" w:hAnsi="宋体" w:eastAsia="宋体" w:cs="宋体"/>
                <w:color w:val="auto"/>
                <w:highlight w:val="none"/>
                <w:u w:val="none"/>
              </w:rPr>
              <w:t>PPT或pdf格式文件</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329592F5">
            <w:pPr>
              <w:spacing w:line="440" w:lineRule="exact"/>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64A6165C">
            <w:pPr>
              <w:spacing w:line="440" w:lineRule="exact"/>
              <w:jc w:val="center"/>
              <w:rPr>
                <w:rFonts w:hint="eastAsia" w:ascii="宋体" w:hAnsi="宋体" w:eastAsia="宋体" w:cs="宋体"/>
                <w:color w:val="auto"/>
                <w:highlight w:val="none"/>
                <w:u w:val="none"/>
                <w:lang w:val="en-US" w:eastAsia="zh-CN"/>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3C37770">
            <w:pPr>
              <w:spacing w:line="440" w:lineRule="exact"/>
              <w:jc w:val="center"/>
              <w:rPr>
                <w:rFonts w:hint="eastAsia" w:ascii="宋体" w:hAnsi="宋体" w:eastAsia="宋体" w:cs="宋体"/>
                <w:b/>
                <w:color w:val="auto"/>
                <w:highlight w:val="none"/>
              </w:rPr>
            </w:pPr>
          </w:p>
        </w:tc>
      </w:tr>
      <w:tr w14:paraId="3078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34" w:type="dxa"/>
            <w:tcBorders>
              <w:left w:val="single" w:color="auto" w:sz="4" w:space="0"/>
              <w:bottom w:val="single" w:color="auto" w:sz="4" w:space="0"/>
              <w:right w:val="single" w:color="auto" w:sz="4" w:space="0"/>
            </w:tcBorders>
            <w:noWrap w:val="0"/>
            <w:vAlign w:val="center"/>
          </w:tcPr>
          <w:p w14:paraId="2A17F637">
            <w:pPr>
              <w:spacing w:line="440" w:lineRule="exact"/>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3</w:t>
            </w:r>
          </w:p>
        </w:tc>
        <w:tc>
          <w:tcPr>
            <w:tcW w:w="1699" w:type="dxa"/>
            <w:tcBorders>
              <w:left w:val="single" w:color="auto" w:sz="4" w:space="0"/>
              <w:bottom w:val="single" w:color="auto" w:sz="4" w:space="0"/>
              <w:right w:val="single" w:color="auto" w:sz="4" w:space="0"/>
            </w:tcBorders>
            <w:noWrap w:val="0"/>
            <w:vAlign w:val="center"/>
          </w:tcPr>
          <w:p w14:paraId="71B01575">
            <w:pPr>
              <w:spacing w:line="440" w:lineRule="exact"/>
              <w:jc w:val="center"/>
              <w:rPr>
                <w:rFonts w:hint="eastAsia" w:ascii="宋体" w:hAnsi="宋体" w:eastAsia="宋体" w:cs="宋体"/>
                <w:b/>
                <w:color w:val="auto"/>
                <w:highlight w:val="none"/>
                <w:lang w:val="en-US" w:eastAsia="zh-CN"/>
              </w:rPr>
            </w:pPr>
          </w:p>
        </w:tc>
        <w:tc>
          <w:tcPr>
            <w:tcW w:w="2467" w:type="dxa"/>
            <w:tcBorders>
              <w:top w:val="single" w:color="auto" w:sz="4" w:space="0"/>
              <w:left w:val="single" w:color="auto" w:sz="4" w:space="0"/>
              <w:bottom w:val="single" w:color="auto" w:sz="4" w:space="0"/>
              <w:right w:val="single" w:color="auto" w:sz="4" w:space="0"/>
            </w:tcBorders>
            <w:noWrap w:val="0"/>
            <w:vAlign w:val="center"/>
          </w:tcPr>
          <w:p w14:paraId="0BD3BE40">
            <w:pPr>
              <w:spacing w:line="440" w:lineRule="exact"/>
              <w:jc w:val="center"/>
              <w:rPr>
                <w:rFonts w:hint="eastAsia" w:ascii="宋体" w:hAnsi="宋体" w:eastAsia="宋体" w:cs="宋体"/>
                <w:color w:val="auto"/>
                <w:highlight w:val="none"/>
                <w:u w:val="single"/>
                <w:lang w:val="en-US"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465F97B9">
            <w:pPr>
              <w:spacing w:line="440" w:lineRule="exact"/>
              <w:jc w:val="center"/>
              <w:rPr>
                <w:rFonts w:hint="eastAsia" w:ascii="宋体" w:hAnsi="宋体" w:eastAsia="宋体" w:cs="宋体"/>
                <w:bCs/>
                <w:color w:val="auto"/>
                <w:highlight w:val="none"/>
                <w:lang w:val="en-US" w:eastAsia="zh-CN"/>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74C45D6">
            <w:pPr>
              <w:spacing w:line="440" w:lineRule="exact"/>
              <w:jc w:val="center"/>
              <w:rPr>
                <w:rFonts w:hint="eastAsia" w:ascii="宋体" w:hAnsi="宋体" w:eastAsia="宋体" w:cs="宋体"/>
                <w:bCs/>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A917DAE">
            <w:pPr>
              <w:spacing w:line="440" w:lineRule="exact"/>
              <w:jc w:val="center"/>
              <w:rPr>
                <w:rFonts w:hint="eastAsia" w:ascii="宋体" w:hAnsi="宋体" w:eastAsia="宋体" w:cs="宋体"/>
                <w:b/>
                <w:color w:val="auto"/>
                <w:highlight w:val="none"/>
              </w:rPr>
            </w:pPr>
          </w:p>
        </w:tc>
      </w:tr>
      <w:tr w14:paraId="3E02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7F39207E">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c>
          <w:tcPr>
            <w:tcW w:w="7923" w:type="dxa"/>
            <w:gridSpan w:val="5"/>
            <w:tcBorders>
              <w:top w:val="single" w:color="auto" w:sz="4" w:space="0"/>
              <w:left w:val="single" w:color="auto" w:sz="4" w:space="0"/>
              <w:bottom w:val="single" w:color="auto" w:sz="4" w:space="0"/>
              <w:right w:val="single" w:color="auto" w:sz="4" w:space="0"/>
            </w:tcBorders>
            <w:noWrap w:val="0"/>
            <w:vAlign w:val="center"/>
          </w:tcPr>
          <w:p w14:paraId="7A59BF09">
            <w:pPr>
              <w:spacing w:line="440" w:lineRule="exact"/>
              <w:rPr>
                <w:rFonts w:hint="eastAsia" w:ascii="宋体" w:hAnsi="宋体" w:eastAsia="宋体" w:cs="宋体"/>
                <w:bCs/>
                <w:color w:val="auto"/>
                <w:highlight w:val="none"/>
              </w:rPr>
            </w:pPr>
          </w:p>
        </w:tc>
      </w:tr>
      <w:bookmarkEnd w:id="327"/>
      <w:bookmarkEnd w:id="328"/>
    </w:tbl>
    <w:p w14:paraId="6C211198">
      <w:pPr>
        <w:spacing w:line="360" w:lineRule="auto"/>
        <w:ind w:left="840" w:hanging="840" w:hangingChars="400"/>
        <w:rPr>
          <w:rFonts w:hint="eastAsia" w:ascii="宋体" w:hAnsi="宋体" w:eastAsia="宋体" w:cs="宋体"/>
          <w:color w:val="auto"/>
          <w:highlight w:val="none"/>
        </w:rPr>
      </w:pPr>
    </w:p>
    <w:p w14:paraId="204FF002">
      <w:pPr>
        <w:spacing w:line="360" w:lineRule="auto"/>
        <w:ind w:left="-105" w:leftChars="-50" w:firstLine="78" w:firstLineChars="37"/>
        <w:rPr>
          <w:rFonts w:hint="eastAsia" w:ascii="宋体" w:hAnsi="宋体" w:eastAsia="宋体" w:cs="宋体"/>
          <w:b/>
          <w:color w:val="auto"/>
          <w:highlight w:val="none"/>
        </w:rPr>
      </w:pPr>
      <w:r>
        <w:rPr>
          <w:rFonts w:hint="eastAsia" w:ascii="宋体" w:hAnsi="宋体" w:eastAsia="宋体" w:cs="宋体"/>
          <w:b/>
          <w:color w:val="auto"/>
          <w:highlight w:val="none"/>
        </w:rPr>
        <w:t>特别约定：</w:t>
      </w:r>
    </w:p>
    <w:p w14:paraId="62D3C05F">
      <w:pPr>
        <w:spacing w:line="360" w:lineRule="auto"/>
        <w:ind w:left="-105" w:leftChars="-50" w:firstLine="77" w:firstLineChars="37"/>
        <w:rPr>
          <w:rFonts w:hint="eastAsia" w:ascii="宋体" w:hAnsi="宋体" w:eastAsia="宋体" w:cs="宋体"/>
          <w:bCs/>
          <w:color w:val="auto"/>
          <w:highlight w:val="none"/>
        </w:rPr>
      </w:pPr>
      <w:r>
        <w:rPr>
          <w:rFonts w:hint="eastAsia" w:ascii="宋体" w:hAnsi="宋体" w:eastAsia="宋体" w:cs="宋体"/>
          <w:bCs/>
          <w:color w:val="auto"/>
          <w:highlight w:val="none"/>
        </w:rPr>
        <w:t>1.在发包人所提供的设计资料（含设计确认单、规划部门批文、政府各部门批文等）能满足设计人进行各阶段设计的前提下开始计算各阶段的设计时间。</w:t>
      </w:r>
    </w:p>
    <w:p w14:paraId="77B842B8">
      <w:pPr>
        <w:spacing w:line="360" w:lineRule="auto"/>
        <w:ind w:left="-105" w:leftChars="-50" w:firstLine="77" w:firstLineChars="37"/>
        <w:rPr>
          <w:rFonts w:hint="eastAsia" w:ascii="宋体" w:hAnsi="宋体" w:eastAsia="宋体" w:cs="宋体"/>
          <w:bCs/>
          <w:color w:val="auto"/>
          <w:highlight w:val="none"/>
        </w:rPr>
      </w:pPr>
      <w:r>
        <w:rPr>
          <w:rFonts w:hint="eastAsia" w:ascii="宋体" w:hAnsi="宋体" w:eastAsia="宋体" w:cs="宋体"/>
          <w:bCs/>
          <w:color w:val="auto"/>
          <w:highlight w:val="none"/>
        </w:rPr>
        <w:t>2.上述设计时间不包括法定的节假日。</w:t>
      </w:r>
    </w:p>
    <w:p w14:paraId="3733868F">
      <w:pPr>
        <w:spacing w:line="360" w:lineRule="auto"/>
        <w:ind w:left="-105" w:leftChars="-50" w:firstLine="77" w:firstLineChars="37"/>
        <w:rPr>
          <w:rFonts w:hint="eastAsia" w:ascii="宋体" w:hAnsi="宋体" w:eastAsia="宋体" w:cs="宋体"/>
          <w:bCs/>
          <w:color w:val="auto"/>
          <w:highlight w:val="none"/>
        </w:rPr>
      </w:pPr>
      <w:r>
        <w:rPr>
          <w:rFonts w:hint="eastAsia" w:ascii="宋体" w:hAnsi="宋体" w:eastAsia="宋体" w:cs="宋体"/>
          <w:bCs/>
          <w:color w:val="auto"/>
          <w:highlight w:val="none"/>
        </w:rPr>
        <w:t>3.图纸交付地点：设计人工作地（或发包人指定地）。发包人要求设计人提供电子版设计文件时，设计人有权对电子版设计文件采取加密、设置访问权限、限期使用等保护措施。</w:t>
      </w:r>
    </w:p>
    <w:p w14:paraId="289ECFA8">
      <w:pPr>
        <w:spacing w:line="360" w:lineRule="auto"/>
        <w:ind w:left="-105" w:leftChars="-50" w:firstLine="77" w:firstLineChars="37"/>
        <w:rPr>
          <w:rFonts w:hint="eastAsia" w:ascii="宋体" w:hAnsi="宋体" w:eastAsia="宋体" w:cs="宋体"/>
          <w:bCs/>
          <w:color w:val="auto"/>
          <w:highlight w:val="none"/>
        </w:rPr>
      </w:pPr>
      <w:r>
        <w:rPr>
          <w:rFonts w:hint="eastAsia" w:ascii="宋体" w:hAnsi="宋体" w:eastAsia="宋体" w:cs="宋体"/>
          <w:bCs/>
          <w:color w:val="auto"/>
          <w:highlight w:val="none"/>
        </w:rPr>
        <w:t>4.如发包人要求提供超过合同约定份数的工程设计文件，则设计人仍应按发包人的要求提供，但发包人应向设计人支付工本费。</w:t>
      </w:r>
    </w:p>
    <w:p w14:paraId="0F48D726">
      <w:pPr>
        <w:spacing w:line="360" w:lineRule="auto"/>
        <w:ind w:left="-105" w:leftChars="-50" w:firstLine="77" w:firstLineChars="37"/>
        <w:rPr>
          <w:rFonts w:hint="eastAsia" w:ascii="宋体" w:hAnsi="宋体" w:eastAsia="宋体" w:cs="宋体"/>
          <w:bCs/>
          <w:color w:val="auto"/>
          <w:highlight w:val="none"/>
        </w:rPr>
      </w:pPr>
      <w:r>
        <w:rPr>
          <w:rFonts w:hint="eastAsia" w:ascii="宋体" w:hAnsi="宋体" w:eastAsia="宋体" w:cs="宋体"/>
          <w:bCs/>
          <w:color w:val="auto"/>
          <w:highlight w:val="none"/>
        </w:rPr>
        <w:t>5.如遇设计文件调整，设计人应配合发包人调整相应概算内容。</w:t>
      </w:r>
    </w:p>
    <w:p w14:paraId="39C8CF8F">
      <w:pPr>
        <w:spacing w:line="360" w:lineRule="auto"/>
        <w:ind w:firstLine="200"/>
        <w:rPr>
          <w:rFonts w:hint="eastAsia" w:ascii="宋体" w:hAnsi="宋体" w:eastAsia="宋体" w:cs="宋体"/>
          <w:color w:val="auto"/>
          <w:highlight w:val="none"/>
        </w:rPr>
      </w:pPr>
    </w:p>
    <w:p w14:paraId="141F07AC">
      <w:pPr>
        <w:spacing w:line="360" w:lineRule="auto"/>
        <w:ind w:firstLine="200"/>
        <w:rPr>
          <w:rFonts w:hint="eastAsia" w:ascii="宋体" w:hAnsi="宋体" w:eastAsia="宋体" w:cs="宋体"/>
          <w:color w:val="auto"/>
          <w:highlight w:val="none"/>
        </w:rPr>
      </w:pPr>
    </w:p>
    <w:p w14:paraId="1D68F4D3">
      <w:pPr>
        <w:spacing w:line="360" w:lineRule="auto"/>
        <w:ind w:firstLine="200"/>
        <w:rPr>
          <w:rFonts w:hint="eastAsia" w:ascii="宋体" w:hAnsi="宋体" w:eastAsia="宋体" w:cs="宋体"/>
          <w:b/>
          <w:color w:val="auto"/>
          <w:highlight w:val="none"/>
        </w:rPr>
        <w:sectPr>
          <w:pgSz w:w="11905" w:h="16838"/>
          <w:pgMar w:top="1417" w:right="1417" w:bottom="1417" w:left="1417" w:header="0" w:footer="850" w:gutter="0"/>
          <w:pgNumType w:fmt="decimal"/>
          <w:cols w:space="720" w:num="1"/>
          <w:rtlGutter w:val="0"/>
          <w:docGrid w:linePitch="312" w:charSpace="0"/>
        </w:sectPr>
      </w:pPr>
    </w:p>
    <w:p w14:paraId="3C4F350A">
      <w:pPr>
        <w:spacing w:line="360" w:lineRule="auto"/>
        <w:ind w:firstLine="2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附件4：</w:t>
      </w:r>
    </w:p>
    <w:p w14:paraId="40BBCF39">
      <w:pPr>
        <w:spacing w:line="360" w:lineRule="auto"/>
        <w:ind w:firstLine="20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设计人主要设计人员表（适用</w:t>
      </w:r>
      <w:r>
        <w:rPr>
          <w:rFonts w:hint="eastAsia" w:ascii="宋体" w:hAnsi="宋体" w:eastAsia="宋体" w:cs="宋体"/>
          <w:color w:val="auto"/>
          <w:sz w:val="28"/>
          <w:szCs w:val="28"/>
          <w:highlight w:val="none"/>
          <w:lang w:eastAsia="zh-CN"/>
        </w:rPr>
        <w:t>规划项目</w:t>
      </w:r>
      <w:r>
        <w:rPr>
          <w:rFonts w:hint="eastAsia" w:ascii="宋体" w:hAnsi="宋体" w:eastAsia="宋体" w:cs="宋体"/>
          <w:color w:val="auto"/>
          <w:sz w:val="28"/>
          <w:szCs w:val="28"/>
          <w:highlight w:val="none"/>
        </w:rPr>
        <w:t>工程）</w:t>
      </w:r>
    </w:p>
    <w:p w14:paraId="5376B2AC">
      <w:pPr>
        <w:spacing w:line="360" w:lineRule="auto"/>
        <w:ind w:firstLine="200"/>
        <w:rPr>
          <w:rFonts w:hint="eastAsia" w:ascii="宋体" w:hAnsi="宋体" w:eastAsia="宋体" w:cs="宋体"/>
          <w:color w:val="auto"/>
          <w:highlight w:val="none"/>
        </w:rPr>
      </w:pPr>
    </w:p>
    <w:tbl>
      <w:tblPr>
        <w:tblStyle w:val="4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45"/>
        <w:gridCol w:w="1004"/>
        <w:gridCol w:w="1003"/>
        <w:gridCol w:w="1552"/>
        <w:gridCol w:w="3014"/>
      </w:tblGrid>
      <w:tr w14:paraId="27EBC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2" w:hRule="atLeast"/>
          <w:jc w:val="center"/>
        </w:trPr>
        <w:tc>
          <w:tcPr>
            <w:tcW w:w="2245" w:type="dxa"/>
            <w:tcBorders>
              <w:top w:val="single" w:color="auto" w:sz="12" w:space="0"/>
              <w:bottom w:val="single" w:color="auto" w:sz="6" w:space="0"/>
            </w:tcBorders>
            <w:noWrap w:val="0"/>
            <w:vAlign w:val="center"/>
          </w:tcPr>
          <w:p w14:paraId="733A8E01">
            <w:pPr>
              <w:pStyle w:val="20"/>
              <w:keepNext/>
              <w:spacing w:after="0" w:afterLines="0" w:line="360" w:lineRule="auto"/>
              <w:ind w:left="63" w:right="63" w:firstLine="200"/>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004" w:type="dxa"/>
            <w:tcBorders>
              <w:top w:val="single" w:color="auto" w:sz="12" w:space="0"/>
              <w:bottom w:val="single" w:color="auto" w:sz="6" w:space="0"/>
            </w:tcBorders>
            <w:noWrap w:val="0"/>
            <w:vAlign w:val="center"/>
          </w:tcPr>
          <w:p w14:paraId="272BF5CB">
            <w:pPr>
              <w:pStyle w:val="20"/>
              <w:keepNext/>
              <w:spacing w:after="0" w:afterLines="0" w:line="360" w:lineRule="auto"/>
              <w:ind w:left="63" w:right="63" w:firstLine="200"/>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03" w:type="dxa"/>
            <w:tcBorders>
              <w:top w:val="single" w:color="auto" w:sz="12" w:space="0"/>
              <w:bottom w:val="single" w:color="auto" w:sz="6" w:space="0"/>
            </w:tcBorders>
            <w:noWrap w:val="0"/>
            <w:vAlign w:val="center"/>
          </w:tcPr>
          <w:p w14:paraId="21C41832">
            <w:pPr>
              <w:pStyle w:val="20"/>
              <w:keepNext/>
              <w:spacing w:after="0" w:afterLines="0" w:line="360" w:lineRule="auto"/>
              <w:ind w:left="63" w:right="63" w:firstLine="200"/>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1552" w:type="dxa"/>
            <w:tcBorders>
              <w:top w:val="single" w:color="auto" w:sz="12" w:space="0"/>
              <w:bottom w:val="single" w:color="auto" w:sz="6" w:space="0"/>
            </w:tcBorders>
            <w:noWrap w:val="0"/>
            <w:vAlign w:val="center"/>
          </w:tcPr>
          <w:p w14:paraId="223E7881">
            <w:pPr>
              <w:pStyle w:val="20"/>
              <w:keepNext/>
              <w:spacing w:after="0" w:afterLines="0" w:line="360" w:lineRule="auto"/>
              <w:ind w:left="63" w:right="63" w:firstLine="200"/>
              <w:rPr>
                <w:rFonts w:hint="eastAsia" w:ascii="宋体" w:hAnsi="宋体" w:eastAsia="宋体" w:cs="宋体"/>
                <w:color w:val="auto"/>
                <w:highlight w:val="none"/>
              </w:rPr>
            </w:pPr>
            <w:r>
              <w:rPr>
                <w:rFonts w:hint="eastAsia" w:ascii="宋体" w:hAnsi="宋体" w:eastAsia="宋体" w:cs="宋体"/>
                <w:color w:val="auto"/>
                <w:highlight w:val="none"/>
              </w:rPr>
              <w:t>注册执业资格</w:t>
            </w:r>
          </w:p>
        </w:tc>
        <w:tc>
          <w:tcPr>
            <w:tcW w:w="3014" w:type="dxa"/>
            <w:tcBorders>
              <w:top w:val="single" w:color="auto" w:sz="12" w:space="0"/>
              <w:bottom w:val="single" w:color="auto" w:sz="6" w:space="0"/>
            </w:tcBorders>
            <w:noWrap w:val="0"/>
            <w:vAlign w:val="center"/>
          </w:tcPr>
          <w:p w14:paraId="2D30FEA8">
            <w:pPr>
              <w:pStyle w:val="20"/>
              <w:keepNext/>
              <w:spacing w:after="0" w:afterLines="0" w:line="360" w:lineRule="auto"/>
              <w:ind w:left="63" w:right="63" w:firstLine="200"/>
              <w:rPr>
                <w:rFonts w:hint="eastAsia" w:ascii="宋体" w:hAnsi="宋体" w:eastAsia="宋体" w:cs="宋体"/>
                <w:color w:val="auto"/>
                <w:highlight w:val="none"/>
              </w:rPr>
            </w:pPr>
            <w:r>
              <w:rPr>
                <w:rFonts w:hint="eastAsia" w:ascii="宋体" w:hAnsi="宋体" w:eastAsia="宋体" w:cs="宋体"/>
                <w:color w:val="auto"/>
                <w:highlight w:val="none"/>
              </w:rPr>
              <w:t>承担过的主要项目</w:t>
            </w:r>
          </w:p>
        </w:tc>
      </w:tr>
      <w:tr w14:paraId="67A27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8818" w:type="dxa"/>
            <w:gridSpan w:val="5"/>
            <w:tcBorders>
              <w:top w:val="single" w:color="auto" w:sz="6" w:space="0"/>
              <w:bottom w:val="single" w:color="auto" w:sz="6" w:space="0"/>
            </w:tcBorders>
            <w:noWrap w:val="0"/>
            <w:vAlign w:val="center"/>
          </w:tcPr>
          <w:p w14:paraId="0E7C1FDB">
            <w:pPr>
              <w:pStyle w:val="20"/>
              <w:keepNext/>
              <w:spacing w:after="0" w:afterLines="0" w:line="360" w:lineRule="auto"/>
              <w:ind w:left="63" w:right="63" w:firstLine="200"/>
              <w:rPr>
                <w:rFonts w:hint="eastAsia" w:ascii="宋体" w:hAnsi="宋体" w:eastAsia="宋体" w:cs="宋体"/>
                <w:color w:val="auto"/>
                <w:highlight w:val="none"/>
              </w:rPr>
            </w:pPr>
            <w:r>
              <w:rPr>
                <w:rFonts w:hint="eastAsia" w:ascii="宋体" w:hAnsi="宋体" w:eastAsia="宋体" w:cs="宋体"/>
                <w:color w:val="auto"/>
                <w:highlight w:val="none"/>
              </w:rPr>
              <w:t>一、总部人员</w:t>
            </w:r>
          </w:p>
        </w:tc>
      </w:tr>
      <w:tr w14:paraId="63E94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2245" w:type="dxa"/>
            <w:tcBorders>
              <w:top w:val="nil"/>
              <w:bottom w:val="single" w:color="auto" w:sz="4" w:space="0"/>
            </w:tcBorders>
            <w:noWrap w:val="0"/>
            <w:vAlign w:val="center"/>
          </w:tcPr>
          <w:p w14:paraId="3FE7C234">
            <w:pPr>
              <w:pStyle w:val="20"/>
              <w:keepNext/>
              <w:spacing w:after="0" w:afterLines="0" w:line="360" w:lineRule="auto"/>
              <w:ind w:right="63"/>
              <w:rPr>
                <w:rFonts w:hint="eastAsia" w:ascii="宋体" w:hAnsi="宋体" w:eastAsia="宋体" w:cs="宋体"/>
                <w:color w:val="auto"/>
                <w:highlight w:val="none"/>
              </w:rPr>
            </w:pPr>
          </w:p>
        </w:tc>
        <w:tc>
          <w:tcPr>
            <w:tcW w:w="1004" w:type="dxa"/>
            <w:tcBorders>
              <w:top w:val="nil"/>
            </w:tcBorders>
            <w:noWrap w:val="0"/>
            <w:vAlign w:val="center"/>
          </w:tcPr>
          <w:p w14:paraId="5FAFB87D">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tcBorders>
              <w:top w:val="nil"/>
            </w:tcBorders>
            <w:noWrap w:val="0"/>
            <w:vAlign w:val="center"/>
          </w:tcPr>
          <w:p w14:paraId="62378899">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tcBorders>
              <w:top w:val="nil"/>
            </w:tcBorders>
            <w:noWrap w:val="0"/>
            <w:vAlign w:val="center"/>
          </w:tcPr>
          <w:p w14:paraId="5945DE78">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tcBorders>
              <w:top w:val="nil"/>
            </w:tcBorders>
            <w:noWrap w:val="0"/>
            <w:vAlign w:val="center"/>
          </w:tcPr>
          <w:p w14:paraId="30A34492">
            <w:pPr>
              <w:pStyle w:val="20"/>
              <w:keepNext/>
              <w:spacing w:after="0" w:afterLines="0" w:line="360" w:lineRule="auto"/>
              <w:ind w:left="63" w:right="63" w:firstLine="200"/>
              <w:rPr>
                <w:rFonts w:hint="eastAsia" w:ascii="宋体" w:hAnsi="宋体" w:eastAsia="宋体" w:cs="宋体"/>
                <w:color w:val="auto"/>
                <w:highlight w:val="none"/>
              </w:rPr>
            </w:pPr>
          </w:p>
        </w:tc>
      </w:tr>
      <w:tr w14:paraId="23DB2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2245" w:type="dxa"/>
            <w:tcBorders>
              <w:top w:val="single" w:color="auto" w:sz="4" w:space="0"/>
              <w:bottom w:val="nil"/>
            </w:tcBorders>
            <w:noWrap w:val="0"/>
            <w:vAlign w:val="center"/>
          </w:tcPr>
          <w:p w14:paraId="1C22F88B">
            <w:pPr>
              <w:pStyle w:val="20"/>
              <w:keepNext/>
              <w:spacing w:after="0" w:afterLines="0" w:line="360" w:lineRule="auto"/>
              <w:ind w:right="63"/>
              <w:rPr>
                <w:rFonts w:hint="eastAsia" w:ascii="宋体" w:hAnsi="宋体" w:eastAsia="宋体" w:cs="宋体"/>
                <w:color w:val="auto"/>
                <w:highlight w:val="none"/>
              </w:rPr>
            </w:pPr>
          </w:p>
        </w:tc>
        <w:tc>
          <w:tcPr>
            <w:tcW w:w="1004" w:type="dxa"/>
            <w:noWrap w:val="0"/>
            <w:vAlign w:val="center"/>
          </w:tcPr>
          <w:p w14:paraId="59C45953">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noWrap w:val="0"/>
            <w:vAlign w:val="center"/>
          </w:tcPr>
          <w:p w14:paraId="47D04AC0">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noWrap w:val="0"/>
            <w:vAlign w:val="center"/>
          </w:tcPr>
          <w:p w14:paraId="27239AC9">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noWrap w:val="0"/>
            <w:vAlign w:val="center"/>
          </w:tcPr>
          <w:p w14:paraId="4940FED6">
            <w:pPr>
              <w:pStyle w:val="20"/>
              <w:keepNext/>
              <w:spacing w:after="0" w:afterLines="0" w:line="360" w:lineRule="auto"/>
              <w:ind w:left="63" w:right="63" w:firstLine="200"/>
              <w:rPr>
                <w:rFonts w:hint="eastAsia" w:ascii="宋体" w:hAnsi="宋体" w:eastAsia="宋体" w:cs="宋体"/>
                <w:color w:val="auto"/>
                <w:highlight w:val="none"/>
              </w:rPr>
            </w:pPr>
          </w:p>
        </w:tc>
      </w:tr>
      <w:tr w14:paraId="2B5B9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8818" w:type="dxa"/>
            <w:gridSpan w:val="5"/>
            <w:tcBorders>
              <w:top w:val="single" w:color="auto" w:sz="6" w:space="0"/>
              <w:bottom w:val="single" w:color="auto" w:sz="6" w:space="0"/>
            </w:tcBorders>
            <w:noWrap w:val="0"/>
            <w:vAlign w:val="center"/>
          </w:tcPr>
          <w:p w14:paraId="291466E9">
            <w:pPr>
              <w:pStyle w:val="20"/>
              <w:keepNext/>
              <w:spacing w:after="0" w:afterLines="0" w:line="360" w:lineRule="auto"/>
              <w:ind w:left="63" w:right="63" w:firstLine="200"/>
              <w:rPr>
                <w:rFonts w:hint="eastAsia" w:ascii="宋体" w:hAnsi="宋体" w:eastAsia="宋体" w:cs="宋体"/>
                <w:color w:val="auto"/>
                <w:highlight w:val="none"/>
              </w:rPr>
            </w:pPr>
            <w:r>
              <w:rPr>
                <w:rFonts w:hint="eastAsia" w:ascii="宋体" w:hAnsi="宋体" w:eastAsia="宋体" w:cs="宋体"/>
                <w:color w:val="auto"/>
                <w:highlight w:val="none"/>
              </w:rPr>
              <w:t>二、项目组成员</w:t>
            </w:r>
          </w:p>
        </w:tc>
      </w:tr>
      <w:tr w14:paraId="2A285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2245" w:type="dxa"/>
            <w:tcBorders>
              <w:top w:val="single" w:color="auto" w:sz="6" w:space="0"/>
              <w:bottom w:val="single" w:color="auto" w:sz="6" w:space="0"/>
            </w:tcBorders>
            <w:noWrap w:val="0"/>
            <w:vAlign w:val="center"/>
          </w:tcPr>
          <w:p w14:paraId="07B87ED8">
            <w:pPr>
              <w:pStyle w:val="20"/>
              <w:keepNext/>
              <w:spacing w:after="0" w:afterLines="0" w:line="360" w:lineRule="auto"/>
              <w:ind w:right="63"/>
              <w:rPr>
                <w:rFonts w:hint="eastAsia" w:ascii="宋体" w:hAnsi="宋体" w:eastAsia="宋体" w:cs="宋体"/>
                <w:color w:val="auto"/>
                <w:highlight w:val="none"/>
              </w:rPr>
            </w:pPr>
          </w:p>
        </w:tc>
        <w:tc>
          <w:tcPr>
            <w:tcW w:w="1004" w:type="dxa"/>
            <w:noWrap w:val="0"/>
            <w:vAlign w:val="center"/>
          </w:tcPr>
          <w:p w14:paraId="7511E9B3">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noWrap w:val="0"/>
            <w:vAlign w:val="center"/>
          </w:tcPr>
          <w:p w14:paraId="5300610E">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noWrap w:val="0"/>
            <w:vAlign w:val="center"/>
          </w:tcPr>
          <w:p w14:paraId="02EFC5EC">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noWrap w:val="0"/>
            <w:vAlign w:val="center"/>
          </w:tcPr>
          <w:p w14:paraId="4283A91A">
            <w:pPr>
              <w:pStyle w:val="20"/>
              <w:keepNext/>
              <w:spacing w:after="0" w:afterLines="0" w:line="360" w:lineRule="auto"/>
              <w:ind w:left="63" w:right="63" w:firstLine="200"/>
              <w:rPr>
                <w:rFonts w:hint="eastAsia" w:ascii="宋体" w:hAnsi="宋体" w:eastAsia="宋体" w:cs="宋体"/>
                <w:color w:val="auto"/>
                <w:highlight w:val="none"/>
              </w:rPr>
            </w:pPr>
          </w:p>
        </w:tc>
      </w:tr>
      <w:tr w14:paraId="4596D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2245" w:type="dxa"/>
            <w:tcBorders>
              <w:top w:val="single" w:color="auto" w:sz="6" w:space="0"/>
              <w:bottom w:val="single" w:color="auto" w:sz="6" w:space="0"/>
            </w:tcBorders>
            <w:noWrap w:val="0"/>
            <w:vAlign w:val="center"/>
          </w:tcPr>
          <w:p w14:paraId="50C8EB91">
            <w:pPr>
              <w:pStyle w:val="20"/>
              <w:keepNext/>
              <w:spacing w:after="0" w:afterLines="0" w:line="360" w:lineRule="auto"/>
              <w:ind w:right="63"/>
              <w:rPr>
                <w:rFonts w:hint="eastAsia" w:ascii="宋体" w:hAnsi="宋体" w:eastAsia="宋体" w:cs="宋体"/>
                <w:color w:val="auto"/>
                <w:highlight w:val="none"/>
              </w:rPr>
            </w:pPr>
          </w:p>
        </w:tc>
        <w:tc>
          <w:tcPr>
            <w:tcW w:w="1004" w:type="dxa"/>
            <w:noWrap w:val="0"/>
            <w:vAlign w:val="center"/>
          </w:tcPr>
          <w:p w14:paraId="5BEF1AE5">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noWrap w:val="0"/>
            <w:vAlign w:val="center"/>
          </w:tcPr>
          <w:p w14:paraId="23232495">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noWrap w:val="0"/>
            <w:vAlign w:val="center"/>
          </w:tcPr>
          <w:p w14:paraId="45BBD81C">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noWrap w:val="0"/>
            <w:vAlign w:val="center"/>
          </w:tcPr>
          <w:p w14:paraId="458C9898">
            <w:pPr>
              <w:pStyle w:val="20"/>
              <w:keepNext/>
              <w:spacing w:after="0" w:afterLines="0" w:line="360" w:lineRule="auto"/>
              <w:ind w:left="63" w:right="63" w:firstLine="200"/>
              <w:rPr>
                <w:rFonts w:hint="eastAsia" w:ascii="宋体" w:hAnsi="宋体" w:eastAsia="宋体" w:cs="宋体"/>
                <w:color w:val="auto"/>
                <w:highlight w:val="none"/>
              </w:rPr>
            </w:pPr>
          </w:p>
        </w:tc>
      </w:tr>
      <w:tr w14:paraId="0C5E4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2245" w:type="dxa"/>
            <w:tcBorders>
              <w:top w:val="single" w:color="auto" w:sz="6" w:space="0"/>
              <w:bottom w:val="single" w:color="auto" w:sz="6" w:space="0"/>
            </w:tcBorders>
            <w:noWrap w:val="0"/>
            <w:vAlign w:val="center"/>
          </w:tcPr>
          <w:p w14:paraId="7859889A">
            <w:pPr>
              <w:pStyle w:val="20"/>
              <w:keepNext/>
              <w:spacing w:after="0" w:afterLines="0" w:line="360" w:lineRule="auto"/>
              <w:ind w:right="63"/>
              <w:rPr>
                <w:rFonts w:hint="eastAsia" w:ascii="宋体" w:hAnsi="宋体" w:eastAsia="宋体" w:cs="宋体"/>
                <w:color w:val="auto"/>
                <w:highlight w:val="none"/>
              </w:rPr>
            </w:pPr>
          </w:p>
        </w:tc>
        <w:tc>
          <w:tcPr>
            <w:tcW w:w="1004" w:type="dxa"/>
            <w:noWrap w:val="0"/>
            <w:vAlign w:val="center"/>
          </w:tcPr>
          <w:p w14:paraId="51A0275C">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noWrap w:val="0"/>
            <w:vAlign w:val="center"/>
          </w:tcPr>
          <w:p w14:paraId="4D863838">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noWrap w:val="0"/>
            <w:vAlign w:val="center"/>
          </w:tcPr>
          <w:p w14:paraId="6C8CB501">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noWrap w:val="0"/>
            <w:vAlign w:val="center"/>
          </w:tcPr>
          <w:p w14:paraId="104808A2">
            <w:pPr>
              <w:pStyle w:val="20"/>
              <w:keepNext/>
              <w:spacing w:after="0" w:afterLines="0" w:line="360" w:lineRule="auto"/>
              <w:ind w:left="63" w:right="63" w:firstLine="200"/>
              <w:rPr>
                <w:rFonts w:hint="eastAsia" w:ascii="宋体" w:hAnsi="宋体" w:eastAsia="宋体" w:cs="宋体"/>
                <w:color w:val="auto"/>
                <w:highlight w:val="none"/>
              </w:rPr>
            </w:pPr>
          </w:p>
        </w:tc>
      </w:tr>
      <w:tr w14:paraId="7165D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2245" w:type="dxa"/>
            <w:tcBorders>
              <w:top w:val="single" w:color="auto" w:sz="6" w:space="0"/>
              <w:bottom w:val="single" w:color="auto" w:sz="6" w:space="0"/>
            </w:tcBorders>
            <w:noWrap w:val="0"/>
            <w:vAlign w:val="center"/>
          </w:tcPr>
          <w:p w14:paraId="45DCD2EF">
            <w:pPr>
              <w:pStyle w:val="20"/>
              <w:keepNext/>
              <w:spacing w:after="0" w:afterLines="0" w:line="360" w:lineRule="auto"/>
              <w:ind w:right="63"/>
              <w:rPr>
                <w:rFonts w:hint="eastAsia" w:ascii="宋体" w:hAnsi="宋体" w:eastAsia="宋体" w:cs="宋体"/>
                <w:color w:val="auto"/>
                <w:highlight w:val="none"/>
              </w:rPr>
            </w:pPr>
          </w:p>
        </w:tc>
        <w:tc>
          <w:tcPr>
            <w:tcW w:w="1004" w:type="dxa"/>
            <w:noWrap w:val="0"/>
            <w:vAlign w:val="center"/>
          </w:tcPr>
          <w:p w14:paraId="5954F56C">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noWrap w:val="0"/>
            <w:vAlign w:val="center"/>
          </w:tcPr>
          <w:p w14:paraId="5C3911AE">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noWrap w:val="0"/>
            <w:vAlign w:val="center"/>
          </w:tcPr>
          <w:p w14:paraId="215FA3F1">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noWrap w:val="0"/>
            <w:vAlign w:val="center"/>
          </w:tcPr>
          <w:p w14:paraId="391B5F90">
            <w:pPr>
              <w:pStyle w:val="20"/>
              <w:keepNext/>
              <w:spacing w:after="0" w:afterLines="0" w:line="360" w:lineRule="auto"/>
              <w:ind w:left="63" w:right="63" w:firstLine="200"/>
              <w:rPr>
                <w:rFonts w:hint="eastAsia" w:ascii="宋体" w:hAnsi="宋体" w:eastAsia="宋体" w:cs="宋体"/>
                <w:color w:val="auto"/>
                <w:highlight w:val="none"/>
              </w:rPr>
            </w:pPr>
          </w:p>
        </w:tc>
      </w:tr>
      <w:tr w14:paraId="7CCBA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7" w:hRule="atLeast"/>
          <w:jc w:val="center"/>
        </w:trPr>
        <w:tc>
          <w:tcPr>
            <w:tcW w:w="2245" w:type="dxa"/>
            <w:tcBorders>
              <w:top w:val="single" w:color="auto" w:sz="6" w:space="0"/>
              <w:bottom w:val="single" w:color="auto" w:sz="6" w:space="0"/>
            </w:tcBorders>
            <w:noWrap w:val="0"/>
            <w:vAlign w:val="center"/>
          </w:tcPr>
          <w:p w14:paraId="1121C966">
            <w:pPr>
              <w:pStyle w:val="20"/>
              <w:keepNext/>
              <w:spacing w:after="0" w:afterLines="0" w:line="360" w:lineRule="auto"/>
              <w:ind w:right="63"/>
              <w:rPr>
                <w:rFonts w:hint="eastAsia" w:ascii="宋体" w:hAnsi="宋体" w:eastAsia="宋体" w:cs="宋体"/>
                <w:color w:val="auto"/>
                <w:highlight w:val="none"/>
              </w:rPr>
            </w:pPr>
          </w:p>
        </w:tc>
        <w:tc>
          <w:tcPr>
            <w:tcW w:w="1004" w:type="dxa"/>
            <w:noWrap w:val="0"/>
            <w:vAlign w:val="center"/>
          </w:tcPr>
          <w:p w14:paraId="3C28ADEE">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noWrap w:val="0"/>
            <w:vAlign w:val="center"/>
          </w:tcPr>
          <w:p w14:paraId="76C11B49">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noWrap w:val="0"/>
            <w:vAlign w:val="center"/>
          </w:tcPr>
          <w:p w14:paraId="338A0D77">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noWrap w:val="0"/>
            <w:vAlign w:val="center"/>
          </w:tcPr>
          <w:p w14:paraId="6436A5FC">
            <w:pPr>
              <w:pStyle w:val="20"/>
              <w:keepNext/>
              <w:spacing w:after="0" w:afterLines="0" w:line="360" w:lineRule="auto"/>
              <w:ind w:left="63" w:right="63" w:firstLine="200"/>
              <w:rPr>
                <w:rFonts w:hint="eastAsia" w:ascii="宋体" w:hAnsi="宋体" w:eastAsia="宋体" w:cs="宋体"/>
                <w:color w:val="auto"/>
                <w:highlight w:val="none"/>
              </w:rPr>
            </w:pPr>
          </w:p>
        </w:tc>
      </w:tr>
      <w:tr w14:paraId="7C976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7" w:hRule="atLeast"/>
          <w:jc w:val="center"/>
        </w:trPr>
        <w:tc>
          <w:tcPr>
            <w:tcW w:w="2245" w:type="dxa"/>
            <w:tcBorders>
              <w:top w:val="single" w:color="auto" w:sz="6" w:space="0"/>
              <w:bottom w:val="single" w:color="auto" w:sz="6" w:space="0"/>
            </w:tcBorders>
            <w:noWrap w:val="0"/>
            <w:vAlign w:val="center"/>
          </w:tcPr>
          <w:p w14:paraId="1CABA7F7">
            <w:pPr>
              <w:pStyle w:val="20"/>
              <w:keepNext/>
              <w:spacing w:after="0" w:afterLines="0" w:line="360" w:lineRule="auto"/>
              <w:ind w:right="63"/>
              <w:rPr>
                <w:rFonts w:hint="eastAsia" w:ascii="宋体" w:hAnsi="宋体" w:eastAsia="宋体" w:cs="宋体"/>
                <w:color w:val="auto"/>
                <w:highlight w:val="none"/>
              </w:rPr>
            </w:pPr>
          </w:p>
        </w:tc>
        <w:tc>
          <w:tcPr>
            <w:tcW w:w="1004" w:type="dxa"/>
            <w:noWrap w:val="0"/>
            <w:vAlign w:val="center"/>
          </w:tcPr>
          <w:p w14:paraId="17E359FD">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noWrap w:val="0"/>
            <w:vAlign w:val="center"/>
          </w:tcPr>
          <w:p w14:paraId="79109733">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noWrap w:val="0"/>
            <w:vAlign w:val="center"/>
          </w:tcPr>
          <w:p w14:paraId="2DBC141D">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noWrap w:val="0"/>
            <w:vAlign w:val="center"/>
          </w:tcPr>
          <w:p w14:paraId="1C51BA5C">
            <w:pPr>
              <w:pStyle w:val="20"/>
              <w:keepNext/>
              <w:spacing w:after="0" w:afterLines="0" w:line="360" w:lineRule="auto"/>
              <w:ind w:left="63" w:right="63" w:firstLine="200"/>
              <w:rPr>
                <w:rFonts w:hint="eastAsia" w:ascii="宋体" w:hAnsi="宋体" w:eastAsia="宋体" w:cs="宋体"/>
                <w:color w:val="auto"/>
                <w:highlight w:val="none"/>
              </w:rPr>
            </w:pPr>
          </w:p>
        </w:tc>
      </w:tr>
      <w:tr w14:paraId="75F09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2245" w:type="dxa"/>
            <w:tcBorders>
              <w:top w:val="single" w:color="auto" w:sz="6" w:space="0"/>
              <w:bottom w:val="single" w:color="auto" w:sz="6" w:space="0"/>
            </w:tcBorders>
            <w:noWrap w:val="0"/>
            <w:vAlign w:val="center"/>
          </w:tcPr>
          <w:p w14:paraId="1536420B">
            <w:pPr>
              <w:pStyle w:val="20"/>
              <w:keepNext/>
              <w:spacing w:after="0" w:afterLines="0" w:line="360" w:lineRule="auto"/>
              <w:ind w:right="63"/>
              <w:rPr>
                <w:rFonts w:hint="eastAsia" w:ascii="宋体" w:hAnsi="宋体" w:eastAsia="宋体" w:cs="宋体"/>
                <w:color w:val="auto"/>
                <w:highlight w:val="none"/>
              </w:rPr>
            </w:pPr>
          </w:p>
        </w:tc>
        <w:tc>
          <w:tcPr>
            <w:tcW w:w="1004" w:type="dxa"/>
            <w:noWrap w:val="0"/>
            <w:vAlign w:val="center"/>
          </w:tcPr>
          <w:p w14:paraId="57E3EC59">
            <w:pPr>
              <w:pStyle w:val="20"/>
              <w:keepNext/>
              <w:spacing w:after="0" w:afterLines="0" w:line="360" w:lineRule="auto"/>
              <w:ind w:left="63" w:right="63" w:firstLine="200"/>
              <w:rPr>
                <w:rFonts w:hint="eastAsia" w:ascii="宋体" w:hAnsi="宋体" w:eastAsia="宋体" w:cs="宋体"/>
                <w:color w:val="auto"/>
                <w:highlight w:val="none"/>
              </w:rPr>
            </w:pPr>
          </w:p>
        </w:tc>
        <w:tc>
          <w:tcPr>
            <w:tcW w:w="1003" w:type="dxa"/>
            <w:noWrap w:val="0"/>
            <w:vAlign w:val="center"/>
          </w:tcPr>
          <w:p w14:paraId="585F45A8">
            <w:pPr>
              <w:pStyle w:val="20"/>
              <w:keepNext/>
              <w:spacing w:after="0" w:afterLines="0" w:line="360" w:lineRule="auto"/>
              <w:ind w:left="63" w:right="63" w:firstLine="200"/>
              <w:rPr>
                <w:rFonts w:hint="eastAsia" w:ascii="宋体" w:hAnsi="宋体" w:eastAsia="宋体" w:cs="宋体"/>
                <w:color w:val="auto"/>
                <w:highlight w:val="none"/>
              </w:rPr>
            </w:pPr>
          </w:p>
        </w:tc>
        <w:tc>
          <w:tcPr>
            <w:tcW w:w="1552" w:type="dxa"/>
            <w:noWrap w:val="0"/>
            <w:vAlign w:val="center"/>
          </w:tcPr>
          <w:p w14:paraId="2679F383">
            <w:pPr>
              <w:pStyle w:val="20"/>
              <w:keepNext/>
              <w:spacing w:after="0" w:afterLines="0" w:line="360" w:lineRule="auto"/>
              <w:ind w:left="63" w:right="63" w:firstLine="200"/>
              <w:rPr>
                <w:rFonts w:hint="eastAsia" w:ascii="宋体" w:hAnsi="宋体" w:eastAsia="宋体" w:cs="宋体"/>
                <w:color w:val="auto"/>
                <w:highlight w:val="none"/>
              </w:rPr>
            </w:pPr>
          </w:p>
        </w:tc>
        <w:tc>
          <w:tcPr>
            <w:tcW w:w="3014" w:type="dxa"/>
            <w:noWrap w:val="0"/>
            <w:vAlign w:val="center"/>
          </w:tcPr>
          <w:p w14:paraId="4BE37D45">
            <w:pPr>
              <w:pStyle w:val="20"/>
              <w:keepNext/>
              <w:spacing w:after="0" w:afterLines="0" w:line="360" w:lineRule="auto"/>
              <w:ind w:left="63" w:right="63" w:firstLine="200"/>
              <w:rPr>
                <w:rFonts w:hint="eastAsia" w:ascii="宋体" w:hAnsi="宋体" w:eastAsia="宋体" w:cs="宋体"/>
                <w:color w:val="auto"/>
                <w:highlight w:val="none"/>
              </w:rPr>
            </w:pPr>
          </w:p>
        </w:tc>
      </w:tr>
      <w:tr w14:paraId="4098F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8818" w:type="dxa"/>
            <w:gridSpan w:val="5"/>
            <w:tcBorders>
              <w:top w:val="single" w:color="auto" w:sz="6" w:space="0"/>
            </w:tcBorders>
            <w:noWrap w:val="0"/>
            <w:vAlign w:val="center"/>
          </w:tcPr>
          <w:p w14:paraId="3910A82B">
            <w:pPr>
              <w:pStyle w:val="20"/>
              <w:keepNext/>
              <w:spacing w:after="0" w:afterLines="0" w:line="360" w:lineRule="auto"/>
              <w:ind w:left="63" w:right="63" w:firstLine="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bl>
    <w:p w14:paraId="138BF339">
      <w:pPr>
        <w:spacing w:line="360" w:lineRule="auto"/>
        <w:ind w:firstLine="200"/>
        <w:rPr>
          <w:rFonts w:hint="eastAsia" w:ascii="宋体" w:hAnsi="宋体" w:eastAsia="宋体" w:cs="宋体"/>
          <w:color w:val="auto"/>
          <w:highlight w:val="none"/>
        </w:rPr>
      </w:pPr>
    </w:p>
    <w:p w14:paraId="3BB80E65">
      <w:pPr>
        <w:spacing w:line="360" w:lineRule="auto"/>
        <w:ind w:firstLine="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28"/>
          <w:szCs w:val="28"/>
          <w:highlight w:val="none"/>
        </w:rPr>
        <w:t>附件5：</w:t>
      </w:r>
    </w:p>
    <w:p w14:paraId="097767CF">
      <w:pPr>
        <w:spacing w:line="360" w:lineRule="auto"/>
        <w:ind w:firstLine="20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设计进度表</w:t>
      </w:r>
    </w:p>
    <w:p w14:paraId="774A3D48">
      <w:pPr>
        <w:spacing w:line="360" w:lineRule="auto"/>
        <w:ind w:firstLine="200"/>
        <w:rPr>
          <w:rFonts w:hint="eastAsia" w:ascii="宋体" w:hAnsi="宋体" w:eastAsia="宋体" w:cs="宋体"/>
          <w:color w:val="auto"/>
          <w:highlight w:val="none"/>
        </w:rPr>
      </w:pPr>
    </w:p>
    <w:p w14:paraId="744236BC">
      <w:pPr>
        <w:spacing w:line="360" w:lineRule="auto"/>
        <w:ind w:firstLine="200"/>
        <w:rPr>
          <w:rFonts w:hint="eastAsia" w:ascii="宋体" w:hAnsi="宋体" w:eastAsia="宋体" w:cs="宋体"/>
          <w:color w:val="auto"/>
          <w:highlight w:val="none"/>
        </w:rPr>
      </w:pPr>
    </w:p>
    <w:p w14:paraId="1CE674FA">
      <w:pPr>
        <w:spacing w:line="360" w:lineRule="auto"/>
        <w:ind w:firstLine="200"/>
        <w:rPr>
          <w:rFonts w:hint="eastAsia" w:ascii="宋体" w:hAnsi="宋体" w:eastAsia="宋体" w:cs="宋体"/>
          <w:color w:val="auto"/>
          <w:highlight w:val="none"/>
        </w:rPr>
      </w:pPr>
    </w:p>
    <w:p w14:paraId="6B2C9329">
      <w:pPr>
        <w:spacing w:line="360" w:lineRule="auto"/>
        <w:ind w:firstLine="200"/>
        <w:rPr>
          <w:rFonts w:hint="eastAsia" w:ascii="宋体" w:hAnsi="宋体" w:eastAsia="宋体" w:cs="宋体"/>
          <w:color w:val="auto"/>
          <w:highlight w:val="none"/>
        </w:rPr>
      </w:pPr>
    </w:p>
    <w:p w14:paraId="09410A7D">
      <w:pPr>
        <w:spacing w:line="360" w:lineRule="auto"/>
        <w:ind w:firstLine="200"/>
        <w:rPr>
          <w:rFonts w:hint="eastAsia" w:ascii="宋体" w:hAnsi="宋体" w:eastAsia="宋体" w:cs="宋体"/>
          <w:color w:val="auto"/>
          <w:highlight w:val="none"/>
        </w:rPr>
      </w:pPr>
    </w:p>
    <w:p w14:paraId="07392340">
      <w:pPr>
        <w:spacing w:line="360" w:lineRule="auto"/>
        <w:ind w:firstLine="200"/>
        <w:rPr>
          <w:rFonts w:hint="eastAsia" w:ascii="宋体" w:hAnsi="宋体" w:eastAsia="宋体" w:cs="宋体"/>
          <w:color w:val="auto"/>
          <w:highlight w:val="none"/>
        </w:rPr>
      </w:pPr>
    </w:p>
    <w:p w14:paraId="4EC3DA4E">
      <w:pPr>
        <w:spacing w:line="360" w:lineRule="auto"/>
        <w:ind w:firstLine="200"/>
        <w:rPr>
          <w:rFonts w:hint="eastAsia" w:ascii="宋体" w:hAnsi="宋体" w:eastAsia="宋体" w:cs="宋体"/>
          <w:color w:val="auto"/>
          <w:highlight w:val="none"/>
        </w:rPr>
      </w:pPr>
    </w:p>
    <w:p w14:paraId="13A1F6CD">
      <w:pPr>
        <w:spacing w:line="360" w:lineRule="auto"/>
        <w:ind w:firstLine="200"/>
        <w:rPr>
          <w:rFonts w:hint="eastAsia" w:ascii="宋体" w:hAnsi="宋体" w:eastAsia="宋体" w:cs="宋体"/>
          <w:color w:val="auto"/>
          <w:highlight w:val="none"/>
        </w:rPr>
      </w:pPr>
    </w:p>
    <w:p w14:paraId="3E0BDF27">
      <w:pPr>
        <w:spacing w:line="360" w:lineRule="auto"/>
        <w:ind w:firstLine="200"/>
        <w:rPr>
          <w:rFonts w:hint="eastAsia" w:ascii="宋体" w:hAnsi="宋体" w:eastAsia="宋体" w:cs="宋体"/>
          <w:color w:val="auto"/>
          <w:highlight w:val="none"/>
        </w:rPr>
      </w:pPr>
    </w:p>
    <w:p w14:paraId="6E3961B4">
      <w:pPr>
        <w:spacing w:line="360" w:lineRule="auto"/>
        <w:ind w:firstLine="200"/>
        <w:rPr>
          <w:rFonts w:hint="eastAsia" w:ascii="宋体" w:hAnsi="宋体" w:eastAsia="宋体" w:cs="宋体"/>
          <w:color w:val="auto"/>
          <w:highlight w:val="none"/>
        </w:rPr>
      </w:pPr>
    </w:p>
    <w:p w14:paraId="2F78B503">
      <w:pPr>
        <w:spacing w:line="360" w:lineRule="auto"/>
        <w:ind w:firstLine="200"/>
        <w:rPr>
          <w:rFonts w:hint="eastAsia" w:ascii="宋体" w:hAnsi="宋体" w:eastAsia="宋体" w:cs="宋体"/>
          <w:color w:val="auto"/>
          <w:highlight w:val="none"/>
        </w:rPr>
      </w:pPr>
    </w:p>
    <w:p w14:paraId="086FAECF">
      <w:pPr>
        <w:spacing w:line="360" w:lineRule="auto"/>
        <w:ind w:firstLine="200"/>
        <w:rPr>
          <w:rFonts w:hint="eastAsia" w:ascii="宋体" w:hAnsi="宋体" w:eastAsia="宋体" w:cs="宋体"/>
          <w:color w:val="auto"/>
          <w:highlight w:val="none"/>
        </w:rPr>
      </w:pPr>
    </w:p>
    <w:p w14:paraId="2CE6E4B7">
      <w:pPr>
        <w:spacing w:line="360" w:lineRule="auto"/>
        <w:ind w:firstLine="200"/>
        <w:rPr>
          <w:rFonts w:hint="eastAsia" w:ascii="宋体" w:hAnsi="宋体" w:eastAsia="宋体" w:cs="宋体"/>
          <w:color w:val="auto"/>
          <w:highlight w:val="none"/>
        </w:rPr>
      </w:pPr>
    </w:p>
    <w:p w14:paraId="78048E5E">
      <w:pPr>
        <w:spacing w:line="360" w:lineRule="auto"/>
        <w:ind w:firstLine="200"/>
        <w:rPr>
          <w:rFonts w:hint="eastAsia" w:ascii="宋体" w:hAnsi="宋体" w:eastAsia="宋体" w:cs="宋体"/>
          <w:color w:val="auto"/>
          <w:highlight w:val="none"/>
        </w:rPr>
      </w:pPr>
    </w:p>
    <w:p w14:paraId="04E557B5">
      <w:pPr>
        <w:spacing w:line="360" w:lineRule="auto"/>
        <w:ind w:firstLine="200"/>
        <w:rPr>
          <w:rFonts w:hint="eastAsia" w:ascii="宋体" w:hAnsi="宋体" w:eastAsia="宋体" w:cs="宋体"/>
          <w:color w:val="auto"/>
          <w:highlight w:val="none"/>
        </w:rPr>
      </w:pPr>
    </w:p>
    <w:p w14:paraId="79851781">
      <w:pPr>
        <w:spacing w:line="360" w:lineRule="auto"/>
        <w:ind w:firstLine="200"/>
        <w:rPr>
          <w:rFonts w:hint="eastAsia" w:ascii="宋体" w:hAnsi="宋体" w:eastAsia="宋体" w:cs="宋体"/>
          <w:color w:val="auto"/>
          <w:highlight w:val="none"/>
        </w:rPr>
      </w:pPr>
    </w:p>
    <w:p w14:paraId="70AA95E8">
      <w:pPr>
        <w:spacing w:line="360" w:lineRule="auto"/>
        <w:ind w:firstLine="200"/>
        <w:rPr>
          <w:rFonts w:hint="eastAsia" w:ascii="宋体" w:hAnsi="宋体" w:eastAsia="宋体" w:cs="宋体"/>
          <w:color w:val="auto"/>
          <w:highlight w:val="none"/>
        </w:rPr>
      </w:pPr>
    </w:p>
    <w:p w14:paraId="6B8E0CF9">
      <w:pPr>
        <w:spacing w:line="360" w:lineRule="auto"/>
        <w:ind w:firstLine="200"/>
        <w:rPr>
          <w:rFonts w:hint="eastAsia" w:ascii="宋体" w:hAnsi="宋体" w:eastAsia="宋体" w:cs="宋体"/>
          <w:color w:val="auto"/>
          <w:highlight w:val="none"/>
        </w:rPr>
      </w:pPr>
    </w:p>
    <w:p w14:paraId="744827CF">
      <w:pPr>
        <w:spacing w:line="360" w:lineRule="auto"/>
        <w:ind w:firstLine="200"/>
        <w:rPr>
          <w:rFonts w:hint="eastAsia" w:ascii="宋体" w:hAnsi="宋体" w:eastAsia="宋体" w:cs="宋体"/>
          <w:color w:val="auto"/>
          <w:highlight w:val="none"/>
        </w:rPr>
      </w:pPr>
    </w:p>
    <w:p w14:paraId="04E382B9">
      <w:pPr>
        <w:spacing w:line="360" w:lineRule="auto"/>
        <w:ind w:firstLine="200"/>
        <w:rPr>
          <w:rFonts w:hint="eastAsia" w:ascii="宋体" w:hAnsi="宋体" w:eastAsia="宋体" w:cs="宋体"/>
          <w:color w:val="auto"/>
          <w:highlight w:val="none"/>
        </w:rPr>
      </w:pPr>
    </w:p>
    <w:p w14:paraId="4BA146B6">
      <w:pPr>
        <w:spacing w:line="360" w:lineRule="auto"/>
        <w:ind w:firstLine="200"/>
        <w:rPr>
          <w:rFonts w:hint="eastAsia" w:ascii="宋体" w:hAnsi="宋体" w:eastAsia="宋体" w:cs="宋体"/>
          <w:color w:val="auto"/>
          <w:highlight w:val="none"/>
        </w:rPr>
      </w:pPr>
    </w:p>
    <w:p w14:paraId="2C61400A">
      <w:pPr>
        <w:spacing w:line="360" w:lineRule="auto"/>
        <w:ind w:firstLine="200"/>
        <w:rPr>
          <w:rFonts w:hint="eastAsia" w:ascii="宋体" w:hAnsi="宋体" w:eastAsia="宋体" w:cs="宋体"/>
          <w:color w:val="auto"/>
          <w:highlight w:val="none"/>
        </w:rPr>
      </w:pPr>
    </w:p>
    <w:p w14:paraId="457CA725">
      <w:pPr>
        <w:spacing w:line="360" w:lineRule="auto"/>
        <w:ind w:firstLine="200"/>
        <w:rPr>
          <w:rFonts w:hint="eastAsia" w:ascii="宋体" w:hAnsi="宋体" w:eastAsia="宋体" w:cs="宋体"/>
          <w:color w:val="auto"/>
          <w:highlight w:val="none"/>
        </w:rPr>
      </w:pPr>
    </w:p>
    <w:p w14:paraId="4244B997">
      <w:pPr>
        <w:spacing w:line="360" w:lineRule="auto"/>
        <w:ind w:firstLine="200"/>
        <w:rPr>
          <w:rFonts w:hint="eastAsia" w:ascii="宋体" w:hAnsi="宋体" w:eastAsia="宋体" w:cs="宋体"/>
          <w:b/>
          <w:color w:val="auto"/>
          <w:highlight w:val="none"/>
        </w:rPr>
        <w:sectPr>
          <w:pgSz w:w="11905" w:h="16838"/>
          <w:pgMar w:top="1417" w:right="1417" w:bottom="1417" w:left="1417" w:header="0" w:footer="850" w:gutter="0"/>
          <w:pgNumType w:fmt="decimal"/>
          <w:cols w:space="720" w:num="1"/>
          <w:rtlGutter w:val="0"/>
          <w:docGrid w:linePitch="312" w:charSpace="0"/>
        </w:sectPr>
      </w:pPr>
    </w:p>
    <w:p w14:paraId="3AFE474C">
      <w:pPr>
        <w:spacing w:line="360" w:lineRule="auto"/>
        <w:ind w:firstLine="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附件6：</w:t>
      </w:r>
    </w:p>
    <w:p w14:paraId="001B15FA">
      <w:pPr>
        <w:spacing w:line="360" w:lineRule="auto"/>
        <w:ind w:firstLine="20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设计费明细及支付方式</w:t>
      </w:r>
    </w:p>
    <w:p w14:paraId="7B9B8E85">
      <w:pPr>
        <w:spacing w:line="360" w:lineRule="auto"/>
        <w:ind w:firstLine="200"/>
        <w:jc w:val="center"/>
        <w:rPr>
          <w:rFonts w:hint="eastAsia" w:ascii="宋体" w:hAnsi="宋体" w:eastAsia="宋体" w:cs="宋体"/>
          <w:color w:val="auto"/>
          <w:highlight w:val="none"/>
        </w:rPr>
      </w:pPr>
    </w:p>
    <w:p w14:paraId="4B09079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一、设计费总额：</w:t>
      </w:r>
    </w:p>
    <w:p w14:paraId="6EE435CD">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二、设计费总额构成：</w:t>
      </w:r>
    </w:p>
    <w:p w14:paraId="00C9DA50">
      <w:pPr>
        <w:spacing w:line="360" w:lineRule="auto"/>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1.工程设计基本服务费用：</w:t>
      </w:r>
    </w:p>
    <w:p w14:paraId="47F16ED1">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2.工程设计其他服务费用：</w:t>
      </w:r>
    </w:p>
    <w:p w14:paraId="4FCBD917">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3.合同签订前设计人已完成工作的费用：</w:t>
      </w:r>
    </w:p>
    <w:p w14:paraId="330E80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三、设计费明细计算表</w:t>
      </w:r>
    </w:p>
    <w:p w14:paraId="58EF14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四、设计费支付方式</w:t>
      </w:r>
    </w:p>
    <w:p w14:paraId="0A1299E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rPr>
        <w:t>按合同约定</w:t>
      </w:r>
    </w:p>
    <w:p w14:paraId="677289FC">
      <w:pPr>
        <w:spacing w:line="360" w:lineRule="auto"/>
        <w:ind w:firstLine="200"/>
        <w:rPr>
          <w:rFonts w:hint="eastAsia" w:ascii="宋体" w:hAnsi="宋体" w:eastAsia="宋体" w:cs="宋体"/>
          <w:color w:val="auto"/>
          <w:highlight w:val="none"/>
        </w:rPr>
      </w:pPr>
    </w:p>
    <w:p w14:paraId="35D2A32F">
      <w:pPr>
        <w:spacing w:line="360" w:lineRule="auto"/>
        <w:ind w:firstLine="2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附件7：</w:t>
      </w:r>
    </w:p>
    <w:p w14:paraId="3F3D5F3F">
      <w:pPr>
        <w:spacing w:line="360" w:lineRule="auto"/>
        <w:ind w:firstLine="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设计变更计费依据和方法</w:t>
      </w:r>
    </w:p>
    <w:p w14:paraId="7C8AEE23">
      <w:pPr>
        <w:spacing w:line="360" w:lineRule="auto"/>
        <w:ind w:firstLine="200"/>
        <w:rPr>
          <w:rFonts w:hint="eastAsia" w:ascii="宋体" w:hAnsi="宋体" w:eastAsia="宋体" w:cs="宋体"/>
          <w:color w:val="auto"/>
          <w:highlight w:val="none"/>
        </w:rPr>
      </w:pPr>
    </w:p>
    <w:p w14:paraId="2A7F65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方案设计（含估算）、</w:t>
      </w:r>
      <w:r>
        <w:rPr>
          <w:rFonts w:hint="eastAsia" w:ascii="宋体" w:hAnsi="宋体" w:eastAsia="宋体" w:cs="宋体"/>
          <w:color w:val="auto"/>
          <w:highlight w:val="none"/>
        </w:rPr>
        <w:t>初步设计过程中发包人提出的调整优化要求不作为设计变更。</w:t>
      </w:r>
    </w:p>
    <w:p w14:paraId="04EA00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2、设计过程中发包人提出的涉及规模变化的调整要求不视为设计变更（审图公司审核图纸结束后，发包人提出的涉及大规模变化的调整要求，视为设计变更）。</w:t>
      </w:r>
    </w:p>
    <w:p w14:paraId="640734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3、发生设计变更情形后，设计人根据修改范围、修改工作内容、修改耗费工期、各阶段工作量比例、各专业工作量比例情况，上报变更设计费用，发包人审核并双方协商达成一致，签订设计补充协议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rPr>
        <w:t>各专业</w:t>
      </w:r>
      <w:r>
        <w:rPr>
          <w:rFonts w:hint="eastAsia" w:ascii="宋体" w:hAnsi="宋体" w:eastAsia="宋体" w:cs="宋体"/>
          <w:color w:val="auto"/>
          <w:highlight w:val="none"/>
          <w:lang w:val="en-US" w:eastAsia="zh-CN"/>
        </w:rPr>
        <w:t>修改设计图的工作量超过原整体设计工作量30%及以上的，才予以增加设计修改费用，否则不予调整设计费</w:t>
      </w:r>
      <w:r>
        <w:rPr>
          <w:rFonts w:hint="eastAsia" w:ascii="宋体" w:hAnsi="宋体" w:eastAsia="宋体" w:cs="宋体"/>
          <w:color w:val="auto"/>
          <w:highlight w:val="none"/>
        </w:rPr>
        <w:t>。</w:t>
      </w:r>
    </w:p>
    <w:p w14:paraId="587CA5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4、专项设计发生变更时，按照专项设计总费用及修改工作量比例计算变更费用。</w:t>
      </w:r>
    </w:p>
    <w:p w14:paraId="6DE75EDB">
      <w:pPr>
        <w:spacing w:line="360" w:lineRule="auto"/>
        <w:ind w:firstLine="200"/>
        <w:rPr>
          <w:rFonts w:hint="eastAsia" w:ascii="宋体" w:hAnsi="宋体" w:eastAsia="宋体" w:cs="宋体"/>
          <w:color w:val="auto"/>
          <w:highlight w:val="none"/>
        </w:rPr>
      </w:pPr>
    </w:p>
    <w:p w14:paraId="1E244996">
      <w:pPr>
        <w:spacing w:line="360" w:lineRule="auto"/>
        <w:ind w:firstLine="200"/>
        <w:rPr>
          <w:rFonts w:hint="eastAsia" w:ascii="宋体" w:hAnsi="宋体" w:eastAsia="宋体" w:cs="宋体"/>
          <w:color w:val="auto"/>
          <w:highlight w:val="none"/>
        </w:rPr>
      </w:pPr>
    </w:p>
    <w:p w14:paraId="7E8F5B43">
      <w:pPr>
        <w:spacing w:line="360" w:lineRule="auto"/>
        <w:ind w:firstLine="200"/>
        <w:rPr>
          <w:rFonts w:hint="eastAsia" w:ascii="宋体" w:hAnsi="宋体" w:eastAsia="宋体" w:cs="宋体"/>
          <w:color w:val="auto"/>
          <w:highlight w:val="none"/>
        </w:rPr>
      </w:pPr>
    </w:p>
    <w:p w14:paraId="4B6CD8FB">
      <w:pPr>
        <w:spacing w:line="360" w:lineRule="auto"/>
        <w:ind w:firstLine="200"/>
        <w:rPr>
          <w:rFonts w:hint="eastAsia" w:ascii="宋体" w:hAnsi="宋体" w:eastAsia="宋体" w:cs="宋体"/>
          <w:color w:val="auto"/>
          <w:highlight w:val="none"/>
        </w:rPr>
      </w:pPr>
    </w:p>
    <w:p w14:paraId="477C84E7">
      <w:pPr>
        <w:spacing w:line="360" w:lineRule="auto"/>
        <w:ind w:firstLine="200"/>
        <w:rPr>
          <w:rFonts w:hint="eastAsia" w:ascii="宋体" w:hAnsi="宋体" w:eastAsia="宋体" w:cs="宋体"/>
          <w:color w:val="auto"/>
          <w:highlight w:val="none"/>
        </w:rPr>
      </w:pPr>
    </w:p>
    <w:p w14:paraId="55548EBA">
      <w:pPr>
        <w:spacing w:line="360" w:lineRule="auto"/>
        <w:ind w:firstLine="200"/>
        <w:rPr>
          <w:rFonts w:hint="eastAsia" w:ascii="宋体" w:hAnsi="宋体" w:eastAsia="宋体" w:cs="宋体"/>
          <w:color w:val="auto"/>
          <w:highlight w:val="none"/>
        </w:rPr>
      </w:pPr>
    </w:p>
    <w:p w14:paraId="73CB8D48">
      <w:pPr>
        <w:spacing w:line="360" w:lineRule="auto"/>
        <w:ind w:firstLine="200"/>
        <w:rPr>
          <w:rFonts w:hint="eastAsia" w:ascii="宋体" w:hAnsi="宋体" w:eastAsia="宋体" w:cs="宋体"/>
          <w:color w:val="auto"/>
          <w:highlight w:val="none"/>
        </w:rPr>
      </w:pPr>
    </w:p>
    <w:p w14:paraId="7CBCF9AD">
      <w:pPr>
        <w:spacing w:line="360" w:lineRule="auto"/>
        <w:ind w:firstLine="200"/>
        <w:rPr>
          <w:rFonts w:hint="eastAsia" w:ascii="宋体" w:hAnsi="宋体" w:eastAsia="宋体" w:cs="宋体"/>
          <w:color w:val="auto"/>
          <w:highlight w:val="none"/>
        </w:rPr>
      </w:pPr>
    </w:p>
    <w:p w14:paraId="47B15018">
      <w:pPr>
        <w:spacing w:line="360" w:lineRule="auto"/>
        <w:ind w:firstLine="200"/>
        <w:rPr>
          <w:rFonts w:hint="eastAsia" w:ascii="宋体" w:hAnsi="宋体" w:eastAsia="宋体" w:cs="宋体"/>
          <w:color w:val="auto"/>
          <w:highlight w:val="none"/>
        </w:rPr>
      </w:pPr>
    </w:p>
    <w:p w14:paraId="3C87E2CC">
      <w:pPr>
        <w:spacing w:line="360" w:lineRule="auto"/>
        <w:ind w:firstLine="200"/>
        <w:rPr>
          <w:rFonts w:hint="eastAsia" w:ascii="宋体" w:hAnsi="宋体" w:eastAsia="宋体" w:cs="宋体"/>
          <w:color w:val="auto"/>
          <w:highlight w:val="none"/>
        </w:rPr>
      </w:pPr>
    </w:p>
    <w:p w14:paraId="6D3C9829">
      <w:pPr>
        <w:spacing w:line="360" w:lineRule="auto"/>
        <w:ind w:firstLine="200"/>
        <w:rPr>
          <w:rFonts w:hint="eastAsia" w:ascii="宋体" w:hAnsi="宋体" w:eastAsia="宋体" w:cs="宋体"/>
          <w:color w:val="auto"/>
          <w:highlight w:val="none"/>
        </w:rPr>
      </w:pPr>
    </w:p>
    <w:p w14:paraId="00FAE68A">
      <w:pPr>
        <w:spacing w:line="360" w:lineRule="auto"/>
        <w:ind w:firstLine="200"/>
        <w:rPr>
          <w:rFonts w:hint="eastAsia" w:ascii="宋体" w:hAnsi="宋体" w:eastAsia="宋体" w:cs="宋体"/>
          <w:color w:val="auto"/>
          <w:highlight w:val="none"/>
        </w:rPr>
      </w:pPr>
    </w:p>
    <w:p w14:paraId="48079B4A">
      <w:pPr>
        <w:spacing w:line="360" w:lineRule="auto"/>
        <w:ind w:firstLine="200"/>
        <w:rPr>
          <w:rFonts w:hint="eastAsia" w:ascii="宋体" w:hAnsi="宋体" w:eastAsia="宋体" w:cs="宋体"/>
          <w:color w:val="auto"/>
          <w:highlight w:val="none"/>
        </w:rPr>
      </w:pPr>
    </w:p>
    <w:p w14:paraId="4F17C28C">
      <w:pPr>
        <w:spacing w:line="460" w:lineRule="exact"/>
        <w:ind w:firstLine="420" w:firstLineChars="200"/>
        <w:rPr>
          <w:rFonts w:hint="eastAsia" w:ascii="宋体" w:hAnsi="宋体" w:eastAsia="宋体" w:cs="宋体"/>
          <w:color w:val="auto"/>
          <w:highlight w:val="none"/>
        </w:rPr>
      </w:pPr>
    </w:p>
    <w:p w14:paraId="119C0F93">
      <w:pPr>
        <w:spacing w:line="460" w:lineRule="exact"/>
        <w:ind w:firstLine="420" w:firstLineChars="200"/>
        <w:rPr>
          <w:rFonts w:hint="eastAsia" w:ascii="宋体" w:hAnsi="宋体" w:eastAsia="宋体" w:cs="宋体"/>
          <w:color w:val="auto"/>
          <w:highlight w:val="none"/>
        </w:rPr>
        <w:sectPr>
          <w:pgSz w:w="11905" w:h="16838"/>
          <w:pgMar w:top="1417" w:right="1417" w:bottom="1417" w:left="1417" w:header="0" w:footer="850" w:gutter="0"/>
          <w:pgNumType w:fmt="decimal"/>
          <w:cols w:space="720" w:num="1"/>
          <w:rtlGutter w:val="0"/>
          <w:docGrid w:linePitch="312" w:charSpace="0"/>
        </w:sectPr>
      </w:pPr>
    </w:p>
    <w:p w14:paraId="5B2F645A">
      <w:pPr>
        <w:spacing w:line="360" w:lineRule="auto"/>
        <w:rPr>
          <w:rFonts w:hint="eastAsia" w:ascii="宋体" w:hAnsi="宋体" w:eastAsia="宋体" w:cs="宋体"/>
          <w:b/>
          <w:color w:val="auto"/>
          <w:sz w:val="28"/>
          <w:szCs w:val="28"/>
          <w:highlight w:val="none"/>
        </w:rPr>
      </w:pPr>
      <w:bookmarkStart w:id="329" w:name="_Toc351203652"/>
      <w:r>
        <w:rPr>
          <w:rFonts w:hint="eastAsia" w:ascii="宋体" w:hAnsi="宋体" w:eastAsia="宋体" w:cs="宋体"/>
          <w:b/>
          <w:color w:val="auto"/>
          <w:sz w:val="28"/>
          <w:szCs w:val="28"/>
          <w:highlight w:val="none"/>
        </w:rPr>
        <w:t>附件</w:t>
      </w:r>
      <w:bookmarkEnd w:id="329"/>
      <w:r>
        <w:rPr>
          <w:rFonts w:hint="eastAsia" w:ascii="宋体" w:hAnsi="宋体" w:eastAsia="宋体" w:cs="宋体"/>
          <w:b/>
          <w:color w:val="auto"/>
          <w:sz w:val="28"/>
          <w:szCs w:val="28"/>
          <w:highlight w:val="none"/>
        </w:rPr>
        <w:t>8：履约担保格式</w:t>
      </w:r>
    </w:p>
    <w:p w14:paraId="3C40B26D">
      <w:pPr>
        <w:spacing w:before="156" w:beforeLines="50" w:after="156"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14:paraId="62906643">
      <w:pPr>
        <w:spacing w:line="360" w:lineRule="auto"/>
        <w:rPr>
          <w:rFonts w:hint="eastAsia" w:ascii="宋体" w:hAnsi="宋体" w:eastAsia="宋体" w:cs="宋体"/>
          <w:color w:val="auto"/>
          <w:highlight w:val="none"/>
          <w:u w:val="single"/>
        </w:rPr>
      </w:pPr>
    </w:p>
    <w:p w14:paraId="661D051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（发包人名称）：</w:t>
      </w:r>
    </w:p>
    <w:p w14:paraId="24042F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鉴于（发包人名称，以下简称“发包人”）接受（设计人名称，以下称“设计人”）于</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月日参加</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设计招标项目的投标。我方愿意无条件地、不可撤销地就设计人履行与你方订立的合同，向你方提供担保。</w:t>
      </w:r>
    </w:p>
    <w:p w14:paraId="3DBC3C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1.担保金额人民币（大写）</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p>
    <w:p w14:paraId="51773E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2.担保有效期自发包人与设计人签订的合同生效之日起至发包人出具的设计阶段完成证明上注明的设计阶段完成之日起28日后失效。</w:t>
      </w:r>
    </w:p>
    <w:p w14:paraId="2D7245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3.在本担保有效期内，如果设计人不履行合同约定的义务或其履行不符合合同的约定，我方在收到你方以书面形式提出的在担保金额内的赔偿要求后，在7日内无条件支付。</w:t>
      </w:r>
    </w:p>
    <w:p w14:paraId="06FD8F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4.发包人和设计人变更合同时，无论我方是否收到该变更，我方承担本担保规定的义务不变。</w:t>
      </w:r>
    </w:p>
    <w:p w14:paraId="66833309">
      <w:pPr>
        <w:spacing w:line="360" w:lineRule="auto"/>
        <w:ind w:firstLine="420" w:firstLineChars="200"/>
        <w:rPr>
          <w:rFonts w:hint="eastAsia" w:ascii="宋体" w:hAnsi="宋体" w:eastAsia="宋体" w:cs="宋体"/>
          <w:color w:val="auto"/>
          <w:highlight w:val="none"/>
        </w:rPr>
      </w:pPr>
    </w:p>
    <w:p w14:paraId="553210F6">
      <w:pPr>
        <w:spacing w:line="360" w:lineRule="auto"/>
        <w:rPr>
          <w:rFonts w:hint="eastAsia" w:ascii="宋体" w:hAnsi="宋体" w:eastAsia="宋体" w:cs="宋体"/>
          <w:color w:val="auto"/>
          <w:highlight w:val="none"/>
        </w:rPr>
      </w:pPr>
    </w:p>
    <w:p w14:paraId="5DD4832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担保人：（盖单位章）</w:t>
      </w:r>
    </w:p>
    <w:p w14:paraId="57ABFFD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14:paraId="2D2ABFE5">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p>
    <w:p w14:paraId="7B9CE87C">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邮政编码：</w:t>
      </w:r>
    </w:p>
    <w:p w14:paraId="77AFEC99">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电话：</w:t>
      </w:r>
    </w:p>
    <w:p w14:paraId="50CB4276">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传真：</w:t>
      </w:r>
    </w:p>
    <w:p w14:paraId="7D1BC71D">
      <w:pPr>
        <w:spacing w:line="360" w:lineRule="auto"/>
        <w:rPr>
          <w:rFonts w:hint="eastAsia" w:ascii="宋体" w:hAnsi="宋体" w:eastAsia="宋体" w:cs="宋体"/>
          <w:color w:val="auto"/>
          <w:highlight w:val="none"/>
          <w:u w:val="single"/>
        </w:rPr>
      </w:pPr>
    </w:p>
    <w:p w14:paraId="416F3D05">
      <w:pPr>
        <w:spacing w:line="360" w:lineRule="auto"/>
        <w:ind w:left="1329" w:hanging="1329" w:hangingChars="633"/>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352810B5">
      <w:pPr>
        <w:rPr>
          <w:rFonts w:hint="eastAsia" w:ascii="宋体" w:hAnsi="宋体" w:eastAsia="宋体" w:cs="宋体"/>
          <w:color w:val="auto"/>
          <w:highlight w:val="none"/>
        </w:rPr>
      </w:pPr>
    </w:p>
    <w:p w14:paraId="6507CFD2">
      <w:pPr>
        <w:snapToGrid w:val="0"/>
        <w:spacing w:line="360" w:lineRule="exact"/>
        <w:jc w:val="center"/>
        <w:rPr>
          <w:rFonts w:hint="eastAsia" w:ascii="宋体" w:hAnsi="宋体" w:eastAsia="宋体" w:cs="宋体"/>
          <w:b/>
          <w:color w:val="auto"/>
          <w:sz w:val="28"/>
          <w:szCs w:val="28"/>
          <w:highlight w:val="none"/>
        </w:rPr>
      </w:pPr>
    </w:p>
    <w:p w14:paraId="4C45E0CB">
      <w:pPr>
        <w:shd w:val="clear" w:color="auto" w:fill="auto"/>
        <w:spacing w:line="480" w:lineRule="auto"/>
        <w:ind w:firstLine="0" w:firstLineChars="0"/>
        <w:jc w:val="left"/>
        <w:rPr>
          <w:rFonts w:hint="eastAsia" w:ascii="宋体" w:hAnsi="宋体" w:eastAsia="宋体" w:cs="宋体"/>
          <w:color w:val="auto"/>
          <w:sz w:val="28"/>
          <w:szCs w:val="28"/>
          <w:highlight w:val="none"/>
        </w:rPr>
      </w:pPr>
    </w:p>
    <w:p w14:paraId="19BEDBB9">
      <w:pPr>
        <w:snapToGrid w:val="0"/>
        <w:jc w:val="center"/>
        <w:rPr>
          <w:rFonts w:hint="eastAsia" w:ascii="宋体" w:hAnsi="宋体" w:eastAsia="宋体" w:cs="宋体"/>
          <w:bCs/>
          <w:color w:val="auto"/>
          <w:sz w:val="32"/>
          <w:szCs w:val="32"/>
          <w:highlight w:val="none"/>
        </w:rPr>
      </w:pPr>
    </w:p>
    <w:p w14:paraId="30FB9230">
      <w:pPr>
        <w:snapToGrid w:val="0"/>
        <w:spacing w:line="360" w:lineRule="auto"/>
        <w:jc w:val="left"/>
        <w:rPr>
          <w:rFonts w:hint="eastAsia" w:ascii="宋体" w:hAnsi="宋体" w:eastAsia="宋体" w:cs="宋体"/>
          <w:color w:val="auto"/>
          <w:szCs w:val="21"/>
          <w:highlight w:val="none"/>
        </w:rPr>
      </w:pPr>
      <w:bookmarkStart w:id="330" w:name="_Hlk55381736"/>
    </w:p>
    <w:bookmarkEnd w:id="330"/>
    <w:p w14:paraId="6CE98B64">
      <w:pPr>
        <w:snapToGrid w:val="0"/>
        <w:spacing w:line="480" w:lineRule="auto"/>
        <w:rPr>
          <w:rFonts w:hint="eastAsia" w:ascii="宋体" w:hAnsi="宋体" w:eastAsia="宋体" w:cs="宋体"/>
          <w:bCs/>
          <w:color w:val="auto"/>
          <w:sz w:val="32"/>
          <w:szCs w:val="32"/>
          <w:highlight w:val="none"/>
        </w:rPr>
      </w:pPr>
    </w:p>
    <w:p w14:paraId="07C9FD6F">
      <w:pPr>
        <w:snapToGrid w:val="0"/>
        <w:jc w:val="center"/>
        <w:rPr>
          <w:rFonts w:hint="eastAsia" w:ascii="宋体" w:hAnsi="宋体" w:eastAsia="宋体" w:cs="宋体"/>
          <w:bCs/>
          <w:color w:val="auto"/>
          <w:sz w:val="32"/>
          <w:szCs w:val="32"/>
          <w:highlight w:val="none"/>
        </w:rPr>
      </w:pPr>
    </w:p>
    <w:p w14:paraId="2677DB2D">
      <w:pPr>
        <w:snapToGrid w:val="0"/>
        <w:jc w:val="center"/>
        <w:rPr>
          <w:rFonts w:hint="eastAsia" w:ascii="宋体" w:hAnsi="宋体" w:eastAsia="宋体" w:cs="宋体"/>
          <w:bCs/>
          <w:color w:val="auto"/>
          <w:sz w:val="32"/>
          <w:szCs w:val="32"/>
          <w:highlight w:val="none"/>
        </w:rPr>
      </w:pPr>
    </w:p>
    <w:p w14:paraId="38DFF9D0">
      <w:pPr>
        <w:snapToGrid w:val="0"/>
        <w:jc w:val="center"/>
        <w:rPr>
          <w:rFonts w:hint="eastAsia" w:ascii="宋体" w:hAnsi="宋体" w:eastAsia="宋体" w:cs="宋体"/>
          <w:bCs/>
          <w:color w:val="auto"/>
          <w:sz w:val="32"/>
          <w:szCs w:val="32"/>
          <w:highlight w:val="none"/>
        </w:rPr>
      </w:pPr>
    </w:p>
    <w:p w14:paraId="7DDE7998">
      <w:pPr>
        <w:snapToGrid w:val="0"/>
        <w:jc w:val="center"/>
        <w:rPr>
          <w:rFonts w:hint="eastAsia" w:ascii="宋体" w:hAnsi="宋体" w:eastAsia="宋体" w:cs="宋体"/>
          <w:bCs/>
          <w:color w:val="auto"/>
          <w:sz w:val="32"/>
          <w:szCs w:val="32"/>
          <w:highlight w:val="none"/>
        </w:rPr>
      </w:pPr>
    </w:p>
    <w:p w14:paraId="04F3DFF8">
      <w:pPr>
        <w:snapToGrid w:val="0"/>
        <w:jc w:val="center"/>
        <w:rPr>
          <w:rFonts w:hint="eastAsia" w:ascii="宋体" w:hAnsi="宋体" w:eastAsia="宋体" w:cs="宋体"/>
          <w:bCs/>
          <w:color w:val="auto"/>
          <w:sz w:val="32"/>
          <w:szCs w:val="32"/>
          <w:highlight w:val="none"/>
        </w:rPr>
      </w:pPr>
    </w:p>
    <w:p w14:paraId="11079725">
      <w:pPr>
        <w:snapToGrid w:val="0"/>
        <w:jc w:val="center"/>
        <w:rPr>
          <w:rFonts w:hint="eastAsia" w:ascii="宋体" w:hAnsi="宋体" w:eastAsia="宋体" w:cs="宋体"/>
          <w:bCs/>
          <w:color w:val="auto"/>
          <w:sz w:val="32"/>
          <w:szCs w:val="32"/>
          <w:highlight w:val="none"/>
        </w:rPr>
      </w:pPr>
    </w:p>
    <w:p w14:paraId="73363FED">
      <w:pPr>
        <w:snapToGrid w:val="0"/>
        <w:jc w:val="center"/>
        <w:rPr>
          <w:rFonts w:hint="eastAsia" w:ascii="宋体" w:hAnsi="宋体" w:eastAsia="宋体" w:cs="宋体"/>
          <w:bCs/>
          <w:color w:val="auto"/>
          <w:sz w:val="32"/>
          <w:szCs w:val="32"/>
          <w:highlight w:val="none"/>
        </w:rPr>
      </w:pPr>
    </w:p>
    <w:p w14:paraId="4392EA33">
      <w:pPr>
        <w:snapToGrid w:val="0"/>
        <w:jc w:val="center"/>
        <w:rPr>
          <w:rFonts w:hint="eastAsia" w:ascii="宋体" w:hAnsi="宋体" w:eastAsia="宋体" w:cs="宋体"/>
          <w:bCs/>
          <w:color w:val="auto"/>
          <w:sz w:val="32"/>
          <w:szCs w:val="32"/>
          <w:highlight w:val="none"/>
        </w:rPr>
      </w:pPr>
    </w:p>
    <w:p w14:paraId="3A663D7E">
      <w:pPr>
        <w:snapToGrid w:val="0"/>
        <w:jc w:val="center"/>
        <w:rPr>
          <w:rFonts w:hint="eastAsia" w:ascii="宋体" w:hAnsi="宋体" w:eastAsia="宋体" w:cs="宋体"/>
          <w:bCs/>
          <w:color w:val="auto"/>
          <w:sz w:val="32"/>
          <w:szCs w:val="32"/>
          <w:highlight w:val="none"/>
        </w:rPr>
      </w:pPr>
    </w:p>
    <w:p w14:paraId="4B1BE2A2">
      <w:pPr>
        <w:snapToGrid w:val="0"/>
        <w:jc w:val="center"/>
        <w:rPr>
          <w:rFonts w:hint="eastAsia" w:ascii="宋体" w:hAnsi="宋体" w:eastAsia="宋体" w:cs="宋体"/>
          <w:bCs/>
          <w:color w:val="auto"/>
          <w:sz w:val="32"/>
          <w:szCs w:val="32"/>
          <w:highlight w:val="none"/>
        </w:rPr>
      </w:pPr>
    </w:p>
    <w:p w14:paraId="5489579C">
      <w:pPr>
        <w:snapToGrid w:val="0"/>
        <w:jc w:val="center"/>
        <w:rPr>
          <w:rFonts w:hint="eastAsia" w:ascii="宋体" w:hAnsi="宋体" w:eastAsia="宋体" w:cs="宋体"/>
          <w:bCs/>
          <w:color w:val="auto"/>
          <w:sz w:val="32"/>
          <w:szCs w:val="32"/>
          <w:highlight w:val="none"/>
        </w:rPr>
      </w:pPr>
    </w:p>
    <w:p w14:paraId="78E1F4A4">
      <w:pPr>
        <w:snapToGrid w:val="0"/>
        <w:jc w:val="center"/>
        <w:rPr>
          <w:rFonts w:hint="eastAsia" w:ascii="宋体" w:hAnsi="宋体" w:eastAsia="宋体" w:cs="宋体"/>
          <w:bCs/>
          <w:color w:val="auto"/>
          <w:sz w:val="32"/>
          <w:szCs w:val="32"/>
          <w:highlight w:val="none"/>
        </w:rPr>
      </w:pPr>
    </w:p>
    <w:p w14:paraId="46B376E4">
      <w:pPr>
        <w:pStyle w:val="2"/>
        <w:rPr>
          <w:rFonts w:hint="eastAsia" w:ascii="宋体" w:hAnsi="宋体" w:eastAsia="宋体" w:cs="宋体"/>
          <w:color w:val="auto"/>
          <w:highlight w:val="none"/>
        </w:rPr>
      </w:pPr>
      <w:bookmarkStart w:id="331" w:name="_Toc32428"/>
      <w:bookmarkStart w:id="332" w:name="_Toc12390"/>
      <w:bookmarkStart w:id="333" w:name="_Toc19686834"/>
      <w:bookmarkStart w:id="334" w:name="_Toc6656"/>
      <w:r>
        <w:rPr>
          <w:rFonts w:hint="eastAsia" w:ascii="宋体" w:hAnsi="宋体" w:eastAsia="宋体" w:cs="宋体"/>
          <w:color w:val="auto"/>
          <w:highlight w:val="none"/>
        </w:rPr>
        <w:t>第六章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投标文件格式</w:t>
      </w:r>
      <w:bookmarkEnd w:id="331"/>
      <w:bookmarkEnd w:id="332"/>
      <w:bookmarkEnd w:id="333"/>
      <w:bookmarkEnd w:id="334"/>
    </w:p>
    <w:p w14:paraId="1705B25B">
      <w:pPr>
        <w:rPr>
          <w:rFonts w:hint="eastAsia" w:ascii="宋体" w:hAnsi="宋体" w:eastAsia="宋体" w:cs="宋体"/>
          <w:color w:val="auto"/>
          <w:highlight w:val="none"/>
        </w:rPr>
      </w:pPr>
    </w:p>
    <w:p w14:paraId="4FEEED14">
      <w:pPr>
        <w:rPr>
          <w:rFonts w:hint="eastAsia" w:ascii="宋体" w:hAnsi="宋体" w:eastAsia="宋体" w:cs="宋体"/>
          <w:color w:val="auto"/>
          <w:highlight w:val="none"/>
        </w:rPr>
      </w:pPr>
    </w:p>
    <w:p w14:paraId="6F9EAFF8">
      <w:pPr>
        <w:rPr>
          <w:rFonts w:hint="eastAsia" w:ascii="宋体" w:hAnsi="宋体" w:eastAsia="宋体" w:cs="宋体"/>
          <w:color w:val="auto"/>
          <w:highlight w:val="none"/>
        </w:rPr>
      </w:pPr>
    </w:p>
    <w:p w14:paraId="4F9EBECF">
      <w:pPr>
        <w:rPr>
          <w:rFonts w:hint="eastAsia" w:ascii="宋体" w:hAnsi="宋体" w:eastAsia="宋体" w:cs="宋体"/>
          <w:color w:val="auto"/>
          <w:highlight w:val="none"/>
        </w:rPr>
      </w:pPr>
    </w:p>
    <w:p w14:paraId="46334D05">
      <w:pPr>
        <w:rPr>
          <w:rFonts w:hint="eastAsia" w:ascii="宋体" w:hAnsi="宋体" w:eastAsia="宋体" w:cs="宋体"/>
          <w:color w:val="auto"/>
          <w:highlight w:val="none"/>
        </w:rPr>
      </w:pPr>
    </w:p>
    <w:p w14:paraId="70722051">
      <w:pPr>
        <w:rPr>
          <w:rFonts w:hint="eastAsia" w:ascii="宋体" w:hAnsi="宋体" w:eastAsia="宋体" w:cs="宋体"/>
          <w:color w:val="auto"/>
          <w:highlight w:val="none"/>
        </w:rPr>
      </w:pPr>
    </w:p>
    <w:p w14:paraId="278252A1">
      <w:pPr>
        <w:rPr>
          <w:rFonts w:hint="eastAsia" w:ascii="宋体" w:hAnsi="宋体" w:eastAsia="宋体" w:cs="宋体"/>
          <w:color w:val="auto"/>
          <w:highlight w:val="none"/>
        </w:rPr>
      </w:pPr>
    </w:p>
    <w:p w14:paraId="75103FD0">
      <w:pPr>
        <w:rPr>
          <w:rFonts w:hint="eastAsia" w:ascii="宋体" w:hAnsi="宋体" w:eastAsia="宋体" w:cs="宋体"/>
          <w:color w:val="auto"/>
          <w:highlight w:val="none"/>
        </w:rPr>
      </w:pPr>
    </w:p>
    <w:p w14:paraId="560A25D9">
      <w:pPr>
        <w:rPr>
          <w:rFonts w:hint="eastAsia" w:ascii="宋体" w:hAnsi="宋体" w:eastAsia="宋体" w:cs="宋体"/>
          <w:color w:val="auto"/>
          <w:highlight w:val="none"/>
        </w:rPr>
      </w:pPr>
    </w:p>
    <w:p w14:paraId="300FFE2D">
      <w:pPr>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9E6082">
      <w:pPr>
        <w:pStyle w:val="3"/>
        <w:rPr>
          <w:rFonts w:hint="eastAsia" w:ascii="宋体" w:hAnsi="宋体" w:eastAsia="宋体" w:cs="宋体"/>
          <w:color w:val="auto"/>
          <w:highlight w:val="none"/>
        </w:rPr>
      </w:pPr>
      <w:bookmarkStart w:id="335" w:name="_Toc19686836"/>
      <w:bookmarkStart w:id="336" w:name="_Toc254970698"/>
      <w:bookmarkStart w:id="337" w:name="_Toc254970557"/>
      <w:r>
        <w:rPr>
          <w:rFonts w:hint="eastAsia" w:ascii="宋体" w:hAnsi="宋体" w:eastAsia="宋体" w:cs="宋体"/>
          <w:color w:val="auto"/>
          <w:highlight w:val="none"/>
        </w:rPr>
        <w:t>一、报价文件格式</w:t>
      </w:r>
      <w:bookmarkEnd w:id="335"/>
    </w:p>
    <w:p w14:paraId="473C034B">
      <w:pPr>
        <w:snapToGrid w:val="0"/>
        <w:spacing w:beforeLines="50" w:after="50" w:line="400" w:lineRule="exact"/>
        <w:jc w:val="center"/>
        <w:rPr>
          <w:rFonts w:hint="eastAsia" w:ascii="宋体" w:hAnsi="宋体" w:eastAsia="宋体" w:cs="宋体"/>
          <w:bCs/>
          <w:color w:val="auto"/>
          <w:sz w:val="24"/>
          <w:szCs w:val="20"/>
          <w:highlight w:val="none"/>
        </w:rPr>
      </w:pPr>
    </w:p>
    <w:p w14:paraId="2EDC4D13">
      <w:pPr>
        <w:pStyle w:val="7"/>
        <w:rPr>
          <w:rFonts w:hint="eastAsia" w:ascii="宋体" w:hAnsi="宋体" w:eastAsia="宋体" w:cs="宋体"/>
          <w:color w:val="auto"/>
          <w:highlight w:val="none"/>
        </w:rPr>
      </w:pPr>
    </w:p>
    <w:p w14:paraId="6A623C7E">
      <w:pPr>
        <w:pStyle w:val="7"/>
        <w:rPr>
          <w:rFonts w:hint="eastAsia" w:ascii="宋体" w:hAnsi="宋体" w:eastAsia="宋体" w:cs="宋体"/>
          <w:color w:val="auto"/>
          <w:highlight w:val="none"/>
        </w:rPr>
      </w:pPr>
    </w:p>
    <w:p w14:paraId="30D7F349">
      <w:pPr>
        <w:pStyle w:val="7"/>
        <w:rPr>
          <w:rFonts w:hint="eastAsia" w:ascii="宋体" w:hAnsi="宋体" w:eastAsia="宋体" w:cs="宋体"/>
          <w:color w:val="auto"/>
          <w:highlight w:val="none"/>
        </w:rPr>
      </w:pPr>
    </w:p>
    <w:p w14:paraId="3E2B69F2">
      <w:pPr>
        <w:pStyle w:val="7"/>
        <w:rPr>
          <w:rFonts w:hint="eastAsia" w:ascii="宋体" w:hAnsi="宋体" w:eastAsia="宋体" w:cs="宋体"/>
          <w:color w:val="auto"/>
          <w:highlight w:val="none"/>
        </w:rPr>
      </w:pPr>
    </w:p>
    <w:p w14:paraId="06B25D3E">
      <w:pPr>
        <w:pStyle w:val="7"/>
        <w:rPr>
          <w:rFonts w:hint="eastAsia" w:ascii="宋体" w:hAnsi="宋体" w:eastAsia="宋体" w:cs="宋体"/>
          <w:color w:val="auto"/>
          <w:highlight w:val="none"/>
        </w:rPr>
      </w:pPr>
    </w:p>
    <w:p w14:paraId="724D67CA">
      <w:pPr>
        <w:pStyle w:val="7"/>
        <w:rPr>
          <w:rFonts w:hint="eastAsia" w:ascii="宋体" w:hAnsi="宋体" w:eastAsia="宋体" w:cs="宋体"/>
          <w:color w:val="auto"/>
          <w:highlight w:val="none"/>
        </w:rPr>
      </w:pPr>
    </w:p>
    <w:p w14:paraId="1873D59E">
      <w:pPr>
        <w:pStyle w:val="7"/>
        <w:rPr>
          <w:rFonts w:hint="eastAsia" w:ascii="宋体" w:hAnsi="宋体" w:eastAsia="宋体" w:cs="宋体"/>
          <w:color w:val="auto"/>
          <w:highlight w:val="none"/>
        </w:rPr>
      </w:pPr>
    </w:p>
    <w:p w14:paraId="670FFEAA">
      <w:pPr>
        <w:pStyle w:val="7"/>
        <w:rPr>
          <w:rFonts w:hint="eastAsia" w:ascii="宋体" w:hAnsi="宋体" w:eastAsia="宋体" w:cs="宋体"/>
          <w:color w:val="auto"/>
          <w:highlight w:val="none"/>
        </w:rPr>
      </w:pPr>
    </w:p>
    <w:p w14:paraId="1EBE66CC">
      <w:pPr>
        <w:pStyle w:val="7"/>
        <w:rPr>
          <w:rFonts w:hint="eastAsia" w:ascii="宋体" w:hAnsi="宋体" w:eastAsia="宋体" w:cs="宋体"/>
          <w:color w:val="auto"/>
          <w:highlight w:val="none"/>
        </w:rPr>
      </w:pPr>
    </w:p>
    <w:p w14:paraId="67E788F2">
      <w:pPr>
        <w:pStyle w:val="7"/>
        <w:rPr>
          <w:rFonts w:hint="eastAsia" w:ascii="宋体" w:hAnsi="宋体" w:eastAsia="宋体" w:cs="宋体"/>
          <w:color w:val="auto"/>
          <w:highlight w:val="none"/>
        </w:rPr>
      </w:pPr>
    </w:p>
    <w:p w14:paraId="2F955A7E">
      <w:pPr>
        <w:pStyle w:val="7"/>
        <w:rPr>
          <w:rFonts w:hint="eastAsia" w:ascii="宋体" w:hAnsi="宋体" w:eastAsia="宋体" w:cs="宋体"/>
          <w:color w:val="auto"/>
          <w:highlight w:val="none"/>
        </w:rPr>
      </w:pPr>
    </w:p>
    <w:p w14:paraId="66094353">
      <w:pPr>
        <w:pStyle w:val="7"/>
        <w:rPr>
          <w:rFonts w:hint="eastAsia" w:ascii="宋体" w:hAnsi="宋体" w:eastAsia="宋体" w:cs="宋体"/>
          <w:color w:val="auto"/>
          <w:highlight w:val="none"/>
        </w:rPr>
      </w:pPr>
    </w:p>
    <w:p w14:paraId="11FA155E">
      <w:pPr>
        <w:snapToGrid w:val="0"/>
        <w:spacing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14:paraId="0DB7D176">
      <w:pPr>
        <w:snapToGrid w:val="0"/>
        <w:spacing w:beforeLines="50" w:after="50" w:line="400" w:lineRule="exact"/>
        <w:rPr>
          <w:rFonts w:hint="eastAsia" w:ascii="宋体" w:hAnsi="宋体" w:eastAsia="宋体" w:cs="宋体"/>
          <w:bCs/>
          <w:color w:val="auto"/>
          <w:sz w:val="24"/>
          <w:szCs w:val="20"/>
          <w:highlight w:val="none"/>
        </w:rPr>
      </w:pPr>
    </w:p>
    <w:p w14:paraId="30E2785E">
      <w:pPr>
        <w:snapToGrid w:val="0"/>
        <w:spacing w:beforeLines="50" w:after="50" w:line="400" w:lineRule="exact"/>
        <w:rPr>
          <w:rFonts w:hint="eastAsia" w:ascii="宋体" w:hAnsi="宋体" w:eastAsia="宋体" w:cs="宋体"/>
          <w:bCs/>
          <w:color w:val="auto"/>
          <w:sz w:val="24"/>
          <w:szCs w:val="20"/>
          <w:highlight w:val="none"/>
        </w:rPr>
      </w:pPr>
    </w:p>
    <w:p w14:paraId="543E3D32">
      <w:pPr>
        <w:snapToGrid w:val="0"/>
        <w:spacing w:beforeLines="50" w:after="50" w:line="400" w:lineRule="exact"/>
        <w:rPr>
          <w:rFonts w:hint="eastAsia" w:ascii="宋体" w:hAnsi="宋体" w:eastAsia="宋体" w:cs="宋体"/>
          <w:bCs/>
          <w:color w:val="auto"/>
          <w:sz w:val="24"/>
          <w:szCs w:val="20"/>
          <w:highlight w:val="none"/>
        </w:rPr>
      </w:pPr>
    </w:p>
    <w:p w14:paraId="354C40A7">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1352D6EC">
      <w:pPr>
        <w:snapToGrid w:val="0"/>
        <w:spacing w:beforeLines="50" w:after="50" w:line="400" w:lineRule="exact"/>
        <w:ind w:firstLine="360" w:firstLineChars="150"/>
        <w:rPr>
          <w:rFonts w:hint="eastAsia" w:ascii="宋体" w:hAnsi="宋体" w:eastAsia="宋体" w:cs="宋体"/>
          <w:bCs/>
          <w:color w:val="auto"/>
          <w:sz w:val="24"/>
          <w:highlight w:val="none"/>
        </w:rPr>
      </w:pPr>
    </w:p>
    <w:p w14:paraId="2901467C">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693C20B">
      <w:pPr>
        <w:snapToGrid w:val="0"/>
        <w:spacing w:beforeLines="50" w:after="50" w:line="400" w:lineRule="exact"/>
        <w:ind w:firstLine="360" w:firstLineChars="150"/>
        <w:rPr>
          <w:rFonts w:hint="eastAsia" w:ascii="宋体" w:hAnsi="宋体" w:eastAsia="宋体" w:cs="宋体"/>
          <w:bCs/>
          <w:color w:val="auto"/>
          <w:sz w:val="24"/>
          <w:highlight w:val="none"/>
        </w:rPr>
      </w:pPr>
    </w:p>
    <w:p w14:paraId="7CD16652">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8FC72DB">
      <w:pPr>
        <w:snapToGrid w:val="0"/>
        <w:spacing w:beforeLines="50" w:after="50" w:line="400" w:lineRule="exact"/>
        <w:ind w:firstLine="360" w:firstLineChars="150"/>
        <w:rPr>
          <w:rFonts w:hint="eastAsia" w:ascii="宋体" w:hAnsi="宋体" w:eastAsia="宋体" w:cs="宋体"/>
          <w:bCs/>
          <w:color w:val="auto"/>
          <w:sz w:val="24"/>
          <w:highlight w:val="none"/>
        </w:rPr>
      </w:pPr>
    </w:p>
    <w:p w14:paraId="4AA7167F">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26085930">
      <w:pPr>
        <w:pStyle w:val="7"/>
        <w:snapToGrid w:val="0"/>
        <w:spacing w:before="50" w:after="50" w:line="400" w:lineRule="exact"/>
        <w:ind w:firstLine="960" w:firstLineChars="400"/>
        <w:rPr>
          <w:rFonts w:hint="eastAsia" w:ascii="宋体" w:hAnsi="宋体" w:eastAsia="宋体" w:cs="宋体"/>
          <w:bCs/>
          <w:color w:val="auto"/>
          <w:sz w:val="24"/>
          <w:szCs w:val="24"/>
          <w:highlight w:val="none"/>
        </w:rPr>
      </w:pPr>
    </w:p>
    <w:p w14:paraId="79705D99">
      <w:pPr>
        <w:snapToGrid w:val="0"/>
        <w:spacing w:beforeLines="50" w:after="50" w:line="40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531271A7">
      <w:pPr>
        <w:pStyle w:val="4"/>
        <w:snapToGrid w:val="0"/>
        <w:spacing w:beforeLines="50" w:after="50"/>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1.</w:t>
      </w:r>
      <w:r>
        <w:rPr>
          <w:rFonts w:hint="eastAsia" w:ascii="宋体" w:hAnsi="宋体" w:eastAsia="宋体" w:cs="宋体"/>
          <w:b/>
          <w:bCs/>
          <w:color w:val="auto"/>
          <w:sz w:val="24"/>
          <w:highlight w:val="none"/>
        </w:rPr>
        <w:t>报价文件目录</w:t>
      </w:r>
    </w:p>
    <w:p w14:paraId="2DEDADF6">
      <w:pPr>
        <w:snapToGrid w:val="0"/>
        <w:spacing w:before="50" w:afterLines="50" w:line="360" w:lineRule="auto"/>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4730F839">
      <w:pPr>
        <w:snapToGrid w:val="0"/>
        <w:spacing w:beforeLines="50" w:after="50"/>
        <w:rPr>
          <w:rFonts w:hint="eastAsia" w:ascii="宋体" w:hAnsi="宋体" w:eastAsia="宋体" w:cs="宋体"/>
          <w:b/>
          <w:color w:val="auto"/>
          <w:sz w:val="24"/>
          <w:highlight w:val="none"/>
        </w:rPr>
      </w:pPr>
    </w:p>
    <w:p w14:paraId="48CFA278">
      <w:pPr>
        <w:snapToGrid w:val="0"/>
        <w:spacing w:beforeLines="50" w:after="50"/>
        <w:rPr>
          <w:rFonts w:hint="eastAsia" w:ascii="宋体" w:hAnsi="宋体" w:eastAsia="宋体" w:cs="宋体"/>
          <w:b/>
          <w:color w:val="auto"/>
          <w:sz w:val="24"/>
          <w:highlight w:val="none"/>
        </w:rPr>
      </w:pPr>
    </w:p>
    <w:p w14:paraId="695851A3">
      <w:pPr>
        <w:snapToGrid w:val="0"/>
        <w:spacing w:beforeLines="50" w:after="50"/>
        <w:rPr>
          <w:rFonts w:hint="eastAsia" w:ascii="宋体" w:hAnsi="宋体" w:eastAsia="宋体" w:cs="宋体"/>
          <w:b/>
          <w:color w:val="auto"/>
          <w:sz w:val="24"/>
          <w:highlight w:val="none"/>
        </w:rPr>
      </w:pPr>
    </w:p>
    <w:p w14:paraId="57BB2F2D">
      <w:pPr>
        <w:pStyle w:val="4"/>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2.投标函格式</w:t>
      </w:r>
    </w:p>
    <w:p w14:paraId="5ADB31EF">
      <w:pPr>
        <w:snapToGrid w:val="0"/>
        <w:spacing w:beforeLines="50" w:after="50"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w:t>
      </w:r>
    </w:p>
    <w:p w14:paraId="169E6A0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rPr>
        <w:t>：</w:t>
      </w:r>
    </w:p>
    <w:p w14:paraId="73737C24">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w:t>
      </w:r>
      <w:r>
        <w:rPr>
          <w:rFonts w:hint="eastAsia" w:ascii="宋体" w:hAnsi="宋体" w:eastAsia="宋体" w:cs="宋体"/>
          <w:color w:val="auto"/>
          <w:szCs w:val="21"/>
          <w:highlight w:val="none"/>
          <w:u w:val="single"/>
        </w:rPr>
        <w:t>项目名称（项目编号：            ）</w:t>
      </w:r>
      <w:r>
        <w:rPr>
          <w:rFonts w:hint="eastAsia" w:ascii="宋体" w:hAnsi="宋体" w:eastAsia="宋体" w:cs="宋体"/>
          <w:color w:val="auto"/>
          <w:szCs w:val="21"/>
          <w:highlight w:val="none"/>
        </w:rPr>
        <w:t>的招标公告，签字代表______（姓名）经正式授权并代表投标人</w:t>
      </w:r>
      <w:r>
        <w:rPr>
          <w:rFonts w:hint="eastAsia" w:ascii="宋体" w:hAnsi="宋体" w:eastAsia="宋体" w:cs="宋体"/>
          <w:color w:val="auto"/>
          <w:szCs w:val="21"/>
          <w:highlight w:val="none"/>
          <w:u w:val="single"/>
        </w:rPr>
        <w:t>（投标人名称）</w:t>
      </w:r>
      <w:r>
        <w:rPr>
          <w:rFonts w:hint="eastAsia" w:ascii="宋体" w:hAnsi="宋体" w:eastAsia="宋体" w:cs="宋体"/>
          <w:color w:val="auto"/>
          <w:szCs w:val="21"/>
          <w:highlight w:val="none"/>
        </w:rPr>
        <w:t>提交投标文件。</w:t>
      </w:r>
    </w:p>
    <w:p w14:paraId="21E6450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据此函，我方宣布同意如下：</w:t>
      </w:r>
    </w:p>
    <w:p w14:paraId="1D02C0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C67DF6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2.我方在投标之前已经完全理解并接受招标文件的各项规定和要求，对招标文件的合理性、合法性不再有异议。</w:t>
      </w:r>
    </w:p>
    <w:p w14:paraId="79A2FA92">
      <w:pPr>
        <w:keepNext w:val="0"/>
        <w:keepLines w:val="0"/>
        <w:widowControl/>
        <w:suppressLineNumbers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2"/>
          <w:sz w:val="21"/>
          <w:szCs w:val="21"/>
          <w:highlight w:val="none"/>
          <w:lang w:val="en-US" w:eastAsia="zh-CN" w:bidi="ar"/>
        </w:rPr>
        <w:t>我方承诺投标有效期为招标文件规定的期限</w:t>
      </w:r>
    </w:p>
    <w:p w14:paraId="5011069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4.如中标，本投标文件至本项目合同履行完毕止均保持有效，我方将按“招标文件”及政府采购法律、法规的规定履行合同责任和义务。</w:t>
      </w:r>
    </w:p>
    <w:p w14:paraId="294271B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5.我方同意按照贵方要求提供与投标有关的一切数据或者资料。</w:t>
      </w:r>
    </w:p>
    <w:p w14:paraId="3013ABB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6.我方向贵方提交的所有投标文件、资料都是准确的和真实的。</w:t>
      </w:r>
    </w:p>
    <w:p w14:paraId="442C735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7.以上事项如有虚假或者隐瞒，我方愿意承担一切后果，并不再寻求任何旨在减轻或者免除法律责任的辩解。</w:t>
      </w:r>
    </w:p>
    <w:p w14:paraId="2489E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7685E6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□我方本次投标文件内容中未涉及商业秘密；</w:t>
      </w:r>
    </w:p>
    <w:p w14:paraId="32CE4DD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□我方本次投标文件涉及商业秘密的内容有</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p>
    <w:p w14:paraId="691BA90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9.与本投标有关的一切正式往来信函请寄：</w:t>
      </w:r>
    </w:p>
    <w:p w14:paraId="48A41A3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传真：</w:t>
      </w:r>
    </w:p>
    <w:p w14:paraId="0C48D50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开户银行：   银行帐号：</w:t>
      </w:r>
    </w:p>
    <w:p w14:paraId="7336DCA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法定代表人或者委托代理人[公章(CA签章)、自然人除外]:___________ </w:t>
      </w:r>
    </w:p>
    <w:p w14:paraId="0BBC0924">
      <w:pPr>
        <w:pStyle w:val="25"/>
        <w:snapToGrid w:val="0"/>
        <w:spacing w:before="295" w:after="295" w:line="360" w:lineRule="auto"/>
        <w:jc w:val="center"/>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投标人[公章(CA签章)、自然人除外]：</w:t>
      </w:r>
    </w:p>
    <w:p w14:paraId="30877881">
      <w:pPr>
        <w:pStyle w:val="25"/>
        <w:snapToGrid w:val="0"/>
        <w:spacing w:before="295" w:after="295" w:line="36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年</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日</w:t>
      </w:r>
    </w:p>
    <w:p w14:paraId="4DCDE745">
      <w:pPr>
        <w:pStyle w:val="4"/>
        <w:snapToGrid w:val="0"/>
        <w:spacing w:beforeLines="50" w:after="50"/>
        <w:jc w:val="left"/>
        <w:rPr>
          <w:rFonts w:hint="eastAsia" w:ascii="宋体" w:hAnsi="宋体" w:eastAsia="宋体" w:cs="宋体"/>
          <w:b/>
          <w:color w:val="auto"/>
          <w:sz w:val="24"/>
          <w:szCs w:val="20"/>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sz w:val="24"/>
          <w:highlight w:val="none"/>
        </w:rPr>
        <w:t>3.开标一览表</w:t>
      </w:r>
    </w:p>
    <w:p w14:paraId="27717478">
      <w:pPr>
        <w:snapToGrid w:val="0"/>
        <w:spacing w:before="50" w:after="50"/>
        <w:jc w:val="center"/>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开标一览表</w:t>
      </w:r>
    </w:p>
    <w:p w14:paraId="455AEC8B">
      <w:pPr>
        <w:snapToGrid w:val="0"/>
        <w:spacing w:before="50" w:after="50"/>
        <w:jc w:val="center"/>
        <w:rPr>
          <w:rFonts w:hint="eastAsia" w:ascii="宋体" w:hAnsi="宋体" w:eastAsia="宋体" w:cs="宋体"/>
          <w:b/>
          <w:color w:val="auto"/>
          <w:sz w:val="30"/>
          <w:szCs w:val="20"/>
          <w:highlight w:val="none"/>
        </w:rPr>
      </w:pPr>
    </w:p>
    <w:p w14:paraId="07C5B9C8">
      <w:pPr>
        <w:snapToGrid w:val="0"/>
        <w:spacing w:before="50" w:after="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         项目编号：</w:t>
      </w:r>
    </w:p>
    <w:p w14:paraId="2C8B9CAB">
      <w:pPr>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 xml:space="preserve">投标人名称：                      </w:t>
      </w:r>
      <w:r>
        <w:rPr>
          <w:rFonts w:hint="eastAsia" w:ascii="宋体" w:hAnsi="宋体" w:eastAsia="宋体" w:cs="宋体"/>
          <w:color w:val="auto"/>
          <w:sz w:val="21"/>
          <w:szCs w:val="21"/>
          <w:highlight w:val="none"/>
        </w:rPr>
        <w:t>单位：元</w:t>
      </w:r>
    </w:p>
    <w:tbl>
      <w:tblPr>
        <w:tblStyle w:val="4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82"/>
        <w:gridCol w:w="853"/>
        <w:gridCol w:w="867"/>
        <w:gridCol w:w="2444"/>
        <w:gridCol w:w="1043"/>
      </w:tblGrid>
      <w:tr w14:paraId="2183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right"/>
        </w:trPr>
        <w:tc>
          <w:tcPr>
            <w:tcW w:w="827" w:type="dxa"/>
            <w:tcBorders>
              <w:top w:val="single" w:color="auto" w:sz="4" w:space="0"/>
              <w:left w:val="single" w:color="auto" w:sz="4" w:space="0"/>
              <w:bottom w:val="single" w:color="auto" w:sz="4" w:space="0"/>
              <w:right w:val="single" w:color="auto" w:sz="4" w:space="0"/>
            </w:tcBorders>
            <w:noWrap w:val="0"/>
            <w:vAlign w:val="center"/>
          </w:tcPr>
          <w:p w14:paraId="7B40E3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82" w:type="dxa"/>
            <w:tcBorders>
              <w:top w:val="single" w:color="auto" w:sz="4" w:space="0"/>
              <w:left w:val="single" w:color="auto" w:sz="4" w:space="0"/>
              <w:bottom w:val="single" w:color="auto" w:sz="4" w:space="0"/>
              <w:right w:val="single" w:color="auto" w:sz="4" w:space="0"/>
            </w:tcBorders>
            <w:noWrap w:val="0"/>
            <w:vAlign w:val="center"/>
          </w:tcPr>
          <w:p w14:paraId="3C5FCEC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ECD659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023FB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78914917">
            <w:pPr>
              <w:spacing w:line="360" w:lineRule="auto"/>
              <w:jc w:val="center"/>
              <w:rPr>
                <w:rFonts w:hint="eastAsia" w:ascii="宋体" w:hAnsi="宋体" w:eastAsia="宋体" w:cs="宋体"/>
                <w:color w:val="auto"/>
                <w:szCs w:val="21"/>
                <w:highlight w:val="none"/>
                <w:shd w:val="clear" w:color="auto" w:fill="FFFFFF"/>
                <w:lang w:val="en-US" w:eastAsia="zh-CN" w:bidi="ar"/>
              </w:rPr>
            </w:pPr>
            <w:r>
              <w:rPr>
                <w:rFonts w:hint="eastAsia" w:ascii="宋体" w:hAnsi="宋体" w:eastAsia="宋体" w:cs="宋体"/>
                <w:color w:val="auto"/>
                <w:highlight w:val="none"/>
                <w:lang w:val="en-US" w:eastAsia="zh-CN"/>
              </w:rPr>
              <w:t>投标报价（元）</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C1348C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2E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right"/>
        </w:trPr>
        <w:tc>
          <w:tcPr>
            <w:tcW w:w="827" w:type="dxa"/>
            <w:tcBorders>
              <w:top w:val="single" w:color="auto" w:sz="4" w:space="0"/>
              <w:left w:val="single" w:color="auto" w:sz="4" w:space="0"/>
              <w:bottom w:val="single" w:color="auto" w:sz="4" w:space="0"/>
              <w:right w:val="single" w:color="auto" w:sz="4" w:space="0"/>
            </w:tcBorders>
            <w:noWrap w:val="0"/>
            <w:vAlign w:val="center"/>
          </w:tcPr>
          <w:p w14:paraId="560FC2F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82" w:type="dxa"/>
            <w:tcBorders>
              <w:top w:val="single" w:color="auto" w:sz="4" w:space="0"/>
              <w:left w:val="single" w:color="auto" w:sz="4" w:space="0"/>
              <w:bottom w:val="single" w:color="auto" w:sz="4" w:space="0"/>
              <w:right w:val="single" w:color="auto" w:sz="4" w:space="0"/>
            </w:tcBorders>
            <w:noWrap w:val="0"/>
            <w:vAlign w:val="center"/>
          </w:tcPr>
          <w:p w14:paraId="2ACF8CE0">
            <w:pPr>
              <w:spacing w:line="360" w:lineRule="auto"/>
              <w:jc w:val="center"/>
              <w:rPr>
                <w:rFonts w:hint="eastAsia" w:ascii="宋体" w:hAnsi="宋体" w:eastAsia="宋体" w:cs="宋体"/>
                <w:color w:val="auto"/>
                <w:sz w:val="21"/>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733207B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CE049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1E373C50">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w:t>
            </w:r>
          </w:p>
          <w:p w14:paraId="068D1512">
            <w:pPr>
              <w:pStyle w:val="2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小写：</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468C113">
            <w:pPr>
              <w:spacing w:line="360" w:lineRule="auto"/>
              <w:jc w:val="center"/>
              <w:rPr>
                <w:rFonts w:hint="eastAsia" w:ascii="宋体" w:hAnsi="宋体" w:eastAsia="宋体" w:cs="宋体"/>
                <w:color w:val="auto"/>
                <w:sz w:val="21"/>
                <w:szCs w:val="21"/>
                <w:highlight w:val="none"/>
              </w:rPr>
            </w:pPr>
          </w:p>
        </w:tc>
      </w:tr>
      <w:tr w14:paraId="28AA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8916" w:type="dxa"/>
            <w:gridSpan w:val="6"/>
            <w:tcBorders>
              <w:top w:val="single" w:color="auto" w:sz="4" w:space="0"/>
              <w:left w:val="single" w:color="auto" w:sz="4" w:space="0"/>
              <w:bottom w:val="single" w:color="auto" w:sz="4" w:space="0"/>
              <w:right w:val="single" w:color="auto" w:sz="4" w:space="0"/>
            </w:tcBorders>
            <w:noWrap w:val="0"/>
            <w:vAlign w:val="center"/>
          </w:tcPr>
          <w:p w14:paraId="131633D1">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服务期限：</w:t>
            </w:r>
          </w:p>
        </w:tc>
      </w:tr>
      <w:tr w14:paraId="48B3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8916" w:type="dxa"/>
            <w:gridSpan w:val="6"/>
            <w:tcBorders>
              <w:top w:val="single" w:color="auto" w:sz="4" w:space="0"/>
              <w:left w:val="single" w:color="auto" w:sz="4" w:space="0"/>
              <w:bottom w:val="single" w:color="auto" w:sz="4" w:space="0"/>
              <w:right w:val="single" w:color="auto" w:sz="4" w:space="0"/>
            </w:tcBorders>
            <w:noWrap w:val="0"/>
            <w:vAlign w:val="center"/>
          </w:tcPr>
          <w:p w14:paraId="5CD0F33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en-US" w:eastAsia="zh-CN"/>
              </w:rPr>
              <w:t>质量要求：</w:t>
            </w:r>
          </w:p>
        </w:tc>
      </w:tr>
      <w:tr w14:paraId="574F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77" w:hRule="atLeast"/>
          <w:jc w:val="right"/>
        </w:trPr>
        <w:tc>
          <w:tcPr>
            <w:tcW w:w="8916" w:type="dxa"/>
            <w:gridSpan w:val="6"/>
            <w:tcBorders>
              <w:top w:val="single" w:color="auto" w:sz="4" w:space="0"/>
              <w:left w:val="single" w:color="auto" w:sz="4" w:space="0"/>
              <w:bottom w:val="single" w:color="auto" w:sz="4" w:space="0"/>
              <w:right w:val="single" w:color="auto" w:sz="4" w:space="0"/>
            </w:tcBorders>
            <w:noWrap w:val="0"/>
            <w:vAlign w:val="center"/>
          </w:tcPr>
          <w:p w14:paraId="54E37E5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投标报价</w:t>
            </w:r>
            <w:r>
              <w:rPr>
                <w:rFonts w:hint="eastAsia" w:ascii="宋体" w:hAnsi="宋体" w:eastAsia="宋体" w:cs="宋体"/>
                <w:color w:val="auto"/>
                <w:sz w:val="21"/>
                <w:szCs w:val="21"/>
                <w:highlight w:val="none"/>
                <w:lang w:val="en-US" w:eastAsia="zh-CN"/>
              </w:rPr>
              <w:t>包括实施和完成采购需求的所有服务工作所涉及的一切费用，包含但不限于设计费、劳务费、管理服务费、技术服务费、交通、通讯、保险、税费、利润、</w:t>
            </w:r>
            <w:r>
              <w:rPr>
                <w:rFonts w:hint="eastAsia" w:ascii="宋体" w:hAnsi="宋体" w:eastAsia="宋体" w:cs="宋体"/>
                <w:color w:val="auto"/>
                <w:sz w:val="21"/>
                <w:szCs w:val="21"/>
                <w:highlight w:val="none"/>
                <w:lang w:eastAsia="zh-CN"/>
              </w:rPr>
              <w:t>管理政策性规定费用等一切费用</w:t>
            </w:r>
            <w:r>
              <w:rPr>
                <w:rFonts w:hint="eastAsia" w:ascii="宋体" w:hAnsi="宋体" w:eastAsia="宋体" w:cs="宋体"/>
                <w:color w:val="auto"/>
                <w:sz w:val="21"/>
                <w:szCs w:val="21"/>
                <w:highlight w:val="none"/>
              </w:rPr>
              <w:t>。</w:t>
            </w:r>
          </w:p>
        </w:tc>
      </w:tr>
    </w:tbl>
    <w:p w14:paraId="486C8EC0">
      <w:pPr>
        <w:snapToGrid w:val="0"/>
        <w:spacing w:before="50" w:after="50" w:line="360" w:lineRule="auto"/>
        <w:rPr>
          <w:rFonts w:hint="eastAsia" w:ascii="宋体" w:hAnsi="宋体" w:eastAsia="宋体" w:cs="宋体"/>
          <w:color w:val="auto"/>
          <w:sz w:val="21"/>
          <w:szCs w:val="21"/>
          <w:highlight w:val="none"/>
        </w:rPr>
      </w:pPr>
    </w:p>
    <w:p w14:paraId="70D7A69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929F6FB">
      <w:pPr>
        <w:pStyle w:val="4"/>
        <w:snapToGrid w:val="0"/>
        <w:spacing w:beforeLines="50" w:after="50"/>
        <w:ind w:lef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投标人针对报价需要说明的其他文件和说明（格式自拟）。</w:t>
      </w:r>
    </w:p>
    <w:p w14:paraId="155A4F7A">
      <w:pPr>
        <w:pStyle w:val="102"/>
        <w:jc w:val="both"/>
        <w:rPr>
          <w:rFonts w:hint="eastAsia" w:ascii="宋体" w:hAnsi="宋体" w:eastAsia="宋体" w:cs="宋体"/>
          <w:color w:val="auto"/>
          <w:sz w:val="30"/>
          <w:highlight w:val="none"/>
        </w:rPr>
      </w:pPr>
    </w:p>
    <w:p w14:paraId="4AD43BC7">
      <w:pPr>
        <w:pStyle w:val="3"/>
        <w:spacing w:beforeLines="50" w:after="50"/>
        <w:rPr>
          <w:rFonts w:hint="eastAsia" w:ascii="宋体" w:hAnsi="宋体" w:eastAsia="宋体" w:cs="宋体"/>
          <w:color w:val="auto"/>
          <w:sz w:val="28"/>
          <w:szCs w:val="28"/>
          <w:highlight w:val="none"/>
        </w:rPr>
      </w:pPr>
      <w:r>
        <w:rPr>
          <w:rFonts w:hint="eastAsia" w:ascii="宋体" w:hAnsi="宋体" w:eastAsia="宋体" w:cs="宋体"/>
          <w:b w:val="0"/>
          <w:bCs w:val="0"/>
          <w:color w:val="auto"/>
          <w:sz w:val="24"/>
          <w:highlight w:val="none"/>
        </w:rPr>
        <w:br w:type="page"/>
      </w:r>
      <w:bookmarkStart w:id="338" w:name="_Toc19686837"/>
      <w:r>
        <w:rPr>
          <w:rFonts w:hint="eastAsia" w:ascii="宋体" w:hAnsi="宋体" w:eastAsia="宋体" w:cs="宋体"/>
          <w:color w:val="auto"/>
          <w:sz w:val="28"/>
          <w:szCs w:val="28"/>
          <w:highlight w:val="none"/>
        </w:rPr>
        <w:t>二、资格证明文件格式</w:t>
      </w:r>
      <w:bookmarkEnd w:id="336"/>
      <w:bookmarkEnd w:id="337"/>
      <w:bookmarkEnd w:id="338"/>
    </w:p>
    <w:p w14:paraId="42B8B6ED">
      <w:pPr>
        <w:snapToGrid w:val="0"/>
        <w:spacing w:beforeLines="50" w:after="50"/>
        <w:rPr>
          <w:rFonts w:hint="eastAsia" w:ascii="宋体" w:hAnsi="宋体" w:eastAsia="宋体" w:cs="宋体"/>
          <w:color w:val="auto"/>
          <w:sz w:val="24"/>
          <w:szCs w:val="20"/>
          <w:highlight w:val="none"/>
        </w:rPr>
      </w:pPr>
    </w:p>
    <w:p w14:paraId="1568D845">
      <w:pPr>
        <w:pStyle w:val="7"/>
        <w:rPr>
          <w:rFonts w:hint="eastAsia" w:ascii="宋体" w:hAnsi="宋体" w:eastAsia="宋体" w:cs="宋体"/>
          <w:color w:val="auto"/>
          <w:highlight w:val="none"/>
        </w:rPr>
      </w:pPr>
    </w:p>
    <w:p w14:paraId="64BC5BBA">
      <w:pPr>
        <w:snapToGrid w:val="0"/>
        <w:spacing w:beforeLines="50" w:after="50"/>
        <w:jc w:val="center"/>
        <w:rPr>
          <w:rFonts w:hint="eastAsia" w:ascii="宋体" w:hAnsi="宋体" w:eastAsia="宋体" w:cs="宋体"/>
          <w:b/>
          <w:color w:val="auto"/>
          <w:sz w:val="32"/>
          <w:szCs w:val="32"/>
          <w:highlight w:val="none"/>
        </w:rPr>
      </w:pPr>
    </w:p>
    <w:p w14:paraId="613991BC">
      <w:pPr>
        <w:snapToGrid w:val="0"/>
        <w:spacing w:beforeLines="50" w:after="50"/>
        <w:jc w:val="center"/>
        <w:rPr>
          <w:rFonts w:hint="eastAsia" w:ascii="宋体" w:hAnsi="宋体" w:eastAsia="宋体" w:cs="宋体"/>
          <w:b/>
          <w:color w:val="auto"/>
          <w:sz w:val="32"/>
          <w:szCs w:val="32"/>
          <w:highlight w:val="none"/>
        </w:rPr>
      </w:pPr>
    </w:p>
    <w:p w14:paraId="13DFD330">
      <w:pPr>
        <w:snapToGrid w:val="0"/>
        <w:spacing w:beforeLines="50" w:after="50"/>
        <w:jc w:val="center"/>
        <w:rPr>
          <w:rFonts w:hint="eastAsia" w:ascii="宋体" w:hAnsi="宋体" w:eastAsia="宋体" w:cs="宋体"/>
          <w:b/>
          <w:color w:val="auto"/>
          <w:sz w:val="32"/>
          <w:szCs w:val="32"/>
          <w:highlight w:val="none"/>
        </w:rPr>
      </w:pPr>
    </w:p>
    <w:p w14:paraId="70D75171">
      <w:pPr>
        <w:snapToGrid w:val="0"/>
        <w:spacing w:beforeLines="50" w:after="50"/>
        <w:jc w:val="center"/>
        <w:rPr>
          <w:rFonts w:hint="eastAsia" w:ascii="宋体" w:hAnsi="宋体" w:eastAsia="宋体" w:cs="宋体"/>
          <w:b/>
          <w:color w:val="auto"/>
          <w:sz w:val="32"/>
          <w:szCs w:val="32"/>
          <w:highlight w:val="none"/>
        </w:rPr>
      </w:pPr>
    </w:p>
    <w:p w14:paraId="20BDC6D5">
      <w:pPr>
        <w:snapToGrid w:val="0"/>
        <w:spacing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w:t>
      </w:r>
    </w:p>
    <w:p w14:paraId="631114F5">
      <w:pPr>
        <w:snapToGrid w:val="0"/>
        <w:spacing w:beforeLines="50" w:after="50"/>
        <w:rPr>
          <w:rFonts w:hint="eastAsia" w:ascii="宋体" w:hAnsi="宋体" w:eastAsia="宋体" w:cs="宋体"/>
          <w:bCs/>
          <w:color w:val="auto"/>
          <w:sz w:val="24"/>
          <w:szCs w:val="20"/>
          <w:highlight w:val="none"/>
        </w:rPr>
      </w:pPr>
    </w:p>
    <w:p w14:paraId="21B56F2E">
      <w:pPr>
        <w:snapToGrid w:val="0"/>
        <w:spacing w:beforeLines="50" w:after="50"/>
        <w:rPr>
          <w:rFonts w:hint="eastAsia" w:ascii="宋体" w:hAnsi="宋体" w:eastAsia="宋体" w:cs="宋体"/>
          <w:bCs/>
          <w:color w:val="auto"/>
          <w:sz w:val="24"/>
          <w:szCs w:val="20"/>
          <w:highlight w:val="none"/>
        </w:rPr>
      </w:pPr>
    </w:p>
    <w:p w14:paraId="46FF3289">
      <w:pPr>
        <w:snapToGrid w:val="0"/>
        <w:spacing w:beforeLines="50" w:after="50"/>
        <w:rPr>
          <w:rFonts w:hint="eastAsia" w:ascii="宋体" w:hAnsi="宋体" w:eastAsia="宋体" w:cs="宋体"/>
          <w:bCs/>
          <w:color w:val="auto"/>
          <w:sz w:val="24"/>
          <w:szCs w:val="20"/>
          <w:highlight w:val="none"/>
        </w:rPr>
      </w:pPr>
    </w:p>
    <w:p w14:paraId="1F4AF3BA">
      <w:pPr>
        <w:snapToGrid w:val="0"/>
        <w:spacing w:beforeLines="50" w:after="50"/>
        <w:rPr>
          <w:rFonts w:hint="eastAsia" w:ascii="宋体" w:hAnsi="宋体" w:eastAsia="宋体" w:cs="宋体"/>
          <w:bCs/>
          <w:color w:val="auto"/>
          <w:sz w:val="24"/>
          <w:szCs w:val="20"/>
          <w:highlight w:val="none"/>
        </w:rPr>
      </w:pPr>
    </w:p>
    <w:p w14:paraId="1C9C2B62">
      <w:pPr>
        <w:snapToGrid w:val="0"/>
        <w:spacing w:beforeLines="50" w:after="50"/>
        <w:ind w:firstLine="540" w:firstLineChars="225"/>
        <w:rPr>
          <w:rFonts w:hint="eastAsia" w:ascii="宋体" w:hAnsi="宋体" w:eastAsia="宋体" w:cs="宋体"/>
          <w:bCs/>
          <w:color w:val="auto"/>
          <w:sz w:val="24"/>
          <w:highlight w:val="none"/>
        </w:rPr>
      </w:pPr>
    </w:p>
    <w:p w14:paraId="6EAA196D">
      <w:pPr>
        <w:snapToGrid w:val="0"/>
        <w:spacing w:beforeLines="50" w:after="50"/>
        <w:ind w:firstLine="540" w:firstLineChars="225"/>
        <w:rPr>
          <w:rFonts w:hint="eastAsia" w:ascii="宋体" w:hAnsi="宋体" w:eastAsia="宋体" w:cs="宋体"/>
          <w:bCs/>
          <w:color w:val="auto"/>
          <w:sz w:val="24"/>
          <w:highlight w:val="none"/>
        </w:rPr>
      </w:pPr>
    </w:p>
    <w:p w14:paraId="0DD9BE8B">
      <w:pPr>
        <w:snapToGrid w:val="0"/>
        <w:spacing w:beforeLines="50" w:after="50"/>
        <w:ind w:firstLine="540" w:firstLineChars="225"/>
        <w:rPr>
          <w:rFonts w:hint="eastAsia" w:ascii="宋体" w:hAnsi="宋体" w:eastAsia="宋体" w:cs="宋体"/>
          <w:bCs/>
          <w:color w:val="auto"/>
          <w:sz w:val="24"/>
          <w:highlight w:val="none"/>
        </w:rPr>
      </w:pPr>
    </w:p>
    <w:p w14:paraId="4570ABAE">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42AA99D1">
      <w:pPr>
        <w:snapToGrid w:val="0"/>
        <w:spacing w:beforeLines="50" w:after="50"/>
        <w:ind w:firstLine="540" w:firstLineChars="225"/>
        <w:rPr>
          <w:rFonts w:hint="eastAsia" w:ascii="宋体" w:hAnsi="宋体" w:eastAsia="宋体" w:cs="宋体"/>
          <w:bCs/>
          <w:color w:val="auto"/>
          <w:sz w:val="24"/>
          <w:highlight w:val="none"/>
        </w:rPr>
      </w:pPr>
    </w:p>
    <w:p w14:paraId="753B50AE">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0B3E3AA2">
      <w:pPr>
        <w:snapToGrid w:val="0"/>
        <w:spacing w:beforeLines="50" w:after="50"/>
        <w:ind w:firstLine="540" w:firstLineChars="225"/>
        <w:rPr>
          <w:rFonts w:hint="eastAsia" w:ascii="宋体" w:hAnsi="宋体" w:eastAsia="宋体" w:cs="宋体"/>
          <w:bCs/>
          <w:color w:val="auto"/>
          <w:sz w:val="24"/>
          <w:highlight w:val="none"/>
          <w:lang w:val="en-US" w:eastAsia="zh-CN"/>
        </w:rPr>
      </w:pPr>
    </w:p>
    <w:p w14:paraId="4C412A69">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344A1023">
      <w:pPr>
        <w:snapToGrid w:val="0"/>
        <w:spacing w:beforeLines="50" w:after="50"/>
        <w:ind w:firstLine="540" w:firstLineChars="225"/>
        <w:rPr>
          <w:rFonts w:hint="eastAsia" w:ascii="宋体" w:hAnsi="宋体" w:eastAsia="宋体" w:cs="宋体"/>
          <w:bCs/>
          <w:color w:val="auto"/>
          <w:sz w:val="24"/>
          <w:highlight w:val="none"/>
        </w:rPr>
      </w:pPr>
    </w:p>
    <w:p w14:paraId="05B13FC2">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0FFB0659">
      <w:pPr>
        <w:pStyle w:val="7"/>
        <w:snapToGrid w:val="0"/>
        <w:spacing w:before="50" w:after="50"/>
        <w:ind w:firstLine="960" w:firstLineChars="400"/>
        <w:rPr>
          <w:rFonts w:hint="eastAsia" w:ascii="宋体" w:hAnsi="宋体" w:eastAsia="宋体" w:cs="宋体"/>
          <w:bCs/>
          <w:color w:val="auto"/>
          <w:sz w:val="24"/>
          <w:szCs w:val="24"/>
          <w:highlight w:val="none"/>
        </w:rPr>
      </w:pPr>
    </w:p>
    <w:p w14:paraId="136BF7B7">
      <w:pPr>
        <w:snapToGrid w:val="0"/>
        <w:spacing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ED4A0CA">
      <w:pPr>
        <w:snapToGrid w:val="0"/>
        <w:spacing w:beforeLines="50" w:after="50"/>
        <w:rPr>
          <w:rFonts w:hint="eastAsia" w:ascii="宋体" w:hAnsi="宋体" w:eastAsia="宋体" w:cs="宋体"/>
          <w:color w:val="auto"/>
          <w:sz w:val="24"/>
          <w:szCs w:val="20"/>
          <w:highlight w:val="none"/>
        </w:rPr>
      </w:pPr>
    </w:p>
    <w:p w14:paraId="7036D8F9">
      <w:pPr>
        <w:snapToGrid w:val="0"/>
        <w:spacing w:beforeLines="50" w:after="50"/>
        <w:rPr>
          <w:rFonts w:hint="eastAsia" w:ascii="宋体" w:hAnsi="宋体" w:eastAsia="宋体" w:cs="宋体"/>
          <w:color w:val="auto"/>
          <w:sz w:val="24"/>
          <w:szCs w:val="20"/>
          <w:highlight w:val="none"/>
        </w:rPr>
      </w:pPr>
    </w:p>
    <w:p w14:paraId="23E507A6">
      <w:pPr>
        <w:numPr>
          <w:ilvl w:val="2"/>
          <w:numId w:val="0"/>
        </w:numPr>
        <w:snapToGrid w:val="0"/>
        <w:spacing w:beforeLines="50" w:after="50" w:line="360" w:lineRule="auto"/>
        <w:ind w:left="0" w:leftChars="0" w:firstLine="0" w:firstLineChars="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资格证明文件目录</w:t>
      </w:r>
    </w:p>
    <w:p w14:paraId="4F993C2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14:paraId="42131A26">
      <w:pPr>
        <w:snapToGrid w:val="0"/>
        <w:spacing w:before="50" w:afterLines="50"/>
        <w:jc w:val="left"/>
        <w:rPr>
          <w:rFonts w:hint="eastAsia" w:ascii="宋体" w:hAnsi="宋体" w:eastAsia="宋体" w:cs="宋体"/>
          <w:color w:val="auto"/>
          <w:sz w:val="24"/>
          <w:highlight w:val="none"/>
        </w:rPr>
      </w:pPr>
    </w:p>
    <w:p w14:paraId="510F2BE8">
      <w:pPr>
        <w:snapToGrid w:val="0"/>
        <w:spacing w:before="50" w:afterLines="50"/>
        <w:jc w:val="left"/>
        <w:rPr>
          <w:rFonts w:hint="eastAsia" w:ascii="宋体" w:hAnsi="宋体" w:eastAsia="宋体" w:cs="宋体"/>
          <w:color w:val="auto"/>
          <w:sz w:val="24"/>
          <w:highlight w:val="none"/>
        </w:rPr>
      </w:pPr>
    </w:p>
    <w:p w14:paraId="437AC645">
      <w:pPr>
        <w:numPr>
          <w:ilvl w:val="2"/>
          <w:numId w:val="0"/>
        </w:numPr>
        <w:snapToGrid w:val="0"/>
        <w:spacing w:beforeLines="50" w:after="50"/>
        <w:ind w:left="0" w:leftChars="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216DC0E">
      <w:pPr>
        <w:numPr>
          <w:ilvl w:val="2"/>
          <w:numId w:val="0"/>
        </w:numPr>
        <w:snapToGrid w:val="0"/>
        <w:spacing w:beforeLines="50" w:after="50"/>
        <w:ind w:left="0" w:leftChars="0"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.投标人为法人或者其他组织的，提供营业执照等证明文件（如营业执照或者事业单位法人证书或者执业许可证等）</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投标人为自然人的，提供身份证；（必须提供，否则作无效投标处理）</w:t>
      </w:r>
    </w:p>
    <w:p w14:paraId="3C8D31A3">
      <w:pPr>
        <w:bidi w:val="0"/>
        <w:rPr>
          <w:rFonts w:hint="eastAsia" w:ascii="宋体" w:hAnsi="宋体" w:eastAsia="宋体" w:cs="宋体"/>
          <w:color w:val="auto"/>
          <w:highlight w:val="none"/>
        </w:rPr>
      </w:pPr>
    </w:p>
    <w:p w14:paraId="4B858D8A">
      <w:pPr>
        <w:numPr>
          <w:ilvl w:val="2"/>
          <w:numId w:val="0"/>
        </w:numPr>
        <w:snapToGrid w:val="0"/>
        <w:spacing w:beforeLines="50" w:after="50"/>
        <w:ind w:left="0" w:leftChars="0" w:firstLine="0" w:firstLineChars="0"/>
        <w:jc w:val="left"/>
        <w:rPr>
          <w:rFonts w:hint="eastAsia" w:ascii="宋体" w:hAnsi="宋体" w:eastAsia="宋体" w:cs="宋体"/>
          <w:b/>
          <w:color w:val="auto"/>
          <w:sz w:val="28"/>
          <w:szCs w:val="28"/>
          <w:highlight w:val="none"/>
          <w:lang w:val="en-US" w:eastAsia="zh-CN"/>
        </w:rPr>
      </w:pPr>
    </w:p>
    <w:p w14:paraId="7665732F">
      <w:pPr>
        <w:numPr>
          <w:ilvl w:val="2"/>
          <w:numId w:val="0"/>
        </w:numPr>
        <w:snapToGrid w:val="0"/>
        <w:spacing w:beforeLines="50" w:after="50"/>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3.投标人具有有效的资质证书；（必须提供，否则作无效投标处理）</w:t>
      </w:r>
    </w:p>
    <w:p w14:paraId="150CE0A2">
      <w:pPr>
        <w:numPr>
          <w:ilvl w:val="2"/>
          <w:numId w:val="0"/>
        </w:numPr>
        <w:snapToGrid w:val="0"/>
        <w:spacing w:beforeLines="50" w:after="50"/>
        <w:ind w:left="0" w:leftChars="0" w:firstLine="356" w:firstLineChars="0"/>
        <w:jc w:val="left"/>
        <w:rPr>
          <w:rFonts w:hint="eastAsia" w:ascii="宋体" w:hAnsi="宋体" w:eastAsia="宋体" w:cs="宋体"/>
          <w:b/>
          <w:color w:val="auto"/>
          <w:sz w:val="28"/>
          <w:szCs w:val="28"/>
          <w:highlight w:val="none"/>
          <w:lang w:val="en-US" w:eastAsia="zh-CN"/>
        </w:rPr>
      </w:pPr>
    </w:p>
    <w:p w14:paraId="38268D7C">
      <w:pPr>
        <w:numPr>
          <w:ilvl w:val="2"/>
          <w:numId w:val="0"/>
        </w:numPr>
        <w:snapToGrid w:val="0"/>
        <w:spacing w:beforeLines="50" w:after="50"/>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4.拟派项目负责人具备的有效的资格证书证明材料；（必须提供，否则作无效投标处理）</w:t>
      </w:r>
    </w:p>
    <w:p w14:paraId="6D5B3387">
      <w:pPr>
        <w:numPr>
          <w:ilvl w:val="2"/>
          <w:numId w:val="0"/>
        </w:numPr>
        <w:snapToGrid w:val="0"/>
        <w:spacing w:beforeLines="50" w:after="50"/>
        <w:ind w:left="0" w:leftChars="0" w:firstLine="356" w:firstLineChars="0"/>
        <w:jc w:val="left"/>
        <w:rPr>
          <w:rFonts w:hint="eastAsia" w:ascii="宋体" w:hAnsi="宋体" w:eastAsia="宋体" w:cs="宋体"/>
          <w:b/>
          <w:color w:val="auto"/>
          <w:sz w:val="28"/>
          <w:szCs w:val="28"/>
          <w:highlight w:val="none"/>
          <w:lang w:val="en-US" w:eastAsia="zh-CN"/>
        </w:rPr>
      </w:pPr>
    </w:p>
    <w:p w14:paraId="3459FC47">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.投标人依法缴纳税收的相关材料</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提交投标文件截止时间</w:t>
      </w:r>
      <w:r>
        <w:rPr>
          <w:rFonts w:hint="eastAsia" w:ascii="宋体" w:hAnsi="宋体" w:eastAsia="宋体" w:cs="宋体"/>
          <w:b/>
          <w:color w:val="auto"/>
          <w:sz w:val="28"/>
          <w:szCs w:val="28"/>
          <w:highlight w:val="none"/>
          <w:lang w:eastAsia="zh-CN"/>
        </w:rPr>
        <w:t>前</w:t>
      </w:r>
      <w:r>
        <w:rPr>
          <w:rFonts w:hint="eastAsia" w:ascii="宋体" w:hAnsi="宋体" w:eastAsia="宋体" w:cs="宋体"/>
          <w:b/>
          <w:color w:val="auto"/>
          <w:sz w:val="28"/>
          <w:szCs w:val="28"/>
          <w:highlight w:val="none"/>
          <w:u w:val="none"/>
        </w:rPr>
        <w:t>半年</w:t>
      </w:r>
      <w:r>
        <w:rPr>
          <w:rFonts w:hint="eastAsia" w:ascii="宋体" w:hAnsi="宋体" w:eastAsia="宋体" w:cs="宋体"/>
          <w:b/>
          <w:color w:val="auto"/>
          <w:sz w:val="28"/>
          <w:szCs w:val="28"/>
          <w:highlight w:val="none"/>
        </w:rPr>
        <w:t>内</w:t>
      </w:r>
      <w:r>
        <w:rPr>
          <w:rFonts w:hint="eastAsia" w:ascii="宋体" w:hAnsi="宋体" w:eastAsia="宋体" w:cs="宋体"/>
          <w:b/>
          <w:color w:val="auto"/>
          <w:sz w:val="28"/>
          <w:szCs w:val="28"/>
          <w:highlight w:val="none"/>
          <w:lang w:val="en-US" w:eastAsia="zh-CN"/>
        </w:rPr>
        <w:t>任意一</w:t>
      </w:r>
      <w:r>
        <w:rPr>
          <w:rFonts w:hint="eastAsia" w:ascii="宋体" w:hAnsi="宋体" w:eastAsia="宋体" w:cs="宋体"/>
          <w:b/>
          <w:color w:val="auto"/>
          <w:sz w:val="28"/>
          <w:szCs w:val="28"/>
          <w:highlight w:val="none"/>
        </w:rPr>
        <w:t>个月的依法缴纳税收的凭据；依法免税的</w:t>
      </w: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 w:val="28"/>
          <w:szCs w:val="28"/>
          <w:highlight w:val="none"/>
          <w:lang w:eastAsia="zh-CN"/>
        </w:rPr>
        <w:t>；</w:t>
      </w:r>
      <w:r>
        <w:rPr>
          <w:rFonts w:hint="eastAsia" w:ascii="宋体" w:hAnsi="宋体" w:eastAsia="宋体" w:cs="宋体"/>
          <w:b/>
          <w:bCs w:val="0"/>
          <w:color w:val="auto"/>
          <w:sz w:val="28"/>
          <w:szCs w:val="28"/>
          <w:highlight w:val="none"/>
          <w:lang w:val="en-US" w:eastAsia="zh-CN"/>
        </w:rPr>
        <w:t>或</w:t>
      </w:r>
      <w:r>
        <w:rPr>
          <w:rFonts w:hint="eastAsia" w:ascii="宋体" w:hAnsi="宋体" w:eastAsia="宋体" w:cs="宋体"/>
          <w:b/>
          <w:bCs w:val="0"/>
          <w:color w:val="auto"/>
          <w:sz w:val="28"/>
          <w:szCs w:val="28"/>
          <w:highlight w:val="none"/>
        </w:rPr>
        <w:t>提供依法缴纳</w:t>
      </w:r>
      <w:r>
        <w:rPr>
          <w:rFonts w:hint="eastAsia" w:ascii="宋体" w:hAnsi="宋体" w:eastAsia="宋体" w:cs="宋体"/>
          <w:b/>
          <w:color w:val="auto"/>
          <w:sz w:val="28"/>
          <w:szCs w:val="28"/>
          <w:highlight w:val="none"/>
        </w:rPr>
        <w:t>税</w:t>
      </w:r>
      <w:r>
        <w:rPr>
          <w:rFonts w:hint="eastAsia" w:ascii="宋体" w:hAnsi="宋体" w:eastAsia="宋体" w:cs="宋体"/>
          <w:b/>
          <w:bCs w:val="0"/>
          <w:color w:val="auto"/>
          <w:sz w:val="28"/>
          <w:szCs w:val="28"/>
          <w:highlight w:val="none"/>
        </w:rPr>
        <w:t>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2203E146">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p>
    <w:p w14:paraId="0822A9C2">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投标人依法缴纳社会保障资金的相关材料</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提交投标文件截止时间</w:t>
      </w:r>
      <w:r>
        <w:rPr>
          <w:rFonts w:hint="eastAsia" w:ascii="宋体" w:hAnsi="宋体" w:eastAsia="宋体" w:cs="宋体"/>
          <w:b/>
          <w:color w:val="auto"/>
          <w:sz w:val="28"/>
          <w:szCs w:val="28"/>
          <w:highlight w:val="none"/>
          <w:lang w:eastAsia="zh-CN"/>
        </w:rPr>
        <w:t>前</w:t>
      </w:r>
      <w:r>
        <w:rPr>
          <w:rFonts w:hint="eastAsia" w:ascii="宋体" w:hAnsi="宋体" w:eastAsia="宋体" w:cs="宋体"/>
          <w:b/>
          <w:color w:val="auto"/>
          <w:sz w:val="28"/>
          <w:szCs w:val="28"/>
          <w:highlight w:val="none"/>
          <w:u w:val="none"/>
        </w:rPr>
        <w:t>半年</w:t>
      </w:r>
      <w:r>
        <w:rPr>
          <w:rFonts w:hint="eastAsia" w:ascii="宋体" w:hAnsi="宋体" w:eastAsia="宋体" w:cs="宋体"/>
          <w:b/>
          <w:color w:val="auto"/>
          <w:sz w:val="28"/>
          <w:szCs w:val="28"/>
          <w:highlight w:val="none"/>
        </w:rPr>
        <w:t>内</w:t>
      </w:r>
      <w:r>
        <w:rPr>
          <w:rFonts w:hint="eastAsia" w:ascii="宋体" w:hAnsi="宋体" w:eastAsia="宋体" w:cs="宋体"/>
          <w:b/>
          <w:color w:val="auto"/>
          <w:sz w:val="28"/>
          <w:szCs w:val="28"/>
          <w:highlight w:val="none"/>
          <w:lang w:val="en-US" w:eastAsia="zh-CN"/>
        </w:rPr>
        <w:t>任意一</w:t>
      </w:r>
      <w:r>
        <w:rPr>
          <w:rFonts w:hint="eastAsia" w:ascii="宋体" w:hAnsi="宋体" w:eastAsia="宋体" w:cs="宋体"/>
          <w:b/>
          <w:color w:val="auto"/>
          <w:sz w:val="28"/>
          <w:szCs w:val="28"/>
          <w:highlight w:val="none"/>
        </w:rPr>
        <w:t>个月的依法缴纳社会保障资金的缴费凭证；依法不需要缴纳社会保障资金的供应商，必须提供相应文件证明不需要缴纳社会保障资金</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从取得营业执照时间起到投标文件提交截止时间为止不足要求月数的</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只需提供从取得营业执照起的依法缴纳社会保障资金的相应证明文件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或</w:t>
      </w:r>
      <w:r>
        <w:rPr>
          <w:rFonts w:hint="eastAsia" w:ascii="宋体" w:hAnsi="宋体" w:eastAsia="宋体" w:cs="宋体"/>
          <w:b/>
          <w:bCs w:val="0"/>
          <w:color w:val="auto"/>
          <w:sz w:val="28"/>
          <w:szCs w:val="28"/>
          <w:highlight w:val="none"/>
        </w:rPr>
        <w:t>提供依法缴纳社会保险费的承诺函（格式自拟）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4BF39D26">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p>
    <w:p w14:paraId="16521043">
      <w:pPr>
        <w:numPr>
          <w:ilvl w:val="2"/>
          <w:numId w:val="0"/>
        </w:numPr>
        <w:snapToGrid w:val="0"/>
        <w:spacing w:beforeLines="50" w:after="50"/>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.投标人财务状况报告</w:t>
      </w: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应提供</w:t>
      </w:r>
      <w:r>
        <w:rPr>
          <w:rFonts w:hint="eastAsia" w:ascii="宋体" w:hAnsi="宋体" w:eastAsia="宋体" w:cs="宋体"/>
          <w:b/>
          <w:color w:val="auto"/>
          <w:sz w:val="28"/>
          <w:szCs w:val="28"/>
          <w:highlight w:val="none"/>
          <w:u w:val="none"/>
        </w:rPr>
        <w:t>202</w:t>
      </w:r>
      <w:r>
        <w:rPr>
          <w:rFonts w:hint="eastAsia" w:ascii="宋体" w:hAnsi="宋体" w:eastAsia="宋体" w:cs="宋体"/>
          <w:b/>
          <w:color w:val="auto"/>
          <w:sz w:val="28"/>
          <w:szCs w:val="28"/>
          <w:highlight w:val="none"/>
          <w:u w:val="none"/>
          <w:lang w:val="en-US" w:eastAsia="zh-CN"/>
        </w:rPr>
        <w:t>4</w:t>
      </w:r>
      <w:r>
        <w:rPr>
          <w:rFonts w:hint="eastAsia" w:ascii="宋体" w:hAnsi="宋体" w:eastAsia="宋体" w:cs="宋体"/>
          <w:b/>
          <w:color w:val="auto"/>
          <w:sz w:val="28"/>
          <w:szCs w:val="28"/>
          <w:highlight w:val="none"/>
          <w:u w:val="none"/>
        </w:rPr>
        <w:t>年</w:t>
      </w:r>
      <w:r>
        <w:rPr>
          <w:rFonts w:hint="eastAsia" w:ascii="宋体" w:hAnsi="宋体" w:eastAsia="宋体" w:cs="宋体"/>
          <w:b/>
          <w:color w:val="auto"/>
          <w:sz w:val="28"/>
          <w:szCs w:val="28"/>
          <w:highlight w:val="none"/>
        </w:rPr>
        <w:t>度经审计的财务报告或者其基本开户银行出具的资信证明</w:t>
      </w:r>
      <w:r>
        <w:rPr>
          <w:rFonts w:hint="eastAsia" w:ascii="宋体" w:hAnsi="宋体" w:eastAsia="宋体" w:cs="宋体"/>
          <w:b/>
          <w:color w:val="auto"/>
          <w:sz w:val="28"/>
          <w:szCs w:val="28"/>
          <w:highlight w:val="none"/>
          <w:lang w:val="en-US" w:eastAsia="zh-CN"/>
        </w:rPr>
        <w:t>；投标截止日当年成立</w:t>
      </w:r>
      <w:r>
        <w:rPr>
          <w:rFonts w:hint="eastAsia" w:ascii="宋体" w:hAnsi="宋体" w:eastAsia="宋体" w:cs="宋体"/>
          <w:b/>
          <w:color w:val="auto"/>
          <w:sz w:val="28"/>
          <w:szCs w:val="28"/>
          <w:highlight w:val="none"/>
        </w:rPr>
        <w:t>的</w:t>
      </w:r>
      <w:r>
        <w:rPr>
          <w:rFonts w:hint="eastAsia" w:ascii="宋体" w:hAnsi="宋体" w:eastAsia="宋体" w:cs="宋体"/>
          <w:b/>
          <w:color w:val="auto"/>
          <w:sz w:val="28"/>
          <w:szCs w:val="28"/>
          <w:highlight w:val="none"/>
          <w:lang w:val="en-US" w:eastAsia="zh-CN"/>
        </w:rPr>
        <w:t>投标人</w:t>
      </w:r>
      <w:r>
        <w:rPr>
          <w:rFonts w:hint="eastAsia" w:ascii="宋体" w:hAnsi="宋体" w:eastAsia="宋体" w:cs="宋体"/>
          <w:b/>
          <w:color w:val="auto"/>
          <w:sz w:val="28"/>
          <w:szCs w:val="28"/>
          <w:highlight w:val="none"/>
        </w:rPr>
        <w:t>，只需提供从取得营业执照起的</w:t>
      </w:r>
      <w:r>
        <w:rPr>
          <w:rFonts w:hint="eastAsia" w:ascii="宋体" w:hAnsi="宋体" w:eastAsia="宋体" w:cs="宋体"/>
          <w:b/>
          <w:color w:val="auto"/>
          <w:sz w:val="28"/>
          <w:szCs w:val="28"/>
          <w:highlight w:val="none"/>
          <w:lang w:val="en-US" w:eastAsia="zh-CN"/>
        </w:rPr>
        <w:t>财务状况报告</w:t>
      </w:r>
      <w:r>
        <w:rPr>
          <w:rFonts w:hint="eastAsia" w:ascii="宋体" w:hAnsi="宋体" w:eastAsia="宋体" w:cs="宋体"/>
          <w:b/>
          <w:color w:val="auto"/>
          <w:sz w:val="28"/>
          <w:szCs w:val="28"/>
          <w:highlight w:val="none"/>
          <w:lang w:eastAsia="zh-CN"/>
        </w:rPr>
        <w:t>；</w:t>
      </w:r>
      <w:r>
        <w:rPr>
          <w:rFonts w:hint="eastAsia" w:ascii="宋体" w:hAnsi="宋体" w:eastAsia="宋体" w:cs="宋体"/>
          <w:b/>
          <w:bCs w:val="0"/>
          <w:color w:val="auto"/>
          <w:sz w:val="28"/>
          <w:szCs w:val="28"/>
          <w:highlight w:val="none"/>
          <w:lang w:val="en-US" w:eastAsia="zh-CN"/>
        </w:rPr>
        <w:t>或</w:t>
      </w:r>
      <w:r>
        <w:rPr>
          <w:rFonts w:hint="eastAsia" w:ascii="宋体" w:hAnsi="宋体" w:eastAsia="宋体" w:cs="宋体"/>
          <w:b/>
          <w:color w:val="auto"/>
          <w:sz w:val="28"/>
          <w:szCs w:val="28"/>
          <w:highlight w:val="none"/>
        </w:rPr>
        <w:t>提供财务状况</w:t>
      </w:r>
      <w:r>
        <w:rPr>
          <w:rFonts w:hint="eastAsia" w:ascii="宋体" w:hAnsi="宋体" w:eastAsia="宋体" w:cs="宋体"/>
          <w:b/>
          <w:color w:val="auto"/>
          <w:sz w:val="28"/>
          <w:szCs w:val="28"/>
          <w:highlight w:val="none"/>
          <w:lang w:val="en-US" w:eastAsia="zh-CN"/>
        </w:rPr>
        <w:t>正常</w:t>
      </w:r>
      <w:r>
        <w:rPr>
          <w:rFonts w:hint="eastAsia" w:ascii="宋体" w:hAnsi="宋体" w:eastAsia="宋体" w:cs="宋体"/>
          <w:b/>
          <w:color w:val="auto"/>
          <w:sz w:val="28"/>
          <w:szCs w:val="28"/>
          <w:highlight w:val="none"/>
        </w:rPr>
        <w:t>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7958526B">
      <w:pPr>
        <w:numPr>
          <w:ilvl w:val="2"/>
          <w:numId w:val="0"/>
        </w:numPr>
        <w:snapToGrid w:val="0"/>
        <w:spacing w:beforeLines="50" w:after="50"/>
        <w:ind w:left="0" w:leftChars="0" w:firstLine="0" w:firstLineChars="0"/>
        <w:jc w:val="left"/>
        <w:rPr>
          <w:rFonts w:hint="eastAsia" w:ascii="宋体" w:hAnsi="宋体" w:eastAsia="宋体" w:cs="宋体"/>
          <w:b/>
          <w:color w:val="auto"/>
          <w:sz w:val="28"/>
          <w:szCs w:val="28"/>
          <w:highlight w:val="none"/>
        </w:rPr>
      </w:pPr>
    </w:p>
    <w:p w14:paraId="357EFA6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4F656FA">
      <w:pPr>
        <w:numPr>
          <w:ilvl w:val="2"/>
          <w:numId w:val="0"/>
        </w:numPr>
        <w:snapToGrid w:val="0"/>
        <w:spacing w:beforeLines="50" w:after="50"/>
        <w:ind w:left="0" w:leftChars="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投标人直接控股、管理关系信息表</w:t>
      </w:r>
    </w:p>
    <w:p w14:paraId="419DF0F9">
      <w:pPr>
        <w:snapToGrid w:val="0"/>
        <w:spacing w:before="50" w:afterLines="50"/>
        <w:jc w:val="center"/>
        <w:rPr>
          <w:rFonts w:hint="eastAsia" w:ascii="宋体" w:hAnsi="宋体" w:eastAsia="宋体" w:cs="宋体"/>
          <w:b/>
          <w:color w:val="auto"/>
          <w:sz w:val="28"/>
          <w:szCs w:val="28"/>
          <w:highlight w:val="none"/>
        </w:rPr>
      </w:pPr>
    </w:p>
    <w:p w14:paraId="38930991">
      <w:pPr>
        <w:snapToGrid w:val="0"/>
        <w:spacing w:before="50" w:afterLines="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投标人直接控股股东信息表</w:t>
      </w:r>
    </w:p>
    <w:tbl>
      <w:tblPr>
        <w:tblStyle w:val="49"/>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43DBDF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3B1093">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6B8B28">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F595E9">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854E1F">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81902C">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03EEE85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C4581E">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A48710">
            <w:pPr>
              <w:spacing w:line="360" w:lineRule="auto"/>
              <w:jc w:val="center"/>
              <w:rPr>
                <w:rFonts w:hint="eastAsia" w:ascii="宋体" w:hAnsi="宋体" w:eastAsia="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FF0D2E">
            <w:pPr>
              <w:spacing w:line="360" w:lineRule="auto"/>
              <w:jc w:val="center"/>
              <w:rPr>
                <w:rFonts w:hint="eastAsia" w:ascii="宋体" w:hAnsi="宋体" w:eastAsia="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CFC4D">
            <w:pPr>
              <w:spacing w:line="360" w:lineRule="auto"/>
              <w:jc w:val="center"/>
              <w:rPr>
                <w:rFonts w:hint="eastAsia"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E0B70">
            <w:pPr>
              <w:spacing w:line="360" w:lineRule="auto"/>
              <w:jc w:val="center"/>
              <w:rPr>
                <w:rFonts w:hint="eastAsia" w:ascii="宋体" w:hAnsi="宋体" w:eastAsia="宋体" w:cs="宋体"/>
                <w:color w:val="auto"/>
                <w:kern w:val="0"/>
                <w:szCs w:val="21"/>
                <w:highlight w:val="none"/>
              </w:rPr>
            </w:pPr>
          </w:p>
        </w:tc>
      </w:tr>
      <w:tr w14:paraId="1F3B2E9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581835">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D6B55B">
            <w:pPr>
              <w:spacing w:line="360" w:lineRule="auto"/>
              <w:jc w:val="center"/>
              <w:rPr>
                <w:rFonts w:hint="eastAsia" w:ascii="宋体" w:hAnsi="宋体" w:eastAsia="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BB6A61">
            <w:pPr>
              <w:spacing w:line="360" w:lineRule="auto"/>
              <w:jc w:val="center"/>
              <w:rPr>
                <w:rFonts w:hint="eastAsia" w:ascii="宋体" w:hAnsi="宋体" w:eastAsia="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D752C6">
            <w:pPr>
              <w:spacing w:line="360" w:lineRule="auto"/>
              <w:jc w:val="center"/>
              <w:rPr>
                <w:rFonts w:hint="eastAsia"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54D452">
            <w:pPr>
              <w:spacing w:line="360" w:lineRule="auto"/>
              <w:jc w:val="center"/>
              <w:rPr>
                <w:rFonts w:hint="eastAsia" w:ascii="宋体" w:hAnsi="宋体" w:eastAsia="宋体" w:cs="宋体"/>
                <w:color w:val="auto"/>
                <w:kern w:val="0"/>
                <w:szCs w:val="21"/>
                <w:highlight w:val="none"/>
              </w:rPr>
            </w:pPr>
          </w:p>
        </w:tc>
      </w:tr>
      <w:tr w14:paraId="177C8A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F0C2EB">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BCDA47">
            <w:pPr>
              <w:spacing w:line="360" w:lineRule="auto"/>
              <w:jc w:val="center"/>
              <w:rPr>
                <w:rFonts w:hint="eastAsia" w:ascii="宋体" w:hAnsi="宋体" w:eastAsia="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292686">
            <w:pPr>
              <w:spacing w:line="360" w:lineRule="auto"/>
              <w:jc w:val="center"/>
              <w:rPr>
                <w:rFonts w:hint="eastAsia" w:ascii="宋体" w:hAnsi="宋体" w:eastAsia="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BE7964">
            <w:pPr>
              <w:spacing w:line="360" w:lineRule="auto"/>
              <w:jc w:val="center"/>
              <w:rPr>
                <w:rFonts w:hint="eastAsia"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100A9B">
            <w:pPr>
              <w:spacing w:line="360" w:lineRule="auto"/>
              <w:jc w:val="center"/>
              <w:rPr>
                <w:rFonts w:hint="eastAsia" w:ascii="宋体" w:hAnsi="宋体" w:eastAsia="宋体" w:cs="宋体"/>
                <w:color w:val="auto"/>
                <w:kern w:val="0"/>
                <w:szCs w:val="21"/>
                <w:highlight w:val="none"/>
              </w:rPr>
            </w:pPr>
          </w:p>
        </w:tc>
      </w:tr>
      <w:tr w14:paraId="3FEB40D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60C049">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9B898C">
            <w:pPr>
              <w:spacing w:line="360" w:lineRule="auto"/>
              <w:jc w:val="center"/>
              <w:rPr>
                <w:rFonts w:hint="eastAsia" w:ascii="宋体" w:hAnsi="宋体" w:eastAsia="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66E5B">
            <w:pPr>
              <w:spacing w:line="360" w:lineRule="auto"/>
              <w:jc w:val="center"/>
              <w:rPr>
                <w:rFonts w:hint="eastAsia" w:ascii="宋体" w:hAnsi="宋体" w:eastAsia="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8A95E7">
            <w:pPr>
              <w:spacing w:line="360" w:lineRule="auto"/>
              <w:jc w:val="center"/>
              <w:rPr>
                <w:rFonts w:hint="eastAsia"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291E9">
            <w:pPr>
              <w:spacing w:line="360" w:lineRule="auto"/>
              <w:jc w:val="center"/>
              <w:rPr>
                <w:rFonts w:hint="eastAsia" w:ascii="宋体" w:hAnsi="宋体" w:eastAsia="宋体" w:cs="宋体"/>
                <w:color w:val="auto"/>
                <w:kern w:val="0"/>
                <w:szCs w:val="21"/>
                <w:highlight w:val="none"/>
              </w:rPr>
            </w:pPr>
          </w:p>
        </w:tc>
      </w:tr>
    </w:tbl>
    <w:p w14:paraId="771E5EA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A4854C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175B9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003A3CA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不存在直接控股股东的，则填“无”。</w:t>
      </w:r>
    </w:p>
    <w:p w14:paraId="397CBB93">
      <w:pPr>
        <w:snapToGrid w:val="0"/>
        <w:spacing w:line="360" w:lineRule="auto"/>
        <w:jc w:val="left"/>
        <w:rPr>
          <w:rFonts w:hint="eastAsia" w:ascii="宋体" w:hAnsi="宋体" w:eastAsia="宋体" w:cs="宋体"/>
          <w:color w:val="auto"/>
          <w:sz w:val="24"/>
          <w:highlight w:val="none"/>
        </w:rPr>
      </w:pPr>
    </w:p>
    <w:p w14:paraId="57472298">
      <w:pPr>
        <w:snapToGrid w:val="0"/>
        <w:spacing w:line="360" w:lineRule="auto"/>
        <w:jc w:val="left"/>
        <w:rPr>
          <w:rFonts w:hint="eastAsia" w:ascii="宋体" w:hAnsi="宋体" w:eastAsia="宋体" w:cs="宋体"/>
          <w:color w:val="auto"/>
          <w:sz w:val="24"/>
          <w:highlight w:val="none"/>
        </w:rPr>
      </w:pPr>
    </w:p>
    <w:p w14:paraId="12855000">
      <w:pPr>
        <w:pStyle w:val="25"/>
        <w:spacing w:line="320" w:lineRule="exact"/>
        <w:rPr>
          <w:rFonts w:hint="eastAsia" w:ascii="宋体" w:hAnsi="宋体" w:eastAsia="宋体" w:cs="宋体"/>
          <w:color w:val="auto"/>
          <w:sz w:val="24"/>
          <w:highlight w:val="none"/>
        </w:rPr>
      </w:pPr>
    </w:p>
    <w:p w14:paraId="7D0D50E4">
      <w:pPr>
        <w:pStyle w:val="25"/>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法定代表人或者委托代理人签字[或盖章(CA签章)]</w:t>
      </w:r>
    </w:p>
    <w:p w14:paraId="40D7A1BE">
      <w:pPr>
        <w:snapToGrid w:val="0"/>
        <w:spacing w:beforeLines="50" w:line="360" w:lineRule="auto"/>
        <w:ind w:right="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（属自然人的应在签名处加盖大拇指指印或个人CA签章）：</w:t>
      </w:r>
    </w:p>
    <w:p w14:paraId="05D944AE">
      <w:pPr>
        <w:snapToGrid w:val="0"/>
        <w:spacing w:beforeLines="50" w:after="50" w:line="360" w:lineRule="auto"/>
        <w:ind w:right="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投标人[公章(CA签章)、自然人除外]：</w:t>
      </w:r>
    </w:p>
    <w:p w14:paraId="12A8AF4A">
      <w:pPr>
        <w:snapToGrid w:val="0"/>
        <w:spacing w:beforeLines="50" w:after="50" w:line="360" w:lineRule="auto"/>
        <w:ind w:right="480"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3065B580">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B3DED6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投标人直接管理关系信息表</w:t>
      </w:r>
    </w:p>
    <w:tbl>
      <w:tblPr>
        <w:tblStyle w:val="49"/>
        <w:tblW w:w="9200" w:type="dxa"/>
        <w:tblInd w:w="0" w:type="dxa"/>
        <w:shd w:val="clear" w:color="auto" w:fill="FBFBFB"/>
        <w:tblLayout w:type="fixed"/>
        <w:tblCellMar>
          <w:top w:w="0" w:type="dxa"/>
          <w:left w:w="0" w:type="dxa"/>
          <w:bottom w:w="0" w:type="dxa"/>
          <w:right w:w="0" w:type="dxa"/>
        </w:tblCellMar>
      </w:tblPr>
      <w:tblGrid>
        <w:gridCol w:w="1005"/>
        <w:gridCol w:w="2659"/>
        <w:gridCol w:w="3924"/>
        <w:gridCol w:w="1612"/>
      </w:tblGrid>
      <w:tr w14:paraId="644A35C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474EC6">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2F4A5">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48F534">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统一社会信用代码</w:t>
            </w:r>
          </w:p>
        </w:tc>
        <w:tc>
          <w:tcPr>
            <w:tcW w:w="161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997E60">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499D77B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A4FB4B">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34C20D">
            <w:pPr>
              <w:spacing w:line="360" w:lineRule="auto"/>
              <w:jc w:val="center"/>
              <w:rPr>
                <w:rFonts w:hint="eastAsia" w:ascii="宋体" w:hAnsi="宋体" w:eastAsia="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B82236">
            <w:pPr>
              <w:spacing w:line="360" w:lineRule="auto"/>
              <w:jc w:val="center"/>
              <w:rPr>
                <w:rFonts w:hint="eastAsia" w:ascii="宋体" w:hAnsi="宋体" w:eastAsia="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B60A52">
            <w:pPr>
              <w:spacing w:line="360" w:lineRule="auto"/>
              <w:jc w:val="center"/>
              <w:rPr>
                <w:rFonts w:hint="eastAsia" w:ascii="宋体" w:hAnsi="宋体" w:eastAsia="宋体" w:cs="宋体"/>
                <w:color w:val="auto"/>
                <w:kern w:val="0"/>
                <w:szCs w:val="21"/>
                <w:highlight w:val="none"/>
              </w:rPr>
            </w:pPr>
          </w:p>
        </w:tc>
      </w:tr>
      <w:tr w14:paraId="7DB2BBB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9C6868">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C5D9BB">
            <w:pPr>
              <w:spacing w:line="360" w:lineRule="auto"/>
              <w:jc w:val="center"/>
              <w:rPr>
                <w:rFonts w:hint="eastAsia" w:ascii="宋体" w:hAnsi="宋体" w:eastAsia="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1E9931">
            <w:pPr>
              <w:spacing w:line="360" w:lineRule="auto"/>
              <w:jc w:val="center"/>
              <w:rPr>
                <w:rFonts w:hint="eastAsia" w:ascii="宋体" w:hAnsi="宋体" w:eastAsia="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9FF58F">
            <w:pPr>
              <w:spacing w:line="360" w:lineRule="auto"/>
              <w:jc w:val="center"/>
              <w:rPr>
                <w:rFonts w:hint="eastAsia" w:ascii="宋体" w:hAnsi="宋体" w:eastAsia="宋体" w:cs="宋体"/>
                <w:color w:val="auto"/>
                <w:kern w:val="0"/>
                <w:szCs w:val="21"/>
                <w:highlight w:val="none"/>
              </w:rPr>
            </w:pPr>
          </w:p>
        </w:tc>
      </w:tr>
      <w:tr w14:paraId="7919E2F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3A909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8A6813">
            <w:pPr>
              <w:spacing w:line="360" w:lineRule="auto"/>
              <w:jc w:val="center"/>
              <w:rPr>
                <w:rFonts w:hint="eastAsia" w:ascii="宋体" w:hAnsi="宋体" w:eastAsia="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F71569">
            <w:pPr>
              <w:spacing w:line="360" w:lineRule="auto"/>
              <w:jc w:val="center"/>
              <w:rPr>
                <w:rFonts w:hint="eastAsia" w:ascii="宋体" w:hAnsi="宋体" w:eastAsia="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0126BC">
            <w:pPr>
              <w:spacing w:line="360" w:lineRule="auto"/>
              <w:jc w:val="center"/>
              <w:rPr>
                <w:rFonts w:hint="eastAsia" w:ascii="宋体" w:hAnsi="宋体" w:eastAsia="宋体" w:cs="宋体"/>
                <w:color w:val="auto"/>
                <w:kern w:val="0"/>
                <w:szCs w:val="21"/>
                <w:highlight w:val="none"/>
              </w:rPr>
            </w:pPr>
          </w:p>
        </w:tc>
      </w:tr>
      <w:tr w14:paraId="391CE7B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24A1CA">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C93E40">
            <w:pPr>
              <w:spacing w:line="360" w:lineRule="auto"/>
              <w:jc w:val="center"/>
              <w:rPr>
                <w:rFonts w:hint="eastAsia" w:ascii="宋体" w:hAnsi="宋体" w:eastAsia="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40D0A1">
            <w:pPr>
              <w:spacing w:line="360" w:lineRule="auto"/>
              <w:jc w:val="center"/>
              <w:rPr>
                <w:rFonts w:hint="eastAsia" w:ascii="宋体" w:hAnsi="宋体" w:eastAsia="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CB341">
            <w:pPr>
              <w:spacing w:line="360" w:lineRule="auto"/>
              <w:jc w:val="center"/>
              <w:rPr>
                <w:rFonts w:hint="eastAsia" w:ascii="宋体" w:hAnsi="宋体" w:eastAsia="宋体" w:cs="宋体"/>
                <w:color w:val="auto"/>
                <w:kern w:val="0"/>
                <w:szCs w:val="21"/>
                <w:highlight w:val="none"/>
              </w:rPr>
            </w:pPr>
          </w:p>
        </w:tc>
      </w:tr>
    </w:tbl>
    <w:p w14:paraId="147AD84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E7EE48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59F5AA6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6"/>
          <w:szCs w:val="21"/>
          <w:highlight w:val="none"/>
        </w:rPr>
        <w:t>本表所指的管理关系仅限于直接管理关系，不包括间接的管理关系。</w:t>
      </w:r>
    </w:p>
    <w:p w14:paraId="6B0E1C0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不存在直接管理关系的，则填“无”。</w:t>
      </w:r>
    </w:p>
    <w:p w14:paraId="15A5E3F6">
      <w:pPr>
        <w:snapToGrid w:val="0"/>
        <w:spacing w:line="360" w:lineRule="auto"/>
        <w:jc w:val="left"/>
        <w:rPr>
          <w:rFonts w:hint="eastAsia" w:ascii="宋体" w:hAnsi="宋体" w:eastAsia="宋体" w:cs="宋体"/>
          <w:color w:val="auto"/>
          <w:szCs w:val="21"/>
          <w:highlight w:val="none"/>
        </w:rPr>
      </w:pPr>
    </w:p>
    <w:p w14:paraId="08A4A837">
      <w:pPr>
        <w:snapToGrid w:val="0"/>
        <w:spacing w:line="360" w:lineRule="auto"/>
        <w:jc w:val="left"/>
        <w:rPr>
          <w:rFonts w:hint="eastAsia" w:ascii="宋体" w:hAnsi="宋体" w:eastAsia="宋体" w:cs="宋体"/>
          <w:color w:val="auto"/>
          <w:sz w:val="24"/>
          <w:highlight w:val="none"/>
        </w:rPr>
      </w:pPr>
    </w:p>
    <w:p w14:paraId="49F16D4C">
      <w:pPr>
        <w:snapToGrid w:val="0"/>
        <w:spacing w:line="360" w:lineRule="auto"/>
        <w:jc w:val="left"/>
        <w:rPr>
          <w:rFonts w:hint="eastAsia" w:ascii="宋体" w:hAnsi="宋体" w:eastAsia="宋体" w:cs="宋体"/>
          <w:color w:val="auto"/>
          <w:sz w:val="24"/>
          <w:highlight w:val="none"/>
        </w:rPr>
      </w:pPr>
    </w:p>
    <w:p w14:paraId="5FCDBD58">
      <w:pPr>
        <w:snapToGrid w:val="0"/>
        <w:spacing w:line="360" w:lineRule="auto"/>
        <w:jc w:val="left"/>
        <w:rPr>
          <w:rFonts w:hint="eastAsia" w:ascii="宋体" w:hAnsi="宋体" w:eastAsia="宋体" w:cs="宋体"/>
          <w:color w:val="auto"/>
          <w:sz w:val="24"/>
          <w:highlight w:val="none"/>
        </w:rPr>
      </w:pPr>
    </w:p>
    <w:p w14:paraId="0AB75EC9">
      <w:pPr>
        <w:snapToGrid w:val="0"/>
        <w:spacing w:line="360" w:lineRule="auto"/>
        <w:jc w:val="left"/>
        <w:rPr>
          <w:rFonts w:hint="eastAsia" w:ascii="宋体" w:hAnsi="宋体" w:eastAsia="宋体" w:cs="宋体"/>
          <w:color w:val="auto"/>
          <w:sz w:val="24"/>
          <w:highlight w:val="none"/>
        </w:rPr>
      </w:pPr>
    </w:p>
    <w:p w14:paraId="65B97044">
      <w:pPr>
        <w:snapToGrid w:val="0"/>
        <w:spacing w:line="360" w:lineRule="auto"/>
        <w:jc w:val="left"/>
        <w:rPr>
          <w:rFonts w:hint="eastAsia" w:ascii="宋体" w:hAnsi="宋体" w:eastAsia="宋体" w:cs="宋体"/>
          <w:color w:val="auto"/>
          <w:sz w:val="24"/>
          <w:highlight w:val="none"/>
        </w:rPr>
      </w:pPr>
    </w:p>
    <w:p w14:paraId="7942EC75">
      <w:pPr>
        <w:snapToGrid w:val="0"/>
        <w:spacing w:line="360" w:lineRule="auto"/>
        <w:jc w:val="left"/>
        <w:rPr>
          <w:rFonts w:hint="eastAsia" w:ascii="宋体" w:hAnsi="宋体" w:eastAsia="宋体" w:cs="宋体"/>
          <w:color w:val="auto"/>
          <w:szCs w:val="21"/>
          <w:highlight w:val="none"/>
        </w:rPr>
      </w:pPr>
    </w:p>
    <w:p w14:paraId="30282276">
      <w:pPr>
        <w:pStyle w:val="25"/>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法定代表人或者委托代理人签字[或盖章(CA签章)]</w:t>
      </w:r>
    </w:p>
    <w:p w14:paraId="68FA5464">
      <w:pPr>
        <w:snapToGrid w:val="0"/>
        <w:spacing w:beforeLines="50" w:line="360" w:lineRule="auto"/>
        <w:ind w:right="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（属自然人的应在签名处加盖大拇指指印或个人CA签章）：</w:t>
      </w:r>
    </w:p>
    <w:p w14:paraId="4B13150C">
      <w:pPr>
        <w:snapToGrid w:val="0"/>
        <w:spacing w:beforeLines="50" w:after="50"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投标人[公章(CA签章)、自然人除外]：</w:t>
      </w:r>
    </w:p>
    <w:p w14:paraId="0FE8B342">
      <w:pPr>
        <w:snapToGrid w:val="0"/>
        <w:spacing w:beforeLines="50" w:after="50" w:line="360" w:lineRule="auto"/>
        <w:ind w:right="480" w:firstLine="210" w:firstLineChars="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22082F71">
      <w:pPr>
        <w:snapToGrid w:val="0"/>
        <w:spacing w:before="50" w:afterLines="50"/>
        <w:jc w:val="left"/>
        <w:rPr>
          <w:rFonts w:hint="eastAsia" w:ascii="宋体" w:hAnsi="宋体" w:eastAsia="宋体" w:cs="宋体"/>
          <w:color w:val="auto"/>
          <w:szCs w:val="21"/>
          <w:highlight w:val="none"/>
        </w:rPr>
      </w:pPr>
    </w:p>
    <w:p w14:paraId="41668919">
      <w:pPr>
        <w:snapToGrid w:val="0"/>
        <w:spacing w:beforeLines="50" w:after="50"/>
        <w:jc w:val="left"/>
        <w:rPr>
          <w:rFonts w:hint="eastAsia" w:ascii="宋体" w:hAnsi="宋体" w:eastAsia="宋体" w:cs="宋体"/>
          <w:b/>
          <w:color w:val="auto"/>
          <w:sz w:val="24"/>
          <w:szCs w:val="20"/>
          <w:highlight w:val="none"/>
        </w:rPr>
      </w:pPr>
    </w:p>
    <w:p w14:paraId="1BA02E05">
      <w:pPr>
        <w:numPr>
          <w:ilvl w:val="2"/>
          <w:numId w:val="0"/>
        </w:numPr>
        <w:snapToGrid w:val="0"/>
        <w:spacing w:beforeLines="50" w:after="50"/>
        <w:ind w:left="0" w:leftChars="0" w:firstLine="0" w:firstLineChars="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投标声明</w:t>
      </w:r>
    </w:p>
    <w:p w14:paraId="1691FEE1">
      <w:pPr>
        <w:snapToGrid w:val="0"/>
        <w:spacing w:before="50" w:afterLines="50"/>
        <w:jc w:val="center"/>
        <w:rPr>
          <w:rFonts w:hint="eastAsia" w:ascii="宋体" w:hAnsi="宋体" w:eastAsia="宋体" w:cs="宋体"/>
          <w:b/>
          <w:color w:val="auto"/>
          <w:sz w:val="32"/>
          <w:szCs w:val="32"/>
          <w:highlight w:val="none"/>
        </w:rPr>
      </w:pPr>
    </w:p>
    <w:p w14:paraId="285AEDDB">
      <w:pPr>
        <w:snapToGrid w:val="0"/>
        <w:spacing w:before="5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投标声明</w:t>
      </w:r>
    </w:p>
    <w:p w14:paraId="19254BDE">
      <w:pPr>
        <w:snapToGrid w:val="0"/>
        <w:spacing w:before="50" w:afterLines="50"/>
        <w:jc w:val="left"/>
        <w:rPr>
          <w:rFonts w:hint="eastAsia" w:ascii="宋体" w:hAnsi="宋体" w:eastAsia="宋体" w:cs="宋体"/>
          <w:color w:val="auto"/>
          <w:sz w:val="24"/>
          <w:highlight w:val="none"/>
        </w:rPr>
      </w:pPr>
    </w:p>
    <w:p w14:paraId="0717994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rPr>
        <w:t>：</w:t>
      </w:r>
    </w:p>
    <w:p w14:paraId="11E4D736">
      <w:pPr>
        <w:snapToGrid w:val="0"/>
        <w:spacing w:line="360" w:lineRule="auto"/>
        <w:ind w:firstLine="4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我方参加贵单位组织</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u w:val="single"/>
          <w:lang w:val="en-US" w:eastAsia="zh-CN"/>
        </w:rPr>
        <w:t>名称）</w:t>
      </w:r>
      <w:r>
        <w:rPr>
          <w:rFonts w:hint="eastAsia" w:ascii="宋体" w:hAnsi="宋体" w:eastAsia="宋体" w:cs="宋体"/>
          <w:color w:val="auto"/>
          <w:szCs w:val="21"/>
          <w:highlight w:val="none"/>
          <w:u w:val="single"/>
        </w:rPr>
        <w:t>（项目编号：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的政府采购活动。我方在此郑重声明：</w:t>
      </w:r>
    </w:p>
    <w:p w14:paraId="67897FA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1.我方参加本项目的政府采购活动前三年内在经营活动中没有重大违法记录（重大违法记录是指</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因违法经营受到刑事处罚或者责令停产停业、吊销许可证或者执照、较大数额罚款等行政处罚），未被列入失信被执行人、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、政府采购严重违法失信行为记录名单，完全符合《中华人民共和国政府采购法》第二十二条规定的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资格条件，我方对此声明负全部法律责任。</w:t>
      </w:r>
    </w:p>
    <w:p w14:paraId="2C25DB0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2.我方不是采购人的附属机构；不是为本次采购项目提供整体设计、规范编制或者项目管理、监理、检测等服务的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；在获知本项目采购信息后，与采购人聘请的为此项目提供咨询服务的公司及其附属机构没有任何联系。</w:t>
      </w:r>
    </w:p>
    <w:p w14:paraId="52EA7B2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我方承诺符合《中华人民共和国政府采购法》第二十二条规定：</w:t>
      </w:r>
    </w:p>
    <w:p w14:paraId="1711706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（一）具有独立承担民事责任的能力；</w:t>
      </w:r>
    </w:p>
    <w:p w14:paraId="3B33A05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（二）具有良好的商业信誉和健全的财务会计制度；</w:t>
      </w:r>
    </w:p>
    <w:p w14:paraId="3D75A30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（三）具有履行合同所必需的设备和专业技术能力；</w:t>
      </w:r>
    </w:p>
    <w:p w14:paraId="60B76F2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（四）有依法缴纳税收和社会保障资金的良好记录；</w:t>
      </w:r>
    </w:p>
    <w:p w14:paraId="7437CE7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（五）参加政府采购活动前三年内，在经营活动中没有重大违法记录；</w:t>
      </w:r>
    </w:p>
    <w:p w14:paraId="12E9EC9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（六）法律、行政法规规定的其他条件。</w:t>
      </w:r>
    </w:p>
    <w:p w14:paraId="54AD0B1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4.以上事项如有虚假或者隐瞒，我方愿意承担一切后果，并不再寻求任何旨在减轻或者免除法律责任的辩解。</w:t>
      </w:r>
    </w:p>
    <w:p w14:paraId="2099A58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特此承诺。</w:t>
      </w:r>
    </w:p>
    <w:p w14:paraId="06E8B738">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注：如为联合体投标，盖章处须加盖联合体各方公章并由联合体各方法定代表人分别签署，否则投标无效。</w:t>
      </w:r>
    </w:p>
    <w:p w14:paraId="7E3384EB">
      <w:pPr>
        <w:pStyle w:val="25"/>
        <w:spacing w:line="360" w:lineRule="auto"/>
        <w:jc w:val="left"/>
        <w:rPr>
          <w:rFonts w:hint="eastAsia" w:ascii="宋体" w:hAnsi="宋体" w:eastAsia="宋体" w:cs="宋体"/>
          <w:color w:val="auto"/>
          <w:sz w:val="21"/>
          <w:highlight w:val="none"/>
        </w:rPr>
      </w:pPr>
    </w:p>
    <w:p w14:paraId="4C82376B">
      <w:pPr>
        <w:pStyle w:val="25"/>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法定代表人或者委托代理人签字[或盖章(CA签章)]（属自然人的应在签名处加盖大拇指指印或个人CA签章）：</w:t>
      </w:r>
    </w:p>
    <w:p w14:paraId="05E982F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投标人[公章(CA签章)、自然人除外]：</w:t>
      </w:r>
    </w:p>
    <w:p w14:paraId="46D8BA0D">
      <w:pPr>
        <w:snapToGrid w:val="0"/>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0E84F512">
      <w:pPr>
        <w:snapToGrid w:val="0"/>
        <w:spacing w:before="50" w:afterLines="50"/>
        <w:jc w:val="left"/>
        <w:rPr>
          <w:rFonts w:hint="eastAsia" w:ascii="宋体" w:hAnsi="宋体" w:eastAsia="宋体" w:cs="宋体"/>
          <w:color w:val="auto"/>
          <w:sz w:val="24"/>
          <w:highlight w:val="none"/>
        </w:rPr>
      </w:pPr>
    </w:p>
    <w:p w14:paraId="4A6D7B49">
      <w:pPr>
        <w:numPr>
          <w:ilvl w:val="2"/>
          <w:numId w:val="0"/>
        </w:numPr>
        <w:snapToGrid w:val="0"/>
        <w:spacing w:beforeLines="50" w:after="50"/>
        <w:ind w:left="0" w:leftChars="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中小企业声明函</w:t>
      </w:r>
    </w:p>
    <w:p w14:paraId="7E16FF91">
      <w:pPr>
        <w:spacing w:line="520" w:lineRule="exact"/>
        <w:rPr>
          <w:rFonts w:hint="eastAsia" w:ascii="宋体" w:hAnsi="宋体" w:eastAsia="宋体" w:cs="宋体"/>
          <w:color w:val="auto"/>
          <w:sz w:val="32"/>
          <w:szCs w:val="32"/>
          <w:highlight w:val="none"/>
        </w:rPr>
      </w:pPr>
    </w:p>
    <w:p w14:paraId="7F953C64">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1F0AC6E9">
      <w:pPr>
        <w:spacing w:before="2" w:line="500" w:lineRule="exact"/>
        <w:rPr>
          <w:rFonts w:hint="eastAsia" w:ascii="宋体" w:hAnsi="宋体" w:eastAsia="宋体" w:cs="宋体"/>
          <w:b/>
          <w:bCs/>
          <w:color w:val="auto"/>
          <w:sz w:val="24"/>
          <w:highlight w:val="none"/>
        </w:rPr>
      </w:pPr>
    </w:p>
    <w:p w14:paraId="74ED7948">
      <w:pPr>
        <w:pStyle w:val="20"/>
        <w:spacing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采购活动，服务全部由符合政策要求的中小企业承接。相关企业（含联合体中的中小企业、签订分包意向协议的中小企业）的具体情况如下：</w:t>
      </w:r>
    </w:p>
    <w:p w14:paraId="0853568C">
      <w:pPr>
        <w:tabs>
          <w:tab w:val="left" w:pos="1384"/>
          <w:tab w:val="left" w:pos="4562"/>
          <w:tab w:val="left" w:pos="6803"/>
        </w:tabs>
        <w:spacing w:before="13" w:line="500" w:lineRule="exact"/>
        <w:ind w:right="142" w:firstLine="686" w:firstLineChars="286"/>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1996F666">
      <w:pPr>
        <w:tabs>
          <w:tab w:val="left" w:pos="1065"/>
          <w:tab w:val="left" w:pos="4262"/>
          <w:tab w:val="left" w:pos="6477"/>
        </w:tabs>
        <w:spacing w:before="20" w:line="500" w:lineRule="exact"/>
        <w:ind w:right="84" w:firstLine="686" w:firstLineChars="28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4413317B">
      <w:pPr>
        <w:pStyle w:val="20"/>
        <w:spacing w:before="34" w:line="500" w:lineRule="exact"/>
        <w:ind w:left="765" w:right="142" w:hanging="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38D3E10">
      <w:pPr>
        <w:pStyle w:val="20"/>
        <w:spacing w:before="34"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1C6DAC03">
      <w:pPr>
        <w:pStyle w:val="20"/>
        <w:spacing w:before="34"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7B1A3326">
      <w:pPr>
        <w:pStyle w:val="20"/>
        <w:spacing w:before="56" w:line="500" w:lineRule="exact"/>
        <w:ind w:left="3960" w:right="1808"/>
        <w:rPr>
          <w:rFonts w:hint="eastAsia" w:ascii="宋体" w:hAnsi="宋体" w:eastAsia="宋体" w:cs="宋体"/>
          <w:color w:val="auto"/>
          <w:highlight w:val="none"/>
        </w:rPr>
      </w:pPr>
      <w:r>
        <w:rPr>
          <w:rFonts w:hint="eastAsia" w:ascii="宋体" w:hAnsi="宋体" w:eastAsia="宋体" w:cs="宋体"/>
          <w:color w:val="auto"/>
          <w:kern w:val="24"/>
          <w:highlight w:val="none"/>
        </w:rPr>
        <w:t>企业名称（电子签章）：</w:t>
      </w:r>
    </w:p>
    <w:p w14:paraId="1FE4AF7F">
      <w:pPr>
        <w:pStyle w:val="20"/>
        <w:spacing w:before="56" w:line="500" w:lineRule="exact"/>
        <w:ind w:left="3960" w:right="1808"/>
        <w:rPr>
          <w:rFonts w:hint="eastAsia" w:ascii="宋体" w:hAnsi="宋体" w:eastAsia="宋体" w:cs="宋体"/>
          <w:color w:val="auto"/>
          <w:highlight w:val="none"/>
        </w:rPr>
      </w:pPr>
      <w:r>
        <w:rPr>
          <w:rFonts w:hint="eastAsia" w:ascii="宋体" w:hAnsi="宋体" w:eastAsia="宋体" w:cs="宋体"/>
          <w:color w:val="auto"/>
          <w:highlight w:val="none"/>
        </w:rPr>
        <w:t>日 期：</w:t>
      </w:r>
    </w:p>
    <w:p w14:paraId="7DF9518E">
      <w:pPr>
        <w:rPr>
          <w:rFonts w:hint="eastAsia" w:ascii="宋体" w:hAnsi="宋体" w:eastAsia="宋体" w:cs="宋体"/>
          <w:color w:val="auto"/>
          <w:sz w:val="24"/>
          <w:highlight w:val="none"/>
        </w:rPr>
      </w:pPr>
    </w:p>
    <w:p w14:paraId="635A76F7">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2594B974">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残疾人福利性单位声明函</w:t>
      </w:r>
    </w:p>
    <w:p w14:paraId="7C44AC26">
      <w:pPr>
        <w:spacing w:line="520" w:lineRule="exact"/>
        <w:rPr>
          <w:rFonts w:hint="eastAsia" w:ascii="宋体" w:hAnsi="宋体" w:eastAsia="宋体" w:cs="宋体"/>
          <w:color w:val="auto"/>
          <w:sz w:val="32"/>
          <w:szCs w:val="32"/>
          <w:highlight w:val="none"/>
        </w:rPr>
      </w:pPr>
    </w:p>
    <w:p w14:paraId="3DBF25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06D3913">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本单位对上述声明的真实性负责。如有虚假，将依法承担相应责任。</w:t>
      </w:r>
    </w:p>
    <w:p w14:paraId="69459C6F">
      <w:pPr>
        <w:spacing w:line="360" w:lineRule="auto"/>
        <w:rPr>
          <w:rFonts w:hint="eastAsia" w:ascii="宋体" w:hAnsi="宋体" w:eastAsia="宋体" w:cs="宋体"/>
          <w:color w:val="auto"/>
          <w:sz w:val="24"/>
          <w:highlight w:val="none"/>
        </w:rPr>
      </w:pPr>
    </w:p>
    <w:p w14:paraId="5EC7A643">
      <w:pPr>
        <w:spacing w:line="360" w:lineRule="auto"/>
        <w:rPr>
          <w:rFonts w:hint="eastAsia" w:ascii="宋体" w:hAnsi="宋体" w:eastAsia="宋体" w:cs="宋体"/>
          <w:color w:val="auto"/>
          <w:sz w:val="24"/>
          <w:highlight w:val="none"/>
        </w:rPr>
      </w:pPr>
    </w:p>
    <w:p w14:paraId="3D7B2FEA">
      <w:pPr>
        <w:spacing w:line="360" w:lineRule="auto"/>
        <w:rPr>
          <w:rFonts w:hint="eastAsia" w:ascii="宋体" w:hAnsi="宋体" w:eastAsia="宋体" w:cs="宋体"/>
          <w:color w:val="auto"/>
          <w:sz w:val="24"/>
          <w:highlight w:val="none"/>
        </w:rPr>
      </w:pPr>
    </w:p>
    <w:p w14:paraId="118F6C1B">
      <w:pPr>
        <w:spacing w:line="360" w:lineRule="auto"/>
        <w:ind w:firstLine="3150" w:firstLineChars="1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[公章（CA签章）]：</w:t>
      </w:r>
    </w:p>
    <w:p w14:paraId="5B242E02">
      <w:pPr>
        <w:spacing w:line="360" w:lineRule="auto"/>
        <w:ind w:firstLine="3150" w:firstLineChars="1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54AF93AA">
      <w:pPr>
        <w:spacing w:line="360" w:lineRule="auto"/>
        <w:rPr>
          <w:rFonts w:hint="eastAsia" w:ascii="宋体" w:hAnsi="宋体" w:eastAsia="宋体" w:cs="宋体"/>
          <w:color w:val="auto"/>
          <w:sz w:val="24"/>
          <w:highlight w:val="none"/>
        </w:rPr>
      </w:pPr>
    </w:p>
    <w:p w14:paraId="49D7084D">
      <w:pPr>
        <w:spacing w:line="360" w:lineRule="auto"/>
        <w:rPr>
          <w:rFonts w:hint="eastAsia" w:ascii="宋体" w:hAnsi="宋体" w:eastAsia="宋体" w:cs="宋体"/>
          <w:color w:val="auto"/>
          <w:sz w:val="24"/>
          <w:highlight w:val="none"/>
        </w:rPr>
      </w:pPr>
    </w:p>
    <w:p w14:paraId="6EFFBB02">
      <w:pPr>
        <w:spacing w:line="360" w:lineRule="auto"/>
        <w:rPr>
          <w:rFonts w:hint="eastAsia" w:ascii="宋体" w:hAnsi="宋体" w:eastAsia="宋体" w:cs="宋体"/>
          <w:color w:val="auto"/>
          <w:sz w:val="24"/>
          <w:highlight w:val="none"/>
        </w:rPr>
      </w:pPr>
    </w:p>
    <w:p w14:paraId="77239D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B31844A">
      <w:pPr>
        <w:bidi w:val="0"/>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19E14848">
      <w:pPr>
        <w:numPr>
          <w:ilvl w:val="2"/>
          <w:numId w:val="0"/>
        </w:numPr>
        <w:snapToGrid w:val="0"/>
        <w:spacing w:beforeLines="50" w:after="50"/>
        <w:ind w:left="0" w:leftChars="0" w:firstLine="0" w:firstLineChars="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除招标文件规定必须提供以外，投标人认为需要提供的其他证明材料。</w:t>
      </w:r>
    </w:p>
    <w:p w14:paraId="1E839AD7">
      <w:pPr>
        <w:pStyle w:val="3"/>
        <w:spacing w:beforeLines="50" w:after="50"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339" w:name="_Toc19686838"/>
      <w:r>
        <w:rPr>
          <w:rFonts w:hint="eastAsia" w:ascii="宋体" w:hAnsi="宋体" w:eastAsia="宋体" w:cs="宋体"/>
          <w:color w:val="auto"/>
          <w:sz w:val="28"/>
          <w:szCs w:val="28"/>
          <w:highlight w:val="none"/>
        </w:rPr>
        <w:t>三、商务文件、技术文件格式</w:t>
      </w:r>
      <w:bookmarkEnd w:id="339"/>
    </w:p>
    <w:p w14:paraId="33764359">
      <w:pPr>
        <w:snapToGrid w:val="0"/>
        <w:spacing w:beforeLines="50" w:after="50" w:line="360" w:lineRule="auto"/>
        <w:jc w:val="left"/>
        <w:rPr>
          <w:rFonts w:hint="eastAsia" w:ascii="宋体" w:hAnsi="宋体" w:eastAsia="宋体" w:cs="宋体"/>
          <w:b/>
          <w:color w:val="auto"/>
          <w:sz w:val="24"/>
          <w:highlight w:val="none"/>
        </w:rPr>
      </w:pPr>
    </w:p>
    <w:p w14:paraId="7B1AC039">
      <w:pPr>
        <w:snapToGrid w:val="0"/>
        <w:spacing w:beforeLines="50" w:after="50"/>
        <w:rPr>
          <w:rFonts w:hint="eastAsia" w:ascii="宋体" w:hAnsi="宋体" w:eastAsia="宋体" w:cs="宋体"/>
          <w:color w:val="auto"/>
          <w:sz w:val="24"/>
          <w:szCs w:val="20"/>
          <w:highlight w:val="none"/>
        </w:rPr>
      </w:pPr>
    </w:p>
    <w:p w14:paraId="0261DD1C">
      <w:pPr>
        <w:snapToGrid w:val="0"/>
        <w:spacing w:beforeLines="50" w:after="50"/>
        <w:jc w:val="center"/>
        <w:rPr>
          <w:rFonts w:hint="eastAsia" w:ascii="宋体" w:hAnsi="宋体" w:eastAsia="宋体" w:cs="宋体"/>
          <w:b/>
          <w:color w:val="auto"/>
          <w:sz w:val="32"/>
          <w:szCs w:val="32"/>
          <w:highlight w:val="none"/>
        </w:rPr>
      </w:pPr>
    </w:p>
    <w:p w14:paraId="00ACE97E">
      <w:pPr>
        <w:snapToGrid w:val="0"/>
        <w:spacing w:beforeLines="50" w:after="50"/>
        <w:jc w:val="center"/>
        <w:rPr>
          <w:rFonts w:hint="eastAsia" w:ascii="宋体" w:hAnsi="宋体" w:eastAsia="宋体" w:cs="宋体"/>
          <w:b/>
          <w:color w:val="auto"/>
          <w:sz w:val="32"/>
          <w:szCs w:val="32"/>
          <w:highlight w:val="none"/>
        </w:rPr>
      </w:pPr>
    </w:p>
    <w:p w14:paraId="7B8A97E2">
      <w:pPr>
        <w:snapToGrid w:val="0"/>
        <w:spacing w:beforeLines="50" w:after="50"/>
        <w:jc w:val="center"/>
        <w:rPr>
          <w:rFonts w:hint="eastAsia" w:ascii="宋体" w:hAnsi="宋体" w:eastAsia="宋体" w:cs="宋体"/>
          <w:b/>
          <w:color w:val="auto"/>
          <w:sz w:val="32"/>
          <w:szCs w:val="32"/>
          <w:highlight w:val="none"/>
        </w:rPr>
      </w:pPr>
    </w:p>
    <w:p w14:paraId="6269E051">
      <w:pPr>
        <w:snapToGrid w:val="0"/>
        <w:spacing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商务文件、技术文件</w:t>
      </w:r>
    </w:p>
    <w:p w14:paraId="6BBF3628">
      <w:pPr>
        <w:snapToGrid w:val="0"/>
        <w:spacing w:beforeLines="50" w:after="50"/>
        <w:rPr>
          <w:rFonts w:hint="eastAsia" w:ascii="宋体" w:hAnsi="宋体" w:eastAsia="宋体" w:cs="宋体"/>
          <w:bCs/>
          <w:color w:val="auto"/>
          <w:sz w:val="24"/>
          <w:szCs w:val="20"/>
          <w:highlight w:val="none"/>
        </w:rPr>
      </w:pPr>
    </w:p>
    <w:p w14:paraId="30C94CC2">
      <w:pPr>
        <w:snapToGrid w:val="0"/>
        <w:spacing w:beforeLines="50" w:after="50"/>
        <w:ind w:firstLine="540" w:firstLineChars="225"/>
        <w:rPr>
          <w:rFonts w:hint="eastAsia" w:ascii="宋体" w:hAnsi="宋体" w:eastAsia="宋体" w:cs="宋体"/>
          <w:bCs/>
          <w:color w:val="auto"/>
          <w:sz w:val="24"/>
          <w:highlight w:val="none"/>
        </w:rPr>
      </w:pPr>
    </w:p>
    <w:p w14:paraId="35E9ED60">
      <w:pPr>
        <w:snapToGrid w:val="0"/>
        <w:spacing w:beforeLines="50" w:after="50"/>
        <w:ind w:firstLine="540" w:firstLineChars="225"/>
        <w:rPr>
          <w:rFonts w:hint="eastAsia" w:ascii="宋体" w:hAnsi="宋体" w:eastAsia="宋体" w:cs="宋体"/>
          <w:bCs/>
          <w:color w:val="auto"/>
          <w:sz w:val="24"/>
          <w:highlight w:val="none"/>
        </w:rPr>
      </w:pPr>
    </w:p>
    <w:p w14:paraId="347582A5">
      <w:pPr>
        <w:snapToGrid w:val="0"/>
        <w:spacing w:beforeLines="50" w:after="50"/>
        <w:ind w:firstLine="540" w:firstLineChars="225"/>
        <w:rPr>
          <w:rFonts w:hint="eastAsia" w:ascii="宋体" w:hAnsi="宋体" w:eastAsia="宋体" w:cs="宋体"/>
          <w:bCs/>
          <w:color w:val="auto"/>
          <w:sz w:val="24"/>
          <w:highlight w:val="none"/>
        </w:rPr>
      </w:pPr>
    </w:p>
    <w:p w14:paraId="4145B264">
      <w:pPr>
        <w:snapToGrid w:val="0"/>
        <w:spacing w:beforeLines="50" w:after="50" w:line="480" w:lineRule="auto"/>
        <w:ind w:firstLine="540" w:firstLineChars="225"/>
        <w:rPr>
          <w:rFonts w:hint="eastAsia" w:ascii="宋体" w:hAnsi="宋体" w:eastAsia="宋体" w:cs="宋体"/>
          <w:bCs/>
          <w:color w:val="auto"/>
          <w:sz w:val="24"/>
          <w:highlight w:val="none"/>
        </w:rPr>
      </w:pPr>
    </w:p>
    <w:p w14:paraId="32EF22DE">
      <w:pPr>
        <w:snapToGrid w:val="0"/>
        <w:spacing w:beforeLines="50" w:after="50" w:line="48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2B48CEBF">
      <w:pPr>
        <w:snapToGrid w:val="0"/>
        <w:spacing w:beforeLines="50" w:after="50" w:line="48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0E89EF9B">
      <w:pPr>
        <w:snapToGrid w:val="0"/>
        <w:spacing w:beforeLines="50" w:after="50" w:line="48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6E12A1F">
      <w:pPr>
        <w:snapToGrid w:val="0"/>
        <w:spacing w:beforeLines="50" w:after="50" w:line="48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7936CA47">
      <w:pPr>
        <w:pStyle w:val="7"/>
        <w:snapToGrid w:val="0"/>
        <w:spacing w:before="50" w:after="50"/>
        <w:ind w:firstLine="960" w:firstLineChars="400"/>
        <w:rPr>
          <w:rFonts w:hint="eastAsia" w:ascii="宋体" w:hAnsi="宋体" w:eastAsia="宋体" w:cs="宋体"/>
          <w:bCs/>
          <w:color w:val="auto"/>
          <w:sz w:val="24"/>
          <w:szCs w:val="24"/>
          <w:highlight w:val="none"/>
        </w:rPr>
      </w:pPr>
    </w:p>
    <w:p w14:paraId="234B6E4B">
      <w:pPr>
        <w:snapToGrid w:val="0"/>
        <w:spacing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536693E">
      <w:pPr>
        <w:snapToGrid w:val="0"/>
        <w:spacing w:beforeLines="50" w:after="50"/>
        <w:jc w:val="left"/>
        <w:rPr>
          <w:rFonts w:hint="eastAsia" w:ascii="宋体" w:hAnsi="宋体" w:eastAsia="宋体" w:cs="宋体"/>
          <w:color w:val="auto"/>
          <w:sz w:val="72"/>
          <w:szCs w:val="72"/>
          <w:highlight w:val="none"/>
        </w:rPr>
      </w:pPr>
    </w:p>
    <w:p w14:paraId="10997D62">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2BD3DBDD">
      <w:pPr>
        <w:snapToGrid w:val="0"/>
        <w:spacing w:line="360" w:lineRule="auto"/>
        <w:rPr>
          <w:rFonts w:hint="eastAsia" w:ascii="宋体" w:hAnsi="宋体" w:eastAsia="宋体" w:cs="宋体"/>
          <w:color w:val="auto"/>
          <w:sz w:val="24"/>
          <w:szCs w:val="20"/>
          <w:highlight w:val="none"/>
        </w:rPr>
      </w:pPr>
    </w:p>
    <w:p w14:paraId="75705D5B">
      <w:pPr>
        <w:snapToGrid w:val="0"/>
        <w:spacing w:line="360" w:lineRule="auto"/>
        <w:rPr>
          <w:rFonts w:hint="eastAsia" w:ascii="宋体" w:hAnsi="宋体" w:eastAsia="宋体" w:cs="宋体"/>
          <w:color w:val="auto"/>
          <w:sz w:val="24"/>
          <w:szCs w:val="20"/>
          <w:highlight w:val="none"/>
        </w:rPr>
      </w:pPr>
    </w:p>
    <w:p w14:paraId="5814B667">
      <w:pPr>
        <w:snapToGrid w:val="0"/>
        <w:spacing w:line="360" w:lineRule="auto"/>
        <w:rPr>
          <w:rFonts w:hint="eastAsia" w:ascii="宋体" w:hAnsi="宋体" w:eastAsia="宋体" w:cs="宋体"/>
          <w:color w:val="auto"/>
          <w:sz w:val="24"/>
          <w:szCs w:val="20"/>
          <w:highlight w:val="none"/>
        </w:rPr>
      </w:pPr>
    </w:p>
    <w:p w14:paraId="2B7AF91B">
      <w:pPr>
        <w:snapToGrid w:val="0"/>
        <w:spacing w:line="360" w:lineRule="auto"/>
        <w:rPr>
          <w:rFonts w:hint="eastAsia" w:ascii="宋体" w:hAnsi="宋体" w:eastAsia="宋体" w:cs="宋体"/>
          <w:color w:val="auto"/>
          <w:sz w:val="24"/>
          <w:szCs w:val="20"/>
          <w:highlight w:val="none"/>
        </w:rPr>
      </w:pPr>
    </w:p>
    <w:p w14:paraId="4853F45D">
      <w:pPr>
        <w:snapToGrid w:val="0"/>
        <w:spacing w:line="360" w:lineRule="auto"/>
        <w:rPr>
          <w:rFonts w:hint="eastAsia" w:ascii="宋体" w:hAnsi="宋体" w:eastAsia="宋体" w:cs="宋体"/>
          <w:color w:val="auto"/>
          <w:sz w:val="24"/>
          <w:szCs w:val="20"/>
          <w:highlight w:val="none"/>
        </w:rPr>
      </w:pPr>
    </w:p>
    <w:p w14:paraId="46974B21">
      <w:pPr>
        <w:snapToGrid w:val="0"/>
        <w:spacing w:line="360" w:lineRule="auto"/>
        <w:rPr>
          <w:rFonts w:hint="eastAsia" w:ascii="宋体" w:hAnsi="宋体" w:eastAsia="宋体" w:cs="宋体"/>
          <w:color w:val="auto"/>
          <w:sz w:val="24"/>
          <w:szCs w:val="20"/>
          <w:highlight w:val="none"/>
        </w:rPr>
      </w:pPr>
    </w:p>
    <w:p w14:paraId="1B75BBB3">
      <w:pPr>
        <w:snapToGrid w:val="0"/>
        <w:spacing w:line="360" w:lineRule="auto"/>
        <w:rPr>
          <w:rFonts w:hint="eastAsia" w:ascii="宋体" w:hAnsi="宋体" w:eastAsia="宋体" w:cs="宋体"/>
          <w:color w:val="auto"/>
          <w:sz w:val="44"/>
          <w:szCs w:val="44"/>
          <w:highlight w:val="none"/>
        </w:rPr>
      </w:pPr>
    </w:p>
    <w:p w14:paraId="612B0E4B">
      <w:pPr>
        <w:snapToGrid w:val="0"/>
        <w:spacing w:line="360" w:lineRule="auto"/>
        <w:rPr>
          <w:rFonts w:hint="eastAsia" w:ascii="宋体" w:hAnsi="宋体" w:eastAsia="宋体" w:cs="宋体"/>
          <w:color w:val="auto"/>
          <w:sz w:val="44"/>
          <w:szCs w:val="44"/>
          <w:highlight w:val="none"/>
        </w:rPr>
      </w:pPr>
    </w:p>
    <w:p w14:paraId="03C129DE">
      <w:pPr>
        <w:snapToGrid w:val="0"/>
        <w:spacing w:line="360" w:lineRule="auto"/>
        <w:rPr>
          <w:rFonts w:hint="eastAsia" w:ascii="宋体" w:hAnsi="宋体" w:eastAsia="宋体" w:cs="宋体"/>
          <w:color w:val="auto"/>
          <w:sz w:val="44"/>
          <w:szCs w:val="44"/>
          <w:highlight w:val="none"/>
        </w:rPr>
      </w:pPr>
    </w:p>
    <w:p w14:paraId="573DD62D">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商务文件</w:t>
      </w:r>
    </w:p>
    <w:p w14:paraId="441D2DAD">
      <w:pPr>
        <w:pStyle w:val="5"/>
        <w:bidi w:val="0"/>
        <w:rPr>
          <w:rFonts w:hint="eastAsia" w:ascii="宋体" w:hAnsi="宋体" w:eastAsia="宋体" w:cs="宋体"/>
          <w:b/>
          <w:bCs/>
          <w:color w:val="auto"/>
          <w:sz w:val="28"/>
          <w:szCs w:val="28"/>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bCs/>
          <w:color w:val="auto"/>
          <w:sz w:val="28"/>
          <w:szCs w:val="28"/>
          <w:highlight w:val="none"/>
        </w:rPr>
        <w:t>1.商务文件目录</w:t>
      </w:r>
    </w:p>
    <w:p w14:paraId="4EDDBF93">
      <w:pPr>
        <w:snapToGrid w:val="0"/>
        <w:spacing w:before="50" w:afterLines="50"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232B85B7">
      <w:pPr>
        <w:snapToGrid w:val="0"/>
        <w:spacing w:before="50" w:afterLines="50"/>
        <w:jc w:val="left"/>
        <w:rPr>
          <w:rFonts w:hint="eastAsia" w:ascii="宋体" w:hAnsi="宋体" w:eastAsia="宋体" w:cs="宋体"/>
          <w:color w:val="auto"/>
          <w:highlight w:val="none"/>
        </w:rPr>
      </w:pPr>
    </w:p>
    <w:p w14:paraId="74C386D7">
      <w:pPr>
        <w:pStyle w:val="5"/>
        <w:bidi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2.投标人参加本项目无围标串标行为的承诺</w:t>
      </w:r>
    </w:p>
    <w:p w14:paraId="542E042A">
      <w:pPr>
        <w:snapToGrid w:val="0"/>
        <w:spacing w:beforeLines="50" w:after="50"/>
        <w:ind w:left="420"/>
        <w:jc w:val="center"/>
        <w:rPr>
          <w:rFonts w:hint="eastAsia" w:ascii="宋体" w:hAnsi="宋体" w:eastAsia="宋体" w:cs="宋体"/>
          <w:b/>
          <w:color w:val="auto"/>
          <w:sz w:val="32"/>
          <w:szCs w:val="32"/>
          <w:highlight w:val="none"/>
        </w:rPr>
      </w:pPr>
    </w:p>
    <w:p w14:paraId="12737A96">
      <w:pPr>
        <w:snapToGrid w:val="0"/>
        <w:spacing w:beforeLines="50" w:after="50"/>
        <w:ind w:lef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w:t>
      </w:r>
    </w:p>
    <w:p w14:paraId="0D9BDC8C">
      <w:pPr>
        <w:snapToGrid w:val="0"/>
        <w:spacing w:beforeLines="50" w:after="50"/>
        <w:jc w:val="left"/>
        <w:rPr>
          <w:rFonts w:hint="eastAsia" w:ascii="宋体" w:hAnsi="宋体" w:eastAsia="宋体" w:cs="宋体"/>
          <w:b/>
          <w:color w:val="auto"/>
          <w:sz w:val="24"/>
          <w:highlight w:val="none"/>
        </w:rPr>
      </w:pPr>
    </w:p>
    <w:p w14:paraId="2AFD8D7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一、我方承诺无下列相互串通投标的情形：</w:t>
      </w:r>
    </w:p>
    <w:p w14:paraId="27C3DCA1">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1.不同投标人的投标文件由同一单位或者个人编制；或者不同投标人报名的IP地址一致的；</w:t>
      </w:r>
    </w:p>
    <w:p w14:paraId="0456671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32D43F9F">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3.不同的投标人的投标文件载明的项目管理员为同一个人；</w:t>
      </w:r>
    </w:p>
    <w:p w14:paraId="309088A4">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44C4053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146FA5E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6.不同投标人的投标保证金从同一单位或者个人账户转出。</w:t>
      </w:r>
    </w:p>
    <w:p w14:paraId="5FAEFF2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14:paraId="56F7D9F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1.投标人直接或者间接从采购人或者采购代理机构处获得其他投标人的相关信息并修改其投标文件或者响应文件；</w:t>
      </w:r>
    </w:p>
    <w:p w14:paraId="19702D1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2.投标人按照采购人或者采购代理机构的授意撤换、修改投标文件或者响应文件；</w:t>
      </w:r>
    </w:p>
    <w:p w14:paraId="4E5A8894">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3.投标人之间协商报价、技术方案等投标文件或者响应文件的实质性内容；</w:t>
      </w:r>
    </w:p>
    <w:p w14:paraId="0DD2BC75">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2896A706">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948BD9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w:t>
      </w:r>
    </w:p>
    <w:p w14:paraId="1F3C1984">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7.投标人与采购人或者采购代理机构之间、投标人相互之间，为谋求特定投标人中标或者排斥其他投标人的其他串通行为。</w:t>
      </w:r>
    </w:p>
    <w:p w14:paraId="4D8322AB">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以上情形一经核查属实，我方愿意承担一切后果，并不再寻求任何旨在减轻或者免除法律责任的辩解。</w:t>
      </w:r>
    </w:p>
    <w:p w14:paraId="13ECA141">
      <w:pPr>
        <w:pStyle w:val="25"/>
        <w:snapToGrid w:val="0"/>
        <w:spacing w:line="360" w:lineRule="auto"/>
        <w:ind w:firstLine="5985" w:firstLineChars="2850"/>
        <w:rPr>
          <w:rFonts w:hint="eastAsia" w:ascii="宋体" w:hAnsi="宋体" w:eastAsia="宋体" w:cs="宋体"/>
          <w:color w:val="auto"/>
          <w:sz w:val="21"/>
          <w:highlight w:val="none"/>
        </w:rPr>
      </w:pPr>
    </w:p>
    <w:p w14:paraId="60E44AFF">
      <w:pPr>
        <w:pStyle w:val="25"/>
        <w:snapToGrid w:val="0"/>
        <w:spacing w:line="36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w:t>
      </w:r>
      <w:r>
        <w:rPr>
          <w:rFonts w:hint="eastAsia" w:ascii="宋体" w:hAnsi="宋体" w:eastAsia="宋体" w:cs="宋体"/>
          <w:bCs/>
          <w:color w:val="auto"/>
          <w:sz w:val="21"/>
          <w:highlight w:val="none"/>
        </w:rPr>
        <w:t>[公章(CA签章)、自然人除外]</w:t>
      </w:r>
    </w:p>
    <w:p w14:paraId="3340F896">
      <w:pPr>
        <w:pStyle w:val="25"/>
        <w:snapToGrid w:val="0"/>
        <w:spacing w:line="36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年</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日</w:t>
      </w:r>
    </w:p>
    <w:p w14:paraId="603F4DD2">
      <w:pPr>
        <w:pStyle w:val="5"/>
        <w:bidi w:val="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3.法定代表人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负责人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身份证明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w:t>
      </w:r>
    </w:p>
    <w:p w14:paraId="77217BA2">
      <w:pPr>
        <w:spacing w:beforeLines="100" w:afterLines="50"/>
        <w:ind w:left="540"/>
        <w:jc w:val="center"/>
        <w:rPr>
          <w:rFonts w:hint="eastAsia" w:ascii="宋体" w:hAnsi="宋体" w:eastAsia="宋体" w:cs="宋体"/>
          <w:b/>
          <w:color w:val="auto"/>
          <w:sz w:val="32"/>
          <w:szCs w:val="32"/>
          <w:highlight w:val="none"/>
        </w:rPr>
      </w:pPr>
    </w:p>
    <w:p w14:paraId="3F5B7E8A">
      <w:pPr>
        <w:spacing w:beforeLines="10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法定代表人（负责人）身份证明</w:t>
      </w:r>
    </w:p>
    <w:p w14:paraId="047D906C">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p>
    <w:p w14:paraId="519214B0">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706F0059">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名：性      别：</w:t>
      </w:r>
    </w:p>
    <w:p w14:paraId="70075AC0">
      <w:pPr>
        <w:spacing w:line="500" w:lineRule="exact"/>
        <w:ind w:left="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    龄：职      务：</w:t>
      </w:r>
    </w:p>
    <w:p w14:paraId="14944BDF">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14:paraId="71CF4405">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的法定代表人（负责人）。</w:t>
      </w:r>
    </w:p>
    <w:p w14:paraId="375B7214">
      <w:pPr>
        <w:spacing w:line="500" w:lineRule="exact"/>
        <w:ind w:left="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108DDA61">
      <w:pPr>
        <w:spacing w:line="500" w:lineRule="exact"/>
        <w:ind w:left="540"/>
        <w:rPr>
          <w:rFonts w:hint="eastAsia" w:ascii="宋体" w:hAnsi="宋体" w:eastAsia="宋体" w:cs="宋体"/>
          <w:color w:val="auto"/>
          <w:sz w:val="24"/>
          <w:highlight w:val="none"/>
        </w:rPr>
      </w:pPr>
    </w:p>
    <w:p w14:paraId="19019ED9">
      <w:pPr>
        <w:spacing w:line="360" w:lineRule="auto"/>
        <w:ind w:left="540"/>
        <w:rPr>
          <w:rFonts w:hint="eastAsia" w:ascii="宋体" w:hAnsi="宋体" w:eastAsia="宋体" w:cs="宋体"/>
          <w:color w:val="auto"/>
          <w:szCs w:val="21"/>
          <w:highlight w:val="none"/>
        </w:rPr>
      </w:pPr>
    </w:p>
    <w:p w14:paraId="6D3CE05F">
      <w:pPr>
        <w:spacing w:line="360" w:lineRule="auto"/>
        <w:ind w:left="54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附件：法定代表人（负责人）有效身份证正反面</w:t>
      </w:r>
    </w:p>
    <w:p w14:paraId="200329DD">
      <w:pPr>
        <w:spacing w:line="360" w:lineRule="auto"/>
        <w:ind w:left="540"/>
        <w:rPr>
          <w:rFonts w:hint="eastAsia" w:ascii="宋体" w:hAnsi="宋体" w:eastAsia="宋体" w:cs="宋体"/>
          <w:color w:val="auto"/>
          <w:szCs w:val="21"/>
          <w:highlight w:val="none"/>
        </w:rPr>
      </w:pPr>
    </w:p>
    <w:p w14:paraId="38237C41">
      <w:pPr>
        <w:spacing w:line="360" w:lineRule="auto"/>
        <w:ind w:left="54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bCs/>
          <w:color w:val="auto"/>
          <w:szCs w:val="21"/>
          <w:highlight w:val="none"/>
        </w:rPr>
        <w:t>[公章(CA签章)、自然人除外]</w:t>
      </w:r>
    </w:p>
    <w:p w14:paraId="4BCE9C4F">
      <w:pPr>
        <w:spacing w:line="360" w:lineRule="auto"/>
        <w:ind w:left="540"/>
        <w:jc w:val="right"/>
        <w:rPr>
          <w:rFonts w:hint="eastAsia" w:ascii="宋体" w:hAnsi="宋体" w:eastAsia="宋体" w:cs="宋体"/>
          <w:color w:val="auto"/>
          <w:szCs w:val="21"/>
          <w:highlight w:val="none"/>
        </w:rPr>
      </w:pPr>
    </w:p>
    <w:p w14:paraId="03449A70">
      <w:pPr>
        <w:snapToGrid w:val="0"/>
        <w:spacing w:beforeLines="50" w:after="50" w:line="360" w:lineRule="auto"/>
        <w:ind w:left="54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14:paraId="3B0E57B7">
      <w:pPr>
        <w:snapToGrid w:val="0"/>
        <w:spacing w:beforeLines="50" w:after="50"/>
        <w:jc w:val="center"/>
        <w:rPr>
          <w:rFonts w:hint="eastAsia" w:ascii="宋体" w:hAnsi="宋体" w:eastAsia="宋体" w:cs="宋体"/>
          <w:b/>
          <w:color w:val="auto"/>
          <w:sz w:val="24"/>
          <w:highlight w:val="none"/>
        </w:rPr>
      </w:pPr>
    </w:p>
    <w:p w14:paraId="09496AAA">
      <w:pPr>
        <w:spacing w:line="360" w:lineRule="auto"/>
        <w:ind w:left="54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注：自然人投标的无需提供</w:t>
      </w:r>
    </w:p>
    <w:p w14:paraId="33FBD95F">
      <w:pPr>
        <w:pStyle w:val="5"/>
        <w:bidi w:val="0"/>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4.法定代表人授权委托书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w:t>
      </w:r>
    </w:p>
    <w:p w14:paraId="1D3CF2BF">
      <w:pPr>
        <w:snapToGrid w:val="0"/>
        <w:spacing w:beforeLines="50" w:after="50"/>
        <w:jc w:val="center"/>
        <w:rPr>
          <w:rFonts w:hint="eastAsia" w:ascii="宋体" w:hAnsi="宋体" w:eastAsia="宋体" w:cs="宋体"/>
          <w:b/>
          <w:color w:val="auto"/>
          <w:sz w:val="44"/>
          <w:szCs w:val="44"/>
          <w:highlight w:val="none"/>
        </w:rPr>
      </w:pPr>
    </w:p>
    <w:p w14:paraId="5A943F6B">
      <w:pPr>
        <w:snapToGrid w:val="0"/>
        <w:spacing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6A5B91A7">
      <w:pPr>
        <w:snapToGrid w:val="0"/>
        <w:spacing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（非联合体投标格式）</w:t>
      </w:r>
    </w:p>
    <w:p w14:paraId="6919294B">
      <w:pPr>
        <w:snapToGrid w:val="0"/>
        <w:spacing w:beforeLines="50" w:after="50"/>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（如有委托时）</w:t>
      </w:r>
    </w:p>
    <w:p w14:paraId="01E330D4">
      <w:pPr>
        <w:snapToGrid w:val="0"/>
        <w:spacing w:beforeLines="50" w:after="50"/>
        <w:jc w:val="center"/>
        <w:rPr>
          <w:rFonts w:hint="eastAsia" w:ascii="宋体" w:hAnsi="宋体" w:eastAsia="宋体" w:cs="宋体"/>
          <w:b/>
          <w:color w:val="auto"/>
          <w:sz w:val="24"/>
          <w:highlight w:val="none"/>
        </w:rPr>
      </w:pPr>
    </w:p>
    <w:p w14:paraId="733CF193">
      <w:pPr>
        <w:snapToGrid w:val="0"/>
        <w:spacing w:beforeLines="50" w:after="50" w:line="360" w:lineRule="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rPr>
        <w:t>：</w:t>
      </w:r>
    </w:p>
    <w:p w14:paraId="3B8E262E">
      <w:pPr>
        <w:snapToGrid w:val="0"/>
        <w:spacing w:beforeLines="50" w:after="50"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我（姓名）系（投标人名称）的法定代表人（负责人），现授权委托</w:t>
      </w:r>
      <w:r>
        <w:rPr>
          <w:rFonts w:hint="eastAsia" w:ascii="宋体" w:hAnsi="宋体" w:eastAsia="宋体" w:cs="宋体"/>
          <w:color w:val="auto"/>
          <w:szCs w:val="21"/>
          <w:highlight w:val="none"/>
          <w:u w:val="single"/>
        </w:rPr>
        <w:t xml:space="preserve">              （姓名）</w:t>
      </w:r>
      <w:r>
        <w:rPr>
          <w:rFonts w:hint="eastAsia" w:ascii="宋体" w:hAnsi="宋体" w:eastAsia="宋体" w:cs="宋体"/>
          <w:color w:val="auto"/>
          <w:szCs w:val="21"/>
          <w:highlight w:val="none"/>
        </w:rPr>
        <w:t>以我方的名义参加项目的投标活动，并代表我方全权办理针对上述项目的所有采购程序和环节的具体事务和签署相关文件。</w:t>
      </w:r>
    </w:p>
    <w:p w14:paraId="4E17B1C8">
      <w:pPr>
        <w:snapToGrid w:val="0"/>
        <w:spacing w:beforeLines="50" w:after="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14:paraId="192985F5">
      <w:pPr>
        <w:snapToGrid w:val="0"/>
        <w:spacing w:beforeLines="50" w:after="50"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有效期：   年   月   日 至   年  月  日。</w:t>
      </w:r>
    </w:p>
    <w:p w14:paraId="6CAE09EF">
      <w:pPr>
        <w:snapToGrid w:val="0"/>
        <w:spacing w:beforeLines="50" w:after="50"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6ED6608D">
      <w:pPr>
        <w:snapToGrid w:val="0"/>
        <w:spacing w:beforeLines="50" w:after="50"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附：法定代表人（负责人）身份证明及委托代理人有效身份证正反面</w:t>
      </w:r>
    </w:p>
    <w:p w14:paraId="27E2C2BA">
      <w:pPr>
        <w:snapToGrid w:val="0"/>
        <w:spacing w:beforeLines="50" w:after="50" w:line="360" w:lineRule="auto"/>
        <w:rPr>
          <w:rFonts w:hint="eastAsia" w:ascii="宋体" w:hAnsi="宋体" w:eastAsia="宋体" w:cs="宋体"/>
          <w:color w:val="auto"/>
          <w:szCs w:val="21"/>
          <w:highlight w:val="none"/>
        </w:rPr>
      </w:pPr>
    </w:p>
    <w:p w14:paraId="27AAB31D">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7D152AEE">
      <w:pPr>
        <w:snapToGrid w:val="0"/>
        <w:spacing w:line="360" w:lineRule="auto"/>
        <w:ind w:firstLine="420"/>
        <w:rPr>
          <w:rFonts w:hint="eastAsia" w:ascii="宋体" w:hAnsi="宋体" w:eastAsia="宋体" w:cs="宋体"/>
          <w:color w:val="auto"/>
          <w:szCs w:val="21"/>
          <w:highlight w:val="none"/>
        </w:rPr>
      </w:pPr>
    </w:p>
    <w:p w14:paraId="12F8C611">
      <w:pPr>
        <w:snapToGrid w:val="0"/>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投标人[公章（CA签章）]：</w:t>
      </w:r>
    </w:p>
    <w:p w14:paraId="797A75A3">
      <w:pPr>
        <w:snapToGrid w:val="0"/>
        <w:spacing w:line="360" w:lineRule="auto"/>
        <w:ind w:firstLine="420"/>
        <w:rPr>
          <w:rFonts w:hint="eastAsia" w:ascii="宋体" w:hAnsi="宋体" w:eastAsia="宋体" w:cs="宋体"/>
          <w:color w:val="auto"/>
          <w:szCs w:val="21"/>
          <w:highlight w:val="none"/>
          <w:u w:val="single"/>
        </w:rPr>
      </w:pPr>
    </w:p>
    <w:p w14:paraId="618A26FF">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法定代表人（负责人）签字（或私章或个人CA签章）：</w:t>
      </w:r>
    </w:p>
    <w:p w14:paraId="7EFEFAFA">
      <w:pPr>
        <w:snapToGrid w:val="0"/>
        <w:spacing w:line="360" w:lineRule="auto"/>
        <w:ind w:firstLine="420"/>
        <w:jc w:val="left"/>
        <w:rPr>
          <w:rFonts w:hint="eastAsia" w:ascii="宋体" w:hAnsi="宋体" w:eastAsia="宋体" w:cs="宋体"/>
          <w:color w:val="auto"/>
          <w:szCs w:val="21"/>
          <w:highlight w:val="none"/>
        </w:rPr>
      </w:pPr>
    </w:p>
    <w:p w14:paraId="73FC0E63">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30F97E0">
      <w:pPr>
        <w:snapToGrid w:val="0"/>
        <w:spacing w:beforeLines="50" w:after="50"/>
        <w:jc w:val="center"/>
        <w:rPr>
          <w:rFonts w:hint="eastAsia" w:ascii="宋体" w:hAnsi="宋体" w:eastAsia="宋体" w:cs="宋体"/>
          <w:color w:val="auto"/>
          <w:sz w:val="24"/>
          <w:highlight w:val="none"/>
        </w:rPr>
      </w:pPr>
    </w:p>
    <w:p w14:paraId="326837A8">
      <w:pPr>
        <w:snapToGrid w:val="0"/>
        <w:spacing w:beforeLines="50" w:after="50"/>
        <w:ind w:firstLine="566" w:firstLineChars="236"/>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法定代表人授权委托书</w:t>
      </w:r>
    </w:p>
    <w:p w14:paraId="56508F41">
      <w:pPr>
        <w:snapToGrid w:val="0"/>
        <w:spacing w:beforeLines="50" w:after="50"/>
        <w:ind w:firstLine="758" w:firstLineChars="236"/>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（联合体投标格式）</w:t>
      </w:r>
    </w:p>
    <w:p w14:paraId="025C5561">
      <w:pPr>
        <w:snapToGrid w:val="0"/>
        <w:spacing w:beforeLines="50" w:after="50"/>
        <w:ind w:firstLine="758" w:firstLineChars="236"/>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（如有委托时）</w:t>
      </w:r>
    </w:p>
    <w:p w14:paraId="5D0FAEE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rPr>
        <w:t>：</w:t>
      </w:r>
    </w:p>
    <w:p w14:paraId="2C24CE33">
      <w:pPr>
        <w:snapToGrid w:val="0"/>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 </w:t>
      </w:r>
      <w:r>
        <w:rPr>
          <w:rFonts w:hint="eastAsia" w:ascii="宋体" w:hAnsi="宋体" w:eastAsia="宋体" w:cs="宋体"/>
          <w:color w:val="auto"/>
          <w:szCs w:val="21"/>
          <w:highlight w:val="none"/>
          <w:u w:val="single"/>
        </w:rPr>
        <w:t xml:space="preserve"> （牵头人名称）</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u w:val="single"/>
        </w:rPr>
        <w:t>（联合体其他成员名称）</w:t>
      </w:r>
      <w:r>
        <w:rPr>
          <w:rFonts w:hint="eastAsia" w:ascii="宋体" w:hAnsi="宋体" w:eastAsia="宋体" w:cs="宋体"/>
          <w:color w:val="auto"/>
          <w:szCs w:val="21"/>
          <w:highlight w:val="none"/>
        </w:rPr>
        <w:t>签订的《联合体投标协议书》的内容，</w:t>
      </w:r>
      <w:r>
        <w:rPr>
          <w:rFonts w:hint="eastAsia" w:ascii="宋体" w:hAnsi="宋体" w:eastAsia="宋体" w:cs="宋体"/>
          <w:color w:val="auto"/>
          <w:szCs w:val="21"/>
          <w:highlight w:val="none"/>
          <w:u w:val="single"/>
        </w:rPr>
        <w:t>（牵头人名称）</w:t>
      </w:r>
      <w:r>
        <w:rPr>
          <w:rFonts w:hint="eastAsia" w:ascii="宋体" w:hAnsi="宋体" w:eastAsia="宋体" w:cs="宋体"/>
          <w:color w:val="auto"/>
          <w:szCs w:val="21"/>
          <w:highlight w:val="none"/>
        </w:rPr>
        <w:t>的法定代表人</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现授权委托</w:t>
      </w:r>
      <w:r>
        <w:rPr>
          <w:rFonts w:hint="eastAsia" w:ascii="宋体" w:hAnsi="宋体" w:eastAsia="宋体" w:cs="宋体"/>
          <w:color w:val="auto"/>
          <w:szCs w:val="21"/>
          <w:highlight w:val="none"/>
          <w:u w:val="single"/>
        </w:rPr>
        <w:t xml:space="preserve">              （姓名）</w:t>
      </w:r>
      <w:r>
        <w:rPr>
          <w:rFonts w:hint="eastAsia" w:ascii="宋体" w:hAnsi="宋体" w:eastAsia="宋体" w:cs="宋体"/>
          <w:color w:val="auto"/>
          <w:szCs w:val="21"/>
          <w:highlight w:val="none"/>
        </w:rPr>
        <w:t>以我方的名义参加项目的投标活动，并代表我方全权办理针对上述项目的所有采购程序和环节的具体事务和签署相关文件。</w:t>
      </w:r>
    </w:p>
    <w:p w14:paraId="2F25E4A7">
      <w:pPr>
        <w:snapToGrid w:val="0"/>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14:paraId="068AF1BB">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有效期：   年   月   日 至   年  月  日。</w:t>
      </w:r>
    </w:p>
    <w:p w14:paraId="610FFEB2">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66D7AB07">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附：法定代表人（负责人）身份证明及委托代理人有效身份证正反面</w:t>
      </w:r>
    </w:p>
    <w:p w14:paraId="22B191AD">
      <w:pPr>
        <w:snapToGrid w:val="0"/>
        <w:spacing w:line="360" w:lineRule="auto"/>
        <w:ind w:firstLine="495" w:firstLineChars="236"/>
        <w:rPr>
          <w:rFonts w:hint="eastAsia" w:ascii="宋体" w:hAnsi="宋体" w:eastAsia="宋体" w:cs="宋体"/>
          <w:color w:val="auto"/>
          <w:szCs w:val="21"/>
          <w:highlight w:val="none"/>
        </w:rPr>
      </w:pPr>
    </w:p>
    <w:p w14:paraId="03F9C586">
      <w:pPr>
        <w:snapToGrid w:val="0"/>
        <w:spacing w:line="360" w:lineRule="auto"/>
        <w:ind w:firstLine="495" w:firstLineChars="236"/>
        <w:rPr>
          <w:rFonts w:hint="eastAsia" w:ascii="宋体" w:hAnsi="宋体" w:eastAsia="宋体" w:cs="宋体"/>
          <w:color w:val="auto"/>
          <w:szCs w:val="21"/>
          <w:highlight w:val="none"/>
        </w:rPr>
      </w:pPr>
    </w:p>
    <w:p w14:paraId="71FB16E6">
      <w:pPr>
        <w:pStyle w:val="25"/>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牵头人法定代表人签字[或盖章(CA签章)]：</w:t>
      </w:r>
    </w:p>
    <w:p w14:paraId="6D0E842D">
      <w:pPr>
        <w:snapToGrid w:val="0"/>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牵头人[公章(CA签章)、自然人除外]：</w:t>
      </w:r>
    </w:p>
    <w:p w14:paraId="43A8F9F9">
      <w:pPr>
        <w:snapToGrid w:val="0"/>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14FA22A">
      <w:pPr>
        <w:snapToGrid w:val="0"/>
        <w:spacing w:line="360" w:lineRule="auto"/>
        <w:ind w:firstLine="495" w:firstLineChars="236"/>
        <w:rPr>
          <w:rFonts w:hint="eastAsia" w:ascii="宋体" w:hAnsi="宋体" w:eastAsia="宋体" w:cs="宋体"/>
          <w:color w:val="auto"/>
          <w:szCs w:val="21"/>
          <w:highlight w:val="none"/>
        </w:rPr>
      </w:pPr>
    </w:p>
    <w:p w14:paraId="2EE0C3DD">
      <w:pPr>
        <w:snapToGrid w:val="0"/>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被授权人（签字）：</w:t>
      </w:r>
    </w:p>
    <w:p w14:paraId="750A8847">
      <w:pPr>
        <w:snapToGrid w:val="0"/>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EEEDE22">
      <w:pPr>
        <w:rPr>
          <w:rFonts w:hint="eastAsia" w:ascii="宋体" w:hAnsi="宋体" w:eastAsia="宋体" w:cs="宋体"/>
          <w:color w:val="auto"/>
          <w:sz w:val="24"/>
          <w:highlight w:val="none"/>
        </w:rPr>
      </w:pPr>
    </w:p>
    <w:p w14:paraId="5103D00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489E68C">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5.商务条款偏离表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w:t>
      </w:r>
    </w:p>
    <w:p w14:paraId="15893021">
      <w:pPr>
        <w:snapToGrid w:val="0"/>
        <w:spacing w:before="50"/>
        <w:jc w:val="left"/>
        <w:rPr>
          <w:rFonts w:hint="eastAsia" w:ascii="宋体" w:hAnsi="宋体" w:eastAsia="宋体" w:cs="宋体"/>
          <w:color w:val="auto"/>
          <w:sz w:val="24"/>
          <w:highlight w:val="none"/>
        </w:rPr>
      </w:pPr>
    </w:p>
    <w:p w14:paraId="308206A9">
      <w:pPr>
        <w:snapToGrid w:val="0"/>
        <w:spacing w:before="50"/>
        <w:jc w:val="left"/>
        <w:rPr>
          <w:rFonts w:hint="eastAsia" w:ascii="宋体" w:hAnsi="宋体" w:eastAsia="宋体" w:cs="宋体"/>
          <w:color w:val="auto"/>
          <w:sz w:val="24"/>
          <w:highlight w:val="none"/>
          <w:u w:val="single"/>
        </w:rPr>
      </w:pPr>
    </w:p>
    <w:tbl>
      <w:tblPr>
        <w:tblStyle w:val="49"/>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6"/>
        <w:gridCol w:w="906"/>
        <w:gridCol w:w="3008"/>
        <w:gridCol w:w="2708"/>
        <w:gridCol w:w="1477"/>
      </w:tblGrid>
      <w:tr w14:paraId="74D09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1DDA3B42">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bookmarkStart w:id="340" w:name="_Toc373333689"/>
            <w:bookmarkStart w:id="341" w:name="_Toc297193185"/>
            <w:bookmarkStart w:id="342" w:name="_Toc173066401"/>
            <w:bookmarkStart w:id="343" w:name="_Toc254970588"/>
            <w:bookmarkStart w:id="344" w:name="_Toc301781611"/>
            <w:bookmarkStart w:id="345" w:name="_Toc383699906"/>
            <w:bookmarkStart w:id="346" w:name="_Toc254970729"/>
            <w:bookmarkStart w:id="347" w:name="_Toc173211900"/>
            <w:bookmarkStart w:id="348" w:name="_Toc295404981"/>
            <w:r>
              <w:rPr>
                <w:rFonts w:hint="eastAsia" w:ascii="宋体" w:hAnsi="宋体" w:eastAsia="宋体" w:cs="宋体"/>
                <w:color w:val="auto"/>
                <w:kern w:val="2"/>
                <w:sz w:val="24"/>
                <w:szCs w:val="24"/>
                <w:highlight w:val="none"/>
                <w:lang w:val="en-US" w:eastAsia="zh-CN"/>
              </w:rPr>
              <w:t>序号</w:t>
            </w:r>
            <w:bookmarkEnd w:id="340"/>
            <w:bookmarkEnd w:id="341"/>
            <w:bookmarkEnd w:id="342"/>
            <w:bookmarkEnd w:id="343"/>
            <w:bookmarkEnd w:id="344"/>
            <w:bookmarkEnd w:id="345"/>
            <w:bookmarkEnd w:id="346"/>
            <w:bookmarkEnd w:id="347"/>
            <w:bookmarkEnd w:id="348"/>
          </w:p>
        </w:tc>
        <w:tc>
          <w:tcPr>
            <w:tcW w:w="906" w:type="dxa"/>
            <w:tcBorders>
              <w:right w:val="single" w:color="auto" w:sz="4" w:space="0"/>
            </w:tcBorders>
            <w:vAlign w:val="center"/>
          </w:tcPr>
          <w:p w14:paraId="3AE38A11">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名称</w:t>
            </w:r>
          </w:p>
        </w:tc>
        <w:tc>
          <w:tcPr>
            <w:tcW w:w="3008" w:type="dxa"/>
            <w:tcBorders>
              <w:left w:val="single" w:color="auto" w:sz="4" w:space="0"/>
            </w:tcBorders>
            <w:vAlign w:val="center"/>
          </w:tcPr>
          <w:p w14:paraId="61AEA5E8">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招标文件商务条款要求</w:t>
            </w:r>
          </w:p>
        </w:tc>
        <w:tc>
          <w:tcPr>
            <w:tcW w:w="2708" w:type="dxa"/>
            <w:vAlign w:val="center"/>
          </w:tcPr>
          <w:p w14:paraId="0FB03787">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投标人的承诺</w:t>
            </w:r>
          </w:p>
        </w:tc>
        <w:tc>
          <w:tcPr>
            <w:tcW w:w="1477" w:type="dxa"/>
            <w:vAlign w:val="center"/>
          </w:tcPr>
          <w:p w14:paraId="1FB56A85">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bookmarkStart w:id="349" w:name="_Toc297193188"/>
            <w:bookmarkStart w:id="350" w:name="_Toc173211903"/>
            <w:bookmarkStart w:id="351" w:name="_Toc254970591"/>
            <w:bookmarkStart w:id="352" w:name="_Toc173066404"/>
            <w:bookmarkStart w:id="353" w:name="_Toc301781614"/>
            <w:bookmarkStart w:id="354" w:name="_Toc254970732"/>
            <w:bookmarkStart w:id="355" w:name="_Toc295404984"/>
            <w:bookmarkStart w:id="356" w:name="_Toc373333692"/>
            <w:bookmarkStart w:id="357" w:name="_Toc383699909"/>
            <w:r>
              <w:rPr>
                <w:rFonts w:hint="eastAsia" w:ascii="宋体" w:hAnsi="宋体" w:eastAsia="宋体" w:cs="宋体"/>
                <w:color w:val="auto"/>
                <w:kern w:val="2"/>
                <w:sz w:val="24"/>
                <w:szCs w:val="24"/>
                <w:highlight w:val="none"/>
                <w:lang w:val="en-US" w:eastAsia="zh-CN"/>
              </w:rPr>
              <w:t>偏离</w:t>
            </w:r>
            <w:bookmarkEnd w:id="349"/>
            <w:bookmarkEnd w:id="350"/>
            <w:bookmarkEnd w:id="351"/>
            <w:bookmarkEnd w:id="352"/>
            <w:bookmarkEnd w:id="353"/>
            <w:bookmarkEnd w:id="354"/>
            <w:bookmarkEnd w:id="355"/>
            <w:bookmarkEnd w:id="356"/>
            <w:bookmarkEnd w:id="357"/>
            <w:bookmarkStart w:id="358" w:name="_Toc173211904"/>
            <w:bookmarkStart w:id="359" w:name="_Toc173066405"/>
            <w:bookmarkStart w:id="360" w:name="_Toc295404985"/>
            <w:bookmarkStart w:id="361" w:name="_Toc373333693"/>
            <w:bookmarkStart w:id="362" w:name="_Toc301781615"/>
            <w:bookmarkStart w:id="363" w:name="_Toc297193189"/>
            <w:bookmarkStart w:id="364" w:name="_Toc383699910"/>
            <w:bookmarkStart w:id="365" w:name="_Toc254970592"/>
            <w:bookmarkStart w:id="366" w:name="_Toc254970733"/>
            <w:r>
              <w:rPr>
                <w:rFonts w:hint="eastAsia" w:ascii="宋体" w:hAnsi="宋体" w:eastAsia="宋体" w:cs="宋体"/>
                <w:color w:val="auto"/>
                <w:kern w:val="2"/>
                <w:sz w:val="24"/>
                <w:szCs w:val="24"/>
                <w:highlight w:val="none"/>
                <w:lang w:val="en-US" w:eastAsia="zh-CN"/>
              </w:rPr>
              <w:t>说明</w:t>
            </w:r>
            <w:bookmarkEnd w:id="358"/>
            <w:bookmarkEnd w:id="359"/>
            <w:bookmarkEnd w:id="360"/>
            <w:bookmarkEnd w:id="361"/>
            <w:bookmarkEnd w:id="362"/>
            <w:bookmarkEnd w:id="363"/>
            <w:bookmarkEnd w:id="364"/>
            <w:bookmarkEnd w:id="365"/>
            <w:bookmarkEnd w:id="366"/>
          </w:p>
        </w:tc>
      </w:tr>
      <w:tr w14:paraId="592CC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527B09B4">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bookmarkStart w:id="367" w:name="_Toc173211905"/>
            <w:bookmarkStart w:id="368" w:name="_Toc254970593"/>
            <w:bookmarkStart w:id="369" w:name="_Toc297193190"/>
            <w:bookmarkStart w:id="370" w:name="_Toc295404986"/>
            <w:bookmarkStart w:id="371" w:name="_Toc383699911"/>
            <w:bookmarkStart w:id="372" w:name="_Toc301781616"/>
            <w:bookmarkStart w:id="373" w:name="_Toc173066406"/>
            <w:bookmarkStart w:id="374" w:name="_Toc373333694"/>
            <w:bookmarkStart w:id="375" w:name="_Toc254970734"/>
            <w:r>
              <w:rPr>
                <w:rFonts w:hint="eastAsia" w:ascii="宋体" w:hAnsi="宋体" w:eastAsia="宋体" w:cs="宋体"/>
                <w:color w:val="auto"/>
                <w:kern w:val="2"/>
                <w:sz w:val="24"/>
                <w:szCs w:val="24"/>
                <w:highlight w:val="none"/>
                <w:lang w:val="en-US" w:eastAsia="zh-CN"/>
              </w:rPr>
              <w:t>1</w:t>
            </w:r>
            <w:bookmarkEnd w:id="367"/>
            <w:bookmarkEnd w:id="368"/>
            <w:bookmarkEnd w:id="369"/>
            <w:bookmarkEnd w:id="370"/>
            <w:bookmarkEnd w:id="371"/>
            <w:bookmarkEnd w:id="372"/>
            <w:bookmarkEnd w:id="373"/>
            <w:bookmarkEnd w:id="374"/>
            <w:bookmarkEnd w:id="375"/>
          </w:p>
        </w:tc>
        <w:tc>
          <w:tcPr>
            <w:tcW w:w="906" w:type="dxa"/>
            <w:tcBorders>
              <w:right w:val="single" w:color="auto" w:sz="4" w:space="0"/>
            </w:tcBorders>
            <w:vAlign w:val="center"/>
          </w:tcPr>
          <w:p w14:paraId="181C7E64">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3008" w:type="dxa"/>
            <w:tcBorders>
              <w:left w:val="single" w:color="auto" w:sz="4" w:space="0"/>
            </w:tcBorders>
            <w:vAlign w:val="center"/>
          </w:tcPr>
          <w:p w14:paraId="397D878F">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2708" w:type="dxa"/>
            <w:vAlign w:val="center"/>
          </w:tcPr>
          <w:p w14:paraId="5B48F39F">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1477" w:type="dxa"/>
            <w:vAlign w:val="center"/>
          </w:tcPr>
          <w:p w14:paraId="5F5AE3AE">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r>
      <w:tr w14:paraId="54C1B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4F95208F">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bookmarkStart w:id="376" w:name="_Toc254970594"/>
            <w:bookmarkStart w:id="377" w:name="_Toc301781617"/>
            <w:bookmarkStart w:id="378" w:name="_Toc383699912"/>
            <w:bookmarkStart w:id="379" w:name="_Toc173066407"/>
            <w:bookmarkStart w:id="380" w:name="_Toc295404987"/>
            <w:bookmarkStart w:id="381" w:name="_Toc373333695"/>
            <w:bookmarkStart w:id="382" w:name="_Toc173211906"/>
            <w:bookmarkStart w:id="383" w:name="_Toc254970735"/>
            <w:bookmarkStart w:id="384" w:name="_Toc297193191"/>
            <w:r>
              <w:rPr>
                <w:rFonts w:hint="eastAsia" w:ascii="宋体" w:hAnsi="宋体" w:eastAsia="宋体" w:cs="宋体"/>
                <w:color w:val="auto"/>
                <w:kern w:val="2"/>
                <w:sz w:val="24"/>
                <w:szCs w:val="24"/>
                <w:highlight w:val="none"/>
                <w:lang w:val="en-US" w:eastAsia="zh-CN"/>
              </w:rPr>
              <w:t>2</w:t>
            </w:r>
            <w:bookmarkEnd w:id="376"/>
            <w:bookmarkEnd w:id="377"/>
            <w:bookmarkEnd w:id="378"/>
            <w:bookmarkEnd w:id="379"/>
            <w:bookmarkEnd w:id="380"/>
            <w:bookmarkEnd w:id="381"/>
            <w:bookmarkEnd w:id="382"/>
            <w:bookmarkEnd w:id="383"/>
            <w:bookmarkEnd w:id="384"/>
          </w:p>
        </w:tc>
        <w:tc>
          <w:tcPr>
            <w:tcW w:w="906" w:type="dxa"/>
            <w:tcBorders>
              <w:right w:val="single" w:color="auto" w:sz="4" w:space="0"/>
            </w:tcBorders>
            <w:vAlign w:val="center"/>
          </w:tcPr>
          <w:p w14:paraId="018CF4E4">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3008" w:type="dxa"/>
            <w:tcBorders>
              <w:left w:val="single" w:color="auto" w:sz="4" w:space="0"/>
            </w:tcBorders>
            <w:vAlign w:val="center"/>
          </w:tcPr>
          <w:p w14:paraId="2E24EA7B">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2708" w:type="dxa"/>
            <w:vAlign w:val="center"/>
          </w:tcPr>
          <w:p w14:paraId="2468D2BF">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1477" w:type="dxa"/>
            <w:vAlign w:val="center"/>
          </w:tcPr>
          <w:p w14:paraId="21EA1174">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r>
      <w:tr w14:paraId="0E29E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6C7CA9BD">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bookmarkStart w:id="385" w:name="_Toc297193192"/>
            <w:bookmarkStart w:id="386" w:name="_Toc254970736"/>
            <w:bookmarkStart w:id="387" w:name="_Toc373333696"/>
            <w:bookmarkStart w:id="388" w:name="_Toc295404988"/>
            <w:bookmarkStart w:id="389" w:name="_Toc301781618"/>
            <w:bookmarkStart w:id="390" w:name="_Toc383699913"/>
            <w:bookmarkStart w:id="391" w:name="_Toc173066408"/>
            <w:bookmarkStart w:id="392" w:name="_Toc173211907"/>
            <w:bookmarkStart w:id="393" w:name="_Toc254970595"/>
            <w:r>
              <w:rPr>
                <w:rFonts w:hint="eastAsia" w:ascii="宋体" w:hAnsi="宋体" w:eastAsia="宋体" w:cs="宋体"/>
                <w:color w:val="auto"/>
                <w:kern w:val="2"/>
                <w:sz w:val="24"/>
                <w:szCs w:val="24"/>
                <w:highlight w:val="none"/>
                <w:lang w:val="en-US" w:eastAsia="zh-CN"/>
              </w:rPr>
              <w:t>3</w:t>
            </w:r>
            <w:bookmarkEnd w:id="385"/>
            <w:bookmarkEnd w:id="386"/>
            <w:bookmarkEnd w:id="387"/>
            <w:bookmarkEnd w:id="388"/>
            <w:bookmarkEnd w:id="389"/>
            <w:bookmarkEnd w:id="390"/>
            <w:bookmarkEnd w:id="391"/>
            <w:bookmarkEnd w:id="392"/>
            <w:bookmarkEnd w:id="393"/>
          </w:p>
        </w:tc>
        <w:tc>
          <w:tcPr>
            <w:tcW w:w="906" w:type="dxa"/>
            <w:tcBorders>
              <w:right w:val="single" w:color="auto" w:sz="4" w:space="0"/>
            </w:tcBorders>
            <w:vAlign w:val="center"/>
          </w:tcPr>
          <w:p w14:paraId="66752B4A">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3008" w:type="dxa"/>
            <w:tcBorders>
              <w:left w:val="single" w:color="auto" w:sz="4" w:space="0"/>
            </w:tcBorders>
            <w:vAlign w:val="center"/>
          </w:tcPr>
          <w:p w14:paraId="3BF87C93">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2708" w:type="dxa"/>
            <w:vAlign w:val="center"/>
          </w:tcPr>
          <w:p w14:paraId="72920704">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1477" w:type="dxa"/>
            <w:vAlign w:val="center"/>
          </w:tcPr>
          <w:p w14:paraId="21000466">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r>
      <w:tr w14:paraId="126F0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4135F7A6">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bookmarkStart w:id="394" w:name="_Toc373333697"/>
            <w:bookmarkStart w:id="395" w:name="_Toc254970596"/>
            <w:bookmarkStart w:id="396" w:name="_Toc173066409"/>
            <w:bookmarkStart w:id="397" w:name="_Toc383699914"/>
            <w:bookmarkStart w:id="398" w:name="_Toc301781619"/>
            <w:bookmarkStart w:id="399" w:name="_Toc297193193"/>
            <w:bookmarkStart w:id="400" w:name="_Toc254970737"/>
            <w:bookmarkStart w:id="401" w:name="_Toc173211908"/>
            <w:bookmarkStart w:id="402" w:name="_Toc295404989"/>
            <w:r>
              <w:rPr>
                <w:rFonts w:hint="eastAsia" w:ascii="宋体" w:hAnsi="宋体" w:eastAsia="宋体" w:cs="宋体"/>
                <w:color w:val="auto"/>
                <w:kern w:val="2"/>
                <w:sz w:val="24"/>
                <w:szCs w:val="24"/>
                <w:highlight w:val="none"/>
                <w:lang w:val="en-US" w:eastAsia="zh-CN"/>
              </w:rPr>
              <w:t>4</w:t>
            </w:r>
            <w:bookmarkEnd w:id="394"/>
            <w:bookmarkEnd w:id="395"/>
            <w:bookmarkEnd w:id="396"/>
            <w:bookmarkEnd w:id="397"/>
            <w:bookmarkEnd w:id="398"/>
            <w:bookmarkEnd w:id="399"/>
            <w:bookmarkEnd w:id="400"/>
            <w:bookmarkEnd w:id="401"/>
            <w:bookmarkEnd w:id="402"/>
          </w:p>
        </w:tc>
        <w:tc>
          <w:tcPr>
            <w:tcW w:w="906" w:type="dxa"/>
            <w:tcBorders>
              <w:right w:val="single" w:color="auto" w:sz="4" w:space="0"/>
            </w:tcBorders>
            <w:vAlign w:val="center"/>
          </w:tcPr>
          <w:p w14:paraId="3660FC27">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3008" w:type="dxa"/>
            <w:tcBorders>
              <w:left w:val="single" w:color="auto" w:sz="4" w:space="0"/>
            </w:tcBorders>
            <w:vAlign w:val="center"/>
          </w:tcPr>
          <w:p w14:paraId="26190E4A">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2708" w:type="dxa"/>
            <w:vAlign w:val="center"/>
          </w:tcPr>
          <w:p w14:paraId="06F2CC2E">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1477" w:type="dxa"/>
            <w:vAlign w:val="center"/>
          </w:tcPr>
          <w:p w14:paraId="3F1A3F6F">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r>
      <w:tr w14:paraId="63CEC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2DB6BB1F">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bookmarkStart w:id="403" w:name="_Toc295404990"/>
            <w:bookmarkStart w:id="404" w:name="_Toc297193194"/>
            <w:bookmarkStart w:id="405" w:name="_Toc301781620"/>
            <w:bookmarkStart w:id="406" w:name="_Toc373333698"/>
            <w:bookmarkStart w:id="407" w:name="_Toc254970738"/>
            <w:bookmarkStart w:id="408" w:name="_Toc173211909"/>
            <w:bookmarkStart w:id="409" w:name="_Toc254970597"/>
            <w:bookmarkStart w:id="410" w:name="_Toc383699915"/>
            <w:bookmarkStart w:id="411" w:name="_Toc173066410"/>
            <w:r>
              <w:rPr>
                <w:rFonts w:hint="eastAsia" w:ascii="宋体" w:hAnsi="宋体" w:eastAsia="宋体" w:cs="宋体"/>
                <w:color w:val="auto"/>
                <w:kern w:val="2"/>
                <w:sz w:val="24"/>
                <w:szCs w:val="24"/>
                <w:highlight w:val="none"/>
                <w:lang w:val="en-US" w:eastAsia="zh-CN"/>
              </w:rPr>
              <w:t>5</w:t>
            </w:r>
            <w:bookmarkEnd w:id="403"/>
            <w:bookmarkEnd w:id="404"/>
            <w:bookmarkEnd w:id="405"/>
            <w:bookmarkEnd w:id="406"/>
            <w:bookmarkEnd w:id="407"/>
            <w:bookmarkEnd w:id="408"/>
            <w:bookmarkEnd w:id="409"/>
            <w:bookmarkEnd w:id="410"/>
            <w:bookmarkEnd w:id="411"/>
          </w:p>
        </w:tc>
        <w:tc>
          <w:tcPr>
            <w:tcW w:w="906" w:type="dxa"/>
            <w:tcBorders>
              <w:right w:val="single" w:color="auto" w:sz="4" w:space="0"/>
            </w:tcBorders>
            <w:vAlign w:val="center"/>
          </w:tcPr>
          <w:p w14:paraId="4660F0E0">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3008" w:type="dxa"/>
            <w:tcBorders>
              <w:left w:val="single" w:color="auto" w:sz="4" w:space="0"/>
            </w:tcBorders>
            <w:vAlign w:val="center"/>
          </w:tcPr>
          <w:p w14:paraId="1EEFAA78">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2708" w:type="dxa"/>
            <w:vAlign w:val="center"/>
          </w:tcPr>
          <w:p w14:paraId="3578EB4C">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1477" w:type="dxa"/>
            <w:vAlign w:val="center"/>
          </w:tcPr>
          <w:p w14:paraId="30836B0F">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r>
      <w:tr w14:paraId="3693A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6" w:type="dxa"/>
            <w:vAlign w:val="center"/>
          </w:tcPr>
          <w:p w14:paraId="02A6F807">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bookmarkStart w:id="412" w:name="_Toc373333699"/>
            <w:bookmarkStart w:id="413" w:name="_Toc254970602"/>
            <w:bookmarkStart w:id="414" w:name="_Toc295404991"/>
            <w:bookmarkStart w:id="415" w:name="_Toc254970743"/>
            <w:bookmarkStart w:id="416" w:name="_Toc297193195"/>
            <w:bookmarkStart w:id="417" w:name="_Toc173066415"/>
            <w:bookmarkStart w:id="418" w:name="_Toc301781621"/>
            <w:bookmarkStart w:id="419" w:name="_Toc173211914"/>
            <w:bookmarkStart w:id="420" w:name="_Toc383699916"/>
            <w:r>
              <w:rPr>
                <w:rFonts w:hint="eastAsia" w:ascii="宋体" w:hAnsi="宋体" w:eastAsia="宋体" w:cs="宋体"/>
                <w:color w:val="auto"/>
                <w:kern w:val="2"/>
                <w:sz w:val="24"/>
                <w:szCs w:val="24"/>
                <w:highlight w:val="none"/>
                <w:lang w:val="en-US" w:eastAsia="zh-CN"/>
              </w:rPr>
              <w:t>…</w:t>
            </w:r>
            <w:bookmarkEnd w:id="412"/>
            <w:bookmarkEnd w:id="413"/>
            <w:bookmarkEnd w:id="414"/>
            <w:bookmarkEnd w:id="415"/>
            <w:bookmarkEnd w:id="416"/>
            <w:bookmarkEnd w:id="417"/>
            <w:bookmarkEnd w:id="418"/>
            <w:bookmarkEnd w:id="419"/>
            <w:bookmarkEnd w:id="420"/>
          </w:p>
        </w:tc>
        <w:tc>
          <w:tcPr>
            <w:tcW w:w="906" w:type="dxa"/>
            <w:tcBorders>
              <w:right w:val="single" w:color="auto" w:sz="4" w:space="0"/>
            </w:tcBorders>
            <w:vAlign w:val="center"/>
          </w:tcPr>
          <w:p w14:paraId="1F461652">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3008" w:type="dxa"/>
            <w:tcBorders>
              <w:left w:val="single" w:color="auto" w:sz="4" w:space="0"/>
            </w:tcBorders>
            <w:vAlign w:val="center"/>
          </w:tcPr>
          <w:p w14:paraId="67EF1FE9">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2708" w:type="dxa"/>
            <w:vAlign w:val="center"/>
          </w:tcPr>
          <w:p w14:paraId="5E43E71B">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c>
          <w:tcPr>
            <w:tcW w:w="1477" w:type="dxa"/>
            <w:tcBorders>
              <w:right w:val="single" w:color="auto" w:sz="4" w:space="0"/>
            </w:tcBorders>
            <w:vAlign w:val="center"/>
          </w:tcPr>
          <w:p w14:paraId="0E6A7DEA">
            <w:pPr>
              <w:pStyle w:val="17"/>
              <w:spacing w:line="360" w:lineRule="auto"/>
              <w:ind w:firstLine="0" w:firstLineChars="0"/>
              <w:jc w:val="center"/>
              <w:rPr>
                <w:rFonts w:hint="eastAsia" w:ascii="宋体" w:hAnsi="宋体" w:eastAsia="宋体" w:cs="宋体"/>
                <w:color w:val="auto"/>
                <w:kern w:val="2"/>
                <w:sz w:val="24"/>
                <w:szCs w:val="24"/>
                <w:highlight w:val="none"/>
                <w:lang w:val="en-US" w:eastAsia="zh-CN"/>
              </w:rPr>
            </w:pPr>
          </w:p>
        </w:tc>
      </w:tr>
    </w:tbl>
    <w:p w14:paraId="2E8C9E4F">
      <w:pPr>
        <w:pStyle w:val="1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B2751C4">
      <w:pPr>
        <w:pStyle w:val="17"/>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采购需求”中的商务条款逐条实质性响应，并作出偏离说明。</w:t>
      </w:r>
    </w:p>
    <w:p w14:paraId="6E8D49E3">
      <w:pPr>
        <w:pStyle w:val="19"/>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2.投标人应根据自身的承诺，对照招标文件要求在“偏离说明”中注明“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14:paraId="175D3815">
      <w:pPr>
        <w:snapToGrid w:val="0"/>
        <w:spacing w:line="360" w:lineRule="auto"/>
        <w:rPr>
          <w:rFonts w:hint="eastAsia" w:ascii="宋体" w:hAnsi="宋体" w:eastAsia="宋体" w:cs="宋体"/>
          <w:color w:val="auto"/>
          <w:szCs w:val="21"/>
          <w:highlight w:val="none"/>
        </w:rPr>
      </w:pPr>
    </w:p>
    <w:p w14:paraId="257CB1E1">
      <w:pPr>
        <w:pStyle w:val="25"/>
        <w:spacing w:line="360" w:lineRule="auto"/>
        <w:rPr>
          <w:rFonts w:hint="eastAsia" w:ascii="宋体" w:hAnsi="宋体" w:eastAsia="宋体" w:cs="宋体"/>
          <w:color w:val="auto"/>
          <w:spacing w:val="20"/>
          <w:sz w:val="21"/>
          <w:highlight w:val="none"/>
          <w:u w:val="single"/>
        </w:rPr>
      </w:pPr>
      <w:r>
        <w:rPr>
          <w:rFonts w:hint="eastAsia" w:ascii="宋体" w:hAnsi="宋体" w:eastAsia="宋体" w:cs="宋体"/>
          <w:color w:val="auto"/>
          <w:sz w:val="21"/>
          <w:highlight w:val="none"/>
        </w:rPr>
        <w:t>法定代表人或者委托代理人</w:t>
      </w:r>
      <w:r>
        <w:rPr>
          <w:rFonts w:hint="eastAsia" w:ascii="宋体" w:hAnsi="宋体" w:eastAsia="宋体" w:cs="宋体"/>
          <w:color w:val="auto"/>
          <w:spacing w:val="20"/>
          <w:sz w:val="21"/>
          <w:highlight w:val="none"/>
        </w:rPr>
        <w:t>签字</w:t>
      </w:r>
      <w:r>
        <w:rPr>
          <w:rFonts w:hint="eastAsia" w:ascii="宋体" w:hAnsi="宋体" w:eastAsia="宋体" w:cs="宋体"/>
          <w:color w:val="auto"/>
          <w:sz w:val="21"/>
          <w:highlight w:val="none"/>
        </w:rPr>
        <w:t>[或盖章(CA签章)]（属自然人的应在签名处加盖大拇指指印或个人CA签章）</w:t>
      </w:r>
      <w:r>
        <w:rPr>
          <w:rFonts w:hint="eastAsia" w:ascii="宋体" w:hAnsi="宋体" w:eastAsia="宋体" w:cs="宋体"/>
          <w:color w:val="auto"/>
          <w:spacing w:val="20"/>
          <w:sz w:val="21"/>
          <w:highlight w:val="none"/>
        </w:rPr>
        <w:t>：</w:t>
      </w:r>
    </w:p>
    <w:p w14:paraId="2B9E23A6">
      <w:pPr>
        <w:snapToGrid w:val="0"/>
        <w:spacing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投标人</w:t>
      </w:r>
      <w:r>
        <w:rPr>
          <w:rFonts w:hint="eastAsia" w:ascii="宋体" w:hAnsi="宋体" w:eastAsia="宋体" w:cs="宋体"/>
          <w:bCs/>
          <w:color w:val="auto"/>
          <w:szCs w:val="21"/>
          <w:highlight w:val="none"/>
        </w:rPr>
        <w:t>[公章(CA签章)、自然人除外]</w:t>
      </w:r>
      <w:r>
        <w:rPr>
          <w:rFonts w:hint="eastAsia" w:ascii="宋体" w:hAnsi="宋体" w:eastAsia="宋体" w:cs="宋体"/>
          <w:color w:val="auto"/>
          <w:spacing w:val="20"/>
          <w:szCs w:val="21"/>
          <w:highlight w:val="none"/>
        </w:rPr>
        <w:t>：</w:t>
      </w:r>
    </w:p>
    <w:p w14:paraId="504D67B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p>
    <w:p w14:paraId="22FD9A96">
      <w:pPr>
        <w:snapToGrid w:val="0"/>
        <w:spacing w:beforeLines="50"/>
        <w:rPr>
          <w:rFonts w:hint="eastAsia" w:ascii="宋体" w:hAnsi="宋体" w:eastAsia="宋体" w:cs="宋体"/>
          <w:color w:val="auto"/>
          <w:sz w:val="24"/>
          <w:szCs w:val="20"/>
          <w:highlight w:val="none"/>
        </w:rPr>
      </w:pPr>
    </w:p>
    <w:p w14:paraId="1F1E5D8F">
      <w:pPr>
        <w:snapToGrid w:val="0"/>
        <w:spacing w:beforeLines="50" w:after="50"/>
        <w:jc w:val="left"/>
        <w:rPr>
          <w:rFonts w:hint="eastAsia" w:ascii="宋体" w:hAnsi="宋体" w:eastAsia="宋体" w:cs="宋体"/>
          <w:color w:val="auto"/>
          <w:sz w:val="24"/>
          <w:szCs w:val="20"/>
          <w:highlight w:val="none"/>
        </w:rPr>
        <w:sectPr>
          <w:headerReference r:id="rId11" w:type="default"/>
          <w:footerReference r:id="rId12" w:type="default"/>
          <w:pgSz w:w="11906" w:h="16838"/>
          <w:pgMar w:top="1417" w:right="1417" w:bottom="1417" w:left="1417" w:header="851" w:footer="992" w:gutter="0"/>
          <w:cols w:space="720" w:num="1"/>
          <w:docGrid w:linePitch="312" w:charSpace="0"/>
        </w:sectPr>
      </w:pPr>
    </w:p>
    <w:p w14:paraId="16D915AD">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6.服务承诺（格式自拟）</w:t>
      </w:r>
    </w:p>
    <w:p w14:paraId="1008D02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DF992C3">
      <w:pPr>
        <w:pStyle w:val="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投标人类似的业绩证明（</w:t>
      </w: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w:t>
      </w:r>
    </w:p>
    <w:p w14:paraId="0946D21D">
      <w:pPr>
        <w:pStyle w:val="36"/>
        <w:snapToGrid w:val="0"/>
        <w:ind w:left="480" w:hanging="480"/>
        <w:rPr>
          <w:rFonts w:hint="eastAsia" w:ascii="宋体" w:hAnsi="宋体" w:eastAsia="宋体" w:cs="宋体"/>
          <w:color w:val="auto"/>
          <w:sz w:val="24"/>
          <w:highlight w:val="none"/>
        </w:rPr>
      </w:pPr>
    </w:p>
    <w:p w14:paraId="126FCC87">
      <w:pPr>
        <w:pStyle w:val="36"/>
        <w:snapToGrid w:val="0"/>
        <w:ind w:left="420"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投标人同类项目情况一览表格式：（投标人同类项目合同、</w:t>
      </w:r>
      <w:r>
        <w:rPr>
          <w:rFonts w:hint="eastAsia" w:ascii="宋体" w:hAnsi="宋体" w:eastAsia="宋体" w:cs="宋体"/>
          <w:color w:val="auto"/>
          <w:sz w:val="21"/>
          <w:szCs w:val="21"/>
          <w:highlight w:val="none"/>
          <w:lang w:val="en-US" w:eastAsia="zh-CN"/>
        </w:rPr>
        <w:t>中标通知书等</w:t>
      </w:r>
      <w:r>
        <w:rPr>
          <w:rFonts w:hint="eastAsia" w:ascii="宋体" w:hAnsi="宋体" w:eastAsia="宋体" w:cs="宋体"/>
          <w:color w:val="auto"/>
          <w:sz w:val="21"/>
          <w:szCs w:val="21"/>
          <w:highlight w:val="none"/>
        </w:rPr>
        <w:t>）</w:t>
      </w:r>
    </w:p>
    <w:tbl>
      <w:tblPr>
        <w:tblStyle w:val="49"/>
        <w:tblW w:w="91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2712"/>
        <w:gridCol w:w="1996"/>
        <w:gridCol w:w="2080"/>
      </w:tblGrid>
      <w:tr w14:paraId="092FB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trPr>
        <w:tc>
          <w:tcPr>
            <w:tcW w:w="2410" w:type="dxa"/>
            <w:vMerge w:val="restart"/>
            <w:tcBorders>
              <w:top w:val="single" w:color="auto" w:sz="4" w:space="0"/>
              <w:left w:val="single" w:color="auto" w:sz="4" w:space="0"/>
              <w:bottom w:val="single" w:color="auto" w:sz="4" w:space="0"/>
              <w:right w:val="single" w:color="auto" w:sz="4" w:space="0"/>
            </w:tcBorders>
            <w:vAlign w:val="center"/>
          </w:tcPr>
          <w:p w14:paraId="0CFDE181">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tc>
        <w:tc>
          <w:tcPr>
            <w:tcW w:w="2712" w:type="dxa"/>
            <w:vMerge w:val="restart"/>
            <w:tcBorders>
              <w:top w:val="single" w:color="auto" w:sz="4" w:space="0"/>
              <w:left w:val="single" w:color="auto" w:sz="4" w:space="0"/>
              <w:bottom w:val="single" w:color="auto" w:sz="4" w:space="0"/>
              <w:right w:val="single" w:color="auto" w:sz="4" w:space="0"/>
            </w:tcBorders>
            <w:vAlign w:val="center"/>
          </w:tcPr>
          <w:p w14:paraId="37DC190C">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6EE60DB5">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p w14:paraId="5158AC11">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p w14:paraId="75D1ADDC">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38B5FAFB">
            <w:pPr>
              <w:snapToGrid w:val="0"/>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证明材料（合同/中标通知书）</w:t>
            </w:r>
          </w:p>
        </w:tc>
      </w:tr>
      <w:tr w14:paraId="4CC96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trPr>
        <w:tc>
          <w:tcPr>
            <w:tcW w:w="2410" w:type="dxa"/>
            <w:vMerge w:val="continue"/>
            <w:tcBorders>
              <w:top w:val="single" w:color="auto" w:sz="4" w:space="0"/>
              <w:left w:val="single" w:color="auto" w:sz="4" w:space="0"/>
              <w:bottom w:val="single" w:color="auto" w:sz="4" w:space="0"/>
              <w:right w:val="single" w:color="auto" w:sz="4" w:space="0"/>
            </w:tcBorders>
            <w:vAlign w:val="center"/>
          </w:tcPr>
          <w:p w14:paraId="545B529E">
            <w:pPr>
              <w:jc w:val="left"/>
              <w:rPr>
                <w:rFonts w:hint="eastAsia" w:ascii="宋体" w:hAnsi="宋体" w:eastAsia="宋体" w:cs="宋体"/>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vAlign w:val="center"/>
          </w:tcPr>
          <w:p w14:paraId="0B26322A">
            <w:pPr>
              <w:jc w:val="left"/>
              <w:rPr>
                <w:rFonts w:hint="eastAsia" w:ascii="宋体" w:hAnsi="宋体" w:eastAsia="宋体" w:cs="宋体"/>
                <w:color w:val="auto"/>
                <w:szCs w:val="21"/>
                <w:highlight w:val="none"/>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1C04ACD2">
            <w:pPr>
              <w:jc w:val="left"/>
              <w:rPr>
                <w:rFonts w:hint="eastAsia" w:ascii="宋体" w:hAnsi="宋体" w:eastAsia="宋体" w:cs="宋体"/>
                <w:color w:val="auto"/>
                <w:szCs w:val="21"/>
                <w:highlight w:val="none"/>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2D8BCD94">
            <w:pPr>
              <w:jc w:val="left"/>
              <w:rPr>
                <w:rFonts w:hint="eastAsia" w:ascii="宋体" w:hAnsi="宋体" w:eastAsia="宋体" w:cs="宋体"/>
                <w:color w:val="auto"/>
                <w:szCs w:val="21"/>
                <w:highlight w:val="none"/>
              </w:rPr>
            </w:pPr>
          </w:p>
        </w:tc>
      </w:tr>
      <w:tr w14:paraId="36C60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410" w:type="dxa"/>
            <w:tcBorders>
              <w:top w:val="single" w:color="auto" w:sz="4" w:space="0"/>
              <w:left w:val="single" w:color="auto" w:sz="4" w:space="0"/>
              <w:bottom w:val="single" w:color="auto" w:sz="4" w:space="0"/>
              <w:right w:val="single" w:color="auto" w:sz="4" w:space="0"/>
            </w:tcBorders>
          </w:tcPr>
          <w:p w14:paraId="1FC715A3">
            <w:pPr>
              <w:snapToGrid w:val="0"/>
              <w:spacing w:line="240" w:lineRule="exact"/>
              <w:jc w:val="left"/>
              <w:rPr>
                <w:rFonts w:hint="eastAsia" w:ascii="宋体" w:hAnsi="宋体" w:eastAsia="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657C3B95">
            <w:pPr>
              <w:snapToGrid w:val="0"/>
              <w:spacing w:line="240" w:lineRule="exact"/>
              <w:jc w:val="left"/>
              <w:rPr>
                <w:rFonts w:hint="eastAsia" w:ascii="宋体" w:hAnsi="宋体" w:eastAsia="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0A8F58BF">
            <w:pPr>
              <w:snapToGrid w:val="0"/>
              <w:spacing w:line="240" w:lineRule="exact"/>
              <w:jc w:val="left"/>
              <w:rPr>
                <w:rFonts w:hint="eastAsia" w:ascii="宋体" w:hAnsi="宋体" w:eastAsia="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099FAB10">
            <w:pPr>
              <w:snapToGrid w:val="0"/>
              <w:spacing w:line="240" w:lineRule="exact"/>
              <w:jc w:val="left"/>
              <w:rPr>
                <w:rFonts w:hint="eastAsia" w:ascii="宋体" w:hAnsi="宋体" w:eastAsia="宋体" w:cs="宋体"/>
                <w:color w:val="auto"/>
                <w:szCs w:val="21"/>
                <w:highlight w:val="none"/>
              </w:rPr>
            </w:pPr>
          </w:p>
        </w:tc>
      </w:tr>
      <w:tr w14:paraId="1CC2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0F88C1BF">
            <w:pPr>
              <w:snapToGrid w:val="0"/>
              <w:spacing w:before="50" w:afterLines="50" w:line="400" w:lineRule="exact"/>
              <w:jc w:val="left"/>
              <w:rPr>
                <w:rFonts w:hint="eastAsia" w:ascii="宋体" w:hAnsi="宋体" w:eastAsia="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3CAD7067">
            <w:pPr>
              <w:snapToGrid w:val="0"/>
              <w:spacing w:before="50" w:afterLines="50" w:line="400" w:lineRule="exact"/>
              <w:jc w:val="left"/>
              <w:rPr>
                <w:rFonts w:hint="eastAsia" w:ascii="宋体" w:hAnsi="宋体" w:eastAsia="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38CA1435">
            <w:pPr>
              <w:snapToGrid w:val="0"/>
              <w:spacing w:before="50" w:afterLines="50" w:line="400" w:lineRule="exact"/>
              <w:jc w:val="left"/>
              <w:rPr>
                <w:rFonts w:hint="eastAsia" w:ascii="宋体" w:hAnsi="宋体" w:eastAsia="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4C32A20F">
            <w:pPr>
              <w:snapToGrid w:val="0"/>
              <w:spacing w:before="50" w:afterLines="50" w:line="400" w:lineRule="exact"/>
              <w:jc w:val="left"/>
              <w:rPr>
                <w:rFonts w:hint="eastAsia" w:ascii="宋体" w:hAnsi="宋体" w:eastAsia="宋体" w:cs="宋体"/>
                <w:color w:val="auto"/>
                <w:szCs w:val="21"/>
                <w:highlight w:val="none"/>
              </w:rPr>
            </w:pPr>
          </w:p>
        </w:tc>
      </w:tr>
      <w:tr w14:paraId="22232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410" w:type="dxa"/>
            <w:tcBorders>
              <w:top w:val="single" w:color="auto" w:sz="4" w:space="0"/>
              <w:left w:val="single" w:color="auto" w:sz="4" w:space="0"/>
              <w:bottom w:val="single" w:color="auto" w:sz="4" w:space="0"/>
              <w:right w:val="single" w:color="auto" w:sz="4" w:space="0"/>
            </w:tcBorders>
          </w:tcPr>
          <w:p w14:paraId="0952FDE2">
            <w:pPr>
              <w:snapToGrid w:val="0"/>
              <w:spacing w:before="50" w:afterLines="50" w:line="400" w:lineRule="exact"/>
              <w:jc w:val="left"/>
              <w:rPr>
                <w:rFonts w:hint="eastAsia" w:ascii="宋体" w:hAnsi="宋体" w:eastAsia="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7719C6B9">
            <w:pPr>
              <w:snapToGrid w:val="0"/>
              <w:spacing w:before="50" w:afterLines="50" w:line="400" w:lineRule="exact"/>
              <w:jc w:val="left"/>
              <w:rPr>
                <w:rFonts w:hint="eastAsia" w:ascii="宋体" w:hAnsi="宋体" w:eastAsia="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339A1067">
            <w:pPr>
              <w:snapToGrid w:val="0"/>
              <w:spacing w:before="50" w:afterLines="50" w:line="400" w:lineRule="exact"/>
              <w:jc w:val="left"/>
              <w:rPr>
                <w:rFonts w:hint="eastAsia" w:ascii="宋体" w:hAnsi="宋体" w:eastAsia="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25B83776">
            <w:pPr>
              <w:snapToGrid w:val="0"/>
              <w:spacing w:before="50" w:afterLines="50" w:line="400" w:lineRule="exact"/>
              <w:jc w:val="left"/>
              <w:rPr>
                <w:rFonts w:hint="eastAsia" w:ascii="宋体" w:hAnsi="宋体" w:eastAsia="宋体" w:cs="宋体"/>
                <w:color w:val="auto"/>
                <w:szCs w:val="21"/>
                <w:highlight w:val="none"/>
              </w:rPr>
            </w:pPr>
          </w:p>
        </w:tc>
      </w:tr>
      <w:tr w14:paraId="24885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47822EA8">
            <w:pPr>
              <w:snapToGrid w:val="0"/>
              <w:spacing w:before="50" w:afterLines="50" w:line="400" w:lineRule="exact"/>
              <w:jc w:val="left"/>
              <w:rPr>
                <w:rFonts w:hint="eastAsia" w:ascii="宋体" w:hAnsi="宋体" w:eastAsia="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0599F973">
            <w:pPr>
              <w:snapToGrid w:val="0"/>
              <w:spacing w:before="50" w:afterLines="50" w:line="400" w:lineRule="exact"/>
              <w:jc w:val="left"/>
              <w:rPr>
                <w:rFonts w:hint="eastAsia" w:ascii="宋体" w:hAnsi="宋体" w:eastAsia="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00971A7C">
            <w:pPr>
              <w:snapToGrid w:val="0"/>
              <w:spacing w:before="50" w:afterLines="50" w:line="400" w:lineRule="exact"/>
              <w:jc w:val="left"/>
              <w:rPr>
                <w:rFonts w:hint="eastAsia" w:ascii="宋体" w:hAnsi="宋体" w:eastAsia="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398058B9">
            <w:pPr>
              <w:snapToGrid w:val="0"/>
              <w:spacing w:before="50" w:afterLines="50" w:line="400" w:lineRule="exact"/>
              <w:jc w:val="left"/>
              <w:rPr>
                <w:rFonts w:hint="eastAsia" w:ascii="宋体" w:hAnsi="宋体" w:eastAsia="宋体" w:cs="宋体"/>
                <w:color w:val="auto"/>
                <w:szCs w:val="21"/>
                <w:highlight w:val="none"/>
              </w:rPr>
            </w:pPr>
          </w:p>
        </w:tc>
      </w:tr>
      <w:tr w14:paraId="10E79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0" w:type="dxa"/>
            <w:tcBorders>
              <w:top w:val="single" w:color="auto" w:sz="4" w:space="0"/>
              <w:left w:val="single" w:color="auto" w:sz="4" w:space="0"/>
              <w:bottom w:val="single" w:color="auto" w:sz="4" w:space="0"/>
              <w:right w:val="single" w:color="auto" w:sz="4" w:space="0"/>
            </w:tcBorders>
          </w:tcPr>
          <w:p w14:paraId="0BD681D1">
            <w:pPr>
              <w:snapToGrid w:val="0"/>
              <w:spacing w:before="50" w:afterLines="50" w:line="400" w:lineRule="exact"/>
              <w:jc w:val="left"/>
              <w:rPr>
                <w:rFonts w:hint="eastAsia" w:ascii="宋体" w:hAnsi="宋体" w:eastAsia="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0D371A59">
            <w:pPr>
              <w:snapToGrid w:val="0"/>
              <w:spacing w:before="50" w:afterLines="50" w:line="400" w:lineRule="exact"/>
              <w:jc w:val="left"/>
              <w:rPr>
                <w:rFonts w:hint="eastAsia" w:ascii="宋体" w:hAnsi="宋体" w:eastAsia="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2AD17D31">
            <w:pPr>
              <w:snapToGrid w:val="0"/>
              <w:spacing w:before="50" w:afterLines="50" w:line="400" w:lineRule="exact"/>
              <w:jc w:val="left"/>
              <w:rPr>
                <w:rFonts w:hint="eastAsia" w:ascii="宋体" w:hAnsi="宋体" w:eastAsia="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30B76E62">
            <w:pPr>
              <w:snapToGrid w:val="0"/>
              <w:spacing w:before="50" w:afterLines="50" w:line="400" w:lineRule="exact"/>
              <w:jc w:val="left"/>
              <w:rPr>
                <w:rFonts w:hint="eastAsia" w:ascii="宋体" w:hAnsi="宋体" w:eastAsia="宋体" w:cs="宋体"/>
                <w:color w:val="auto"/>
                <w:szCs w:val="21"/>
                <w:highlight w:val="none"/>
              </w:rPr>
            </w:pPr>
          </w:p>
        </w:tc>
      </w:tr>
    </w:tbl>
    <w:p w14:paraId="47778FC9">
      <w:pPr>
        <w:pStyle w:val="15"/>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注：如本表格不适合</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的实际情况，可根据本表格式自行制表填写</w:t>
      </w:r>
    </w:p>
    <w:p w14:paraId="35DEF10E">
      <w:pPr>
        <w:pStyle w:val="25"/>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法定代表人或者委托代理人签字[或盖章(CA签章)]（属自然人的应在签名处加盖大拇指指印或个人CA签章）：</w:t>
      </w:r>
      <w:r>
        <w:rPr>
          <w:rFonts w:hint="eastAsia" w:ascii="宋体" w:hAnsi="宋体" w:eastAsia="宋体" w:cs="宋体"/>
          <w:color w:val="auto"/>
          <w:sz w:val="21"/>
          <w:highlight w:val="none"/>
          <w:u w:val="single"/>
        </w:rPr>
        <w:t>　　　　　</w:t>
      </w:r>
    </w:p>
    <w:p w14:paraId="7E8406E6">
      <w:pPr>
        <w:snapToGrid w:val="0"/>
        <w:spacing w:before="50" w:line="360" w:lineRule="auto"/>
        <w:ind w:right="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投标人[公章(CA签章)、自然人除外]：        年    月    日</w:t>
      </w:r>
    </w:p>
    <w:p w14:paraId="18566C45">
      <w:pPr>
        <w:bidi w:val="0"/>
        <w:rPr>
          <w:rFonts w:hint="eastAsia" w:ascii="宋体" w:hAnsi="宋体" w:eastAsia="宋体" w:cs="宋体"/>
          <w:color w:val="auto"/>
          <w:highlight w:val="none"/>
        </w:rPr>
      </w:pPr>
    </w:p>
    <w:p w14:paraId="593079CA">
      <w:pPr>
        <w:bidi w:val="0"/>
        <w:rPr>
          <w:rFonts w:hint="eastAsia" w:ascii="宋体" w:hAnsi="宋体" w:eastAsia="宋体" w:cs="宋体"/>
          <w:color w:val="auto"/>
          <w:highlight w:val="none"/>
        </w:rPr>
      </w:pPr>
    </w:p>
    <w:p w14:paraId="20A77EBA">
      <w:pPr>
        <w:bidi w:val="0"/>
        <w:rPr>
          <w:rFonts w:hint="eastAsia" w:ascii="宋体" w:hAnsi="宋体" w:eastAsia="宋体" w:cs="宋体"/>
          <w:color w:val="auto"/>
          <w:highlight w:val="none"/>
        </w:rPr>
      </w:pPr>
    </w:p>
    <w:p w14:paraId="793F265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E70CC2">
      <w:pPr>
        <w:pStyle w:val="5"/>
        <w:bidi w:val="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highlight w:val="none"/>
          <w:lang w:val="en-US" w:eastAsia="zh-CN"/>
        </w:rPr>
        <w:t>.除招标文件规定必须提供以外，投标人认为需要提供的其他证明材料（格式自拟）。</w:t>
      </w:r>
    </w:p>
    <w:p w14:paraId="63ABA08A">
      <w:pPr>
        <w:pStyle w:val="15"/>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投标人根据“第二章 采购需求”及“第四章 评标方法及评标标准”提供有关证明材料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如有时）</w:t>
      </w:r>
    </w:p>
    <w:p w14:paraId="70C38822">
      <w:pPr>
        <w:rPr>
          <w:rFonts w:hint="eastAsia" w:ascii="宋体" w:hAnsi="宋体" w:eastAsia="宋体" w:cs="宋体"/>
          <w:color w:val="auto"/>
          <w:highlight w:val="none"/>
          <w:lang w:val="en-US" w:eastAsia="zh-CN"/>
        </w:rPr>
      </w:pPr>
    </w:p>
    <w:p w14:paraId="212352DF">
      <w:pPr>
        <w:rPr>
          <w:rFonts w:hint="eastAsia" w:ascii="宋体" w:hAnsi="宋体" w:eastAsia="宋体" w:cs="宋体"/>
          <w:color w:val="auto"/>
          <w:highlight w:val="none"/>
          <w:lang w:val="en-US" w:eastAsia="zh-CN"/>
        </w:rPr>
        <w:sectPr>
          <w:pgSz w:w="11906" w:h="16838"/>
          <w:pgMar w:top="1417" w:right="1417" w:bottom="1417" w:left="1417" w:header="851" w:footer="992" w:gutter="0"/>
          <w:cols w:space="720" w:num="1"/>
          <w:docGrid w:linePitch="312" w:charSpace="0"/>
        </w:sectPr>
      </w:pPr>
    </w:p>
    <w:p w14:paraId="6C938CB2">
      <w:pPr>
        <w:rPr>
          <w:rFonts w:hint="eastAsia" w:ascii="宋体" w:hAnsi="宋体" w:eastAsia="宋体" w:cs="宋体"/>
          <w:color w:val="auto"/>
          <w:highlight w:val="none"/>
        </w:rPr>
      </w:pPr>
      <w:bookmarkStart w:id="421" w:name="_Toc19686839"/>
    </w:p>
    <w:p w14:paraId="5C82AE5B">
      <w:pPr>
        <w:rPr>
          <w:rFonts w:hint="eastAsia" w:ascii="宋体" w:hAnsi="宋体" w:eastAsia="宋体" w:cs="宋体"/>
          <w:color w:val="auto"/>
          <w:highlight w:val="none"/>
        </w:rPr>
      </w:pPr>
    </w:p>
    <w:p w14:paraId="7EF9336B">
      <w:pPr>
        <w:rPr>
          <w:rFonts w:hint="eastAsia" w:ascii="宋体" w:hAnsi="宋体" w:eastAsia="宋体" w:cs="宋体"/>
          <w:color w:val="auto"/>
          <w:highlight w:val="none"/>
        </w:rPr>
      </w:pPr>
    </w:p>
    <w:p w14:paraId="05864FE2">
      <w:pPr>
        <w:rPr>
          <w:rFonts w:hint="eastAsia" w:ascii="宋体" w:hAnsi="宋体" w:eastAsia="宋体" w:cs="宋体"/>
          <w:color w:val="auto"/>
          <w:highlight w:val="none"/>
        </w:rPr>
      </w:pPr>
    </w:p>
    <w:p w14:paraId="308A8E09">
      <w:pPr>
        <w:rPr>
          <w:rFonts w:hint="eastAsia" w:ascii="宋体" w:hAnsi="宋体" w:eastAsia="宋体" w:cs="宋体"/>
          <w:color w:val="auto"/>
          <w:highlight w:val="none"/>
        </w:rPr>
      </w:pPr>
    </w:p>
    <w:p w14:paraId="402BD04E">
      <w:pPr>
        <w:rPr>
          <w:rFonts w:hint="eastAsia" w:ascii="宋体" w:hAnsi="宋体" w:eastAsia="宋体" w:cs="宋体"/>
          <w:color w:val="auto"/>
          <w:highlight w:val="none"/>
        </w:rPr>
      </w:pPr>
    </w:p>
    <w:p w14:paraId="589824CF">
      <w:pPr>
        <w:rPr>
          <w:rFonts w:hint="eastAsia" w:ascii="宋体" w:hAnsi="宋体" w:eastAsia="宋体" w:cs="宋体"/>
          <w:color w:val="auto"/>
          <w:highlight w:val="none"/>
        </w:rPr>
      </w:pPr>
    </w:p>
    <w:p w14:paraId="1A58A692">
      <w:pPr>
        <w:rPr>
          <w:rFonts w:hint="eastAsia" w:ascii="宋体" w:hAnsi="宋体" w:eastAsia="宋体" w:cs="宋体"/>
          <w:color w:val="auto"/>
          <w:highlight w:val="none"/>
        </w:rPr>
      </w:pPr>
    </w:p>
    <w:p w14:paraId="226D7E46">
      <w:pPr>
        <w:rPr>
          <w:rFonts w:hint="eastAsia" w:ascii="宋体" w:hAnsi="宋体" w:eastAsia="宋体" w:cs="宋体"/>
          <w:color w:val="auto"/>
          <w:highlight w:val="none"/>
        </w:rPr>
      </w:pPr>
    </w:p>
    <w:p w14:paraId="3772C924">
      <w:pPr>
        <w:rPr>
          <w:rFonts w:hint="eastAsia" w:ascii="宋体" w:hAnsi="宋体" w:eastAsia="宋体" w:cs="宋体"/>
          <w:color w:val="auto"/>
          <w:highlight w:val="none"/>
        </w:rPr>
      </w:pPr>
    </w:p>
    <w:p w14:paraId="668EC3DF">
      <w:pPr>
        <w:rPr>
          <w:rFonts w:hint="eastAsia" w:ascii="宋体" w:hAnsi="宋体" w:eastAsia="宋体" w:cs="宋体"/>
          <w:color w:val="auto"/>
          <w:highlight w:val="none"/>
        </w:rPr>
      </w:pPr>
    </w:p>
    <w:p w14:paraId="4E98DDE4">
      <w:pPr>
        <w:rPr>
          <w:rFonts w:hint="eastAsia" w:ascii="宋体" w:hAnsi="宋体" w:eastAsia="宋体" w:cs="宋体"/>
          <w:color w:val="auto"/>
          <w:highlight w:val="none"/>
        </w:rPr>
      </w:pPr>
    </w:p>
    <w:p w14:paraId="4E0A8AF7">
      <w:pPr>
        <w:rPr>
          <w:rFonts w:hint="eastAsia" w:ascii="宋体" w:hAnsi="宋体" w:eastAsia="宋体" w:cs="宋体"/>
          <w:color w:val="auto"/>
          <w:highlight w:val="none"/>
        </w:rPr>
      </w:pPr>
    </w:p>
    <w:p w14:paraId="271D9805">
      <w:pPr>
        <w:rPr>
          <w:rFonts w:hint="eastAsia" w:ascii="宋体" w:hAnsi="宋体" w:eastAsia="宋体" w:cs="宋体"/>
          <w:color w:val="auto"/>
          <w:highlight w:val="none"/>
        </w:rPr>
      </w:pPr>
    </w:p>
    <w:p w14:paraId="0776ABCF">
      <w:pPr>
        <w:rPr>
          <w:rFonts w:hint="eastAsia" w:ascii="宋体" w:hAnsi="宋体" w:eastAsia="宋体" w:cs="宋体"/>
          <w:color w:val="auto"/>
          <w:highlight w:val="none"/>
        </w:rPr>
      </w:pPr>
    </w:p>
    <w:p w14:paraId="736EB58D">
      <w:pPr>
        <w:rPr>
          <w:rFonts w:hint="eastAsia" w:ascii="宋体" w:hAnsi="宋体" w:eastAsia="宋体" w:cs="宋体"/>
          <w:color w:val="auto"/>
          <w:highlight w:val="none"/>
        </w:rPr>
      </w:pPr>
    </w:p>
    <w:p w14:paraId="1ADEB656">
      <w:pPr>
        <w:rPr>
          <w:rFonts w:hint="eastAsia" w:ascii="宋体" w:hAnsi="宋体" w:eastAsia="宋体" w:cs="宋体"/>
          <w:color w:val="auto"/>
          <w:highlight w:val="none"/>
        </w:rPr>
      </w:pPr>
    </w:p>
    <w:p w14:paraId="2294D4E4">
      <w:pPr>
        <w:rPr>
          <w:rFonts w:hint="eastAsia" w:ascii="宋体" w:hAnsi="宋体" w:eastAsia="宋体" w:cs="宋体"/>
          <w:color w:val="auto"/>
          <w:highlight w:val="none"/>
        </w:rPr>
      </w:pPr>
    </w:p>
    <w:p w14:paraId="45F58911">
      <w:pPr>
        <w:rPr>
          <w:rFonts w:hint="eastAsia" w:ascii="宋体" w:hAnsi="宋体" w:eastAsia="宋体" w:cs="宋体"/>
          <w:color w:val="auto"/>
          <w:highlight w:val="none"/>
        </w:rPr>
      </w:pPr>
    </w:p>
    <w:p w14:paraId="603CC3F0">
      <w:pPr>
        <w:rPr>
          <w:rFonts w:hint="eastAsia" w:ascii="宋体" w:hAnsi="宋体" w:eastAsia="宋体" w:cs="宋体"/>
          <w:color w:val="auto"/>
          <w:highlight w:val="none"/>
        </w:rPr>
      </w:pPr>
    </w:p>
    <w:p w14:paraId="4E95C9EB">
      <w:pPr>
        <w:rPr>
          <w:rFonts w:hint="eastAsia" w:ascii="宋体" w:hAnsi="宋体" w:eastAsia="宋体" w:cs="宋体"/>
          <w:color w:val="auto"/>
          <w:highlight w:val="none"/>
        </w:rPr>
      </w:pPr>
    </w:p>
    <w:p w14:paraId="416896FD">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技术文件</w:t>
      </w:r>
      <w:bookmarkEnd w:id="421"/>
    </w:p>
    <w:p w14:paraId="3F462F15">
      <w:pPr>
        <w:pStyle w:val="5"/>
        <w:bidi w:val="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1</w:t>
      </w:r>
      <w:r>
        <w:rPr>
          <w:rFonts w:hint="eastAsia" w:ascii="宋体" w:hAnsi="宋体" w:eastAsia="宋体" w:cs="宋体"/>
          <w:b/>
          <w:bCs/>
          <w:color w:val="auto"/>
          <w:sz w:val="24"/>
          <w:highlight w:val="none"/>
        </w:rPr>
        <w:t>. 技术文件目录</w:t>
      </w:r>
    </w:p>
    <w:p w14:paraId="44D0D1B1">
      <w:pPr>
        <w:snapToGrid w:val="0"/>
        <w:spacing w:before="50" w:afterLines="50" w:line="280" w:lineRule="exact"/>
        <w:ind w:left="283" w:left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14:paraId="4F1F1DD9">
      <w:pPr>
        <w:pStyle w:val="5"/>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2.采购需求</w:t>
      </w:r>
      <w:r>
        <w:rPr>
          <w:rFonts w:hint="eastAsia" w:ascii="宋体" w:hAnsi="宋体" w:eastAsia="宋体" w:cs="宋体"/>
          <w:b/>
          <w:color w:val="auto"/>
          <w:sz w:val="24"/>
          <w:highlight w:val="none"/>
        </w:rPr>
        <w:t>偏离表</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格式</w:t>
      </w:r>
      <w:r>
        <w:rPr>
          <w:rFonts w:hint="eastAsia" w:ascii="宋体" w:hAnsi="宋体" w:eastAsia="宋体" w:cs="宋体"/>
          <w:b/>
          <w:color w:val="auto"/>
          <w:sz w:val="24"/>
          <w:highlight w:val="none"/>
          <w:lang w:eastAsia="zh-CN"/>
        </w:rPr>
        <w:t>）</w:t>
      </w:r>
    </w:p>
    <w:p w14:paraId="039C0009">
      <w:pPr>
        <w:snapToGrid w:val="0"/>
        <w:spacing w:before="120" w:beforeLines="50" w:after="50"/>
        <w:ind w:left="142"/>
        <w:jc w:val="left"/>
        <w:rPr>
          <w:rFonts w:hint="eastAsia" w:ascii="宋体" w:hAnsi="宋体" w:eastAsia="宋体" w:cs="宋体"/>
          <w:b/>
          <w:color w:val="auto"/>
          <w:sz w:val="24"/>
          <w:highlight w:val="none"/>
        </w:rPr>
      </w:pPr>
    </w:p>
    <w:p w14:paraId="0D8DA8FE">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采购</w:t>
      </w:r>
      <w:r>
        <w:rPr>
          <w:rFonts w:hint="eastAsia" w:ascii="宋体" w:hAnsi="宋体" w:eastAsia="宋体" w:cs="宋体"/>
          <w:b/>
          <w:color w:val="auto"/>
          <w:sz w:val="32"/>
          <w:szCs w:val="32"/>
          <w:highlight w:val="none"/>
        </w:rPr>
        <w:t>需求偏离表</w:t>
      </w:r>
    </w:p>
    <w:tbl>
      <w:tblPr>
        <w:tblStyle w:val="4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1F5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A3EE423">
            <w:pPr>
              <w:pStyle w:val="25"/>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项号</w:t>
            </w:r>
          </w:p>
        </w:tc>
        <w:tc>
          <w:tcPr>
            <w:tcW w:w="2143" w:type="dxa"/>
            <w:vAlign w:val="center"/>
          </w:tcPr>
          <w:p w14:paraId="0070849E">
            <w:pPr>
              <w:pStyle w:val="25"/>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标的的名称</w:t>
            </w:r>
          </w:p>
        </w:tc>
        <w:tc>
          <w:tcPr>
            <w:tcW w:w="1834" w:type="dxa"/>
            <w:vAlign w:val="center"/>
          </w:tcPr>
          <w:p w14:paraId="3798DEFA">
            <w:pPr>
              <w:pStyle w:val="25"/>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招标要求</w:t>
            </w:r>
          </w:p>
        </w:tc>
        <w:tc>
          <w:tcPr>
            <w:tcW w:w="2181" w:type="dxa"/>
            <w:vAlign w:val="center"/>
          </w:tcPr>
          <w:p w14:paraId="539B098A">
            <w:pPr>
              <w:pStyle w:val="25"/>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投标响应</w:t>
            </w:r>
          </w:p>
        </w:tc>
        <w:tc>
          <w:tcPr>
            <w:tcW w:w="1934" w:type="dxa"/>
            <w:vAlign w:val="center"/>
          </w:tcPr>
          <w:p w14:paraId="19F7F44A">
            <w:pPr>
              <w:pStyle w:val="25"/>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14:paraId="0EC0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D5BA54D">
            <w:pPr>
              <w:pStyle w:val="25"/>
              <w:spacing w:line="600" w:lineRule="exact"/>
              <w:jc w:val="center"/>
              <w:rPr>
                <w:rFonts w:hint="eastAsia" w:ascii="宋体" w:hAnsi="宋体" w:eastAsia="宋体" w:cs="宋体"/>
                <w:color w:val="auto"/>
                <w:kern w:val="2"/>
                <w:sz w:val="24"/>
                <w:szCs w:val="24"/>
                <w:highlight w:val="none"/>
              </w:rPr>
            </w:pPr>
          </w:p>
        </w:tc>
        <w:tc>
          <w:tcPr>
            <w:tcW w:w="2143" w:type="dxa"/>
            <w:vAlign w:val="center"/>
          </w:tcPr>
          <w:p w14:paraId="27C88AAE">
            <w:pPr>
              <w:pStyle w:val="25"/>
              <w:spacing w:line="600" w:lineRule="exact"/>
              <w:jc w:val="center"/>
              <w:rPr>
                <w:rFonts w:hint="eastAsia" w:ascii="宋体" w:hAnsi="宋体" w:eastAsia="宋体" w:cs="宋体"/>
                <w:color w:val="auto"/>
                <w:kern w:val="2"/>
                <w:sz w:val="24"/>
                <w:szCs w:val="24"/>
                <w:highlight w:val="none"/>
              </w:rPr>
            </w:pPr>
          </w:p>
        </w:tc>
        <w:tc>
          <w:tcPr>
            <w:tcW w:w="1834" w:type="dxa"/>
            <w:vAlign w:val="center"/>
          </w:tcPr>
          <w:p w14:paraId="5B9354E3">
            <w:pPr>
              <w:pStyle w:val="25"/>
              <w:spacing w:line="600" w:lineRule="exact"/>
              <w:jc w:val="center"/>
              <w:rPr>
                <w:rFonts w:hint="eastAsia" w:ascii="宋体" w:hAnsi="宋体" w:eastAsia="宋体" w:cs="宋体"/>
                <w:color w:val="auto"/>
                <w:kern w:val="2"/>
                <w:sz w:val="24"/>
                <w:szCs w:val="24"/>
                <w:highlight w:val="none"/>
              </w:rPr>
            </w:pPr>
          </w:p>
        </w:tc>
        <w:tc>
          <w:tcPr>
            <w:tcW w:w="2181" w:type="dxa"/>
            <w:vAlign w:val="center"/>
          </w:tcPr>
          <w:p w14:paraId="4DFC2C6A">
            <w:pPr>
              <w:pStyle w:val="25"/>
              <w:spacing w:line="600" w:lineRule="exact"/>
              <w:jc w:val="center"/>
              <w:rPr>
                <w:rFonts w:hint="eastAsia" w:ascii="宋体" w:hAnsi="宋体" w:eastAsia="宋体" w:cs="宋体"/>
                <w:color w:val="auto"/>
                <w:kern w:val="2"/>
                <w:sz w:val="24"/>
                <w:szCs w:val="24"/>
                <w:highlight w:val="none"/>
              </w:rPr>
            </w:pPr>
          </w:p>
        </w:tc>
        <w:tc>
          <w:tcPr>
            <w:tcW w:w="1934" w:type="dxa"/>
            <w:vAlign w:val="center"/>
          </w:tcPr>
          <w:p w14:paraId="1CB7D0E8">
            <w:pPr>
              <w:pStyle w:val="25"/>
              <w:spacing w:line="600" w:lineRule="exact"/>
              <w:jc w:val="center"/>
              <w:rPr>
                <w:rFonts w:hint="eastAsia" w:ascii="宋体" w:hAnsi="宋体" w:eastAsia="宋体" w:cs="宋体"/>
                <w:color w:val="auto"/>
                <w:kern w:val="2"/>
                <w:sz w:val="24"/>
                <w:szCs w:val="24"/>
                <w:highlight w:val="none"/>
              </w:rPr>
            </w:pPr>
          </w:p>
        </w:tc>
      </w:tr>
      <w:tr w14:paraId="1056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164FD0B">
            <w:pPr>
              <w:pStyle w:val="25"/>
              <w:spacing w:line="600" w:lineRule="exact"/>
              <w:rPr>
                <w:rFonts w:hint="eastAsia" w:ascii="宋体" w:hAnsi="宋体" w:eastAsia="宋体" w:cs="宋体"/>
                <w:color w:val="auto"/>
                <w:kern w:val="2"/>
                <w:sz w:val="24"/>
                <w:szCs w:val="24"/>
                <w:highlight w:val="none"/>
              </w:rPr>
            </w:pPr>
          </w:p>
        </w:tc>
        <w:tc>
          <w:tcPr>
            <w:tcW w:w="2143" w:type="dxa"/>
          </w:tcPr>
          <w:p w14:paraId="40D13CEB">
            <w:pPr>
              <w:pStyle w:val="25"/>
              <w:spacing w:line="600" w:lineRule="exact"/>
              <w:rPr>
                <w:rFonts w:hint="eastAsia" w:ascii="宋体" w:hAnsi="宋体" w:eastAsia="宋体" w:cs="宋体"/>
                <w:color w:val="auto"/>
                <w:kern w:val="2"/>
                <w:sz w:val="24"/>
                <w:szCs w:val="24"/>
                <w:highlight w:val="none"/>
              </w:rPr>
            </w:pPr>
          </w:p>
        </w:tc>
        <w:tc>
          <w:tcPr>
            <w:tcW w:w="1834" w:type="dxa"/>
          </w:tcPr>
          <w:p w14:paraId="7168C4FC">
            <w:pPr>
              <w:pStyle w:val="25"/>
              <w:spacing w:line="600" w:lineRule="exact"/>
              <w:rPr>
                <w:rFonts w:hint="eastAsia" w:ascii="宋体" w:hAnsi="宋体" w:eastAsia="宋体" w:cs="宋体"/>
                <w:color w:val="auto"/>
                <w:kern w:val="2"/>
                <w:sz w:val="24"/>
                <w:szCs w:val="24"/>
                <w:highlight w:val="none"/>
              </w:rPr>
            </w:pPr>
          </w:p>
        </w:tc>
        <w:tc>
          <w:tcPr>
            <w:tcW w:w="2181" w:type="dxa"/>
          </w:tcPr>
          <w:p w14:paraId="62FF0C98">
            <w:pPr>
              <w:pStyle w:val="25"/>
              <w:spacing w:line="600" w:lineRule="exact"/>
              <w:rPr>
                <w:rFonts w:hint="eastAsia" w:ascii="宋体" w:hAnsi="宋体" w:eastAsia="宋体" w:cs="宋体"/>
                <w:color w:val="auto"/>
                <w:kern w:val="2"/>
                <w:sz w:val="24"/>
                <w:szCs w:val="24"/>
                <w:highlight w:val="none"/>
              </w:rPr>
            </w:pPr>
          </w:p>
        </w:tc>
        <w:tc>
          <w:tcPr>
            <w:tcW w:w="1934" w:type="dxa"/>
          </w:tcPr>
          <w:p w14:paraId="1773BB6F">
            <w:pPr>
              <w:pStyle w:val="25"/>
              <w:spacing w:line="600" w:lineRule="exact"/>
              <w:rPr>
                <w:rFonts w:hint="eastAsia" w:ascii="宋体" w:hAnsi="宋体" w:eastAsia="宋体" w:cs="宋体"/>
                <w:color w:val="auto"/>
                <w:kern w:val="2"/>
                <w:sz w:val="24"/>
                <w:szCs w:val="24"/>
                <w:highlight w:val="none"/>
              </w:rPr>
            </w:pPr>
          </w:p>
        </w:tc>
      </w:tr>
      <w:tr w14:paraId="24DB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7CD9712">
            <w:pPr>
              <w:pStyle w:val="25"/>
              <w:spacing w:line="600" w:lineRule="exact"/>
              <w:rPr>
                <w:rFonts w:hint="eastAsia" w:ascii="宋体" w:hAnsi="宋体" w:eastAsia="宋体" w:cs="宋体"/>
                <w:color w:val="auto"/>
                <w:kern w:val="2"/>
                <w:sz w:val="24"/>
                <w:szCs w:val="24"/>
                <w:highlight w:val="none"/>
              </w:rPr>
            </w:pPr>
          </w:p>
        </w:tc>
        <w:tc>
          <w:tcPr>
            <w:tcW w:w="2143" w:type="dxa"/>
          </w:tcPr>
          <w:p w14:paraId="45EC9D14">
            <w:pPr>
              <w:pStyle w:val="25"/>
              <w:spacing w:line="600" w:lineRule="exact"/>
              <w:rPr>
                <w:rFonts w:hint="eastAsia" w:ascii="宋体" w:hAnsi="宋体" w:eastAsia="宋体" w:cs="宋体"/>
                <w:color w:val="auto"/>
                <w:kern w:val="2"/>
                <w:sz w:val="24"/>
                <w:szCs w:val="24"/>
                <w:highlight w:val="none"/>
              </w:rPr>
            </w:pPr>
          </w:p>
        </w:tc>
        <w:tc>
          <w:tcPr>
            <w:tcW w:w="1834" w:type="dxa"/>
          </w:tcPr>
          <w:p w14:paraId="0B297C3C">
            <w:pPr>
              <w:pStyle w:val="25"/>
              <w:spacing w:line="600" w:lineRule="exact"/>
              <w:rPr>
                <w:rFonts w:hint="eastAsia" w:ascii="宋体" w:hAnsi="宋体" w:eastAsia="宋体" w:cs="宋体"/>
                <w:color w:val="auto"/>
                <w:kern w:val="2"/>
                <w:sz w:val="24"/>
                <w:szCs w:val="24"/>
                <w:highlight w:val="none"/>
              </w:rPr>
            </w:pPr>
          </w:p>
        </w:tc>
        <w:tc>
          <w:tcPr>
            <w:tcW w:w="2181" w:type="dxa"/>
          </w:tcPr>
          <w:p w14:paraId="27F86D32">
            <w:pPr>
              <w:pStyle w:val="25"/>
              <w:spacing w:line="600" w:lineRule="exact"/>
              <w:rPr>
                <w:rFonts w:hint="eastAsia" w:ascii="宋体" w:hAnsi="宋体" w:eastAsia="宋体" w:cs="宋体"/>
                <w:color w:val="auto"/>
                <w:kern w:val="2"/>
                <w:sz w:val="24"/>
                <w:szCs w:val="24"/>
                <w:highlight w:val="none"/>
              </w:rPr>
            </w:pPr>
          </w:p>
        </w:tc>
        <w:tc>
          <w:tcPr>
            <w:tcW w:w="1934" w:type="dxa"/>
          </w:tcPr>
          <w:p w14:paraId="6511C531">
            <w:pPr>
              <w:pStyle w:val="25"/>
              <w:spacing w:line="600" w:lineRule="exact"/>
              <w:rPr>
                <w:rFonts w:hint="eastAsia" w:ascii="宋体" w:hAnsi="宋体" w:eastAsia="宋体" w:cs="宋体"/>
                <w:color w:val="auto"/>
                <w:kern w:val="2"/>
                <w:sz w:val="24"/>
                <w:szCs w:val="24"/>
                <w:highlight w:val="none"/>
              </w:rPr>
            </w:pPr>
          </w:p>
        </w:tc>
      </w:tr>
      <w:tr w14:paraId="775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4E430E">
            <w:pPr>
              <w:pStyle w:val="25"/>
              <w:spacing w:line="600" w:lineRule="exact"/>
              <w:rPr>
                <w:rFonts w:hint="eastAsia" w:ascii="宋体" w:hAnsi="宋体" w:eastAsia="宋体" w:cs="宋体"/>
                <w:color w:val="auto"/>
                <w:kern w:val="2"/>
                <w:sz w:val="24"/>
                <w:szCs w:val="24"/>
                <w:highlight w:val="none"/>
              </w:rPr>
            </w:pPr>
          </w:p>
        </w:tc>
        <w:tc>
          <w:tcPr>
            <w:tcW w:w="2143" w:type="dxa"/>
          </w:tcPr>
          <w:p w14:paraId="29B62E33">
            <w:pPr>
              <w:pStyle w:val="25"/>
              <w:spacing w:line="600" w:lineRule="exact"/>
              <w:rPr>
                <w:rFonts w:hint="eastAsia" w:ascii="宋体" w:hAnsi="宋体" w:eastAsia="宋体" w:cs="宋体"/>
                <w:color w:val="auto"/>
                <w:kern w:val="2"/>
                <w:sz w:val="24"/>
                <w:szCs w:val="24"/>
                <w:highlight w:val="none"/>
              </w:rPr>
            </w:pPr>
          </w:p>
        </w:tc>
        <w:tc>
          <w:tcPr>
            <w:tcW w:w="1834" w:type="dxa"/>
          </w:tcPr>
          <w:p w14:paraId="1163F30B">
            <w:pPr>
              <w:pStyle w:val="25"/>
              <w:spacing w:line="600" w:lineRule="exact"/>
              <w:rPr>
                <w:rFonts w:hint="eastAsia" w:ascii="宋体" w:hAnsi="宋体" w:eastAsia="宋体" w:cs="宋体"/>
                <w:color w:val="auto"/>
                <w:kern w:val="2"/>
                <w:sz w:val="24"/>
                <w:szCs w:val="24"/>
                <w:highlight w:val="none"/>
              </w:rPr>
            </w:pPr>
          </w:p>
        </w:tc>
        <w:tc>
          <w:tcPr>
            <w:tcW w:w="2181" w:type="dxa"/>
          </w:tcPr>
          <w:p w14:paraId="1B3889EF">
            <w:pPr>
              <w:pStyle w:val="25"/>
              <w:spacing w:line="600" w:lineRule="exact"/>
              <w:rPr>
                <w:rFonts w:hint="eastAsia" w:ascii="宋体" w:hAnsi="宋体" w:eastAsia="宋体" w:cs="宋体"/>
                <w:color w:val="auto"/>
                <w:kern w:val="2"/>
                <w:sz w:val="24"/>
                <w:szCs w:val="24"/>
                <w:highlight w:val="none"/>
              </w:rPr>
            </w:pPr>
          </w:p>
        </w:tc>
        <w:tc>
          <w:tcPr>
            <w:tcW w:w="1934" w:type="dxa"/>
          </w:tcPr>
          <w:p w14:paraId="0295EBA6">
            <w:pPr>
              <w:pStyle w:val="25"/>
              <w:spacing w:line="600" w:lineRule="exact"/>
              <w:rPr>
                <w:rFonts w:hint="eastAsia" w:ascii="宋体" w:hAnsi="宋体" w:eastAsia="宋体" w:cs="宋体"/>
                <w:color w:val="auto"/>
                <w:kern w:val="2"/>
                <w:sz w:val="24"/>
                <w:szCs w:val="24"/>
                <w:highlight w:val="none"/>
              </w:rPr>
            </w:pPr>
          </w:p>
        </w:tc>
      </w:tr>
      <w:tr w14:paraId="31C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1A71DF9">
            <w:pPr>
              <w:pStyle w:val="25"/>
              <w:spacing w:line="600" w:lineRule="exact"/>
              <w:rPr>
                <w:rFonts w:hint="eastAsia" w:ascii="宋体" w:hAnsi="宋体" w:eastAsia="宋体" w:cs="宋体"/>
                <w:color w:val="auto"/>
                <w:kern w:val="2"/>
                <w:sz w:val="24"/>
                <w:szCs w:val="24"/>
                <w:highlight w:val="none"/>
              </w:rPr>
            </w:pPr>
          </w:p>
        </w:tc>
        <w:tc>
          <w:tcPr>
            <w:tcW w:w="2143" w:type="dxa"/>
          </w:tcPr>
          <w:p w14:paraId="0E36C17C">
            <w:pPr>
              <w:pStyle w:val="25"/>
              <w:spacing w:line="600" w:lineRule="exact"/>
              <w:rPr>
                <w:rFonts w:hint="eastAsia" w:ascii="宋体" w:hAnsi="宋体" w:eastAsia="宋体" w:cs="宋体"/>
                <w:color w:val="auto"/>
                <w:kern w:val="2"/>
                <w:sz w:val="24"/>
                <w:szCs w:val="24"/>
                <w:highlight w:val="none"/>
              </w:rPr>
            </w:pPr>
          </w:p>
        </w:tc>
        <w:tc>
          <w:tcPr>
            <w:tcW w:w="1834" w:type="dxa"/>
          </w:tcPr>
          <w:p w14:paraId="7BF954A0">
            <w:pPr>
              <w:pStyle w:val="25"/>
              <w:spacing w:line="600" w:lineRule="exact"/>
              <w:rPr>
                <w:rFonts w:hint="eastAsia" w:ascii="宋体" w:hAnsi="宋体" w:eastAsia="宋体" w:cs="宋体"/>
                <w:color w:val="auto"/>
                <w:kern w:val="2"/>
                <w:sz w:val="24"/>
                <w:szCs w:val="24"/>
                <w:highlight w:val="none"/>
              </w:rPr>
            </w:pPr>
          </w:p>
        </w:tc>
        <w:tc>
          <w:tcPr>
            <w:tcW w:w="2181" w:type="dxa"/>
          </w:tcPr>
          <w:p w14:paraId="35FE2602">
            <w:pPr>
              <w:pStyle w:val="25"/>
              <w:spacing w:line="600" w:lineRule="exact"/>
              <w:rPr>
                <w:rFonts w:hint="eastAsia" w:ascii="宋体" w:hAnsi="宋体" w:eastAsia="宋体" w:cs="宋体"/>
                <w:color w:val="auto"/>
                <w:kern w:val="2"/>
                <w:sz w:val="24"/>
                <w:szCs w:val="24"/>
                <w:highlight w:val="none"/>
              </w:rPr>
            </w:pPr>
          </w:p>
        </w:tc>
        <w:tc>
          <w:tcPr>
            <w:tcW w:w="1934" w:type="dxa"/>
          </w:tcPr>
          <w:p w14:paraId="3320F21A">
            <w:pPr>
              <w:pStyle w:val="25"/>
              <w:spacing w:line="600" w:lineRule="exact"/>
              <w:rPr>
                <w:rFonts w:hint="eastAsia" w:ascii="宋体" w:hAnsi="宋体" w:eastAsia="宋体" w:cs="宋体"/>
                <w:color w:val="auto"/>
                <w:kern w:val="2"/>
                <w:sz w:val="24"/>
                <w:szCs w:val="24"/>
                <w:highlight w:val="none"/>
              </w:rPr>
            </w:pPr>
          </w:p>
        </w:tc>
      </w:tr>
      <w:tr w14:paraId="208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5F556E">
            <w:pPr>
              <w:pStyle w:val="25"/>
              <w:spacing w:line="600" w:lineRule="exact"/>
              <w:rPr>
                <w:rFonts w:hint="eastAsia" w:ascii="宋体" w:hAnsi="宋体" w:eastAsia="宋体" w:cs="宋体"/>
                <w:color w:val="auto"/>
                <w:kern w:val="2"/>
                <w:sz w:val="24"/>
                <w:szCs w:val="24"/>
                <w:highlight w:val="none"/>
              </w:rPr>
            </w:pPr>
          </w:p>
        </w:tc>
        <w:tc>
          <w:tcPr>
            <w:tcW w:w="2143" w:type="dxa"/>
          </w:tcPr>
          <w:p w14:paraId="7F0DF4B9">
            <w:pPr>
              <w:pStyle w:val="25"/>
              <w:spacing w:line="600" w:lineRule="exact"/>
              <w:rPr>
                <w:rFonts w:hint="eastAsia" w:ascii="宋体" w:hAnsi="宋体" w:eastAsia="宋体" w:cs="宋体"/>
                <w:color w:val="auto"/>
                <w:kern w:val="2"/>
                <w:sz w:val="24"/>
                <w:szCs w:val="24"/>
                <w:highlight w:val="none"/>
              </w:rPr>
            </w:pPr>
          </w:p>
        </w:tc>
        <w:tc>
          <w:tcPr>
            <w:tcW w:w="1834" w:type="dxa"/>
          </w:tcPr>
          <w:p w14:paraId="4035C08F">
            <w:pPr>
              <w:pStyle w:val="25"/>
              <w:spacing w:line="600" w:lineRule="exact"/>
              <w:rPr>
                <w:rFonts w:hint="eastAsia" w:ascii="宋体" w:hAnsi="宋体" w:eastAsia="宋体" w:cs="宋体"/>
                <w:color w:val="auto"/>
                <w:kern w:val="2"/>
                <w:sz w:val="24"/>
                <w:szCs w:val="24"/>
                <w:highlight w:val="none"/>
              </w:rPr>
            </w:pPr>
          </w:p>
        </w:tc>
        <w:tc>
          <w:tcPr>
            <w:tcW w:w="2181" w:type="dxa"/>
          </w:tcPr>
          <w:p w14:paraId="2BEA6689">
            <w:pPr>
              <w:pStyle w:val="25"/>
              <w:spacing w:line="600" w:lineRule="exact"/>
              <w:rPr>
                <w:rFonts w:hint="eastAsia" w:ascii="宋体" w:hAnsi="宋体" w:eastAsia="宋体" w:cs="宋体"/>
                <w:color w:val="auto"/>
                <w:kern w:val="2"/>
                <w:sz w:val="24"/>
                <w:szCs w:val="24"/>
                <w:highlight w:val="none"/>
              </w:rPr>
            </w:pPr>
          </w:p>
        </w:tc>
        <w:tc>
          <w:tcPr>
            <w:tcW w:w="1934" w:type="dxa"/>
          </w:tcPr>
          <w:p w14:paraId="65286B54">
            <w:pPr>
              <w:pStyle w:val="25"/>
              <w:spacing w:line="600" w:lineRule="exact"/>
              <w:rPr>
                <w:rFonts w:hint="eastAsia" w:ascii="宋体" w:hAnsi="宋体" w:eastAsia="宋体" w:cs="宋体"/>
                <w:color w:val="auto"/>
                <w:kern w:val="2"/>
                <w:sz w:val="24"/>
                <w:szCs w:val="24"/>
                <w:highlight w:val="none"/>
              </w:rPr>
            </w:pPr>
          </w:p>
        </w:tc>
      </w:tr>
      <w:tr w14:paraId="453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1FC987">
            <w:pPr>
              <w:pStyle w:val="25"/>
              <w:spacing w:line="600" w:lineRule="exact"/>
              <w:rPr>
                <w:rFonts w:hint="eastAsia" w:ascii="宋体" w:hAnsi="宋体" w:eastAsia="宋体" w:cs="宋体"/>
                <w:color w:val="auto"/>
                <w:kern w:val="2"/>
                <w:sz w:val="24"/>
                <w:szCs w:val="24"/>
                <w:highlight w:val="none"/>
              </w:rPr>
            </w:pPr>
          </w:p>
        </w:tc>
        <w:tc>
          <w:tcPr>
            <w:tcW w:w="2143" w:type="dxa"/>
          </w:tcPr>
          <w:p w14:paraId="772E8FA3">
            <w:pPr>
              <w:pStyle w:val="25"/>
              <w:spacing w:line="600" w:lineRule="exact"/>
              <w:rPr>
                <w:rFonts w:hint="eastAsia" w:ascii="宋体" w:hAnsi="宋体" w:eastAsia="宋体" w:cs="宋体"/>
                <w:color w:val="auto"/>
                <w:kern w:val="2"/>
                <w:sz w:val="24"/>
                <w:szCs w:val="24"/>
                <w:highlight w:val="none"/>
              </w:rPr>
            </w:pPr>
          </w:p>
        </w:tc>
        <w:tc>
          <w:tcPr>
            <w:tcW w:w="1834" w:type="dxa"/>
          </w:tcPr>
          <w:p w14:paraId="154E0A28">
            <w:pPr>
              <w:pStyle w:val="25"/>
              <w:spacing w:line="600" w:lineRule="exact"/>
              <w:rPr>
                <w:rFonts w:hint="eastAsia" w:ascii="宋体" w:hAnsi="宋体" w:eastAsia="宋体" w:cs="宋体"/>
                <w:color w:val="auto"/>
                <w:kern w:val="2"/>
                <w:sz w:val="24"/>
                <w:szCs w:val="24"/>
                <w:highlight w:val="none"/>
              </w:rPr>
            </w:pPr>
          </w:p>
        </w:tc>
        <w:tc>
          <w:tcPr>
            <w:tcW w:w="2181" w:type="dxa"/>
          </w:tcPr>
          <w:p w14:paraId="2AB03F2D">
            <w:pPr>
              <w:pStyle w:val="25"/>
              <w:spacing w:line="600" w:lineRule="exact"/>
              <w:rPr>
                <w:rFonts w:hint="eastAsia" w:ascii="宋体" w:hAnsi="宋体" w:eastAsia="宋体" w:cs="宋体"/>
                <w:color w:val="auto"/>
                <w:kern w:val="2"/>
                <w:sz w:val="24"/>
                <w:szCs w:val="24"/>
                <w:highlight w:val="none"/>
              </w:rPr>
            </w:pPr>
          </w:p>
        </w:tc>
        <w:tc>
          <w:tcPr>
            <w:tcW w:w="1934" w:type="dxa"/>
          </w:tcPr>
          <w:p w14:paraId="7CCC2778">
            <w:pPr>
              <w:pStyle w:val="25"/>
              <w:spacing w:line="600" w:lineRule="exact"/>
              <w:rPr>
                <w:rFonts w:hint="eastAsia" w:ascii="宋体" w:hAnsi="宋体" w:eastAsia="宋体" w:cs="宋体"/>
                <w:color w:val="auto"/>
                <w:kern w:val="2"/>
                <w:sz w:val="24"/>
                <w:szCs w:val="24"/>
                <w:highlight w:val="none"/>
              </w:rPr>
            </w:pPr>
          </w:p>
        </w:tc>
      </w:tr>
      <w:tr w14:paraId="5A5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1501602">
            <w:pPr>
              <w:pStyle w:val="25"/>
              <w:spacing w:line="600" w:lineRule="exact"/>
              <w:rPr>
                <w:rFonts w:hint="eastAsia" w:ascii="宋体" w:hAnsi="宋体" w:eastAsia="宋体" w:cs="宋体"/>
                <w:color w:val="auto"/>
                <w:kern w:val="2"/>
                <w:sz w:val="24"/>
                <w:szCs w:val="24"/>
                <w:highlight w:val="none"/>
              </w:rPr>
            </w:pPr>
          </w:p>
        </w:tc>
        <w:tc>
          <w:tcPr>
            <w:tcW w:w="2143" w:type="dxa"/>
          </w:tcPr>
          <w:p w14:paraId="11281B19">
            <w:pPr>
              <w:pStyle w:val="25"/>
              <w:spacing w:line="600" w:lineRule="exact"/>
              <w:rPr>
                <w:rFonts w:hint="eastAsia" w:ascii="宋体" w:hAnsi="宋体" w:eastAsia="宋体" w:cs="宋体"/>
                <w:color w:val="auto"/>
                <w:kern w:val="2"/>
                <w:sz w:val="24"/>
                <w:szCs w:val="24"/>
                <w:highlight w:val="none"/>
              </w:rPr>
            </w:pPr>
          </w:p>
        </w:tc>
        <w:tc>
          <w:tcPr>
            <w:tcW w:w="1834" w:type="dxa"/>
          </w:tcPr>
          <w:p w14:paraId="781090F6">
            <w:pPr>
              <w:pStyle w:val="25"/>
              <w:spacing w:line="600" w:lineRule="exact"/>
              <w:rPr>
                <w:rFonts w:hint="eastAsia" w:ascii="宋体" w:hAnsi="宋体" w:eastAsia="宋体" w:cs="宋体"/>
                <w:color w:val="auto"/>
                <w:kern w:val="2"/>
                <w:sz w:val="24"/>
                <w:szCs w:val="24"/>
                <w:highlight w:val="none"/>
              </w:rPr>
            </w:pPr>
          </w:p>
        </w:tc>
        <w:tc>
          <w:tcPr>
            <w:tcW w:w="2181" w:type="dxa"/>
          </w:tcPr>
          <w:p w14:paraId="67585542">
            <w:pPr>
              <w:pStyle w:val="25"/>
              <w:spacing w:line="600" w:lineRule="exact"/>
              <w:rPr>
                <w:rFonts w:hint="eastAsia" w:ascii="宋体" w:hAnsi="宋体" w:eastAsia="宋体" w:cs="宋体"/>
                <w:color w:val="auto"/>
                <w:kern w:val="2"/>
                <w:sz w:val="24"/>
                <w:szCs w:val="24"/>
                <w:highlight w:val="none"/>
              </w:rPr>
            </w:pPr>
          </w:p>
        </w:tc>
        <w:tc>
          <w:tcPr>
            <w:tcW w:w="1934" w:type="dxa"/>
          </w:tcPr>
          <w:p w14:paraId="346E6371">
            <w:pPr>
              <w:pStyle w:val="25"/>
              <w:spacing w:line="600" w:lineRule="exact"/>
              <w:rPr>
                <w:rFonts w:hint="eastAsia" w:ascii="宋体" w:hAnsi="宋体" w:eastAsia="宋体" w:cs="宋体"/>
                <w:color w:val="auto"/>
                <w:kern w:val="2"/>
                <w:sz w:val="24"/>
                <w:szCs w:val="24"/>
                <w:highlight w:val="none"/>
              </w:rPr>
            </w:pPr>
          </w:p>
        </w:tc>
      </w:tr>
      <w:tr w14:paraId="56DD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D21D63E">
            <w:pPr>
              <w:pStyle w:val="25"/>
              <w:spacing w:line="600" w:lineRule="exact"/>
              <w:rPr>
                <w:rFonts w:hint="eastAsia" w:ascii="宋体" w:hAnsi="宋体" w:eastAsia="宋体" w:cs="宋体"/>
                <w:color w:val="auto"/>
                <w:kern w:val="2"/>
                <w:sz w:val="24"/>
                <w:szCs w:val="24"/>
                <w:highlight w:val="none"/>
              </w:rPr>
            </w:pPr>
          </w:p>
        </w:tc>
        <w:tc>
          <w:tcPr>
            <w:tcW w:w="2143" w:type="dxa"/>
          </w:tcPr>
          <w:p w14:paraId="5BA45C69">
            <w:pPr>
              <w:pStyle w:val="25"/>
              <w:spacing w:line="600" w:lineRule="exact"/>
              <w:rPr>
                <w:rFonts w:hint="eastAsia" w:ascii="宋体" w:hAnsi="宋体" w:eastAsia="宋体" w:cs="宋体"/>
                <w:color w:val="auto"/>
                <w:kern w:val="2"/>
                <w:sz w:val="24"/>
                <w:szCs w:val="24"/>
                <w:highlight w:val="none"/>
              </w:rPr>
            </w:pPr>
          </w:p>
        </w:tc>
        <w:tc>
          <w:tcPr>
            <w:tcW w:w="1834" w:type="dxa"/>
          </w:tcPr>
          <w:p w14:paraId="3EA003F8">
            <w:pPr>
              <w:pStyle w:val="25"/>
              <w:spacing w:line="600" w:lineRule="exact"/>
              <w:rPr>
                <w:rFonts w:hint="eastAsia" w:ascii="宋体" w:hAnsi="宋体" w:eastAsia="宋体" w:cs="宋体"/>
                <w:color w:val="auto"/>
                <w:kern w:val="2"/>
                <w:sz w:val="24"/>
                <w:szCs w:val="24"/>
                <w:highlight w:val="none"/>
              </w:rPr>
            </w:pPr>
          </w:p>
        </w:tc>
        <w:tc>
          <w:tcPr>
            <w:tcW w:w="2181" w:type="dxa"/>
          </w:tcPr>
          <w:p w14:paraId="2787775D">
            <w:pPr>
              <w:pStyle w:val="25"/>
              <w:spacing w:line="600" w:lineRule="exact"/>
              <w:rPr>
                <w:rFonts w:hint="eastAsia" w:ascii="宋体" w:hAnsi="宋体" w:eastAsia="宋体" w:cs="宋体"/>
                <w:color w:val="auto"/>
                <w:kern w:val="2"/>
                <w:sz w:val="24"/>
                <w:szCs w:val="24"/>
                <w:highlight w:val="none"/>
              </w:rPr>
            </w:pPr>
          </w:p>
        </w:tc>
        <w:tc>
          <w:tcPr>
            <w:tcW w:w="1934" w:type="dxa"/>
          </w:tcPr>
          <w:p w14:paraId="4D9DA87E">
            <w:pPr>
              <w:pStyle w:val="25"/>
              <w:spacing w:line="600" w:lineRule="exact"/>
              <w:rPr>
                <w:rFonts w:hint="eastAsia" w:ascii="宋体" w:hAnsi="宋体" w:eastAsia="宋体" w:cs="宋体"/>
                <w:color w:val="auto"/>
                <w:kern w:val="2"/>
                <w:sz w:val="24"/>
                <w:szCs w:val="24"/>
                <w:highlight w:val="none"/>
              </w:rPr>
            </w:pPr>
          </w:p>
        </w:tc>
      </w:tr>
      <w:tr w14:paraId="2443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E1A4B5">
            <w:pPr>
              <w:pStyle w:val="25"/>
              <w:spacing w:line="600" w:lineRule="exact"/>
              <w:rPr>
                <w:rFonts w:hint="eastAsia" w:ascii="宋体" w:hAnsi="宋体" w:eastAsia="宋体" w:cs="宋体"/>
                <w:color w:val="auto"/>
                <w:kern w:val="2"/>
                <w:sz w:val="24"/>
                <w:szCs w:val="24"/>
                <w:highlight w:val="none"/>
              </w:rPr>
            </w:pPr>
          </w:p>
        </w:tc>
        <w:tc>
          <w:tcPr>
            <w:tcW w:w="2143" w:type="dxa"/>
          </w:tcPr>
          <w:p w14:paraId="3C21E9A7">
            <w:pPr>
              <w:pStyle w:val="25"/>
              <w:spacing w:line="600" w:lineRule="exact"/>
              <w:rPr>
                <w:rFonts w:hint="eastAsia" w:ascii="宋体" w:hAnsi="宋体" w:eastAsia="宋体" w:cs="宋体"/>
                <w:color w:val="auto"/>
                <w:kern w:val="2"/>
                <w:sz w:val="24"/>
                <w:szCs w:val="24"/>
                <w:highlight w:val="none"/>
              </w:rPr>
            </w:pPr>
          </w:p>
        </w:tc>
        <w:tc>
          <w:tcPr>
            <w:tcW w:w="1834" w:type="dxa"/>
          </w:tcPr>
          <w:p w14:paraId="0DAC4524">
            <w:pPr>
              <w:pStyle w:val="25"/>
              <w:spacing w:line="600" w:lineRule="exact"/>
              <w:rPr>
                <w:rFonts w:hint="eastAsia" w:ascii="宋体" w:hAnsi="宋体" w:eastAsia="宋体" w:cs="宋体"/>
                <w:color w:val="auto"/>
                <w:kern w:val="2"/>
                <w:sz w:val="24"/>
                <w:szCs w:val="24"/>
                <w:highlight w:val="none"/>
              </w:rPr>
            </w:pPr>
          </w:p>
        </w:tc>
        <w:tc>
          <w:tcPr>
            <w:tcW w:w="2181" w:type="dxa"/>
          </w:tcPr>
          <w:p w14:paraId="05D18887">
            <w:pPr>
              <w:pStyle w:val="25"/>
              <w:spacing w:line="600" w:lineRule="exact"/>
              <w:rPr>
                <w:rFonts w:hint="eastAsia" w:ascii="宋体" w:hAnsi="宋体" w:eastAsia="宋体" w:cs="宋体"/>
                <w:color w:val="auto"/>
                <w:kern w:val="2"/>
                <w:sz w:val="24"/>
                <w:szCs w:val="24"/>
                <w:highlight w:val="none"/>
              </w:rPr>
            </w:pPr>
          </w:p>
        </w:tc>
        <w:tc>
          <w:tcPr>
            <w:tcW w:w="1934" w:type="dxa"/>
          </w:tcPr>
          <w:p w14:paraId="31D73CED">
            <w:pPr>
              <w:pStyle w:val="25"/>
              <w:spacing w:line="600" w:lineRule="exact"/>
              <w:rPr>
                <w:rFonts w:hint="eastAsia" w:ascii="宋体" w:hAnsi="宋体" w:eastAsia="宋体" w:cs="宋体"/>
                <w:color w:val="auto"/>
                <w:kern w:val="2"/>
                <w:sz w:val="24"/>
                <w:szCs w:val="24"/>
                <w:highlight w:val="none"/>
              </w:rPr>
            </w:pPr>
          </w:p>
        </w:tc>
      </w:tr>
    </w:tbl>
    <w:p w14:paraId="21C8804A">
      <w:pPr>
        <w:pStyle w:val="1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2DA86E6">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1.说明：应对照招标文件“第二章 采购需求”中的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需求逐条实质性响应，并作出偏离说明。</w:t>
      </w:r>
    </w:p>
    <w:p w14:paraId="25672AF8">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2.投标人</w:t>
      </w:r>
      <w:r>
        <w:rPr>
          <w:rFonts w:hint="eastAsia" w:ascii="宋体" w:hAnsi="宋体" w:eastAsia="宋体" w:cs="宋体"/>
          <w:b/>
          <w:bCs/>
          <w:color w:val="auto"/>
          <w:sz w:val="21"/>
          <w:szCs w:val="21"/>
          <w:highlight w:val="none"/>
          <w:lang w:val="en-US" w:eastAsia="zh-CN"/>
        </w:rPr>
        <w:t>对照</w:t>
      </w:r>
      <w:r>
        <w:rPr>
          <w:rFonts w:hint="eastAsia" w:ascii="宋体" w:hAnsi="宋体" w:eastAsia="宋体" w:cs="宋体"/>
          <w:b/>
          <w:bCs/>
          <w:color w:val="auto"/>
          <w:sz w:val="21"/>
          <w:szCs w:val="21"/>
          <w:highlight w:val="none"/>
        </w:rPr>
        <w:t>招标文件要求，在“偏离说明”中注明“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bCs/>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bCs/>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bCs/>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bCs/>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bCs/>
          <w:color w:val="auto"/>
          <w:sz w:val="21"/>
          <w:szCs w:val="21"/>
          <w:highlight w:val="none"/>
        </w:rPr>
        <w:t>”。</w:t>
      </w:r>
    </w:p>
    <w:p w14:paraId="533A9A1D">
      <w:pPr>
        <w:spacing w:line="360" w:lineRule="auto"/>
        <w:rPr>
          <w:rFonts w:hint="eastAsia" w:ascii="宋体" w:hAnsi="宋体" w:eastAsia="宋体" w:cs="宋体"/>
          <w:color w:val="auto"/>
          <w:spacing w:val="0"/>
          <w:sz w:val="21"/>
          <w:szCs w:val="21"/>
          <w:highlight w:val="none"/>
        </w:rPr>
      </w:pPr>
    </w:p>
    <w:p w14:paraId="448BF1C7">
      <w:pPr>
        <w:pStyle w:val="25"/>
        <w:spacing w:line="360" w:lineRule="auto"/>
        <w:rPr>
          <w:rFonts w:hint="eastAsia" w:ascii="宋体" w:hAnsi="宋体" w:eastAsia="宋体" w:cs="宋体"/>
          <w:color w:val="auto"/>
          <w:spacing w:val="20"/>
          <w:sz w:val="21"/>
          <w:highlight w:val="none"/>
          <w:u w:val="single"/>
        </w:rPr>
      </w:pPr>
      <w:r>
        <w:rPr>
          <w:rFonts w:hint="eastAsia" w:ascii="宋体" w:hAnsi="宋体" w:eastAsia="宋体" w:cs="宋体"/>
          <w:color w:val="auto"/>
          <w:sz w:val="21"/>
          <w:highlight w:val="none"/>
        </w:rPr>
        <w:t>法定代表人或者委托代理人</w:t>
      </w:r>
      <w:r>
        <w:rPr>
          <w:rFonts w:hint="eastAsia" w:ascii="宋体" w:hAnsi="宋体" w:eastAsia="宋体" w:cs="宋体"/>
          <w:color w:val="auto"/>
          <w:spacing w:val="20"/>
          <w:sz w:val="21"/>
          <w:highlight w:val="none"/>
        </w:rPr>
        <w:t>签字</w:t>
      </w:r>
      <w:r>
        <w:rPr>
          <w:rFonts w:hint="eastAsia" w:ascii="宋体" w:hAnsi="宋体" w:eastAsia="宋体" w:cs="宋体"/>
          <w:color w:val="auto"/>
          <w:sz w:val="21"/>
          <w:highlight w:val="none"/>
        </w:rPr>
        <w:t>[或盖章(CA签章)]（属自然人的应在签名处加盖大拇指指印或个人CA签章）</w:t>
      </w:r>
      <w:r>
        <w:rPr>
          <w:rFonts w:hint="eastAsia" w:ascii="宋体" w:hAnsi="宋体" w:eastAsia="宋体" w:cs="宋体"/>
          <w:color w:val="auto"/>
          <w:spacing w:val="20"/>
          <w:sz w:val="21"/>
          <w:highlight w:val="none"/>
        </w:rPr>
        <w:t>：</w:t>
      </w:r>
    </w:p>
    <w:p w14:paraId="78F184AC">
      <w:pPr>
        <w:snapToGrid w:val="0"/>
        <w:spacing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投标人</w:t>
      </w:r>
      <w:r>
        <w:rPr>
          <w:rFonts w:hint="eastAsia" w:ascii="宋体" w:hAnsi="宋体" w:eastAsia="宋体" w:cs="宋体"/>
          <w:bCs/>
          <w:color w:val="auto"/>
          <w:szCs w:val="21"/>
          <w:highlight w:val="none"/>
        </w:rPr>
        <w:t>[公章(CA签章)、自然人除外]</w:t>
      </w:r>
      <w:r>
        <w:rPr>
          <w:rFonts w:hint="eastAsia" w:ascii="宋体" w:hAnsi="宋体" w:eastAsia="宋体" w:cs="宋体"/>
          <w:color w:val="auto"/>
          <w:spacing w:val="20"/>
          <w:szCs w:val="21"/>
          <w:highlight w:val="none"/>
        </w:rPr>
        <w:t>：</w:t>
      </w:r>
    </w:p>
    <w:p w14:paraId="75FD23B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p>
    <w:p w14:paraId="4D5B0436">
      <w:pPr>
        <w:snapToGrid/>
        <w:spacing w:before="0" w:beforeLines="-2147483648" w:after="0" w:line="240" w:lineRule="auto"/>
        <w:ind w:lef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AC20573">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3.设计技术方案（格式自拟）；（必须提供，否则作无效投标处理）</w:t>
      </w:r>
    </w:p>
    <w:p w14:paraId="6C0086D2">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4.质量保障措施方案（格式自拟）；（必须提供，否则作无效投标处理）</w:t>
      </w:r>
    </w:p>
    <w:p w14:paraId="064D84AD">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5.服务保障措施方案（格式自拟）；（必须提供，否则作无效投标处理）</w:t>
      </w:r>
    </w:p>
    <w:p w14:paraId="2C65DAC3">
      <w:pPr>
        <w:rPr>
          <w:rFonts w:hint="eastAsia" w:ascii="宋体" w:hAnsi="宋体" w:eastAsia="宋体" w:cs="宋体"/>
          <w:color w:val="auto"/>
          <w:highlight w:val="none"/>
          <w:lang w:val="en-US" w:eastAsia="zh-CN"/>
        </w:rPr>
      </w:pPr>
    </w:p>
    <w:p w14:paraId="1CEEC7F3">
      <w:pPr>
        <w:pStyle w:val="5"/>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.项目</w:t>
      </w:r>
      <w:r>
        <w:rPr>
          <w:rFonts w:hint="eastAsia" w:ascii="宋体" w:hAnsi="宋体" w:eastAsia="宋体" w:cs="宋体"/>
          <w:b/>
          <w:color w:val="auto"/>
          <w:sz w:val="30"/>
          <w:szCs w:val="30"/>
          <w:highlight w:val="none"/>
        </w:rPr>
        <w:t>实施人员一</w:t>
      </w:r>
      <w:r>
        <w:rPr>
          <w:rFonts w:hint="eastAsia" w:ascii="宋体" w:hAnsi="宋体" w:eastAsia="宋体" w:cs="宋体"/>
          <w:b/>
          <w:color w:val="auto"/>
          <w:highlight w:val="none"/>
        </w:rPr>
        <w:t>览表</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格式</w:t>
      </w:r>
      <w:r>
        <w:rPr>
          <w:rFonts w:hint="eastAsia" w:ascii="宋体" w:hAnsi="宋体" w:eastAsia="宋体" w:cs="宋体"/>
          <w:b/>
          <w:color w:val="auto"/>
          <w:highlight w:val="none"/>
          <w:lang w:eastAsia="zh-CN"/>
        </w:rPr>
        <w:t>）</w:t>
      </w:r>
    </w:p>
    <w:p w14:paraId="49E72B5B">
      <w:pPr>
        <w:snapToGrid w:val="0"/>
        <w:spacing w:before="120" w:beforeLines="50" w:after="50"/>
        <w:ind w:left="142"/>
        <w:jc w:val="left"/>
        <w:rPr>
          <w:rFonts w:hint="eastAsia" w:ascii="宋体" w:hAnsi="宋体" w:eastAsia="宋体" w:cs="宋体"/>
          <w:b/>
          <w:color w:val="auto"/>
          <w:sz w:val="24"/>
          <w:highlight w:val="none"/>
        </w:rPr>
      </w:pPr>
    </w:p>
    <w:p w14:paraId="787D82D0">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tbl>
      <w:tblPr>
        <w:tblStyle w:val="4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86"/>
        <w:gridCol w:w="1886"/>
        <w:gridCol w:w="1574"/>
        <w:gridCol w:w="1882"/>
        <w:gridCol w:w="2043"/>
      </w:tblGrid>
      <w:tr w14:paraId="2592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06" w:type="dxa"/>
            <w:vAlign w:val="center"/>
          </w:tcPr>
          <w:p w14:paraId="12E724B0">
            <w:pPr>
              <w:snapToGrid w:val="0"/>
              <w:spacing w:before="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86" w:type="dxa"/>
            <w:vAlign w:val="center"/>
          </w:tcPr>
          <w:p w14:paraId="3E4E9F6B">
            <w:pPr>
              <w:snapToGrid w:val="0"/>
              <w:spacing w:before="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886" w:type="dxa"/>
            <w:vAlign w:val="center"/>
          </w:tcPr>
          <w:p w14:paraId="17C2738D">
            <w:pPr>
              <w:snapToGrid w:val="0"/>
              <w:spacing w:before="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专业技术资格（职称）或者职业资格或者执业资格证或者其他证书</w:t>
            </w:r>
          </w:p>
        </w:tc>
        <w:tc>
          <w:tcPr>
            <w:tcW w:w="1574" w:type="dxa"/>
            <w:vAlign w:val="center"/>
          </w:tcPr>
          <w:p w14:paraId="1AA915CE">
            <w:pPr>
              <w:snapToGrid w:val="0"/>
              <w:spacing w:before="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882" w:type="dxa"/>
            <w:vAlign w:val="center"/>
          </w:tcPr>
          <w:p w14:paraId="0D2A3BDD">
            <w:pPr>
              <w:snapToGrid w:val="0"/>
              <w:spacing w:before="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14:paraId="35A519B2">
            <w:pPr>
              <w:snapToGrid w:val="0"/>
              <w:spacing w:before="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2043" w:type="dxa"/>
            <w:vAlign w:val="center"/>
          </w:tcPr>
          <w:p w14:paraId="18D3743A">
            <w:pPr>
              <w:snapToGrid w:val="0"/>
              <w:spacing w:before="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劳动合同编号</w:t>
            </w:r>
          </w:p>
        </w:tc>
      </w:tr>
      <w:tr w14:paraId="6CC9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6" w:type="dxa"/>
            <w:vAlign w:val="center"/>
          </w:tcPr>
          <w:p w14:paraId="11D373D1">
            <w:pPr>
              <w:snapToGrid w:val="0"/>
              <w:spacing w:before="50" w:after="120" w:afterLines="50" w:line="360" w:lineRule="auto"/>
              <w:jc w:val="center"/>
              <w:rPr>
                <w:rFonts w:hint="eastAsia" w:ascii="宋体" w:hAnsi="宋体" w:eastAsia="宋体" w:cs="宋体"/>
                <w:color w:val="auto"/>
                <w:sz w:val="21"/>
                <w:szCs w:val="21"/>
                <w:highlight w:val="none"/>
              </w:rPr>
            </w:pPr>
          </w:p>
        </w:tc>
        <w:tc>
          <w:tcPr>
            <w:tcW w:w="786" w:type="dxa"/>
            <w:vAlign w:val="center"/>
          </w:tcPr>
          <w:p w14:paraId="629579F0">
            <w:pPr>
              <w:snapToGrid w:val="0"/>
              <w:spacing w:before="50" w:after="120" w:afterLines="50" w:line="360" w:lineRule="auto"/>
              <w:jc w:val="center"/>
              <w:rPr>
                <w:rFonts w:hint="eastAsia" w:ascii="宋体" w:hAnsi="宋体" w:eastAsia="宋体" w:cs="宋体"/>
                <w:color w:val="auto"/>
                <w:sz w:val="21"/>
                <w:szCs w:val="21"/>
                <w:highlight w:val="none"/>
              </w:rPr>
            </w:pPr>
          </w:p>
        </w:tc>
        <w:tc>
          <w:tcPr>
            <w:tcW w:w="1886" w:type="dxa"/>
            <w:vAlign w:val="center"/>
          </w:tcPr>
          <w:p w14:paraId="37D5AAEE">
            <w:pPr>
              <w:snapToGrid w:val="0"/>
              <w:spacing w:before="50" w:after="120" w:afterLines="50" w:line="360" w:lineRule="auto"/>
              <w:jc w:val="center"/>
              <w:rPr>
                <w:rFonts w:hint="eastAsia" w:ascii="宋体" w:hAnsi="宋体" w:eastAsia="宋体" w:cs="宋体"/>
                <w:color w:val="auto"/>
                <w:sz w:val="21"/>
                <w:szCs w:val="21"/>
                <w:highlight w:val="none"/>
              </w:rPr>
            </w:pPr>
          </w:p>
        </w:tc>
        <w:tc>
          <w:tcPr>
            <w:tcW w:w="1574" w:type="dxa"/>
            <w:vAlign w:val="center"/>
          </w:tcPr>
          <w:p w14:paraId="44AE1D2B">
            <w:pPr>
              <w:snapToGrid w:val="0"/>
              <w:spacing w:before="50" w:after="120" w:afterLines="50" w:line="360" w:lineRule="auto"/>
              <w:jc w:val="center"/>
              <w:rPr>
                <w:rFonts w:hint="eastAsia" w:ascii="宋体" w:hAnsi="宋体" w:eastAsia="宋体" w:cs="宋体"/>
                <w:color w:val="auto"/>
                <w:sz w:val="21"/>
                <w:szCs w:val="21"/>
                <w:highlight w:val="none"/>
              </w:rPr>
            </w:pPr>
          </w:p>
        </w:tc>
        <w:tc>
          <w:tcPr>
            <w:tcW w:w="1882" w:type="dxa"/>
            <w:vAlign w:val="center"/>
          </w:tcPr>
          <w:p w14:paraId="06465F9B">
            <w:pPr>
              <w:snapToGrid w:val="0"/>
              <w:spacing w:before="50" w:after="120" w:afterLines="50" w:line="360" w:lineRule="auto"/>
              <w:jc w:val="center"/>
              <w:rPr>
                <w:rFonts w:hint="eastAsia" w:ascii="宋体" w:hAnsi="宋体" w:eastAsia="宋体" w:cs="宋体"/>
                <w:color w:val="auto"/>
                <w:sz w:val="21"/>
                <w:szCs w:val="21"/>
                <w:highlight w:val="none"/>
              </w:rPr>
            </w:pPr>
          </w:p>
        </w:tc>
        <w:tc>
          <w:tcPr>
            <w:tcW w:w="2043" w:type="dxa"/>
            <w:vAlign w:val="center"/>
          </w:tcPr>
          <w:p w14:paraId="7D98A3CA">
            <w:pPr>
              <w:snapToGrid w:val="0"/>
              <w:spacing w:before="50" w:after="120" w:afterLines="50" w:line="360" w:lineRule="auto"/>
              <w:jc w:val="center"/>
              <w:rPr>
                <w:rFonts w:hint="eastAsia" w:ascii="宋体" w:hAnsi="宋体" w:eastAsia="宋体" w:cs="宋体"/>
                <w:color w:val="auto"/>
                <w:sz w:val="21"/>
                <w:szCs w:val="21"/>
                <w:highlight w:val="none"/>
              </w:rPr>
            </w:pPr>
          </w:p>
        </w:tc>
      </w:tr>
      <w:tr w14:paraId="2744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6" w:type="dxa"/>
            <w:vAlign w:val="center"/>
          </w:tcPr>
          <w:p w14:paraId="3458E832">
            <w:pPr>
              <w:snapToGrid w:val="0"/>
              <w:spacing w:before="50" w:after="120" w:afterLines="50" w:line="360" w:lineRule="auto"/>
              <w:jc w:val="center"/>
              <w:rPr>
                <w:rFonts w:hint="eastAsia" w:ascii="宋体" w:hAnsi="宋体" w:eastAsia="宋体" w:cs="宋体"/>
                <w:color w:val="auto"/>
                <w:sz w:val="21"/>
                <w:szCs w:val="21"/>
                <w:highlight w:val="none"/>
              </w:rPr>
            </w:pPr>
          </w:p>
        </w:tc>
        <w:tc>
          <w:tcPr>
            <w:tcW w:w="786" w:type="dxa"/>
            <w:vAlign w:val="center"/>
          </w:tcPr>
          <w:p w14:paraId="76B9B389">
            <w:pPr>
              <w:snapToGrid w:val="0"/>
              <w:spacing w:before="50" w:after="120" w:afterLines="50" w:line="360" w:lineRule="auto"/>
              <w:jc w:val="center"/>
              <w:rPr>
                <w:rFonts w:hint="eastAsia" w:ascii="宋体" w:hAnsi="宋体" w:eastAsia="宋体" w:cs="宋体"/>
                <w:color w:val="auto"/>
                <w:sz w:val="21"/>
                <w:szCs w:val="21"/>
                <w:highlight w:val="none"/>
              </w:rPr>
            </w:pPr>
          </w:p>
        </w:tc>
        <w:tc>
          <w:tcPr>
            <w:tcW w:w="1886" w:type="dxa"/>
            <w:vAlign w:val="center"/>
          </w:tcPr>
          <w:p w14:paraId="3D9C00A9">
            <w:pPr>
              <w:snapToGrid w:val="0"/>
              <w:spacing w:before="50" w:after="120" w:afterLines="50" w:line="360" w:lineRule="auto"/>
              <w:jc w:val="center"/>
              <w:rPr>
                <w:rFonts w:hint="eastAsia" w:ascii="宋体" w:hAnsi="宋体" w:eastAsia="宋体" w:cs="宋体"/>
                <w:color w:val="auto"/>
                <w:sz w:val="21"/>
                <w:szCs w:val="21"/>
                <w:highlight w:val="none"/>
              </w:rPr>
            </w:pPr>
          </w:p>
        </w:tc>
        <w:tc>
          <w:tcPr>
            <w:tcW w:w="1574" w:type="dxa"/>
            <w:vAlign w:val="center"/>
          </w:tcPr>
          <w:p w14:paraId="1B6249BA">
            <w:pPr>
              <w:snapToGrid w:val="0"/>
              <w:spacing w:before="50" w:after="120" w:afterLines="50" w:line="360" w:lineRule="auto"/>
              <w:jc w:val="center"/>
              <w:rPr>
                <w:rFonts w:hint="eastAsia" w:ascii="宋体" w:hAnsi="宋体" w:eastAsia="宋体" w:cs="宋体"/>
                <w:color w:val="auto"/>
                <w:sz w:val="21"/>
                <w:szCs w:val="21"/>
                <w:highlight w:val="none"/>
              </w:rPr>
            </w:pPr>
          </w:p>
        </w:tc>
        <w:tc>
          <w:tcPr>
            <w:tcW w:w="1882" w:type="dxa"/>
            <w:vAlign w:val="center"/>
          </w:tcPr>
          <w:p w14:paraId="7E583898">
            <w:pPr>
              <w:snapToGrid w:val="0"/>
              <w:spacing w:before="50" w:after="120" w:afterLines="50" w:line="360" w:lineRule="auto"/>
              <w:jc w:val="center"/>
              <w:rPr>
                <w:rFonts w:hint="eastAsia" w:ascii="宋体" w:hAnsi="宋体" w:eastAsia="宋体" w:cs="宋体"/>
                <w:color w:val="auto"/>
                <w:sz w:val="21"/>
                <w:szCs w:val="21"/>
                <w:highlight w:val="none"/>
              </w:rPr>
            </w:pPr>
          </w:p>
        </w:tc>
        <w:tc>
          <w:tcPr>
            <w:tcW w:w="2043" w:type="dxa"/>
            <w:vAlign w:val="center"/>
          </w:tcPr>
          <w:p w14:paraId="4428BE8B">
            <w:pPr>
              <w:snapToGrid w:val="0"/>
              <w:spacing w:before="50" w:after="120" w:afterLines="50" w:line="360" w:lineRule="auto"/>
              <w:jc w:val="center"/>
              <w:rPr>
                <w:rFonts w:hint="eastAsia" w:ascii="宋体" w:hAnsi="宋体" w:eastAsia="宋体" w:cs="宋体"/>
                <w:color w:val="auto"/>
                <w:sz w:val="21"/>
                <w:szCs w:val="21"/>
                <w:highlight w:val="none"/>
              </w:rPr>
            </w:pPr>
          </w:p>
        </w:tc>
      </w:tr>
      <w:tr w14:paraId="10D9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6" w:type="dxa"/>
            <w:vAlign w:val="center"/>
          </w:tcPr>
          <w:p w14:paraId="11F10969">
            <w:pPr>
              <w:snapToGrid w:val="0"/>
              <w:spacing w:before="50" w:after="120" w:afterLines="50" w:line="360" w:lineRule="auto"/>
              <w:jc w:val="center"/>
              <w:rPr>
                <w:rFonts w:hint="eastAsia" w:ascii="宋体" w:hAnsi="宋体" w:eastAsia="宋体" w:cs="宋体"/>
                <w:color w:val="auto"/>
                <w:sz w:val="21"/>
                <w:szCs w:val="21"/>
                <w:highlight w:val="none"/>
              </w:rPr>
            </w:pPr>
          </w:p>
        </w:tc>
        <w:tc>
          <w:tcPr>
            <w:tcW w:w="786" w:type="dxa"/>
            <w:vAlign w:val="center"/>
          </w:tcPr>
          <w:p w14:paraId="53AAB3D8">
            <w:pPr>
              <w:snapToGrid w:val="0"/>
              <w:spacing w:before="50" w:after="120" w:afterLines="50" w:line="360" w:lineRule="auto"/>
              <w:jc w:val="center"/>
              <w:rPr>
                <w:rFonts w:hint="eastAsia" w:ascii="宋体" w:hAnsi="宋体" w:eastAsia="宋体" w:cs="宋体"/>
                <w:color w:val="auto"/>
                <w:sz w:val="21"/>
                <w:szCs w:val="21"/>
                <w:highlight w:val="none"/>
              </w:rPr>
            </w:pPr>
          </w:p>
        </w:tc>
        <w:tc>
          <w:tcPr>
            <w:tcW w:w="1886" w:type="dxa"/>
            <w:vAlign w:val="center"/>
          </w:tcPr>
          <w:p w14:paraId="07977C48">
            <w:pPr>
              <w:snapToGrid w:val="0"/>
              <w:spacing w:before="50" w:after="120" w:afterLines="50" w:line="360" w:lineRule="auto"/>
              <w:jc w:val="center"/>
              <w:rPr>
                <w:rFonts w:hint="eastAsia" w:ascii="宋体" w:hAnsi="宋体" w:eastAsia="宋体" w:cs="宋体"/>
                <w:color w:val="auto"/>
                <w:sz w:val="21"/>
                <w:szCs w:val="21"/>
                <w:highlight w:val="none"/>
              </w:rPr>
            </w:pPr>
          </w:p>
        </w:tc>
        <w:tc>
          <w:tcPr>
            <w:tcW w:w="1574" w:type="dxa"/>
            <w:vAlign w:val="center"/>
          </w:tcPr>
          <w:p w14:paraId="08094AB5">
            <w:pPr>
              <w:snapToGrid w:val="0"/>
              <w:spacing w:before="50" w:after="120" w:afterLines="50" w:line="360" w:lineRule="auto"/>
              <w:jc w:val="center"/>
              <w:rPr>
                <w:rFonts w:hint="eastAsia" w:ascii="宋体" w:hAnsi="宋体" w:eastAsia="宋体" w:cs="宋体"/>
                <w:color w:val="auto"/>
                <w:sz w:val="21"/>
                <w:szCs w:val="21"/>
                <w:highlight w:val="none"/>
              </w:rPr>
            </w:pPr>
          </w:p>
        </w:tc>
        <w:tc>
          <w:tcPr>
            <w:tcW w:w="1882" w:type="dxa"/>
            <w:vAlign w:val="center"/>
          </w:tcPr>
          <w:p w14:paraId="73C0368D">
            <w:pPr>
              <w:snapToGrid w:val="0"/>
              <w:spacing w:before="50" w:after="120" w:afterLines="50" w:line="360" w:lineRule="auto"/>
              <w:jc w:val="center"/>
              <w:rPr>
                <w:rFonts w:hint="eastAsia" w:ascii="宋体" w:hAnsi="宋体" w:eastAsia="宋体" w:cs="宋体"/>
                <w:color w:val="auto"/>
                <w:sz w:val="21"/>
                <w:szCs w:val="21"/>
                <w:highlight w:val="none"/>
              </w:rPr>
            </w:pPr>
          </w:p>
        </w:tc>
        <w:tc>
          <w:tcPr>
            <w:tcW w:w="2043" w:type="dxa"/>
            <w:vAlign w:val="center"/>
          </w:tcPr>
          <w:p w14:paraId="6E1EA8BE">
            <w:pPr>
              <w:snapToGrid w:val="0"/>
              <w:spacing w:before="50" w:after="120" w:afterLines="50" w:line="360" w:lineRule="auto"/>
              <w:jc w:val="center"/>
              <w:rPr>
                <w:rFonts w:hint="eastAsia" w:ascii="宋体" w:hAnsi="宋体" w:eastAsia="宋体" w:cs="宋体"/>
                <w:color w:val="auto"/>
                <w:sz w:val="21"/>
                <w:szCs w:val="21"/>
                <w:highlight w:val="none"/>
              </w:rPr>
            </w:pPr>
          </w:p>
        </w:tc>
      </w:tr>
    </w:tbl>
    <w:p w14:paraId="6BB07EC4">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的实际情况，可根据本表格式自行制表填写。</w:t>
      </w:r>
    </w:p>
    <w:p w14:paraId="1D0BC8FB">
      <w:pPr>
        <w:rPr>
          <w:rFonts w:hint="eastAsia" w:ascii="宋体" w:hAnsi="宋体" w:eastAsia="宋体" w:cs="宋体"/>
          <w:color w:val="auto"/>
          <w:highlight w:val="none"/>
          <w:lang w:val="en-US" w:eastAsia="zh-CN"/>
        </w:rPr>
      </w:pPr>
    </w:p>
    <w:p w14:paraId="23CF34C0">
      <w:pPr>
        <w:rPr>
          <w:rFonts w:hint="eastAsia" w:ascii="宋体" w:hAnsi="宋体" w:eastAsia="宋体" w:cs="宋体"/>
          <w:color w:val="auto"/>
          <w:highlight w:val="none"/>
          <w:lang w:val="en-US" w:eastAsia="zh-CN"/>
        </w:rPr>
      </w:pPr>
    </w:p>
    <w:p w14:paraId="60EDF368">
      <w:pPr>
        <w:pStyle w:val="5"/>
        <w:bidi w:val="0"/>
        <w:rPr>
          <w:rFonts w:hint="eastAsia" w:ascii="宋体" w:hAnsi="宋体" w:eastAsia="宋体" w:cs="宋体"/>
          <w:color w:val="auto"/>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highlight w:val="none"/>
        </w:rPr>
        <w:t>除招标文件规定必须提供以外，投标人需要说明的其他文件和说明（格式自拟）。</w:t>
      </w:r>
    </w:p>
    <w:p w14:paraId="006E3330">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投标人根据“第二章 采购需求”及“第四章 评标方法及评标标准”提供有关证明材料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如有时）</w:t>
      </w:r>
    </w:p>
    <w:p w14:paraId="398EDEDA">
      <w:pPr>
        <w:pStyle w:val="3"/>
        <w:spacing w:beforeLines="50" w:after="5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br w:type="page"/>
      </w:r>
      <w:bookmarkStart w:id="422" w:name="_Toc19686840"/>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、其他文书、文件格式</w:t>
      </w:r>
      <w:bookmarkEnd w:id="422"/>
    </w:p>
    <w:p w14:paraId="1E6F495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476706D5">
      <w:pPr>
        <w:pStyle w:val="25"/>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一、质疑</w:t>
      </w:r>
      <w:r>
        <w:rPr>
          <w:rFonts w:hint="eastAsia" w:ascii="宋体" w:hAnsi="宋体" w:eastAsia="宋体" w:cs="宋体"/>
          <w:b/>
          <w:bCs/>
          <w:color w:val="auto"/>
          <w:sz w:val="21"/>
          <w:highlight w:val="none"/>
          <w:lang w:eastAsia="zh-CN"/>
        </w:rPr>
        <w:t>投标人</w:t>
      </w:r>
      <w:r>
        <w:rPr>
          <w:rFonts w:hint="eastAsia" w:ascii="宋体" w:hAnsi="宋体" w:eastAsia="宋体" w:cs="宋体"/>
          <w:b/>
          <w:bCs/>
          <w:color w:val="auto"/>
          <w:sz w:val="21"/>
          <w:highlight w:val="none"/>
        </w:rPr>
        <w:t>基本信息：</w:t>
      </w:r>
    </w:p>
    <w:p w14:paraId="0B388F82">
      <w:pPr>
        <w:pStyle w:val="25"/>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质疑</w:t>
      </w:r>
      <w:r>
        <w:rPr>
          <w:rFonts w:hint="eastAsia" w:ascii="宋体" w:hAnsi="宋体" w:eastAsia="宋体" w:cs="宋体"/>
          <w:bCs/>
          <w:color w:val="auto"/>
          <w:sz w:val="21"/>
          <w:highlight w:val="none"/>
          <w:lang w:eastAsia="zh-CN"/>
        </w:rPr>
        <w:t>投标人</w:t>
      </w:r>
      <w:r>
        <w:rPr>
          <w:rFonts w:hint="eastAsia" w:ascii="宋体" w:hAnsi="宋体" w:eastAsia="宋体" w:cs="宋体"/>
          <w:bCs/>
          <w:color w:val="auto"/>
          <w:sz w:val="21"/>
          <w:highlight w:val="none"/>
        </w:rPr>
        <w:t>：</w:t>
      </w:r>
    </w:p>
    <w:p w14:paraId="6C1B85FD">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地址：邮编：</w:t>
      </w:r>
    </w:p>
    <w:p w14:paraId="015D5433">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联系人：联系电话：</w:t>
      </w:r>
    </w:p>
    <w:p w14:paraId="292C4950">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授权代表：</w:t>
      </w:r>
    </w:p>
    <w:p w14:paraId="4334E9BC">
      <w:pPr>
        <w:pStyle w:val="25"/>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联系电话：</w:t>
      </w:r>
    </w:p>
    <w:p w14:paraId="31E03CEA">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地址：邮编：</w:t>
      </w:r>
    </w:p>
    <w:p w14:paraId="3DF0BF0D">
      <w:pPr>
        <w:pStyle w:val="25"/>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二、质疑项目基本情况：</w:t>
      </w:r>
    </w:p>
    <w:p w14:paraId="79B2B9BD">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质疑</w:t>
      </w:r>
      <w:r>
        <w:rPr>
          <w:rFonts w:hint="eastAsia" w:ascii="宋体" w:hAnsi="宋体" w:eastAsia="宋体" w:cs="宋体"/>
          <w:color w:val="auto"/>
          <w:sz w:val="21"/>
          <w:highlight w:val="none"/>
        </w:rPr>
        <w:t>项目的名称：</w:t>
      </w:r>
    </w:p>
    <w:p w14:paraId="7C0DED85">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质疑</w:t>
      </w:r>
      <w:r>
        <w:rPr>
          <w:rFonts w:hint="eastAsia" w:ascii="宋体" w:hAnsi="宋体" w:eastAsia="宋体" w:cs="宋体"/>
          <w:color w:val="auto"/>
          <w:sz w:val="21"/>
          <w:highlight w:val="none"/>
        </w:rPr>
        <w:t>项目的编号：</w:t>
      </w:r>
    </w:p>
    <w:p w14:paraId="1E79FC94">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采购人名称：</w:t>
      </w:r>
    </w:p>
    <w:p w14:paraId="4B84289D">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w:t>
      </w:r>
    </w:p>
    <w:p w14:paraId="5B2265A1">
      <w:pPr>
        <w:pStyle w:val="25"/>
        <w:spacing w:line="360" w:lineRule="auto"/>
        <w:ind w:left="25" w:leftChars="12" w:firstLine="308" w:firstLineChars="147"/>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   招标文件获取日期：</w:t>
      </w:r>
    </w:p>
    <w:p w14:paraId="64A80E0A">
      <w:pPr>
        <w:pStyle w:val="25"/>
        <w:spacing w:line="360" w:lineRule="auto"/>
        <w:ind w:left="25" w:leftChars="12" w:firstLine="308" w:firstLineChars="147"/>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□采购过程   </w:t>
      </w:r>
    </w:p>
    <w:p w14:paraId="4B538CE8">
      <w:pPr>
        <w:pStyle w:val="25"/>
        <w:spacing w:line="360" w:lineRule="auto"/>
        <w:ind w:left="25" w:leftChars="12" w:firstLine="308" w:firstLineChars="14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 xml:space="preserve">□中标结果   </w:t>
      </w:r>
    </w:p>
    <w:p w14:paraId="43B55831">
      <w:pPr>
        <w:pStyle w:val="25"/>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三、质疑事项具体内容</w:t>
      </w:r>
    </w:p>
    <w:p w14:paraId="59C1B1AD">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质疑事项1：</w:t>
      </w:r>
    </w:p>
    <w:p w14:paraId="3362818A">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事实依据：</w:t>
      </w:r>
    </w:p>
    <w:p w14:paraId="7182A49E">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法律依据：</w:t>
      </w:r>
    </w:p>
    <w:p w14:paraId="06B886F3">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质疑事项2</w:t>
      </w:r>
    </w:p>
    <w:p w14:paraId="2F31596B">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25D76244">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四、与质疑事项相关的质疑请求：</w:t>
      </w:r>
    </w:p>
    <w:p w14:paraId="0A285946">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请求：</w:t>
      </w:r>
    </w:p>
    <w:p w14:paraId="7204E7AF">
      <w:pPr>
        <w:pStyle w:val="25"/>
        <w:spacing w:line="360" w:lineRule="auto"/>
        <w:ind w:left="25" w:leftChars="12" w:firstLine="308" w:firstLineChars="147"/>
        <w:rPr>
          <w:rFonts w:hint="eastAsia" w:ascii="宋体" w:hAnsi="宋体" w:eastAsia="宋体" w:cs="宋体"/>
          <w:color w:val="auto"/>
          <w:sz w:val="21"/>
          <w:highlight w:val="none"/>
        </w:rPr>
      </w:pPr>
    </w:p>
    <w:p w14:paraId="2414D06D">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签字（签章）：                                       公章：</w:t>
      </w:r>
    </w:p>
    <w:p w14:paraId="0B512695">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14:paraId="25648652">
      <w:pPr>
        <w:pStyle w:val="25"/>
        <w:snapToGrid w:val="0"/>
        <w:spacing w:line="312" w:lineRule="auto"/>
        <w:rPr>
          <w:rFonts w:hint="eastAsia" w:ascii="宋体" w:hAnsi="宋体" w:eastAsia="宋体" w:cs="宋体"/>
          <w:b/>
          <w:color w:val="auto"/>
          <w:sz w:val="21"/>
          <w:highlight w:val="none"/>
        </w:rPr>
      </w:pPr>
    </w:p>
    <w:p w14:paraId="1101941C">
      <w:pPr>
        <w:pStyle w:val="25"/>
        <w:snapToGrid w:val="0"/>
        <w:spacing w:line="36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说明：</w:t>
      </w:r>
    </w:p>
    <w:p w14:paraId="4D7631B6">
      <w:pPr>
        <w:pStyle w:val="25"/>
        <w:spacing w:line="360" w:lineRule="auto"/>
        <w:ind w:left="25" w:leftChars="12" w:firstLine="310" w:firstLineChars="147"/>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1.</w:t>
      </w:r>
      <w:r>
        <w:rPr>
          <w:rFonts w:hint="eastAsia" w:ascii="宋体" w:hAnsi="宋体" w:eastAsia="宋体" w:cs="宋体"/>
          <w:b/>
          <w:color w:val="auto"/>
          <w:sz w:val="21"/>
          <w:highlight w:val="none"/>
          <w:lang w:eastAsia="zh-CN"/>
        </w:rPr>
        <w:t>投标人</w:t>
      </w:r>
      <w:r>
        <w:rPr>
          <w:rFonts w:hint="eastAsia" w:ascii="宋体" w:hAnsi="宋体" w:eastAsia="宋体" w:cs="宋体"/>
          <w:b/>
          <w:color w:val="auto"/>
          <w:sz w:val="21"/>
          <w:highlight w:val="none"/>
        </w:rPr>
        <w:t>提出质疑时，应提交质疑函和必要的证明材料</w:t>
      </w:r>
      <w:r>
        <w:rPr>
          <w:rFonts w:hint="eastAsia" w:ascii="宋体" w:hAnsi="宋体" w:eastAsia="宋体" w:cs="宋体"/>
          <w:b/>
          <w:bCs/>
          <w:color w:val="auto"/>
          <w:sz w:val="21"/>
          <w:highlight w:val="none"/>
        </w:rPr>
        <w:t>。</w:t>
      </w:r>
    </w:p>
    <w:p w14:paraId="4BCC4F17">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2.质疑</w:t>
      </w:r>
      <w:r>
        <w:rPr>
          <w:rFonts w:hint="eastAsia" w:ascii="宋体" w:hAnsi="宋体" w:eastAsia="宋体" w:cs="宋体"/>
          <w:b/>
          <w:color w:val="auto"/>
          <w:sz w:val="21"/>
          <w:highlight w:val="none"/>
          <w:lang w:eastAsia="zh-CN"/>
        </w:rPr>
        <w:t>投标人</w:t>
      </w:r>
      <w:r>
        <w:rPr>
          <w:rFonts w:hint="eastAsia" w:ascii="宋体" w:hAnsi="宋体" w:eastAsia="宋体" w:cs="宋体"/>
          <w:b/>
          <w:color w:val="auto"/>
          <w:sz w:val="21"/>
          <w:highlight w:val="none"/>
        </w:rPr>
        <w:t>若委托代理人进行质疑的，质疑函应按要求列明“授权代表”的有关内容，并在附件中提交由质疑</w:t>
      </w:r>
      <w:r>
        <w:rPr>
          <w:rFonts w:hint="eastAsia" w:ascii="宋体" w:hAnsi="宋体" w:eastAsia="宋体" w:cs="宋体"/>
          <w:b/>
          <w:color w:val="auto"/>
          <w:sz w:val="21"/>
          <w:highlight w:val="none"/>
          <w:lang w:eastAsia="zh-CN"/>
        </w:rPr>
        <w:t>投标人</w:t>
      </w:r>
      <w:r>
        <w:rPr>
          <w:rFonts w:hint="eastAsia" w:ascii="宋体" w:hAnsi="宋体" w:eastAsia="宋体" w:cs="宋体"/>
          <w:b/>
          <w:color w:val="auto"/>
          <w:sz w:val="21"/>
          <w:highlight w:val="none"/>
        </w:rPr>
        <w:t>签署的授权委托书。授权委托书应载明代理人的姓名或者名称、代理事项、具体权限、期限和相关事项。</w:t>
      </w:r>
    </w:p>
    <w:p w14:paraId="132DD643">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3.质疑函的质疑事项应具体、明确，并有必要的事实依据和法律依据。</w:t>
      </w:r>
    </w:p>
    <w:p w14:paraId="5BECD7D5">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4.质疑函的质疑请求应与质疑事项相关。</w:t>
      </w:r>
    </w:p>
    <w:p w14:paraId="0075C539">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5.质疑</w:t>
      </w:r>
      <w:r>
        <w:rPr>
          <w:rFonts w:hint="eastAsia" w:ascii="宋体" w:hAnsi="宋体" w:eastAsia="宋体" w:cs="宋体"/>
          <w:b/>
          <w:color w:val="auto"/>
          <w:sz w:val="21"/>
          <w:highlight w:val="none"/>
          <w:lang w:eastAsia="zh-CN"/>
        </w:rPr>
        <w:t>投标人</w:t>
      </w:r>
      <w:r>
        <w:rPr>
          <w:rFonts w:hint="eastAsia" w:ascii="宋体" w:hAnsi="宋体" w:eastAsia="宋体" w:cs="宋体"/>
          <w:b/>
          <w:color w:val="auto"/>
          <w:sz w:val="21"/>
          <w:highlight w:val="none"/>
        </w:rPr>
        <w:t>为法人或者其他组织的，质疑函应由法定代表人、主要负责人，或者其授权代表签字或者盖章，并加盖公章。</w:t>
      </w:r>
    </w:p>
    <w:p w14:paraId="73FABCD6">
      <w:pPr>
        <w:spacing w:line="46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2BE9E1A5">
      <w:pPr>
        <w:pStyle w:val="25"/>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一、投诉相关主体基本情况：</w:t>
      </w:r>
    </w:p>
    <w:p w14:paraId="092DF807">
      <w:pPr>
        <w:pStyle w:val="25"/>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投标人：</w:t>
      </w:r>
    </w:p>
    <w:p w14:paraId="4E9935F3">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地址：邮编：</w:t>
      </w:r>
    </w:p>
    <w:p w14:paraId="5C455E4C">
      <w:pPr>
        <w:pStyle w:val="25"/>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法定代表人/主要负责人：</w:t>
      </w:r>
    </w:p>
    <w:p w14:paraId="25FA975A">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联系电话：</w:t>
      </w:r>
    </w:p>
    <w:p w14:paraId="0DE8BA31">
      <w:pPr>
        <w:pStyle w:val="25"/>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授权代表：联系电话：</w:t>
      </w:r>
    </w:p>
    <w:p w14:paraId="121333CB">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地址：邮编：</w:t>
      </w:r>
    </w:p>
    <w:p w14:paraId="11705E70">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被投诉人1：</w:t>
      </w:r>
    </w:p>
    <w:p w14:paraId="67A089EA">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地址：邮编：</w:t>
      </w:r>
    </w:p>
    <w:p w14:paraId="6E38FE8C">
      <w:pPr>
        <w:pStyle w:val="25"/>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联系人：联系电话：</w:t>
      </w:r>
    </w:p>
    <w:p w14:paraId="0307BC3C">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被投诉人2：</w:t>
      </w:r>
    </w:p>
    <w:p w14:paraId="142F1E5C">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p>
    <w:p w14:paraId="159A3F57">
      <w:pPr>
        <w:pStyle w:val="25"/>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相关</w:t>
      </w:r>
      <w:r>
        <w:rPr>
          <w:rFonts w:hint="eastAsia" w:ascii="宋体" w:hAnsi="宋体" w:eastAsia="宋体" w:cs="宋体"/>
          <w:bCs/>
          <w:color w:val="auto"/>
          <w:sz w:val="21"/>
          <w:highlight w:val="none"/>
          <w:lang w:eastAsia="zh-CN"/>
        </w:rPr>
        <w:t>投标人</w:t>
      </w:r>
      <w:r>
        <w:rPr>
          <w:rFonts w:hint="eastAsia" w:ascii="宋体" w:hAnsi="宋体" w:eastAsia="宋体" w:cs="宋体"/>
          <w:bCs/>
          <w:color w:val="auto"/>
          <w:sz w:val="21"/>
          <w:highlight w:val="none"/>
        </w:rPr>
        <w:t>：</w:t>
      </w:r>
    </w:p>
    <w:p w14:paraId="3340D677">
      <w:pPr>
        <w:pStyle w:val="25"/>
        <w:snapToGrid w:val="0"/>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地址：邮编：</w:t>
      </w:r>
    </w:p>
    <w:p w14:paraId="12F6BD76">
      <w:pPr>
        <w:pStyle w:val="25"/>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联系人：联系电话：</w:t>
      </w:r>
    </w:p>
    <w:p w14:paraId="63259834">
      <w:pPr>
        <w:pStyle w:val="25"/>
        <w:snapToGrid w:val="0"/>
        <w:spacing w:line="360" w:lineRule="auto"/>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二、投诉项目基本情况：</w:t>
      </w:r>
    </w:p>
    <w:p w14:paraId="04092A08">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w:t>
      </w:r>
      <w:r>
        <w:rPr>
          <w:rFonts w:hint="eastAsia" w:ascii="宋体" w:hAnsi="宋体" w:eastAsia="宋体" w:cs="宋体"/>
          <w:color w:val="auto"/>
          <w:sz w:val="21"/>
          <w:highlight w:val="none"/>
        </w:rPr>
        <w:t>项目的名称：</w:t>
      </w:r>
    </w:p>
    <w:p w14:paraId="62E97030">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w:t>
      </w:r>
      <w:r>
        <w:rPr>
          <w:rFonts w:hint="eastAsia" w:ascii="宋体" w:hAnsi="宋体" w:eastAsia="宋体" w:cs="宋体"/>
          <w:color w:val="auto"/>
          <w:sz w:val="21"/>
          <w:highlight w:val="none"/>
        </w:rPr>
        <w:t>项目的编号：</w:t>
      </w:r>
    </w:p>
    <w:p w14:paraId="3A72CD4E">
      <w:pPr>
        <w:pStyle w:val="25"/>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采购人名称：</w:t>
      </w:r>
    </w:p>
    <w:p w14:paraId="46A26A5E">
      <w:pPr>
        <w:pStyle w:val="25"/>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代理机构名称：</w:t>
      </w:r>
    </w:p>
    <w:p w14:paraId="7527D2F5">
      <w:pPr>
        <w:pStyle w:val="25"/>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招标文件公告：</w:t>
      </w:r>
      <w:r>
        <w:rPr>
          <w:rFonts w:hint="eastAsia" w:ascii="宋体" w:hAnsi="宋体" w:eastAsia="宋体" w:cs="宋体"/>
          <w:bCs/>
          <w:color w:val="auto"/>
          <w:sz w:val="21"/>
          <w:highlight w:val="none"/>
          <w:u w:val="single"/>
        </w:rPr>
        <w:t>是/否</w:t>
      </w:r>
      <w:r>
        <w:rPr>
          <w:rFonts w:hint="eastAsia" w:ascii="宋体" w:hAnsi="宋体" w:eastAsia="宋体" w:cs="宋体"/>
          <w:bCs/>
          <w:color w:val="auto"/>
          <w:sz w:val="21"/>
          <w:highlight w:val="none"/>
        </w:rPr>
        <w:t>公告期限：</w:t>
      </w:r>
    </w:p>
    <w:p w14:paraId="0796155F">
      <w:pPr>
        <w:pStyle w:val="25"/>
        <w:spacing w:line="360" w:lineRule="auto"/>
        <w:ind w:left="25" w:leftChars="12" w:firstLine="413" w:firstLineChars="197"/>
        <w:rPr>
          <w:rFonts w:hint="eastAsia" w:ascii="宋体" w:hAnsi="宋体" w:eastAsia="宋体" w:cs="宋体"/>
          <w:b/>
          <w:color w:val="auto"/>
          <w:sz w:val="21"/>
          <w:highlight w:val="none"/>
        </w:rPr>
      </w:pPr>
      <w:r>
        <w:rPr>
          <w:rFonts w:hint="eastAsia" w:ascii="宋体" w:hAnsi="宋体" w:eastAsia="宋体" w:cs="宋体"/>
          <w:bCs/>
          <w:color w:val="auto"/>
          <w:sz w:val="21"/>
          <w:highlight w:val="none"/>
        </w:rPr>
        <w:t>采购结果公告：</w:t>
      </w:r>
      <w:r>
        <w:rPr>
          <w:rFonts w:hint="eastAsia" w:ascii="宋体" w:hAnsi="宋体" w:eastAsia="宋体" w:cs="宋体"/>
          <w:bCs/>
          <w:color w:val="auto"/>
          <w:sz w:val="21"/>
          <w:highlight w:val="none"/>
          <w:u w:val="single"/>
        </w:rPr>
        <w:t>是/否</w:t>
      </w:r>
      <w:r>
        <w:rPr>
          <w:rFonts w:hint="eastAsia" w:ascii="宋体" w:hAnsi="宋体" w:eastAsia="宋体" w:cs="宋体"/>
          <w:bCs/>
          <w:color w:val="auto"/>
          <w:sz w:val="21"/>
          <w:highlight w:val="none"/>
        </w:rPr>
        <w:t>公告期限：</w:t>
      </w:r>
    </w:p>
    <w:p w14:paraId="06AA7534">
      <w:pPr>
        <w:pStyle w:val="25"/>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三、质疑基本情况</w:t>
      </w:r>
    </w:p>
    <w:p w14:paraId="4C22EBF9">
      <w:pPr>
        <w:pStyle w:val="2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投诉人于年月日，向提出质疑，质疑事项为：</w:t>
      </w:r>
    </w:p>
    <w:p w14:paraId="27599120">
      <w:pPr>
        <w:pStyle w:val="25"/>
        <w:spacing w:line="360" w:lineRule="auto"/>
        <w:ind w:firstLine="241"/>
        <w:rPr>
          <w:rFonts w:hint="eastAsia" w:ascii="宋体" w:hAnsi="宋体" w:eastAsia="宋体" w:cs="宋体"/>
          <w:bCs/>
          <w:color w:val="auto"/>
          <w:sz w:val="21"/>
          <w:highlight w:val="none"/>
          <w:u w:val="single"/>
        </w:rPr>
      </w:pPr>
    </w:p>
    <w:p w14:paraId="6BB96A69">
      <w:pPr>
        <w:pStyle w:val="25"/>
        <w:spacing w:line="360" w:lineRule="auto"/>
        <w:ind w:firstLine="241"/>
        <w:rPr>
          <w:rFonts w:hint="eastAsia" w:ascii="宋体" w:hAnsi="宋体" w:eastAsia="宋体" w:cs="宋体"/>
          <w:bCs/>
          <w:color w:val="auto"/>
          <w:sz w:val="21"/>
          <w:highlight w:val="none"/>
          <w:u w:val="single"/>
        </w:rPr>
      </w:pPr>
    </w:p>
    <w:p w14:paraId="4EB53AFE">
      <w:pPr>
        <w:pStyle w:val="25"/>
        <w:spacing w:line="360" w:lineRule="auto"/>
        <w:ind w:firstLine="241"/>
        <w:rPr>
          <w:rFonts w:hint="eastAsia" w:ascii="宋体" w:hAnsi="宋体" w:eastAsia="宋体" w:cs="宋体"/>
          <w:color w:val="auto"/>
          <w:sz w:val="21"/>
          <w:highlight w:val="none"/>
        </w:rPr>
      </w:pPr>
      <w:r>
        <w:rPr>
          <w:rFonts w:hint="eastAsia" w:ascii="宋体" w:hAnsi="宋体" w:eastAsia="宋体" w:cs="宋体"/>
          <w:bCs/>
          <w:color w:val="auto"/>
          <w:sz w:val="21"/>
          <w:highlight w:val="none"/>
          <w:u w:val="single"/>
        </w:rPr>
        <w:t>采购人/代理机构</w:t>
      </w:r>
      <w:r>
        <w:rPr>
          <w:rFonts w:hint="eastAsia" w:ascii="宋体" w:hAnsi="宋体" w:eastAsia="宋体" w:cs="宋体"/>
          <w:bCs/>
          <w:color w:val="auto"/>
          <w:sz w:val="21"/>
          <w:highlight w:val="none"/>
        </w:rPr>
        <w:t>于</w:t>
      </w:r>
      <w:r>
        <w:rPr>
          <w:rFonts w:hint="eastAsia" w:ascii="宋体" w:hAnsi="宋体" w:eastAsia="宋体" w:cs="宋体"/>
          <w:color w:val="auto"/>
          <w:sz w:val="21"/>
          <w:highlight w:val="none"/>
        </w:rPr>
        <w:t>年月日，</w:t>
      </w:r>
      <w:r>
        <w:rPr>
          <w:rFonts w:hint="eastAsia" w:ascii="宋体" w:hAnsi="宋体" w:eastAsia="宋体" w:cs="宋体"/>
          <w:bCs/>
          <w:color w:val="auto"/>
          <w:sz w:val="21"/>
          <w:highlight w:val="none"/>
        </w:rPr>
        <w:t>就质疑事项作出了答复/没有在法定期限内作出答复。</w:t>
      </w:r>
    </w:p>
    <w:p w14:paraId="4BEEEEEA">
      <w:pPr>
        <w:pStyle w:val="25"/>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四、投诉事项具体内容</w:t>
      </w:r>
    </w:p>
    <w:p w14:paraId="56BC4CA4">
      <w:pPr>
        <w:pStyle w:val="25"/>
        <w:spacing w:line="360" w:lineRule="auto"/>
        <w:ind w:left="25" w:leftChars="12" w:firstLine="413" w:firstLineChars="197"/>
        <w:rPr>
          <w:rFonts w:hint="eastAsia" w:ascii="宋体" w:hAnsi="宋体" w:eastAsia="宋体" w:cs="宋体"/>
          <w:bCs/>
          <w:color w:val="auto"/>
          <w:sz w:val="21"/>
          <w:highlight w:val="none"/>
          <w:u w:val="single"/>
        </w:rPr>
      </w:pPr>
      <w:r>
        <w:rPr>
          <w:rFonts w:hint="eastAsia" w:ascii="宋体" w:hAnsi="宋体" w:eastAsia="宋体" w:cs="宋体"/>
          <w:color w:val="auto"/>
          <w:sz w:val="21"/>
          <w:highlight w:val="none"/>
        </w:rPr>
        <w:t>投诉事项1：</w:t>
      </w:r>
    </w:p>
    <w:p w14:paraId="26C0EC2E">
      <w:pPr>
        <w:pStyle w:val="25"/>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事实依据：</w:t>
      </w:r>
    </w:p>
    <w:p w14:paraId="4645E7E9">
      <w:pPr>
        <w:pStyle w:val="25"/>
        <w:spacing w:line="360" w:lineRule="auto"/>
        <w:ind w:left="25" w:leftChars="12" w:firstLine="413" w:firstLineChars="197"/>
        <w:rPr>
          <w:rFonts w:hint="eastAsia" w:ascii="宋体" w:hAnsi="宋体" w:eastAsia="宋体" w:cs="宋体"/>
          <w:color w:val="auto"/>
          <w:sz w:val="21"/>
          <w:highlight w:val="none"/>
        </w:rPr>
      </w:pPr>
    </w:p>
    <w:p w14:paraId="11128386">
      <w:pPr>
        <w:pStyle w:val="25"/>
        <w:spacing w:line="360" w:lineRule="auto"/>
        <w:ind w:firstLine="420" w:firstLineChars="200"/>
        <w:rPr>
          <w:rFonts w:hint="eastAsia" w:ascii="宋体" w:hAnsi="宋体" w:eastAsia="宋体" w:cs="宋体"/>
          <w:bCs/>
          <w:color w:val="auto"/>
          <w:sz w:val="21"/>
          <w:highlight w:val="none"/>
          <w:u w:val="single"/>
        </w:rPr>
      </w:pPr>
      <w:r>
        <w:rPr>
          <w:rFonts w:hint="eastAsia" w:ascii="宋体" w:hAnsi="宋体" w:eastAsia="宋体" w:cs="宋体"/>
          <w:bCs/>
          <w:color w:val="auto"/>
          <w:sz w:val="21"/>
          <w:highlight w:val="none"/>
        </w:rPr>
        <w:t>法律依据：</w:t>
      </w:r>
    </w:p>
    <w:p w14:paraId="7FCF4ADF">
      <w:pPr>
        <w:pStyle w:val="25"/>
        <w:spacing w:line="360" w:lineRule="auto"/>
        <w:ind w:left="25" w:leftChars="12" w:firstLine="308" w:firstLineChars="147"/>
        <w:rPr>
          <w:rFonts w:hint="eastAsia" w:ascii="宋体" w:hAnsi="宋体" w:eastAsia="宋体" w:cs="宋体"/>
          <w:bCs/>
          <w:color w:val="auto"/>
          <w:sz w:val="21"/>
          <w:highlight w:val="none"/>
          <w:u w:val="single"/>
        </w:rPr>
      </w:pPr>
    </w:p>
    <w:p w14:paraId="7EEC5AD8">
      <w:pPr>
        <w:pStyle w:val="25"/>
        <w:spacing w:line="360" w:lineRule="auto"/>
        <w:ind w:left="25" w:leftChars="12" w:firstLine="413" w:firstLineChars="197"/>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投诉事项2  </w:t>
      </w:r>
    </w:p>
    <w:p w14:paraId="305D1979">
      <w:pPr>
        <w:pStyle w:val="25"/>
        <w:spacing w:line="360" w:lineRule="auto"/>
        <w:ind w:left="25" w:leftChars="12" w:firstLine="413" w:firstLineChars="197"/>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p>
    <w:p w14:paraId="127E93B4">
      <w:pPr>
        <w:pStyle w:val="25"/>
        <w:spacing w:line="360" w:lineRule="auto"/>
        <w:ind w:left="25" w:leftChars="12"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五、与投诉事项相关的投诉请求：</w:t>
      </w:r>
    </w:p>
    <w:p w14:paraId="3EF005D5">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请求：</w:t>
      </w:r>
    </w:p>
    <w:p w14:paraId="552A9601">
      <w:pPr>
        <w:pStyle w:val="25"/>
        <w:spacing w:line="360" w:lineRule="auto"/>
        <w:ind w:left="25" w:leftChars="12" w:firstLine="308" w:firstLineChars="147"/>
        <w:rPr>
          <w:rFonts w:hint="eastAsia" w:ascii="宋体" w:hAnsi="宋体" w:eastAsia="宋体" w:cs="宋体"/>
          <w:color w:val="auto"/>
          <w:sz w:val="21"/>
          <w:highlight w:val="none"/>
        </w:rPr>
      </w:pPr>
    </w:p>
    <w:p w14:paraId="1DEC5BB0">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签字（签章）：                                       公章：</w:t>
      </w:r>
    </w:p>
    <w:p w14:paraId="06C7D2DD">
      <w:pPr>
        <w:pStyle w:val="25"/>
        <w:spacing w:line="360" w:lineRule="auto"/>
        <w:ind w:left="25" w:leftChars="12" w:firstLine="413" w:firstLineChars="197"/>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14:paraId="2CF56DD1">
      <w:pPr>
        <w:pStyle w:val="25"/>
        <w:snapToGrid w:val="0"/>
        <w:spacing w:line="360" w:lineRule="auto"/>
        <w:rPr>
          <w:rFonts w:hint="eastAsia" w:ascii="宋体" w:hAnsi="宋体" w:eastAsia="宋体" w:cs="宋体"/>
          <w:b/>
          <w:color w:val="auto"/>
          <w:sz w:val="21"/>
          <w:highlight w:val="none"/>
        </w:rPr>
      </w:pPr>
    </w:p>
    <w:p w14:paraId="6A8F0C01">
      <w:pPr>
        <w:pStyle w:val="25"/>
        <w:snapToGrid w:val="0"/>
        <w:spacing w:line="36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说明：</w:t>
      </w:r>
    </w:p>
    <w:p w14:paraId="05AD51D0">
      <w:pPr>
        <w:pStyle w:val="25"/>
        <w:spacing w:line="360" w:lineRule="auto"/>
        <w:ind w:left="25" w:leftChars="12" w:firstLine="310" w:firstLineChars="147"/>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1.投诉人提起投诉时，应当提交投诉书和必要的证明材料，并按照被投诉人和与投诉事项有关的</w:t>
      </w:r>
      <w:r>
        <w:rPr>
          <w:rFonts w:hint="eastAsia" w:ascii="宋体" w:hAnsi="宋体" w:eastAsia="宋体" w:cs="宋体"/>
          <w:b/>
          <w:color w:val="auto"/>
          <w:sz w:val="21"/>
          <w:highlight w:val="none"/>
          <w:lang w:eastAsia="zh-CN"/>
        </w:rPr>
        <w:t>投标人</w:t>
      </w:r>
      <w:r>
        <w:rPr>
          <w:rFonts w:hint="eastAsia" w:ascii="宋体" w:hAnsi="宋体" w:eastAsia="宋体" w:cs="宋体"/>
          <w:b/>
          <w:color w:val="auto"/>
          <w:sz w:val="21"/>
          <w:highlight w:val="none"/>
        </w:rPr>
        <w:t>数量提供投诉书副本</w:t>
      </w:r>
      <w:r>
        <w:rPr>
          <w:rFonts w:hint="eastAsia" w:ascii="宋体" w:hAnsi="宋体" w:eastAsia="宋体" w:cs="宋体"/>
          <w:b/>
          <w:bCs/>
          <w:color w:val="auto"/>
          <w:sz w:val="21"/>
          <w:highlight w:val="none"/>
        </w:rPr>
        <w:t>。</w:t>
      </w:r>
    </w:p>
    <w:p w14:paraId="0EAFE3AC">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5800132">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3.投诉书应简要列明质疑事项，质疑函、质疑答复等作为附件材料提供。</w:t>
      </w:r>
    </w:p>
    <w:p w14:paraId="0812FCB0">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4.投诉书的投诉事项应具体、明确，并有必要的事实依据和法律依据。</w:t>
      </w:r>
    </w:p>
    <w:p w14:paraId="01715228">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5.投诉书的投诉请求应与投诉事项相关。</w:t>
      </w:r>
    </w:p>
    <w:p w14:paraId="4BDA3FA5">
      <w:pPr>
        <w:pStyle w:val="25"/>
        <w:spacing w:line="360" w:lineRule="auto"/>
        <w:ind w:left="25" w:leftChars="12" w:firstLine="310" w:firstLineChars="14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6.投诉人为法人或者其他组织的，投诉书应由法定代表人、主要负责人，或者其授权代表签字或者盖章，并加盖公章。</w:t>
      </w:r>
    </w:p>
    <w:p w14:paraId="70A5880D">
      <w:pPr>
        <w:rPr>
          <w:rFonts w:hint="eastAsia" w:ascii="宋体" w:hAnsi="宋体" w:eastAsia="宋体" w:cs="宋体"/>
          <w:color w:val="auto"/>
          <w:highlight w:val="none"/>
        </w:rPr>
      </w:pPr>
    </w:p>
    <w:p w14:paraId="039A861E">
      <w:pPr>
        <w:rPr>
          <w:rFonts w:hint="eastAsia" w:ascii="宋体" w:hAnsi="宋体" w:eastAsia="宋体" w:cs="宋体"/>
          <w:color w:val="auto"/>
          <w:highlight w:val="none"/>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roman"/>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 Light">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ED71">
    <w:pPr>
      <w:pStyle w:val="31"/>
      <w:jc w:val="center"/>
    </w:pPr>
  </w:p>
  <w:p w14:paraId="47EC51D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A425">
    <w:pPr>
      <w:pStyle w:val="31"/>
      <w:framePr w:wrap="around" w:vAnchor="text" w:hAnchor="margin" w:xAlign="center" w:y="1"/>
      <w:rPr>
        <w:rStyle w:val="54"/>
      </w:rPr>
    </w:pPr>
    <w:r>
      <w:fldChar w:fldCharType="begin"/>
    </w:r>
    <w:r>
      <w:rPr>
        <w:rStyle w:val="54"/>
      </w:rPr>
      <w:instrText xml:space="preserve">PAGE  </w:instrText>
    </w:r>
    <w:r>
      <w:fldChar w:fldCharType="end"/>
    </w:r>
  </w:p>
  <w:p w14:paraId="1DB3342F">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CE8C">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205">
    <w:pPr>
      <w:pStyle w:val="31"/>
      <w:jc w:val="center"/>
    </w:pPr>
  </w:p>
  <w:p w14:paraId="3CA5D62C">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2208">
    <w:pPr>
      <w:pStyle w:val="31"/>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C080">
    <w:pPr>
      <w:pStyle w:val="31"/>
      <w:jc w:val="center"/>
      <w:rPr>
        <w:rFonts w:hint="default"/>
        <w:lang w:val="en-U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C2185D">
                          <w:pPr>
                            <w:pStyle w:val="31"/>
                            <w:jc w:val="center"/>
                          </w:pPr>
                          <w:r>
                            <w:fldChar w:fldCharType="begin"/>
                          </w:r>
                          <w:r>
                            <w:instrText xml:space="preserve"> PAGE   \* MERGEFORMAT </w:instrText>
                          </w:r>
                          <w:r>
                            <w:fldChar w:fldCharType="separate"/>
                          </w:r>
                          <w:r>
                            <w:rPr>
                              <w:lang w:val="zh-CN"/>
                            </w:rPr>
                            <w:t>38</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VhY8gBAACZ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po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tlYWPIAQAAmQMAAA4AAAAAAAAAAQAgAAAAHgEAAGRycy9lMm9Eb2Mu&#10;eG1sUEsFBgAAAAAGAAYAWQEAAFgFAAAAAA==&#10;">
              <v:fill on="f" focussize="0,0"/>
              <v:stroke on="f"/>
              <v:imagedata o:title=""/>
              <o:lock v:ext="edit" aspectratio="f"/>
              <v:textbox inset="0mm,0mm,0mm,0mm" style="mso-fit-shape-to-text:t;">
                <w:txbxContent>
                  <w:p w14:paraId="27C2185D">
                    <w:pPr>
                      <w:pStyle w:val="31"/>
                      <w:jc w:val="center"/>
                    </w:pPr>
                    <w:r>
                      <w:fldChar w:fldCharType="begin"/>
                    </w:r>
                    <w:r>
                      <w:instrText xml:space="preserve"> PAGE   \* MERGEFORMAT </w:instrText>
                    </w:r>
                    <w:r>
                      <w:fldChar w:fldCharType="separate"/>
                    </w:r>
                    <w:r>
                      <w:rPr>
                        <w:lang w:val="zh-CN"/>
                      </w:rPr>
                      <w:t>38</w:t>
                    </w:r>
                    <w:r>
                      <w:fldChar w:fldCharType="end"/>
                    </w:r>
                  </w:p>
                </w:txbxContent>
              </v:textbox>
            </v:shape>
          </w:pict>
        </mc:Fallback>
      </mc:AlternateContent>
    </w:r>
    <w:r>
      <w:rPr>
        <w:rFonts w:hint="eastAsia"/>
        <w:lang w:val="en-US" w:eastAsia="zh-CN"/>
      </w:rPr>
      <w:t xml:space="preserve">  </w:t>
    </w:r>
  </w:p>
  <w:p w14:paraId="38ADF676">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382B">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2F383C">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lwY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iXBiyQEAAJkDAAAOAAAAAAAAAAEAIAAAAB4BAABkcnMvZTJvRG9j&#10;LnhtbFBLBQYAAAAABgAGAFkBAABZBQAAAAA=&#10;">
              <v:fill on="f" focussize="0,0"/>
              <v:stroke on="f"/>
              <v:imagedata o:title=""/>
              <o:lock v:ext="edit" aspectratio="f"/>
              <v:textbox inset="0mm,0mm,0mm,0mm" style="mso-fit-shape-to-text:t;">
                <w:txbxContent>
                  <w:p w14:paraId="212F383C">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32AB">
    <w:pPr>
      <w:pStyle w:val="31"/>
      <w:jc w:val="center"/>
    </w:pPr>
    <w:r>
      <mc:AlternateContent>
        <mc:Choice Requires="wps">
          <w:drawing>
            <wp:anchor distT="0" distB="0" distL="0" distR="0" simplePos="0" relativeHeight="251660288" behindDoc="0" locked="0" layoutInCell="1" allowOverlap="1">
              <wp:simplePos x="0" y="0"/>
              <wp:positionH relativeFrom="margin">
                <wp:posOffset>2823210</wp:posOffset>
              </wp:positionH>
              <wp:positionV relativeFrom="paragraph">
                <wp:posOffset>0</wp:posOffset>
              </wp:positionV>
              <wp:extent cx="324485" cy="300355"/>
              <wp:effectExtent l="0" t="0" r="0" b="0"/>
              <wp:wrapNone/>
              <wp:docPr id="4097" name="文本框 4"/>
              <wp:cNvGraphicFramePr/>
              <a:graphic xmlns:a="http://schemas.openxmlformats.org/drawingml/2006/main">
                <a:graphicData uri="http://schemas.microsoft.com/office/word/2010/wordprocessingShape">
                  <wps:wsp>
                    <wps:cNvSpPr/>
                    <wps:spPr>
                      <a:xfrm>
                        <a:off x="0" y="0"/>
                        <a:ext cx="324485" cy="300355"/>
                      </a:xfrm>
                      <a:prstGeom prst="rect">
                        <a:avLst/>
                      </a:prstGeom>
                      <a:ln>
                        <a:noFill/>
                      </a:ln>
                    </wps:spPr>
                    <wps:txbx>
                      <w:txbxContent>
                        <w:p w14:paraId="6EF00DC0">
                          <w:pPr>
                            <w:pStyle w:val="31"/>
                            <w:jc w:val="center"/>
                            <w:rPr>
                              <w:rFonts w:hint="default" w:eastAsia="宋体"/>
                              <w:lang w:val="en-US" w:eastAsia="zh-CN"/>
                            </w:rPr>
                          </w:pPr>
                          <w:r>
                            <w:rPr>
                              <w:rFonts w:hint="eastAsia"/>
                              <w:lang w:val="en-US" w:eastAsia="zh-CN"/>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lang w:val="en-US" w:eastAsia="zh-CN"/>
                            </w:rPr>
                            <w:t xml:space="preserve">  </w:t>
                          </w:r>
                        </w:p>
                      </w:txbxContent>
                    </wps:txbx>
                    <wps:bodyPr wrap="square" lIns="0" tIns="0" rIns="0" bIns="0" upright="1">
                      <a:noAutofit/>
                    </wps:bodyPr>
                  </wps:wsp>
                </a:graphicData>
              </a:graphic>
            </wp:anchor>
          </w:drawing>
        </mc:Choice>
        <mc:Fallback>
          <w:pict>
            <v:rect id="文本框 4" o:spid="_x0000_s1026" o:spt="1" style="position:absolute;left:0pt;margin-left:222.3pt;margin-top:0pt;height:23.65pt;width:25.55pt;mso-position-horizontal-relative:margin;z-index:251660288;mso-width-relative:page;mso-height-relative:page;" filled="f" stroked="f" coordsize="21600,21600" o:gfxdata="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mxNBtkAAAAHAQAADwAAAAAAAAABACAAAAAiAAAAZHJz&#10;L2Rvd25yZXYueG1sUEsBAhQAFAAAAAgAh07iQF6XqqLKAQAAhwMAAA4AAAAAAAAAAQAgAAAAKAEA&#10;AGRycy9lMm9Eb2MueG1sUEsFBgAAAAAGAAYAWQEAAGQFAAAAAA==&#10;">
              <v:fill on="f" focussize="0,0"/>
              <v:stroke on="f"/>
              <v:imagedata o:title=""/>
              <o:lock v:ext="edit" aspectratio="f"/>
              <v:textbox inset="0mm,0mm,0mm,0mm">
                <w:txbxContent>
                  <w:p w14:paraId="6EF00DC0">
                    <w:pPr>
                      <w:pStyle w:val="31"/>
                      <w:jc w:val="center"/>
                      <w:rPr>
                        <w:rFonts w:hint="default" w:eastAsia="宋体"/>
                        <w:lang w:val="en-US" w:eastAsia="zh-CN"/>
                      </w:rPr>
                    </w:pPr>
                    <w:r>
                      <w:rPr>
                        <w:rFonts w:hint="eastAsia"/>
                        <w:lang w:val="en-US" w:eastAsia="zh-CN"/>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lang w:val="en-US" w:eastAsia="zh-CN"/>
                      </w:rPr>
                      <w:t xml:space="preserve">  </w:t>
                    </w:r>
                  </w:p>
                </w:txbxContent>
              </v:textbox>
            </v:rect>
          </w:pict>
        </mc:Fallback>
      </mc:AlternateContent>
    </w:r>
  </w:p>
  <w:p w14:paraId="22E9CD52">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E9F9">
    <w:pPr>
      <w:pStyle w:val="32"/>
      <w:pBdr>
        <w:bottom w:val="none" w:color="auto" w:sz="0" w:space="1"/>
      </w:pBdr>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E374">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21"/>
      <w:lvlText w:val="%1."/>
      <w:lvlJc w:val="left"/>
      <w:pPr>
        <w:tabs>
          <w:tab w:val="left" w:pos="1200"/>
        </w:tabs>
        <w:ind w:left="1200" w:hanging="360"/>
      </w:pPr>
    </w:lvl>
  </w:abstractNum>
  <w:abstractNum w:abstractNumId="1">
    <w:nsid w:val="00000001"/>
    <w:multiLevelType w:val="multilevel"/>
    <w:tmpl w:val="00000001"/>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2C60"/>
    <w:rsid w:val="00515B20"/>
    <w:rsid w:val="009B69F4"/>
    <w:rsid w:val="00B16C7D"/>
    <w:rsid w:val="0108084E"/>
    <w:rsid w:val="016B46D3"/>
    <w:rsid w:val="022F0340"/>
    <w:rsid w:val="038908D8"/>
    <w:rsid w:val="04011D9C"/>
    <w:rsid w:val="04613D42"/>
    <w:rsid w:val="04DC5D07"/>
    <w:rsid w:val="0587317A"/>
    <w:rsid w:val="07153AD3"/>
    <w:rsid w:val="089C6D14"/>
    <w:rsid w:val="098470A4"/>
    <w:rsid w:val="0C846D6F"/>
    <w:rsid w:val="0D271E5A"/>
    <w:rsid w:val="0DF20110"/>
    <w:rsid w:val="0E2C0B1C"/>
    <w:rsid w:val="0EEA5AEC"/>
    <w:rsid w:val="0F385854"/>
    <w:rsid w:val="10720D11"/>
    <w:rsid w:val="10F24BE9"/>
    <w:rsid w:val="130E556B"/>
    <w:rsid w:val="15747BBA"/>
    <w:rsid w:val="15846B96"/>
    <w:rsid w:val="158D1367"/>
    <w:rsid w:val="1939738F"/>
    <w:rsid w:val="19797864"/>
    <w:rsid w:val="19EC24DF"/>
    <w:rsid w:val="1BB15122"/>
    <w:rsid w:val="1C4306F9"/>
    <w:rsid w:val="1C5226CA"/>
    <w:rsid w:val="1D3318B0"/>
    <w:rsid w:val="1E1B7B7F"/>
    <w:rsid w:val="20743577"/>
    <w:rsid w:val="218D3835"/>
    <w:rsid w:val="22E37AE3"/>
    <w:rsid w:val="23DA7B34"/>
    <w:rsid w:val="240F5A90"/>
    <w:rsid w:val="24912949"/>
    <w:rsid w:val="25BF7042"/>
    <w:rsid w:val="26104CDA"/>
    <w:rsid w:val="263D1690"/>
    <w:rsid w:val="28DE0141"/>
    <w:rsid w:val="28EF7C3E"/>
    <w:rsid w:val="29592165"/>
    <w:rsid w:val="298B7936"/>
    <w:rsid w:val="2A061D8C"/>
    <w:rsid w:val="2A1028FD"/>
    <w:rsid w:val="2A4610CA"/>
    <w:rsid w:val="2B9A1067"/>
    <w:rsid w:val="2BE266B2"/>
    <w:rsid w:val="2D6401E5"/>
    <w:rsid w:val="2DB453D7"/>
    <w:rsid w:val="2DB52DBB"/>
    <w:rsid w:val="2E1E55CD"/>
    <w:rsid w:val="2FD646B0"/>
    <w:rsid w:val="30584C2F"/>
    <w:rsid w:val="31725BAE"/>
    <w:rsid w:val="32AF1B92"/>
    <w:rsid w:val="332A5655"/>
    <w:rsid w:val="33560D52"/>
    <w:rsid w:val="35D0327D"/>
    <w:rsid w:val="35D52163"/>
    <w:rsid w:val="360E115B"/>
    <w:rsid w:val="36EB1C12"/>
    <w:rsid w:val="37A13056"/>
    <w:rsid w:val="37D2775E"/>
    <w:rsid w:val="390E7E8D"/>
    <w:rsid w:val="39224BC9"/>
    <w:rsid w:val="3BC617A2"/>
    <w:rsid w:val="3C4A7DB4"/>
    <w:rsid w:val="3CD400BE"/>
    <w:rsid w:val="3D6A4143"/>
    <w:rsid w:val="3FE0565D"/>
    <w:rsid w:val="41083B3B"/>
    <w:rsid w:val="41465513"/>
    <w:rsid w:val="422D291F"/>
    <w:rsid w:val="437E541F"/>
    <w:rsid w:val="43D50475"/>
    <w:rsid w:val="454B1790"/>
    <w:rsid w:val="454D3BBD"/>
    <w:rsid w:val="47903FEB"/>
    <w:rsid w:val="4827556C"/>
    <w:rsid w:val="487F2D00"/>
    <w:rsid w:val="4B6D2F19"/>
    <w:rsid w:val="4BA24DA3"/>
    <w:rsid w:val="4CD22717"/>
    <w:rsid w:val="4E987CEC"/>
    <w:rsid w:val="4ED626E7"/>
    <w:rsid w:val="51AA7BE9"/>
    <w:rsid w:val="52134065"/>
    <w:rsid w:val="530B071F"/>
    <w:rsid w:val="533D6118"/>
    <w:rsid w:val="55EE5057"/>
    <w:rsid w:val="57FD4CE2"/>
    <w:rsid w:val="58067A86"/>
    <w:rsid w:val="594D738F"/>
    <w:rsid w:val="598D07F3"/>
    <w:rsid w:val="5A1C1C2C"/>
    <w:rsid w:val="5A6D4132"/>
    <w:rsid w:val="5AA61B6A"/>
    <w:rsid w:val="5C481EE1"/>
    <w:rsid w:val="5CB91471"/>
    <w:rsid w:val="5CF62F68"/>
    <w:rsid w:val="5D0014EF"/>
    <w:rsid w:val="5D8E39FF"/>
    <w:rsid w:val="5ED30E8D"/>
    <w:rsid w:val="5F2D74BA"/>
    <w:rsid w:val="5F3B5A4A"/>
    <w:rsid w:val="609A54D3"/>
    <w:rsid w:val="618047FF"/>
    <w:rsid w:val="618E30BD"/>
    <w:rsid w:val="628C3626"/>
    <w:rsid w:val="62A54D69"/>
    <w:rsid w:val="651664A6"/>
    <w:rsid w:val="65CD123B"/>
    <w:rsid w:val="662C7231"/>
    <w:rsid w:val="677D408C"/>
    <w:rsid w:val="681B7EAB"/>
    <w:rsid w:val="6A505A87"/>
    <w:rsid w:val="6D395D20"/>
    <w:rsid w:val="6EEC5736"/>
    <w:rsid w:val="6F9C1E7B"/>
    <w:rsid w:val="708D1F8D"/>
    <w:rsid w:val="71625DE7"/>
    <w:rsid w:val="71A43985"/>
    <w:rsid w:val="72184297"/>
    <w:rsid w:val="739F35DC"/>
    <w:rsid w:val="749462BE"/>
    <w:rsid w:val="74AF3601"/>
    <w:rsid w:val="7547108F"/>
    <w:rsid w:val="75B70F59"/>
    <w:rsid w:val="76E74A57"/>
    <w:rsid w:val="79061B5E"/>
    <w:rsid w:val="7AA21E38"/>
    <w:rsid w:val="7CF21471"/>
    <w:rsid w:val="7DD3496C"/>
    <w:rsid w:val="7E8F6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spacing w:before="340" w:after="330" w:line="360" w:lineRule="auto"/>
      <w:jc w:val="center"/>
      <w:outlineLvl w:val="0"/>
    </w:pPr>
    <w:rPr>
      <w:rFonts w:ascii="Times New Roman" w:hAnsi="Times New Roman" w:eastAsia="宋体"/>
      <w:b/>
      <w:bCs/>
      <w:kern w:val="44"/>
      <w:sz w:val="32"/>
      <w:szCs w:val="44"/>
    </w:rPr>
  </w:style>
  <w:style w:type="paragraph" w:styleId="3">
    <w:name w:val="heading 2"/>
    <w:basedOn w:val="1"/>
    <w:next w:val="1"/>
    <w:link w:val="6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3"/>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7"/>
    <w:link w:val="74"/>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7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8"/>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qFormat/>
    <w:uiPriority w:val="1"/>
  </w:style>
  <w:style w:type="table" w:default="1" w:styleId="49">
    <w:name w:val="Normal Table"/>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next w:val="17"/>
    <w:link w:val="79"/>
    <w:qFormat/>
    <w:uiPriority w:val="0"/>
    <w:pPr>
      <w:jc w:val="left"/>
    </w:pPr>
  </w:style>
  <w:style w:type="paragraph" w:styleId="17">
    <w:name w:val="Body Text Indent"/>
    <w:basedOn w:val="1"/>
    <w:next w:val="18"/>
    <w:link w:val="82"/>
    <w:qFormat/>
    <w:uiPriority w:val="0"/>
    <w:pPr>
      <w:ind w:firstLine="830" w:firstLineChars="352"/>
    </w:pPr>
    <w:rPr>
      <w:rFonts w:ascii="仿宋_GB2312" w:eastAsia="仿宋_GB2312"/>
      <w:kern w:val="0"/>
      <w:sz w:val="32"/>
      <w:szCs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Body Text 3"/>
    <w:basedOn w:val="1"/>
    <w:next w:val="7"/>
    <w:link w:val="80"/>
    <w:qFormat/>
    <w:uiPriority w:val="0"/>
    <w:pPr>
      <w:spacing w:line="500" w:lineRule="exact"/>
    </w:pPr>
    <w:rPr>
      <w:b/>
      <w:bCs/>
      <w:kern w:val="0"/>
      <w:sz w:val="24"/>
    </w:rPr>
  </w:style>
  <w:style w:type="paragraph" w:styleId="20">
    <w:name w:val="Body Text"/>
    <w:basedOn w:val="1"/>
    <w:next w:val="1"/>
    <w:link w:val="81"/>
    <w:qFormat/>
    <w:uiPriority w:val="0"/>
    <w:pPr>
      <w:spacing w:line="380" w:lineRule="exact"/>
    </w:pPr>
    <w:rPr>
      <w:kern w:val="0"/>
      <w:sz w:val="24"/>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0"/>
    <w:pPr>
      <w:ind w:left="1680" w:leftChars="800"/>
    </w:pPr>
    <w:rPr>
      <w:rFonts w:ascii="Calibri" w:hAnsi="Calibri"/>
      <w:szCs w:val="22"/>
    </w:rPr>
  </w:style>
  <w:style w:type="paragraph" w:styleId="24">
    <w:name w:val="toc 3"/>
    <w:basedOn w:val="1"/>
    <w:next w:val="1"/>
    <w:qFormat/>
    <w:uiPriority w:val="0"/>
    <w:pPr>
      <w:ind w:left="840" w:leftChars="400"/>
    </w:pPr>
    <w:rPr>
      <w:rFonts w:ascii="Calibri" w:hAnsi="Calibri"/>
      <w:szCs w:val="22"/>
    </w:rPr>
  </w:style>
  <w:style w:type="paragraph" w:styleId="25">
    <w:name w:val="Plain Text"/>
    <w:basedOn w:val="1"/>
    <w:next w:val="1"/>
    <w:link w:val="83"/>
    <w:qFormat/>
    <w:uiPriority w:val="0"/>
    <w:rPr>
      <w:rFonts w:ascii="宋体" w:hAnsi="Courier New"/>
      <w:kern w:val="0"/>
      <w:sz w:val="20"/>
      <w:szCs w:val="21"/>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84"/>
    <w:qFormat/>
    <w:uiPriority w:val="0"/>
    <w:pPr>
      <w:ind w:left="100" w:leftChars="2500"/>
    </w:pPr>
    <w:rPr>
      <w:rFonts w:ascii="宋体" w:hAnsi="Courier New"/>
      <w:kern w:val="0"/>
      <w:sz w:val="20"/>
      <w:szCs w:val="21"/>
    </w:rPr>
  </w:style>
  <w:style w:type="paragraph" w:styleId="28">
    <w:name w:val="Body Text Indent 2"/>
    <w:basedOn w:val="1"/>
    <w:link w:val="85"/>
    <w:qFormat/>
    <w:uiPriority w:val="0"/>
    <w:pPr>
      <w:ind w:firstLine="630"/>
    </w:pPr>
    <w:rPr>
      <w:kern w:val="0"/>
      <w:sz w:val="32"/>
      <w:szCs w:val="20"/>
    </w:rPr>
  </w:style>
  <w:style w:type="paragraph" w:styleId="29">
    <w:name w:val="endnote text"/>
    <w:basedOn w:val="1"/>
    <w:link w:val="86"/>
    <w:qFormat/>
    <w:uiPriority w:val="0"/>
    <w:pPr>
      <w:snapToGrid w:val="0"/>
      <w:jc w:val="left"/>
    </w:pPr>
  </w:style>
  <w:style w:type="paragraph" w:styleId="30">
    <w:name w:val="Balloon Text"/>
    <w:basedOn w:val="1"/>
    <w:link w:val="87"/>
    <w:qFormat/>
    <w:uiPriority w:val="99"/>
    <w:rPr>
      <w:kern w:val="0"/>
      <w:sz w:val="18"/>
      <w:szCs w:val="18"/>
    </w:rPr>
  </w:style>
  <w:style w:type="paragraph" w:styleId="31">
    <w:name w:val="footer"/>
    <w:basedOn w:val="1"/>
    <w:link w:val="88"/>
    <w:qFormat/>
    <w:uiPriority w:val="0"/>
    <w:pPr>
      <w:tabs>
        <w:tab w:val="center" w:pos="4153"/>
        <w:tab w:val="right" w:pos="8306"/>
      </w:tabs>
      <w:snapToGrid w:val="0"/>
      <w:jc w:val="left"/>
    </w:pPr>
    <w:rPr>
      <w:kern w:val="0"/>
      <w:sz w:val="18"/>
      <w:szCs w:val="18"/>
    </w:rPr>
  </w:style>
  <w:style w:type="paragraph" w:styleId="32">
    <w:name w:val="header"/>
    <w:basedOn w:val="1"/>
    <w:link w:val="89"/>
    <w:qFormat/>
    <w:uiPriority w:val="0"/>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ind w:left="1260" w:leftChars="600"/>
    </w:pPr>
    <w:rPr>
      <w:rFonts w:ascii="Calibri" w:hAnsi="Calibri"/>
      <w:szCs w:val="22"/>
    </w:rPr>
  </w:style>
  <w:style w:type="paragraph" w:styleId="3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90"/>
    <w:qFormat/>
    <w:uiPriority w:val="0"/>
    <w:pPr>
      <w:snapToGrid w:val="0"/>
      <w:jc w:val="left"/>
    </w:pPr>
    <w:rPr>
      <w:sz w:val="18"/>
      <w:szCs w:val="18"/>
    </w:rPr>
  </w:style>
  <w:style w:type="paragraph" w:styleId="38">
    <w:name w:val="toc 6"/>
    <w:basedOn w:val="1"/>
    <w:next w:val="1"/>
    <w:qFormat/>
    <w:uiPriority w:val="0"/>
    <w:pPr>
      <w:ind w:left="2100" w:leftChars="1000"/>
    </w:pPr>
    <w:rPr>
      <w:rFonts w:ascii="Calibri" w:hAnsi="Calibri"/>
      <w:szCs w:val="22"/>
    </w:rPr>
  </w:style>
  <w:style w:type="paragraph" w:styleId="39">
    <w:name w:val="Body Text Indent 3"/>
    <w:basedOn w:val="1"/>
    <w:link w:val="91"/>
    <w:qFormat/>
    <w:uiPriority w:val="0"/>
    <w:pPr>
      <w:spacing w:after="120"/>
      <w:ind w:left="420" w:leftChars="200"/>
    </w:pPr>
    <w:rPr>
      <w:kern w:val="0"/>
      <w:sz w:val="16"/>
      <w:szCs w:val="16"/>
    </w:rPr>
  </w:style>
  <w:style w:type="paragraph" w:styleId="40">
    <w:name w:val="table of figures"/>
    <w:basedOn w:val="1"/>
    <w:next w:val="1"/>
    <w:qFormat/>
    <w:uiPriority w:val="0"/>
    <w:pPr>
      <w:ind w:leftChars="200" w:hanging="200" w:hangingChars="200"/>
    </w:pPr>
    <w:rPr>
      <w:rFonts w:ascii="Times New Roman" w:hAnsi="Times New Roman" w:eastAsia="宋体" w:cs="Times New Roman"/>
    </w:rPr>
  </w:style>
  <w:style w:type="paragraph" w:styleId="41">
    <w:name w:val="toc 2"/>
    <w:basedOn w:val="1"/>
    <w:next w:val="1"/>
    <w:qFormat/>
    <w:uiPriority w:val="0"/>
    <w:pPr>
      <w:ind w:left="420" w:leftChars="200"/>
    </w:pPr>
  </w:style>
  <w:style w:type="paragraph" w:styleId="42">
    <w:name w:val="toc 9"/>
    <w:basedOn w:val="1"/>
    <w:next w:val="1"/>
    <w:qFormat/>
    <w:uiPriority w:val="0"/>
    <w:pPr>
      <w:ind w:left="3360" w:leftChars="1600"/>
    </w:pPr>
    <w:rPr>
      <w:rFonts w:ascii="Calibri" w:hAnsi="Calibri"/>
      <w:szCs w:val="22"/>
    </w:rPr>
  </w:style>
  <w:style w:type="paragraph" w:styleId="43">
    <w:name w:val="Body Text 2"/>
    <w:basedOn w:val="1"/>
    <w:link w:val="92"/>
    <w:qFormat/>
    <w:uiPriority w:val="0"/>
    <w:pPr>
      <w:spacing w:after="120" w:line="480" w:lineRule="auto"/>
    </w:pPr>
    <w:rPr>
      <w:kern w:val="0"/>
      <w:sz w:val="20"/>
    </w:rPr>
  </w:style>
  <w:style w:type="paragraph" w:styleId="44">
    <w:name w:val="index 1"/>
    <w:basedOn w:val="1"/>
    <w:next w:val="1"/>
    <w:qFormat/>
    <w:uiPriority w:val="0"/>
    <w:pPr>
      <w:spacing w:line="400" w:lineRule="exact"/>
      <w:ind w:firstLine="420" w:firstLineChars="200"/>
    </w:pPr>
    <w:rPr>
      <w:rFonts w:ascii="宋体" w:hAnsi="Courier New"/>
      <w:b/>
      <w:szCs w:val="20"/>
    </w:rPr>
  </w:style>
  <w:style w:type="paragraph" w:styleId="45">
    <w:name w:val="Title"/>
    <w:basedOn w:val="1"/>
    <w:next w:val="1"/>
    <w:link w:val="93"/>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94"/>
    <w:qFormat/>
    <w:uiPriority w:val="0"/>
    <w:rPr>
      <w:b/>
      <w:bCs/>
    </w:rPr>
  </w:style>
  <w:style w:type="paragraph" w:styleId="47">
    <w:name w:val="Body Text First Indent"/>
    <w:basedOn w:val="20"/>
    <w:next w:val="1"/>
    <w:qFormat/>
    <w:uiPriority w:val="0"/>
    <w:pPr>
      <w:ind w:firstLine="420" w:firstLineChars="100"/>
    </w:pPr>
  </w:style>
  <w:style w:type="paragraph" w:styleId="48">
    <w:name w:val="Body Text First Indent 2"/>
    <w:basedOn w:val="1"/>
    <w:next w:val="7"/>
    <w:qFormat/>
    <w:uiPriority w:val="0"/>
    <w:pPr>
      <w:ind w:firstLine="420" w:firstLineChars="200"/>
    </w:pPr>
    <w:rPr>
      <w:rFonts w:ascii="Times New Roman" w:eastAsia="宋体"/>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rFonts w:ascii="Times New Roman" w:hAnsi="Times New Roman" w:eastAsia="宋体" w:cs="Times New Roman"/>
      <w:b/>
    </w:rPr>
  </w:style>
  <w:style w:type="character" w:styleId="53">
    <w:name w:val="endnote reference"/>
    <w:qFormat/>
    <w:uiPriority w:val="0"/>
    <w:rPr>
      <w:rFonts w:ascii="Times New Roman" w:hAnsi="Times New Roman" w:eastAsia="宋体" w:cs="Times New Roman"/>
      <w:vertAlign w:val="superscript"/>
    </w:rPr>
  </w:style>
  <w:style w:type="character" w:styleId="54">
    <w:name w:val="page number"/>
    <w:basedOn w:val="51"/>
    <w:qFormat/>
    <w:uiPriority w:val="0"/>
    <w:rPr>
      <w:rFonts w:ascii="Times New Roman" w:hAnsi="Times New Roman" w:eastAsia="宋体" w:cs="Times New Roman"/>
    </w:rPr>
  </w:style>
  <w:style w:type="character" w:styleId="55">
    <w:name w:val="FollowedHyperlink"/>
    <w:qFormat/>
    <w:uiPriority w:val="0"/>
    <w:rPr>
      <w:rFonts w:ascii="Times New Roman" w:hAnsi="Times New Roman" w:eastAsia="宋体" w:cs="Times New Roman"/>
      <w:color w:val="333333"/>
      <w:u w:val="none"/>
    </w:rPr>
  </w:style>
  <w:style w:type="character" w:styleId="56">
    <w:name w:val="Emphasis"/>
    <w:qFormat/>
    <w:uiPriority w:val="0"/>
    <w:rPr>
      <w:rFonts w:ascii="Times New Roman" w:hAnsi="Times New Roman" w:eastAsia="宋体" w:cs="Times New Roman"/>
    </w:rPr>
  </w:style>
  <w:style w:type="character" w:styleId="57">
    <w:name w:val="Hyperlink"/>
    <w:qFormat/>
    <w:uiPriority w:val="0"/>
    <w:rPr>
      <w:rFonts w:ascii="Times New Roman" w:hAnsi="Times New Roman" w:eastAsia="宋体" w:cs="Times New Roman"/>
      <w:color w:val="333333"/>
      <w:u w:val="none"/>
    </w:rPr>
  </w:style>
  <w:style w:type="character" w:styleId="58">
    <w:name w:val="annotation reference"/>
    <w:qFormat/>
    <w:uiPriority w:val="0"/>
    <w:rPr>
      <w:rFonts w:ascii="Times New Roman" w:hAnsi="Times New Roman" w:eastAsia="宋体" w:cs="Times New Roman"/>
      <w:sz w:val="21"/>
      <w:szCs w:val="21"/>
    </w:rPr>
  </w:style>
  <w:style w:type="character" w:styleId="59">
    <w:name w:val="HTML Cite"/>
    <w:qFormat/>
    <w:uiPriority w:val="0"/>
    <w:rPr>
      <w:rFonts w:ascii="Times New Roman" w:hAnsi="Times New Roman" w:eastAsia="宋体" w:cs="Times New Roman"/>
    </w:rPr>
  </w:style>
  <w:style w:type="character" w:styleId="60">
    <w:name w:val="footnote reference"/>
    <w:qFormat/>
    <w:uiPriority w:val="0"/>
    <w:rPr>
      <w:rFonts w:ascii="Times New Roman" w:hAnsi="Times New Roman" w:eastAsia="宋体" w:cs="Times New Roman"/>
      <w:vertAlign w:val="superscript"/>
    </w:rPr>
  </w:style>
  <w:style w:type="character" w:styleId="61">
    <w:name w:val="HTML Sample"/>
    <w:basedOn w:val="51"/>
    <w:qFormat/>
    <w:uiPriority w:val="0"/>
    <w:rPr>
      <w:rFonts w:ascii="Courier New" w:hAnsi="Courier New"/>
    </w:rPr>
  </w:style>
  <w:style w:type="paragraph" w:customStyle="1" w:styleId="62">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styleId="63">
    <w:name w:val="Intense Quote"/>
    <w:basedOn w:val="64"/>
    <w:next w:val="64"/>
    <w:qFormat/>
    <w:uiPriority w:val="0"/>
    <w:pPr>
      <w:pBdr>
        <w:bottom w:val="single" w:color="4F81BD" w:sz="4" w:space="4"/>
      </w:pBdr>
      <w:spacing w:before="200" w:beforeLines="0" w:after="280" w:afterLines="0"/>
      <w:ind w:left="936" w:right="936"/>
    </w:pPr>
    <w:rPr>
      <w:rFonts w:ascii="Calibri" w:hAnsi="Calibri" w:eastAsia="宋体" w:cs="Times New Roman"/>
      <w:b/>
      <w:i/>
      <w:color w:val="4F81BD"/>
    </w:rPr>
  </w:style>
  <w:style w:type="paragraph" w:customStyle="1" w:styleId="64">
    <w:name w:val="正文_2"/>
    <w:next w:val="6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页脚_1"/>
    <w:basedOn w:val="64"/>
    <w:next w:val="63"/>
    <w:unhideWhenUsed/>
    <w:qFormat/>
    <w:uiPriority w:val="99"/>
    <w:pPr>
      <w:tabs>
        <w:tab w:val="center" w:pos="4153"/>
        <w:tab w:val="right" w:pos="8306"/>
      </w:tabs>
      <w:snapToGrid w:val="0"/>
      <w:jc w:val="left"/>
    </w:pPr>
    <w:rPr>
      <w:sz w:val="18"/>
      <w:szCs w:val="18"/>
    </w:rPr>
  </w:style>
  <w:style w:type="character" w:customStyle="1" w:styleId="66">
    <w:name w:val="标题 1 Char"/>
    <w:link w:val="2"/>
    <w:qFormat/>
    <w:uiPriority w:val="0"/>
    <w:rPr>
      <w:rFonts w:ascii="Times New Roman" w:hAnsi="Times New Roman" w:eastAsia="宋体" w:cs="Times New Roman"/>
      <w:b/>
      <w:bCs/>
      <w:kern w:val="44"/>
      <w:sz w:val="32"/>
      <w:szCs w:val="44"/>
    </w:rPr>
  </w:style>
  <w:style w:type="character" w:customStyle="1" w:styleId="67">
    <w:name w:val="标题 2 Char"/>
    <w:link w:val="3"/>
    <w:qFormat/>
    <w:uiPriority w:val="0"/>
    <w:rPr>
      <w:rFonts w:ascii="Arial" w:hAnsi="Arial" w:eastAsia="黑体" w:cs="Times New Roman"/>
      <w:b/>
      <w:bCs/>
      <w:sz w:val="32"/>
      <w:szCs w:val="32"/>
    </w:rPr>
  </w:style>
  <w:style w:type="paragraph" w:customStyle="1" w:styleId="68">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70">
    <w:name w:val="BodyText"/>
    <w:basedOn w:val="1"/>
    <w:qFormat/>
    <w:uiPriority w:val="0"/>
    <w:pPr>
      <w:textAlignment w:val="baseline"/>
    </w:pPr>
    <w:rPr>
      <w:szCs w:val="21"/>
    </w:rPr>
  </w:style>
  <w:style w:type="paragraph" w:customStyle="1" w:styleId="71">
    <w:name w:val="BodyText1I2"/>
    <w:basedOn w:val="72"/>
    <w:qFormat/>
    <w:uiPriority w:val="0"/>
    <w:pPr>
      <w:ind w:firstLine="420" w:firstLineChars="200"/>
    </w:pPr>
    <w:rPr>
      <w:rFonts w:ascii="Times New Roman" w:eastAsia="宋体"/>
    </w:rPr>
  </w:style>
  <w:style w:type="paragraph" w:customStyle="1" w:styleId="72">
    <w:name w:val="BodyTextIndent"/>
    <w:basedOn w:val="1"/>
    <w:qFormat/>
    <w:uiPriority w:val="0"/>
    <w:pPr>
      <w:ind w:firstLine="830" w:firstLineChars="352"/>
      <w:textAlignment w:val="baseline"/>
    </w:pPr>
    <w:rPr>
      <w:rFonts w:ascii="仿宋_GB2312" w:eastAsia="仿宋_GB2312"/>
      <w:kern w:val="0"/>
      <w:sz w:val="32"/>
      <w:szCs w:val="20"/>
    </w:rPr>
  </w:style>
  <w:style w:type="character" w:customStyle="1" w:styleId="73">
    <w:name w:val="标题 3 Char"/>
    <w:link w:val="4"/>
    <w:qFormat/>
    <w:uiPriority w:val="0"/>
    <w:rPr>
      <w:rFonts w:ascii="Times New Roman" w:hAnsi="Times New Roman" w:eastAsia="宋体" w:cs="Times New Roman"/>
      <w:b/>
      <w:bCs/>
      <w:sz w:val="32"/>
      <w:szCs w:val="32"/>
    </w:rPr>
  </w:style>
  <w:style w:type="character" w:customStyle="1" w:styleId="74">
    <w:name w:val="标题 5 Char"/>
    <w:link w:val="6"/>
    <w:qFormat/>
    <w:uiPriority w:val="0"/>
    <w:rPr>
      <w:rFonts w:ascii="Times New Roman" w:hAnsi="Times New Roman" w:eastAsia="宋体" w:cs="Times New Roman"/>
      <w:b/>
      <w:kern w:val="2"/>
      <w:sz w:val="28"/>
      <w:szCs w:val="24"/>
    </w:rPr>
  </w:style>
  <w:style w:type="character" w:customStyle="1" w:styleId="75">
    <w:name w:val="标题 6 Char"/>
    <w:link w:val="8"/>
    <w:qFormat/>
    <w:uiPriority w:val="0"/>
    <w:rPr>
      <w:rFonts w:ascii="Arial" w:hAnsi="Arial" w:eastAsia="黑体" w:cs="Times New Roman"/>
      <w:b/>
      <w:kern w:val="2"/>
      <w:sz w:val="24"/>
      <w:szCs w:val="24"/>
    </w:rPr>
  </w:style>
  <w:style w:type="character" w:customStyle="1" w:styleId="76">
    <w:name w:val="标题 7 Char"/>
    <w:link w:val="9"/>
    <w:qFormat/>
    <w:uiPriority w:val="0"/>
    <w:rPr>
      <w:rFonts w:ascii="Times New Roman" w:hAnsi="Times New Roman" w:eastAsia="宋体" w:cs="Times New Roman"/>
      <w:b/>
      <w:kern w:val="2"/>
      <w:sz w:val="24"/>
      <w:szCs w:val="24"/>
    </w:rPr>
  </w:style>
  <w:style w:type="character" w:customStyle="1" w:styleId="77">
    <w:name w:val="标题 8 Char"/>
    <w:link w:val="10"/>
    <w:qFormat/>
    <w:uiPriority w:val="0"/>
    <w:rPr>
      <w:rFonts w:ascii="Arial" w:hAnsi="Arial" w:eastAsia="黑体" w:cs="Times New Roman"/>
      <w:kern w:val="2"/>
      <w:sz w:val="24"/>
      <w:szCs w:val="24"/>
    </w:rPr>
  </w:style>
  <w:style w:type="character" w:customStyle="1" w:styleId="78">
    <w:name w:val="标题 9 Char"/>
    <w:link w:val="11"/>
    <w:qFormat/>
    <w:uiPriority w:val="0"/>
    <w:rPr>
      <w:rFonts w:ascii="Arial" w:hAnsi="Arial" w:eastAsia="黑体" w:cs="Times New Roman"/>
      <w:kern w:val="2"/>
      <w:sz w:val="21"/>
      <w:szCs w:val="24"/>
    </w:rPr>
  </w:style>
  <w:style w:type="character" w:customStyle="1" w:styleId="79">
    <w:name w:val="批注文字 Char"/>
    <w:link w:val="16"/>
    <w:qFormat/>
    <w:uiPriority w:val="0"/>
    <w:rPr>
      <w:rFonts w:ascii="Times New Roman" w:hAnsi="Times New Roman" w:eastAsia="宋体" w:cs="Times New Roman"/>
      <w:kern w:val="2"/>
      <w:sz w:val="21"/>
      <w:szCs w:val="24"/>
    </w:rPr>
  </w:style>
  <w:style w:type="character" w:customStyle="1" w:styleId="80">
    <w:name w:val="正文文本 3 Char"/>
    <w:link w:val="19"/>
    <w:qFormat/>
    <w:uiPriority w:val="0"/>
    <w:rPr>
      <w:rFonts w:ascii="Times New Roman" w:hAnsi="Times New Roman" w:eastAsia="宋体" w:cs="Times New Roman"/>
      <w:b/>
      <w:bCs/>
      <w:sz w:val="24"/>
      <w:szCs w:val="24"/>
    </w:rPr>
  </w:style>
  <w:style w:type="character" w:customStyle="1" w:styleId="81">
    <w:name w:val="正文文本 Char"/>
    <w:link w:val="20"/>
    <w:qFormat/>
    <w:uiPriority w:val="0"/>
    <w:rPr>
      <w:rFonts w:ascii="Times New Roman" w:hAnsi="Times New Roman" w:eastAsia="宋体" w:cs="Times New Roman"/>
      <w:sz w:val="24"/>
      <w:szCs w:val="24"/>
    </w:rPr>
  </w:style>
  <w:style w:type="character" w:customStyle="1" w:styleId="82">
    <w:name w:val="正文文本缩进 Char"/>
    <w:link w:val="17"/>
    <w:qFormat/>
    <w:uiPriority w:val="0"/>
    <w:rPr>
      <w:rFonts w:ascii="仿宋_GB2312" w:hAnsi="Times New Roman" w:eastAsia="仿宋_GB2312" w:cs="Times New Roman"/>
      <w:sz w:val="32"/>
      <w:szCs w:val="20"/>
    </w:rPr>
  </w:style>
  <w:style w:type="character" w:customStyle="1" w:styleId="83">
    <w:name w:val="纯文本 Char1"/>
    <w:link w:val="25"/>
    <w:qFormat/>
    <w:uiPriority w:val="0"/>
    <w:rPr>
      <w:rFonts w:ascii="宋体" w:hAnsi="Courier New" w:eastAsia="宋体" w:cs="Courier New"/>
      <w:szCs w:val="21"/>
    </w:rPr>
  </w:style>
  <w:style w:type="character" w:customStyle="1" w:styleId="84">
    <w:name w:val="日期 Char"/>
    <w:link w:val="27"/>
    <w:qFormat/>
    <w:uiPriority w:val="0"/>
    <w:rPr>
      <w:rFonts w:ascii="宋体" w:hAnsi="Courier New" w:eastAsia="宋体" w:cs="Courier New"/>
      <w:szCs w:val="21"/>
    </w:rPr>
  </w:style>
  <w:style w:type="character" w:customStyle="1" w:styleId="85">
    <w:name w:val="正文文本缩进 2 Char"/>
    <w:link w:val="28"/>
    <w:qFormat/>
    <w:uiPriority w:val="0"/>
    <w:rPr>
      <w:rFonts w:ascii="Times New Roman" w:hAnsi="Times New Roman" w:eastAsia="宋体" w:cs="Times New Roman"/>
      <w:sz w:val="32"/>
      <w:szCs w:val="20"/>
    </w:rPr>
  </w:style>
  <w:style w:type="character" w:customStyle="1" w:styleId="86">
    <w:name w:val="尾注文本 Char"/>
    <w:link w:val="29"/>
    <w:qFormat/>
    <w:uiPriority w:val="0"/>
    <w:rPr>
      <w:rFonts w:ascii="Times New Roman" w:hAnsi="Times New Roman" w:eastAsia="宋体" w:cs="Times New Roman"/>
      <w:kern w:val="2"/>
      <w:sz w:val="21"/>
      <w:szCs w:val="24"/>
    </w:rPr>
  </w:style>
  <w:style w:type="character" w:customStyle="1" w:styleId="87">
    <w:name w:val="批注框文本 Char"/>
    <w:link w:val="30"/>
    <w:qFormat/>
    <w:uiPriority w:val="99"/>
    <w:rPr>
      <w:rFonts w:ascii="Times New Roman" w:hAnsi="Times New Roman" w:eastAsia="宋体" w:cs="Times New Roman"/>
      <w:sz w:val="18"/>
      <w:szCs w:val="18"/>
    </w:rPr>
  </w:style>
  <w:style w:type="character" w:customStyle="1" w:styleId="88">
    <w:name w:val="页脚 Char"/>
    <w:link w:val="31"/>
    <w:qFormat/>
    <w:uiPriority w:val="0"/>
    <w:rPr>
      <w:rFonts w:ascii="Times New Roman" w:hAnsi="Times New Roman" w:eastAsia="宋体" w:cs="Times New Roman"/>
      <w:sz w:val="18"/>
      <w:szCs w:val="18"/>
    </w:rPr>
  </w:style>
  <w:style w:type="character" w:customStyle="1" w:styleId="89">
    <w:name w:val="页眉 Char"/>
    <w:link w:val="32"/>
    <w:qFormat/>
    <w:uiPriority w:val="0"/>
    <w:rPr>
      <w:rFonts w:ascii="Times New Roman" w:hAnsi="Times New Roman" w:eastAsia="宋体" w:cs="Times New Roman"/>
      <w:kern w:val="2"/>
      <w:sz w:val="18"/>
      <w:szCs w:val="18"/>
    </w:rPr>
  </w:style>
  <w:style w:type="character" w:customStyle="1" w:styleId="90">
    <w:name w:val="脚注文本 Char"/>
    <w:link w:val="37"/>
    <w:qFormat/>
    <w:uiPriority w:val="0"/>
    <w:rPr>
      <w:rFonts w:ascii="Times New Roman" w:hAnsi="Times New Roman" w:eastAsia="宋体" w:cs="Times New Roman"/>
      <w:kern w:val="2"/>
      <w:sz w:val="18"/>
      <w:szCs w:val="18"/>
    </w:rPr>
  </w:style>
  <w:style w:type="character" w:customStyle="1" w:styleId="91">
    <w:name w:val="正文文本缩进 3 Char"/>
    <w:link w:val="39"/>
    <w:qFormat/>
    <w:uiPriority w:val="0"/>
    <w:rPr>
      <w:rFonts w:ascii="Times New Roman" w:hAnsi="Times New Roman" w:eastAsia="宋体" w:cs="Times New Roman"/>
      <w:sz w:val="16"/>
      <w:szCs w:val="16"/>
    </w:rPr>
  </w:style>
  <w:style w:type="character" w:customStyle="1" w:styleId="92">
    <w:name w:val="正文文本 2 Char"/>
    <w:link w:val="43"/>
    <w:qFormat/>
    <w:uiPriority w:val="0"/>
    <w:rPr>
      <w:rFonts w:ascii="Times New Roman" w:hAnsi="Times New Roman" w:eastAsia="宋体" w:cs="Times New Roman"/>
      <w:szCs w:val="24"/>
    </w:rPr>
  </w:style>
  <w:style w:type="character" w:customStyle="1" w:styleId="93">
    <w:name w:val="标题 Char"/>
    <w:link w:val="45"/>
    <w:qFormat/>
    <w:uiPriority w:val="0"/>
    <w:rPr>
      <w:rFonts w:ascii="Cambria" w:hAnsi="Cambria" w:eastAsia="宋体" w:cs="Times New Roman"/>
      <w:b/>
      <w:bCs/>
      <w:kern w:val="2"/>
      <w:sz w:val="32"/>
      <w:szCs w:val="32"/>
    </w:rPr>
  </w:style>
  <w:style w:type="character" w:customStyle="1" w:styleId="94">
    <w:name w:val="批注主题 Char"/>
    <w:link w:val="46"/>
    <w:qFormat/>
    <w:uiPriority w:val="0"/>
    <w:rPr>
      <w:rFonts w:ascii="Times New Roman" w:hAnsi="Times New Roman" w:eastAsia="宋体" w:cs="Times New Roman"/>
      <w:b/>
      <w:bCs/>
      <w:kern w:val="2"/>
      <w:sz w:val="21"/>
      <w:szCs w:val="24"/>
    </w:rPr>
  </w:style>
  <w:style w:type="paragraph" w:customStyle="1" w:styleId="9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6">
    <w:name w:val="List Paragraph"/>
    <w:basedOn w:val="1"/>
    <w:link w:val="97"/>
    <w:qFormat/>
    <w:uiPriority w:val="0"/>
    <w:pPr>
      <w:ind w:firstLine="420" w:firstLineChars="200"/>
    </w:pPr>
  </w:style>
  <w:style w:type="character" w:customStyle="1" w:styleId="97">
    <w:name w:val="列出段落 Char"/>
    <w:link w:val="96"/>
    <w:qFormat/>
    <w:uiPriority w:val="0"/>
    <w:rPr>
      <w:kern w:val="2"/>
      <w:sz w:val="21"/>
      <w:szCs w:val="24"/>
    </w:rPr>
  </w:style>
  <w:style w:type="character" w:customStyle="1" w:styleId="98">
    <w:name w:val="NormalCharacter"/>
    <w:qFormat/>
    <w:uiPriority w:val="0"/>
    <w:rPr>
      <w:rFonts w:ascii="Times New Roman" w:hAnsi="Times New Roman" w:eastAsia="宋体" w:cs="Times New Roman"/>
      <w:kern w:val="2"/>
      <w:sz w:val="21"/>
      <w:szCs w:val="24"/>
      <w:lang w:val="en-US" w:eastAsia="zh-CN" w:bidi="ar-SA"/>
    </w:rPr>
  </w:style>
  <w:style w:type="character" w:customStyle="1" w:styleId="9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00">
    <w:name w:val="Index8"/>
    <w:basedOn w:val="1"/>
    <w:next w:val="1"/>
    <w:qFormat/>
    <w:uiPriority w:val="0"/>
    <w:pPr>
      <w:ind w:left="2940"/>
      <w:textAlignment w:val="baseline"/>
    </w:pPr>
  </w:style>
  <w:style w:type="paragraph" w:customStyle="1" w:styleId="101">
    <w:name w:val="PlainText"/>
    <w:basedOn w:val="1"/>
    <w:next w:val="100"/>
    <w:qFormat/>
    <w:uiPriority w:val="0"/>
    <w:pPr>
      <w:textAlignment w:val="baseline"/>
    </w:pPr>
    <w:rPr>
      <w:rFonts w:ascii="宋体" w:hAnsi="Courier New"/>
      <w:kern w:val="0"/>
      <w:sz w:val="20"/>
      <w:szCs w:val="21"/>
    </w:rPr>
  </w:style>
  <w:style w:type="paragraph" w:customStyle="1" w:styleId="102">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103">
    <w:name w:val="批注文字 Char1"/>
    <w:qFormat/>
    <w:uiPriority w:val="0"/>
    <w:rPr>
      <w:rFonts w:ascii="Times New Roman" w:hAnsi="Times New Roman" w:eastAsia="宋体" w:cs="Times New Roman"/>
      <w:kern w:val="2"/>
      <w:sz w:val="21"/>
      <w:szCs w:val="24"/>
    </w:rPr>
  </w:style>
  <w:style w:type="character" w:customStyle="1" w:styleId="104">
    <w:name w:val="font11"/>
    <w:qFormat/>
    <w:uiPriority w:val="0"/>
    <w:rPr>
      <w:rFonts w:hint="eastAsia" w:ascii="宋体" w:hAnsi="宋体" w:eastAsia="宋体" w:cs="宋体"/>
      <w:color w:val="000000"/>
      <w:sz w:val="21"/>
      <w:szCs w:val="21"/>
      <w:u w:val="none"/>
    </w:rPr>
  </w:style>
  <w:style w:type="character" w:customStyle="1" w:styleId="105">
    <w:name w:val="纯文本 字符1"/>
    <w:qFormat/>
    <w:uiPriority w:val="0"/>
    <w:rPr>
      <w:rFonts w:ascii="宋体" w:hAnsi="Courier New" w:eastAsia="宋体" w:cs="Times New Roman"/>
    </w:rPr>
  </w:style>
  <w:style w:type="character" w:customStyle="1" w:styleId="106">
    <w:name w:val="t_tag"/>
    <w:qFormat/>
    <w:uiPriority w:val="0"/>
    <w:rPr>
      <w:rFonts w:ascii="Times New Roman" w:hAnsi="Times New Roman" w:eastAsia="宋体" w:cs="Times New Roman"/>
    </w:rPr>
  </w:style>
  <w:style w:type="character" w:customStyle="1" w:styleId="107">
    <w:name w:val="font31"/>
    <w:qFormat/>
    <w:uiPriority w:val="0"/>
    <w:rPr>
      <w:rFonts w:ascii="Calibri" w:hAnsi="Calibri" w:eastAsia="宋体" w:cs="Calibri"/>
      <w:color w:val="000000"/>
      <w:sz w:val="21"/>
      <w:szCs w:val="21"/>
      <w:u w:val="none"/>
    </w:rPr>
  </w:style>
  <w:style w:type="character" w:customStyle="1" w:styleId="108">
    <w:name w:val="yide_line"/>
    <w:qFormat/>
    <w:uiPriority w:val="0"/>
    <w:rPr>
      <w:rFonts w:ascii="Times New Roman" w:hAnsi="Times New Roman" w:eastAsia="宋体" w:cs="Times New Roman"/>
    </w:rPr>
  </w:style>
  <w:style w:type="character" w:customStyle="1" w:styleId="109">
    <w:name w:val="标题 1 字符"/>
    <w:qFormat/>
    <w:uiPriority w:val="0"/>
    <w:rPr>
      <w:rFonts w:ascii="Times New Roman" w:hAnsi="Times New Roman" w:eastAsia="宋体" w:cs="Times New Roman"/>
      <w:b/>
      <w:bCs/>
      <w:kern w:val="44"/>
      <w:sz w:val="44"/>
      <w:szCs w:val="44"/>
    </w:rPr>
  </w:style>
  <w:style w:type="character" w:customStyle="1" w:styleId="110">
    <w:name w:val="纯文本 字符2"/>
    <w:qFormat/>
    <w:uiPriority w:val="0"/>
    <w:rPr>
      <w:rFonts w:ascii="宋体" w:hAnsi="Courier New" w:eastAsia="宋体" w:cs="Courier New"/>
      <w:szCs w:val="21"/>
    </w:rPr>
  </w:style>
  <w:style w:type="character" w:customStyle="1" w:styleId="111">
    <w:name w:val="普通文字 Char Char2"/>
    <w:qFormat/>
    <w:uiPriority w:val="0"/>
    <w:rPr>
      <w:rFonts w:ascii="宋体" w:hAnsi="Courier New" w:eastAsia="宋体" w:cs="Times New Roman"/>
      <w:kern w:val="2"/>
      <w:sz w:val="21"/>
      <w:lang w:val="en-US" w:eastAsia="zh-CN" w:bidi="ar-SA"/>
    </w:rPr>
  </w:style>
  <w:style w:type="character" w:customStyle="1" w:styleId="112">
    <w:name w:val="headline-content4"/>
    <w:qFormat/>
    <w:uiPriority w:val="0"/>
    <w:rPr>
      <w:rFonts w:ascii="Times New Roman" w:hAnsi="Times New Roman" w:eastAsia="宋体" w:cs="Times New Roman"/>
    </w:rPr>
  </w:style>
  <w:style w:type="character" w:customStyle="1" w:styleId="113">
    <w:name w:val="apple-style-span"/>
    <w:qFormat/>
    <w:uiPriority w:val="0"/>
    <w:rPr>
      <w:rFonts w:ascii="Times New Roman" w:hAnsi="Times New Roman" w:eastAsia="宋体" w:cs="Times New Roman"/>
    </w:rPr>
  </w:style>
  <w:style w:type="character" w:customStyle="1" w:styleId="114">
    <w:name w:val="纯文本 字符"/>
    <w:qFormat/>
    <w:uiPriority w:val="0"/>
    <w:rPr>
      <w:rFonts w:ascii="宋体" w:hAnsi="Courier New" w:eastAsia="宋体" w:cs="Courier New"/>
      <w:szCs w:val="21"/>
    </w:rPr>
  </w:style>
  <w:style w:type="character" w:customStyle="1" w:styleId="115">
    <w:name w:val="批注文字 字符"/>
    <w:qFormat/>
    <w:uiPriority w:val="0"/>
    <w:rPr>
      <w:rFonts w:ascii="Times New Roman" w:hAnsi="Times New Roman" w:eastAsia="宋体" w:cs="Times New Roman"/>
      <w:kern w:val="2"/>
      <w:sz w:val="21"/>
      <w:szCs w:val="24"/>
    </w:rPr>
  </w:style>
  <w:style w:type="character" w:customStyle="1" w:styleId="116">
    <w:name w:val="case31"/>
    <w:qFormat/>
    <w:uiPriority w:val="0"/>
    <w:rPr>
      <w:rFonts w:hint="default" w:ascii="_x000B__x000C_" w:hAnsi="_x000B__x000C_" w:eastAsia="宋体" w:cs="Times New Roman"/>
      <w:sz w:val="21"/>
      <w:szCs w:val="21"/>
    </w:rPr>
  </w:style>
  <w:style w:type="character" w:customStyle="1" w:styleId="117">
    <w:name w:val="textcontents"/>
    <w:qFormat/>
    <w:uiPriority w:val="0"/>
    <w:rPr>
      <w:rFonts w:ascii="Times New Roman" w:hAnsi="Times New Roman" w:eastAsia="宋体" w:cs="Times New Roman"/>
    </w:rPr>
  </w:style>
  <w:style w:type="character" w:customStyle="1" w:styleId="118">
    <w:name w:val="纯文本 Char"/>
    <w:qFormat/>
    <w:uiPriority w:val="0"/>
    <w:rPr>
      <w:rFonts w:ascii="宋体" w:hAnsi="Courier New" w:eastAsia="宋体" w:cs="Times New Roman"/>
      <w:kern w:val="2"/>
      <w:sz w:val="21"/>
      <w:lang w:val="en-US" w:eastAsia="zh-CN" w:bidi="ar-SA"/>
    </w:rPr>
  </w:style>
  <w:style w:type="character" w:customStyle="1" w:styleId="119">
    <w:name w:val="正文文本缩进 字符"/>
    <w:qFormat/>
    <w:uiPriority w:val="0"/>
    <w:rPr>
      <w:rFonts w:ascii="仿宋_GB2312" w:hAnsi="Times New Roman" w:eastAsia="仿宋_GB2312" w:cs="Times New Roman"/>
      <w:sz w:val="32"/>
      <w:szCs w:val="20"/>
    </w:rPr>
  </w:style>
  <w:style w:type="character" w:customStyle="1" w:styleId="120">
    <w:name w:val="批注文字 字符1"/>
    <w:qFormat/>
    <w:uiPriority w:val="0"/>
    <w:rPr>
      <w:rFonts w:ascii="Times New Roman" w:hAnsi="Times New Roman" w:eastAsia="宋体" w:cs="Times New Roman"/>
      <w:kern w:val="2"/>
      <w:sz w:val="21"/>
      <w:szCs w:val="24"/>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3">
    <w:name w:val="样式 首行缩进:  2 字符"/>
    <w:basedOn w:val="1"/>
    <w:qFormat/>
    <w:uiPriority w:val="0"/>
    <w:pPr>
      <w:spacing w:line="400" w:lineRule="exact"/>
      <w:ind w:firstLine="200" w:firstLineChars="200"/>
    </w:pPr>
    <w:rPr>
      <w:rFonts w:cs="宋体"/>
      <w:sz w:val="24"/>
    </w:rPr>
  </w:style>
  <w:style w:type="paragraph" w:customStyle="1" w:styleId="124">
    <w:name w:val="179"/>
    <w:basedOn w:val="1"/>
    <w:qFormat/>
    <w:uiPriority w:val="0"/>
    <w:pPr>
      <w:ind w:firstLine="420" w:firstLineChars="200"/>
      <w:textAlignment w:val="baseline"/>
    </w:pPr>
  </w:style>
  <w:style w:type="paragraph" w:customStyle="1" w:styleId="125">
    <w:name w:val="Char1"/>
    <w:basedOn w:val="1"/>
    <w:qFormat/>
    <w:uiPriority w:val="0"/>
    <w:rPr>
      <w:szCs w:val="21"/>
    </w:rPr>
  </w:style>
  <w:style w:type="paragraph" w:customStyle="1" w:styleId="126">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127">
    <w:name w:val="Table Paragraph"/>
    <w:basedOn w:val="1"/>
    <w:qFormat/>
    <w:uiPriority w:val="0"/>
  </w:style>
  <w:style w:type="paragraph" w:customStyle="1" w:styleId="128">
    <w:name w:val="正文段"/>
    <w:basedOn w:val="1"/>
    <w:qFormat/>
    <w:uiPriority w:val="0"/>
    <w:pPr>
      <w:widowControl/>
      <w:snapToGrid w:val="0"/>
      <w:spacing w:afterLines="50"/>
      <w:ind w:firstLine="200" w:firstLineChars="200"/>
    </w:pPr>
    <w:rPr>
      <w:kern w:val="0"/>
      <w:sz w:val="24"/>
      <w:szCs w:val="20"/>
    </w:rPr>
  </w:style>
  <w:style w:type="paragraph" w:customStyle="1" w:styleId="129">
    <w:name w:val="正文呀"/>
    <w:basedOn w:val="1"/>
    <w:qFormat/>
    <w:uiPriority w:val="0"/>
    <w:pPr>
      <w:spacing w:line="420" w:lineRule="exact"/>
      <w:ind w:firstLine="420" w:firstLineChars="200"/>
    </w:pPr>
    <w:rPr>
      <w:rFonts w:ascii="宋体" w:hAnsi="宋体"/>
    </w:rPr>
  </w:style>
  <w:style w:type="paragraph" w:customStyle="1" w:styleId="130">
    <w:name w:val="正文呀2"/>
    <w:basedOn w:val="129"/>
    <w:qFormat/>
    <w:uiPriority w:val="0"/>
    <w:rPr>
      <w:rFonts w:ascii="Times New Roman" w:hAnsi="Times New Roman"/>
    </w:rPr>
  </w:style>
  <w:style w:type="paragraph" w:customStyle="1" w:styleId="131">
    <w:name w:val="表格"/>
    <w:basedOn w:val="1"/>
    <w:qFormat/>
    <w:uiPriority w:val="0"/>
    <w:pPr>
      <w:spacing w:line="400" w:lineRule="exact"/>
    </w:pPr>
    <w:rPr>
      <w:sz w:val="24"/>
    </w:rPr>
  </w:style>
  <w:style w:type="paragraph" w:customStyle="1" w:styleId="132">
    <w:name w:val="正文1"/>
    <w:qFormat/>
    <w:uiPriority w:val="0"/>
    <w:rPr>
      <w:rFonts w:ascii="Times New Roman" w:hAnsi="Times New Roman" w:eastAsia="Times New Roman" w:cs="Times New Roman"/>
      <w:sz w:val="24"/>
      <w:szCs w:val="24"/>
      <w:lang w:val="en-US" w:eastAsia="zh-CN" w:bidi="ar-SA"/>
    </w:rPr>
  </w:style>
  <w:style w:type="paragraph" w:customStyle="1" w:styleId="133">
    <w:name w:val="纯文本1"/>
    <w:basedOn w:val="1"/>
    <w:qFormat/>
    <w:uiPriority w:val="0"/>
    <w:rPr>
      <w:rFonts w:ascii="宋体" w:hAnsi="Courier New" w:cs="Century"/>
      <w:szCs w:val="21"/>
    </w:rPr>
  </w:style>
  <w:style w:type="paragraph" w:customStyle="1" w:styleId="134">
    <w:name w:val="List Paragraph1"/>
    <w:basedOn w:val="1"/>
    <w:qFormat/>
    <w:uiPriority w:val="0"/>
    <w:pPr>
      <w:ind w:firstLine="420" w:firstLineChars="200"/>
    </w:pPr>
  </w:style>
  <w:style w:type="paragraph" w:customStyle="1" w:styleId="135">
    <w:name w:val="正文首行缩进两字符"/>
    <w:basedOn w:val="1"/>
    <w:qFormat/>
    <w:uiPriority w:val="0"/>
    <w:pPr>
      <w:spacing w:line="360" w:lineRule="auto"/>
      <w:ind w:firstLine="200" w:firstLineChars="200"/>
    </w:pPr>
  </w:style>
  <w:style w:type="paragraph" w:customStyle="1" w:styleId="136">
    <w:name w:val="默认段落字体 Para Char Char Char Char Char Char Char Char Char1 Char Char Char Char"/>
    <w:basedOn w:val="1"/>
    <w:qFormat/>
    <w:uiPriority w:val="0"/>
    <w:rPr>
      <w:rFonts w:ascii="Tahoma" w:hAnsi="Tahoma"/>
      <w:sz w:val="24"/>
      <w:szCs w:val="20"/>
    </w:rPr>
  </w:style>
  <w:style w:type="paragraph" w:customStyle="1" w:styleId="13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8">
    <w:name w:val="_Style 130"/>
    <w:qFormat/>
    <w:uiPriority w:val="99"/>
    <w:rPr>
      <w:rFonts w:ascii="Times New Roman" w:hAnsi="Times New Roman" w:eastAsia="宋体" w:cs="Times New Roman"/>
      <w:kern w:val="2"/>
      <w:sz w:val="21"/>
      <w:szCs w:val="24"/>
      <w:lang w:val="en-US" w:eastAsia="zh-CN" w:bidi="ar-SA"/>
    </w:rPr>
  </w:style>
  <w:style w:type="character" w:customStyle="1" w:styleId="139">
    <w:name w:val="font81"/>
    <w:qFormat/>
    <w:uiPriority w:val="0"/>
    <w:rPr>
      <w:rFonts w:hint="eastAsia" w:ascii="宋体" w:hAnsi="宋体" w:eastAsia="宋体" w:cs="宋体"/>
      <w:color w:val="000000"/>
      <w:sz w:val="18"/>
      <w:szCs w:val="18"/>
      <w:u w:val="none"/>
    </w:rPr>
  </w:style>
  <w:style w:type="character" w:customStyle="1" w:styleId="140">
    <w:name w:val="font151"/>
    <w:qFormat/>
    <w:uiPriority w:val="0"/>
    <w:rPr>
      <w:rFonts w:ascii="Wingdings 2" w:hAnsi="Wingdings 2" w:eastAsia="Wingdings 2" w:cs="Wingdings 2"/>
      <w:color w:val="000000"/>
      <w:sz w:val="18"/>
      <w:szCs w:val="18"/>
      <w:u w:val="none"/>
    </w:rPr>
  </w:style>
  <w:style w:type="table" w:customStyle="1" w:styleId="141">
    <w:name w:val="Table Normal"/>
    <w:qFormat/>
    <w:uiPriority w:val="0"/>
    <w:tblPr>
      <w:tblCellMar>
        <w:top w:w="0" w:type="dxa"/>
        <w:left w:w="0" w:type="dxa"/>
        <w:bottom w:w="0" w:type="dxa"/>
        <w:right w:w="0" w:type="dxa"/>
      </w:tblCellMar>
    </w:tblPr>
  </w:style>
  <w:style w:type="paragraph" w:customStyle="1" w:styleId="142">
    <w:name w:val="TOC 标题1"/>
    <w:basedOn w:val="2"/>
    <w:next w:val="1"/>
    <w:qFormat/>
    <w:uiPriority w:val="0"/>
    <w:pPr>
      <w:widowControl/>
      <w:spacing w:before="240" w:line="259" w:lineRule="auto"/>
      <w:jc w:val="left"/>
      <w:outlineLvl w:val="9"/>
    </w:pPr>
    <w:rPr>
      <w:rFonts w:ascii="?? Light" w:hAnsi="?? Light"/>
      <w:b w:val="0"/>
      <w:color w:val="2F5496"/>
      <w:kern w:val="0"/>
      <w:szCs w:val="32"/>
    </w:rPr>
  </w:style>
  <w:style w:type="paragraph" w:customStyle="1" w:styleId="143">
    <w:name w:val="NormalIndent"/>
    <w:basedOn w:val="1"/>
    <w:qFormat/>
    <w:uiPriority w:val="0"/>
    <w:pPr>
      <w:ind w:firstLine="420"/>
    </w:pPr>
    <w:rPr>
      <w:szCs w:val="21"/>
    </w:rPr>
  </w:style>
  <w:style w:type="paragraph" w:customStyle="1" w:styleId="144">
    <w:name w:val="Body text|1"/>
    <w:basedOn w:val="1"/>
    <w:autoRedefine/>
    <w:qFormat/>
    <w:uiPriority w:val="0"/>
    <w:pPr>
      <w:tabs>
        <w:tab w:val="left" w:pos="1289"/>
      </w:tabs>
      <w:spacing w:line="360" w:lineRule="auto"/>
      <w:ind w:firstLine="422" w:firstLineChars="200"/>
      <w:jc w:val="left"/>
    </w:pPr>
    <w:rPr>
      <w:rFonts w:ascii="宋体" w:hAnsi="宋体" w:cs="宋体"/>
      <w:b/>
      <w:bCs/>
      <w:szCs w:val="21"/>
      <w:lang w:bidi="zh-TW"/>
    </w:rPr>
  </w:style>
  <w:style w:type="paragraph" w:customStyle="1" w:styleId="145">
    <w:name w:val="正文_6"/>
    <w:next w:val="1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正文文本_1"/>
    <w:basedOn w:val="145"/>
    <w:next w:val="145"/>
    <w:qFormat/>
    <w:uiPriority w:val="0"/>
    <w:pPr>
      <w:spacing w:after="120"/>
    </w:pPr>
    <w:rPr>
      <w:rFonts w:ascii="Times New Roman" w:hAnsi="Times New Roman" w:eastAsia="宋体" w:cs="Times New Roman"/>
    </w:rPr>
  </w:style>
  <w:style w:type="paragraph" w:customStyle="1" w:styleId="147">
    <w:name w:val="Normal_1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122</Pages>
  <Words>12575</Words>
  <Characters>14134</Characters>
  <Paragraphs>2353</Paragraphs>
  <TotalTime>40</TotalTime>
  <ScaleCrop>false</ScaleCrop>
  <LinksUpToDate>false</LinksUpToDate>
  <CharactersWithSpaces>14321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2022-08-02T08:35:00Z</dcterms:created>
  <dc:creator>番茄花园</dc:creator>
  <cp:lastModifiedBy>mmm</cp:lastModifiedBy>
  <cp:lastPrinted>2023-07-24T09:20:00Z</cp:lastPrinted>
  <dcterms:modified xsi:type="dcterms:W3CDTF">2025-08-07T09:31:43Z</dcterms:modified>
  <dc:title>公开招标采购文件范本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9D46AAA0EFAB4C3B9E1C8428473AFF8C_13</vt:lpwstr>
  </property>
  <property fmtid="{D5CDD505-2E9C-101B-9397-08002B2CF9AE}" pid="4" name="KSOTemplateDocerSaveRecord">
    <vt:lpwstr>eyJoZGlkIjoiNzFjY2M1MzE1YTRhOThmN2VmNjgwYjk4NWMwM2ViMWEiLCJ1c2VySWQiOiIzNDI3NzExOTAifQ==</vt:lpwstr>
  </property>
</Properties>
</file>